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(Poultry Manure)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_Toc149036406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_Toc149036407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_Toc149036408 \h </w:instrText>
      </w:r>
      <w:r>
        <w:fldChar w:fldCharType="separate"/>
      </w:r>
      <w:r>
        <w:t>1</w:t>
      </w:r>
      <w:r>
        <w:fldChar w:fldCharType="end"/>
      </w:r>
    </w:p>
    <w:p>
      <w:pPr>
        <w:pStyle w:val="TOC8"/>
        <w:rPr>
          <w:sz w:val="24"/>
          <w:szCs w:val="24"/>
        </w:rPr>
      </w:pPr>
      <w:r>
        <w:rPr>
          <w:szCs w:val="24"/>
        </w:rPr>
        <w:t>4.</w:t>
      </w:r>
      <w:r>
        <w:rPr>
          <w:szCs w:val="24"/>
        </w:rPr>
        <w:tab/>
        <w:t>Regulations to operate as local laws</w:t>
      </w:r>
      <w:r>
        <w:tab/>
      </w:r>
      <w:r>
        <w:fldChar w:fldCharType="begin"/>
      </w:r>
      <w:r>
        <w:instrText xml:space="preserve"> PAGEREF _Toc149036409 \h </w:instrText>
      </w:r>
      <w:r>
        <w:fldChar w:fldCharType="separate"/>
      </w:r>
      <w:r>
        <w:t>2</w:t>
      </w:r>
      <w:r>
        <w:fldChar w:fldCharType="end"/>
      </w:r>
    </w:p>
    <w:p>
      <w:pPr>
        <w:pStyle w:val="TOC8"/>
        <w:rPr>
          <w:sz w:val="24"/>
          <w:szCs w:val="24"/>
        </w:rPr>
      </w:pPr>
      <w:r>
        <w:rPr>
          <w:szCs w:val="24"/>
        </w:rPr>
        <w:t>5.</w:t>
      </w:r>
      <w:r>
        <w:rPr>
          <w:szCs w:val="24"/>
        </w:rPr>
        <w:tab/>
        <w:t>Untreated poultry manure specified to be a “hazardous substance”</w:t>
      </w:r>
      <w:r>
        <w:tab/>
      </w:r>
      <w:r>
        <w:fldChar w:fldCharType="begin"/>
      </w:r>
      <w:r>
        <w:instrText xml:space="preserve"> PAGEREF _Toc149036410 \h </w:instrText>
      </w:r>
      <w:r>
        <w:fldChar w:fldCharType="separate"/>
      </w:r>
      <w:r>
        <w:t>2</w:t>
      </w:r>
      <w:r>
        <w:fldChar w:fldCharType="end"/>
      </w:r>
    </w:p>
    <w:p>
      <w:pPr>
        <w:pStyle w:val="TOC8"/>
        <w:rPr>
          <w:sz w:val="24"/>
          <w:szCs w:val="24"/>
        </w:rPr>
      </w:pPr>
      <w:r>
        <w:rPr>
          <w:szCs w:val="24"/>
        </w:rPr>
        <w:t>6.</w:t>
      </w:r>
      <w:r>
        <w:rPr>
          <w:szCs w:val="24"/>
        </w:rPr>
        <w:tab/>
        <w:t>Storage, etc., of untreated poultry manure</w:t>
      </w:r>
      <w:r>
        <w:tab/>
      </w:r>
      <w:r>
        <w:fldChar w:fldCharType="begin"/>
      </w:r>
      <w:r>
        <w:instrText xml:space="preserve"> PAGEREF _Toc149036411 \h </w:instrText>
      </w:r>
      <w:r>
        <w:fldChar w:fldCharType="separate"/>
      </w:r>
      <w:r>
        <w:t>3</w:t>
      </w:r>
      <w:r>
        <w:fldChar w:fldCharType="end"/>
      </w:r>
    </w:p>
    <w:p>
      <w:pPr>
        <w:pStyle w:val="TOC8"/>
        <w:rPr>
          <w:sz w:val="24"/>
          <w:szCs w:val="24"/>
        </w:rPr>
      </w:pPr>
      <w:r>
        <w:rPr>
          <w:szCs w:val="24"/>
        </w:rPr>
        <w:t>7.</w:t>
      </w:r>
      <w:r>
        <w:rPr>
          <w:szCs w:val="24"/>
        </w:rPr>
        <w:tab/>
        <w:t>Declaration</w:t>
      </w:r>
      <w:r>
        <w:tab/>
      </w:r>
      <w:r>
        <w:fldChar w:fldCharType="begin"/>
      </w:r>
      <w:r>
        <w:instrText xml:space="preserve"> PAGEREF _Toc149036412 \h </w:instrText>
      </w:r>
      <w:r>
        <w:fldChar w:fldCharType="separate"/>
      </w:r>
      <w:r>
        <w:t>3</w:t>
      </w:r>
      <w:r>
        <w:fldChar w:fldCharType="end"/>
      </w:r>
    </w:p>
    <w:p>
      <w:pPr>
        <w:pStyle w:val="TOC8"/>
        <w:rPr>
          <w:sz w:val="24"/>
          <w:szCs w:val="24"/>
        </w:rPr>
      </w:pPr>
      <w:r>
        <w:rPr>
          <w:szCs w:val="24"/>
        </w:rPr>
        <w:t>8.</w:t>
      </w:r>
      <w:r>
        <w:rPr>
          <w:szCs w:val="24"/>
        </w:rPr>
        <w:tab/>
        <w:t>Offences</w:t>
      </w:r>
      <w:r>
        <w:tab/>
      </w:r>
      <w:r>
        <w:fldChar w:fldCharType="begin"/>
      </w:r>
      <w:r>
        <w:instrText xml:space="preserve"> PAGEREF _Toc149036413 \h </w:instrText>
      </w:r>
      <w:r>
        <w:fldChar w:fldCharType="separate"/>
      </w:r>
      <w:r>
        <w:t>4</w:t>
      </w:r>
      <w:r>
        <w:fldChar w:fldCharType="end"/>
      </w:r>
    </w:p>
    <w:p>
      <w:pPr>
        <w:pStyle w:val="TOC8"/>
        <w:rPr>
          <w:sz w:val="24"/>
          <w:szCs w:val="24"/>
        </w:rPr>
      </w:pPr>
      <w:r>
        <w:rPr>
          <w:szCs w:val="24"/>
        </w:rPr>
        <w:t>9.</w:t>
      </w:r>
      <w:r>
        <w:rPr>
          <w:szCs w:val="24"/>
        </w:rPr>
        <w:tab/>
        <w:t>Penalty</w:t>
      </w:r>
      <w:r>
        <w:tab/>
      </w:r>
      <w:r>
        <w:fldChar w:fldCharType="begin"/>
      </w:r>
      <w:r>
        <w:instrText xml:space="preserve"> PAGEREF _Toc149036414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Transitional</w:t>
      </w:r>
      <w:r>
        <w:tab/>
      </w:r>
      <w:r>
        <w:fldChar w:fldCharType="begin"/>
      </w:r>
      <w:r>
        <w:instrText xml:space="preserve"> PAGEREF _Toc149036415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_Toc149036417 \h </w:instrText>
      </w:r>
      <w:r>
        <w:fldChar w:fldCharType="separate"/>
      </w:r>
      <w:r>
        <w:t>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(Poultry Manure)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1755013"/>
      <w:bookmarkStart w:id="9" w:name="_Toc14903640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531755014"/>
      <w:bookmarkStart w:id="18" w:name="_Toc14903640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531755015"/>
      <w:bookmarkStart w:id="27" w:name="_Toc149036408"/>
      <w:r>
        <w:rPr>
          <w:rStyle w:val="CharSectno"/>
        </w:rPr>
        <w:t>3</w:t>
      </w:r>
      <w:r>
        <w:rPr>
          <w:snapToGrid w:val="0"/>
        </w:rPr>
        <w:t>.</w:t>
      </w:r>
      <w:r>
        <w:rPr>
          <w:snapToGrid w:val="0"/>
        </w:rPr>
        <w:tab/>
        <w:t>Interpretation</w:t>
      </w:r>
      <w:bookmarkEnd w:id="19"/>
      <w:bookmarkEnd w:id="20"/>
      <w:bookmarkEnd w:id="21"/>
      <w:bookmarkEnd w:id="22"/>
      <w:bookmarkEnd w:id="23"/>
      <w:bookmarkEnd w:id="24"/>
      <w:bookmarkEnd w:id="25"/>
      <w:bookmarkEnd w:id="26"/>
      <w:bookmarkEnd w:id="27"/>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28" w:name="_Hlt520511003"/>
      <w:bookmarkStart w:id="29" w:name="_Toc531755016"/>
      <w:bookmarkStart w:id="30" w:name="_Toc149036409"/>
      <w:bookmarkEnd w:id="28"/>
      <w:r>
        <w:rPr>
          <w:rStyle w:val="CharSectno"/>
        </w:rPr>
        <w:t>4</w:t>
      </w:r>
      <w:r>
        <w:t>.</w:t>
      </w:r>
      <w:r>
        <w:tab/>
        <w:t>Regulations to operate as local laws</w:t>
      </w:r>
      <w:bookmarkEnd w:id="29"/>
      <w:bookmarkEnd w:id="30"/>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City of Armadale</w:t>
            </w:r>
          </w:p>
        </w:tc>
        <w:tc>
          <w:tcPr>
            <w:tcW w:w="3260" w:type="dxa"/>
          </w:tcPr>
          <w:p>
            <w:pPr>
              <w:pStyle w:val="Table"/>
            </w:pPr>
            <w:r>
              <w:t xml:space="preserve">Town of Kwinana </w:t>
            </w:r>
          </w:p>
        </w:tc>
      </w:tr>
      <w:tr>
        <w:tc>
          <w:tcPr>
            <w:tcW w:w="2268" w:type="dxa"/>
          </w:tcPr>
          <w:p>
            <w:pPr>
              <w:pStyle w:val="Table"/>
            </w:pPr>
            <w:r>
              <w:t>City of Cockburn</w:t>
            </w:r>
          </w:p>
        </w:tc>
        <w:tc>
          <w:tcPr>
            <w:tcW w:w="3260" w:type="dxa"/>
          </w:tcPr>
          <w:p>
            <w:pPr>
              <w:pStyle w:val="Table"/>
            </w:pPr>
            <w:r>
              <w:t>Shire of Chittering</w:t>
            </w:r>
          </w:p>
        </w:tc>
      </w:tr>
      <w:tr>
        <w:tc>
          <w:tcPr>
            <w:tcW w:w="2268" w:type="dxa"/>
          </w:tcPr>
          <w:p>
            <w:pPr>
              <w:pStyle w:val="Table"/>
            </w:pPr>
            <w:r>
              <w:t>City of Joondalup</w:t>
            </w:r>
          </w:p>
        </w:tc>
        <w:tc>
          <w:tcPr>
            <w:tcW w:w="3260" w:type="dxa"/>
          </w:tcPr>
          <w:p>
            <w:pPr>
              <w:pStyle w:val="Table"/>
            </w:pPr>
            <w:r>
              <w:t>Shire of Gingin</w:t>
            </w:r>
          </w:p>
        </w:tc>
      </w:tr>
      <w:tr>
        <w:tc>
          <w:tcPr>
            <w:tcW w:w="2268" w:type="dxa"/>
          </w:tcPr>
          <w:p>
            <w:pPr>
              <w:pStyle w:val="Table"/>
            </w:pPr>
            <w:r>
              <w:t>City of Rockingham</w:t>
            </w:r>
          </w:p>
        </w:tc>
        <w:tc>
          <w:tcPr>
            <w:tcW w:w="3260" w:type="dxa"/>
          </w:tcPr>
          <w:p>
            <w:pPr>
              <w:pStyle w:val="Table"/>
            </w:pPr>
            <w:r>
              <w:t>Shire of Harvey</w:t>
            </w:r>
          </w:p>
        </w:tc>
      </w:tr>
      <w:tr>
        <w:tc>
          <w:tcPr>
            <w:tcW w:w="2268" w:type="dxa"/>
          </w:tcPr>
          <w:p>
            <w:pPr>
              <w:pStyle w:val="Table"/>
            </w:pPr>
            <w:r>
              <w:t>City of Swan</w:t>
            </w:r>
          </w:p>
        </w:tc>
        <w:tc>
          <w:tcPr>
            <w:tcW w:w="3260" w:type="dxa"/>
          </w:tcPr>
          <w:p>
            <w:pPr>
              <w:pStyle w:val="Table"/>
            </w:pPr>
            <w:r>
              <w:t>Shire of Kalamunda</w:t>
            </w:r>
          </w:p>
        </w:tc>
      </w:tr>
      <w:tr>
        <w:tc>
          <w:tcPr>
            <w:tcW w:w="2268" w:type="dxa"/>
          </w:tcPr>
          <w:p>
            <w:pPr>
              <w:pStyle w:val="Table"/>
            </w:pPr>
            <w:r>
              <w:t>City of Wanneroo</w:t>
            </w:r>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31" w:name="_Toc531755017"/>
      <w:bookmarkStart w:id="32" w:name="_Toc149036410"/>
      <w:r>
        <w:rPr>
          <w:rStyle w:val="CharSectno"/>
        </w:rPr>
        <w:t>5</w:t>
      </w:r>
      <w:r>
        <w:t>.</w:t>
      </w:r>
      <w:r>
        <w:tab/>
        <w:t>Untreated poultry manure specified to be a “hazardous substance”</w:t>
      </w:r>
      <w:bookmarkEnd w:id="31"/>
      <w:bookmarkEnd w:id="32"/>
    </w:p>
    <w:p>
      <w:pPr>
        <w:pStyle w:val="Subsection"/>
      </w:pPr>
      <w:r>
        <w:tab/>
      </w:r>
      <w:r>
        <w:tab/>
        <w:t>Under section 199(21) of the Act, untreated poultry manure is specified to be a “hazardous substance”.</w:t>
      </w:r>
    </w:p>
    <w:p>
      <w:pPr>
        <w:pStyle w:val="Heading5"/>
      </w:pPr>
      <w:bookmarkStart w:id="33" w:name="_Toc531755018"/>
      <w:bookmarkStart w:id="34" w:name="_Toc149036411"/>
      <w:r>
        <w:rPr>
          <w:rStyle w:val="CharSectno"/>
        </w:rPr>
        <w:t>6</w:t>
      </w:r>
      <w:r>
        <w:t>.</w:t>
      </w:r>
      <w:r>
        <w:tab/>
        <w:t>Storage, etc., of untreated poultry manure</w:t>
      </w:r>
      <w:bookmarkEnd w:id="33"/>
      <w:bookmarkEnd w:id="34"/>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r>
      <w:bookmarkStart w:id="35" w:name="_Hlt520510982"/>
      <w:bookmarkEnd w:id="35"/>
      <w:r>
        <w:t>(4)</w:t>
      </w:r>
      <w:r>
        <w:tab/>
        <w:t>A person may store, supply, sell, transport, or use commercially</w:t>
      </w:r>
      <w:r>
        <w:noBreakHyphen/>
        <w:t>derived untreated poultry manure during the months of June, July and August of any year, unless the Executive Director, Public Health by declaration excludes one or more of those months, or a part of one of those months, from this subregulation.</w:t>
      </w:r>
    </w:p>
    <w:p>
      <w:pPr>
        <w:pStyle w:val="Footnotesection"/>
      </w:pPr>
      <w:r>
        <w:tab/>
        <w:t>[Regulation 6 amended in Gazette 20 Oct 2006 p. 4469.]</w:t>
      </w:r>
    </w:p>
    <w:p>
      <w:pPr>
        <w:pStyle w:val="Heading5"/>
      </w:pPr>
      <w:bookmarkStart w:id="36" w:name="_Toc531755019"/>
      <w:bookmarkStart w:id="37" w:name="_Toc149036412"/>
      <w:r>
        <w:rPr>
          <w:rStyle w:val="CharSectno"/>
        </w:rPr>
        <w:t>7</w:t>
      </w:r>
      <w:r>
        <w:t>.</w:t>
      </w:r>
      <w:r>
        <w:tab/>
        <w:t>Declaration</w:t>
      </w:r>
      <w:bookmarkEnd w:id="36"/>
      <w:bookmarkEnd w:id="37"/>
    </w:p>
    <w:p>
      <w:pPr>
        <w:pStyle w:val="Subsection"/>
      </w:pPr>
      <w:r>
        <w:tab/>
      </w:r>
      <w:r>
        <w:tab/>
        <w:t xml:space="preserve">A declaration by the Executive Director, Public Health under regulation </w:t>
      </w:r>
      <w:bookmarkStart w:id="38" w:name="_Hlt520510977"/>
      <w:r>
        <w:t>6(4)</w:t>
      </w:r>
      <w:bookmarkEnd w:id="38"/>
      <w:r>
        <w:t> —</w:t>
      </w:r>
    </w:p>
    <w:p>
      <w:pPr>
        <w:pStyle w:val="Indenta"/>
      </w:pPr>
      <w:r>
        <w:tab/>
        <w:t>(a)</w:t>
      </w:r>
      <w:r>
        <w:tab/>
        <w:t xml:space="preserve">is to be published in the </w:t>
      </w:r>
      <w:r>
        <w:rPr>
          <w:i/>
        </w:rPr>
        <w:t>Gazette</w:t>
      </w:r>
      <w:r>
        <w:t xml:space="preserve">, and a newspaper circulating generally in the local government areas set out in regulation </w:t>
      </w:r>
      <w:bookmarkStart w:id="39" w:name="_Hlt520511001"/>
      <w:r>
        <w:t>4</w:t>
      </w:r>
      <w:bookmarkEnd w:id="39"/>
      <w:r>
        <w:t>;</w:t>
      </w:r>
    </w:p>
    <w:p>
      <w:pPr>
        <w:pStyle w:val="Indenta"/>
      </w:pPr>
      <w:r>
        <w:tab/>
        <w:t>(b)</w:t>
      </w:r>
      <w:r>
        <w:tab/>
        <w:t xml:space="preserve">has effect from the day of its publication in the </w:t>
      </w:r>
      <w:r>
        <w:rPr>
          <w:i/>
        </w:rPr>
        <w:t>Gazette</w:t>
      </w:r>
      <w:r>
        <w:t xml:space="preserve">, or a day after the day of its publication in the </w:t>
      </w:r>
      <w:r>
        <w:rPr>
          <w:i/>
        </w:rPr>
        <w:t>Gazette</w:t>
      </w:r>
      <w:r>
        <w:t xml:space="preserve"> as specified in the declaration; and</w:t>
      </w:r>
    </w:p>
    <w:p>
      <w:pPr>
        <w:pStyle w:val="Indenta"/>
      </w:pPr>
      <w:r>
        <w:tab/>
        <w:t>(c)</w:t>
      </w:r>
      <w:r>
        <w:tab/>
        <w:t xml:space="preserve">is to contain a brief explanation of the effect of the declaration and the consequences of a breach of regulation </w:t>
      </w:r>
      <w:bookmarkStart w:id="40" w:name="_Hlt520511013"/>
      <w:r>
        <w:t>8</w:t>
      </w:r>
      <w:bookmarkEnd w:id="40"/>
      <w:r>
        <w:t>.</w:t>
      </w:r>
    </w:p>
    <w:p>
      <w:pPr>
        <w:pStyle w:val="Heading5"/>
      </w:pPr>
      <w:bookmarkStart w:id="41" w:name="_Hlt520511016"/>
      <w:bookmarkStart w:id="42" w:name="_Toc531755020"/>
      <w:bookmarkStart w:id="43" w:name="_Toc149036413"/>
      <w:bookmarkEnd w:id="41"/>
      <w:r>
        <w:rPr>
          <w:rStyle w:val="CharSectno"/>
        </w:rPr>
        <w:t>8</w:t>
      </w:r>
      <w:r>
        <w:t>.</w:t>
      </w:r>
      <w:r>
        <w:tab/>
        <w:t>Offences</w:t>
      </w:r>
      <w:bookmarkEnd w:id="42"/>
      <w:bookmarkEnd w:id="43"/>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6(4) or 10, a person shall not use commercially</w:t>
      </w:r>
      <w:r>
        <w:noBreakHyphen/>
        <w:t>derived untreated poultry manure.</w:t>
      </w:r>
    </w:p>
    <w:p>
      <w:pPr>
        <w:pStyle w:val="Penstart"/>
        <w:rPr>
          <w:snapToGrid w:val="0"/>
        </w:rPr>
      </w:pPr>
      <w:r>
        <w:rPr>
          <w:snapToGrid w:val="0"/>
        </w:rPr>
        <w:tab/>
        <w:t>Penalty: see regulation 9.</w:t>
      </w:r>
    </w:p>
    <w:p>
      <w:pPr>
        <w:pStyle w:val="Heading5"/>
      </w:pPr>
      <w:bookmarkStart w:id="44" w:name="_Toc531755021"/>
      <w:bookmarkStart w:id="45" w:name="_Toc149036414"/>
      <w:r>
        <w:rPr>
          <w:rStyle w:val="CharSectno"/>
        </w:rPr>
        <w:t>9</w:t>
      </w:r>
      <w:r>
        <w:t>.</w:t>
      </w:r>
      <w:r>
        <w:tab/>
        <w:t>Penalty</w:t>
      </w:r>
      <w:bookmarkEnd w:id="44"/>
      <w:bookmarkEnd w:id="45"/>
    </w:p>
    <w:p>
      <w:pPr>
        <w:pStyle w:val="Subsection"/>
        <w:keepNext/>
      </w:pPr>
      <w:r>
        <w:tab/>
      </w:r>
      <w:r>
        <w:tab/>
        <w:t xml:space="preserve">The penalty for an offence under regulation </w:t>
      </w:r>
      <w:bookmarkStart w:id="46" w:name="_Hlt520511378"/>
      <w:r>
        <w:t>8</w:t>
      </w:r>
      <w:bookmarkEnd w:id="46"/>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47" w:name="_Toc531755022"/>
      <w:bookmarkStart w:id="48" w:name="_Toc149036415"/>
      <w:r>
        <w:rPr>
          <w:rStyle w:val="CharSectno"/>
        </w:rPr>
        <w:t>10</w:t>
      </w:r>
      <w:r>
        <w:rPr>
          <w:snapToGrid w:val="0"/>
        </w:rPr>
        <w:t>.</w:t>
      </w:r>
      <w:r>
        <w:rPr>
          <w:snapToGrid w:val="0"/>
        </w:rPr>
        <w:tab/>
        <w:t>Transitional</w:t>
      </w:r>
      <w:bookmarkEnd w:id="47"/>
      <w:bookmarkEnd w:id="48"/>
    </w:p>
    <w:p>
      <w:pPr>
        <w:pStyle w:val="Subsection"/>
      </w:pPr>
      <w:r>
        <w:tab/>
      </w:r>
      <w:r>
        <w:tab/>
        <w:t>At any time during the month of September 2001, a person may use untreated poultry manure on his or her property, if that manure was in storage on his or her property prior to 1 September 2001.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 w:name="_Toc149031339"/>
      <w:bookmarkStart w:id="50" w:name="_Toc149031555"/>
      <w:bookmarkStart w:id="51" w:name="_Toc149036416"/>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snapToGrid w:val="0"/>
        </w:rPr>
        <w:t xml:space="preserve"> and includes the amendments made by the other written laws referred to in the following table.</w:t>
      </w:r>
    </w:p>
    <w:p>
      <w:pPr>
        <w:pStyle w:val="nHeading3"/>
      </w:pPr>
      <w:bookmarkStart w:id="52" w:name="_Toc149036417"/>
      <w: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bookmarkStart w:id="53" w:name="UpToHere" w:colFirst="0" w:colLast="0"/>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8" w:type="dxa"/>
            <w:tcBorders>
              <w:bottom w:val="single" w:sz="8" w:space="0" w:color="auto"/>
            </w:tcBorders>
          </w:tcPr>
          <w:p>
            <w:pPr>
              <w:pStyle w:val="nTable"/>
              <w:spacing w:after="40"/>
              <w:rPr>
                <w:i/>
                <w:sz w:val="19"/>
              </w:rPr>
            </w:pPr>
            <w:r>
              <w:rPr>
                <w:i/>
                <w:sz w:val="19"/>
              </w:rPr>
              <w:t>Health (Poultry Manure) Amendment Regulations 2006</w:t>
            </w:r>
          </w:p>
        </w:tc>
        <w:tc>
          <w:tcPr>
            <w:tcW w:w="1276" w:type="dxa"/>
            <w:tcBorders>
              <w:bottom w:val="single" w:sz="8" w:space="0" w:color="auto"/>
            </w:tcBorders>
          </w:tcPr>
          <w:p>
            <w:pPr>
              <w:pStyle w:val="nTable"/>
              <w:spacing w:after="40"/>
              <w:rPr>
                <w:sz w:val="19"/>
              </w:rPr>
            </w:pPr>
            <w:r>
              <w:rPr>
                <w:sz w:val="19"/>
              </w:rPr>
              <w:t>20 Oct 2006 p. 4469</w:t>
            </w:r>
          </w:p>
        </w:tc>
        <w:tc>
          <w:tcPr>
            <w:tcW w:w="2693" w:type="dxa"/>
            <w:tcBorders>
              <w:bottom w:val="single" w:sz="8" w:space="0" w:color="auto"/>
            </w:tcBorders>
          </w:tcPr>
          <w:p>
            <w:pPr>
              <w:pStyle w:val="nTable"/>
              <w:spacing w:after="40"/>
              <w:rPr>
                <w:sz w:val="19"/>
              </w:rPr>
            </w:pPr>
            <w:r>
              <w:rPr>
                <w:sz w:val="19"/>
              </w:rPr>
              <w:t>20 Oct 2006</w:t>
            </w:r>
          </w:p>
        </w:tc>
      </w:tr>
      <w:bookmarkEnd w:id="53"/>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(Poultry Manure)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36"/>
    <w:docVar w:name="WAFER_20151211134636" w:val="RemoveTrackChanges"/>
    <w:docVar w:name="WAFER_20151211134636_GUID" w:val="43ba6c81-967b-4af5-8919-742cc6713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1178</Words>
  <Characters>5990</Characters>
  <Application>Microsoft Office Word</Application>
  <DocSecurity>0</DocSecurity>
  <Lines>206</Lines>
  <Paragraphs>132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2001 - 00-b0-05</dc:title>
  <dc:subject/>
  <dc:creator/>
  <cp:keywords/>
  <dc:description/>
  <cp:lastModifiedBy>svcMRProcess</cp:lastModifiedBy>
  <cp:revision>4</cp:revision>
  <cp:lastPrinted>2001-08-30T06:38:00Z</cp:lastPrinted>
  <dcterms:created xsi:type="dcterms:W3CDTF">2015-12-13T08:52:00Z</dcterms:created>
  <dcterms:modified xsi:type="dcterms:W3CDTF">2015-12-13T08:52:00Z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20061020</vt:lpwstr>
  </property>
  <property fmtid="{D5CDD505-2E9C-101B-9397-08002B2CF9AE}" pid="4" name="DocumentType">
    <vt:lpwstr>Reg</vt:lpwstr>
  </property>
  <property fmtid="{D5CDD505-2E9C-101B-9397-08002B2CF9AE}" pid="5" name="OwlsUID">
    <vt:i4>3477</vt:i4>
  </property>
  <property fmtid="{D5CDD505-2E9C-101B-9397-08002B2CF9AE}" pid="6" name="AsAtDate">
    <vt:lpwstr>20 Oct 2006</vt:lpwstr>
  </property>
  <property fmtid="{D5CDD505-2E9C-101B-9397-08002B2CF9AE}" pid="7" name="Suffix">
    <vt:lpwstr>00-b0-05</vt:lpwstr>
  </property>
</Properties>
</file>