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93D" w:rsidRDefault="001768A5">
      <w:pPr>
        <w:pStyle w:val="WA"/>
      </w:pPr>
      <w:bookmarkStart w:id="0" w:name="_GoBack"/>
      <w:bookmarkEnd w:id="0"/>
      <w:r>
        <w:t>Western Australia</w:t>
      </w:r>
    </w:p>
    <w:p w:rsidR="006E093D" w:rsidRDefault="001768A5">
      <w:pPr>
        <w:pStyle w:val="NameofActRegPage1"/>
        <w:spacing w:before="3760" w:after="4200"/>
      </w:pPr>
      <w:r>
        <w:fldChar w:fldCharType="begin"/>
      </w:r>
      <w:r>
        <w:instrText xml:space="preserve"> STYLEREF "Name Of Act/Reg"</w:instrText>
      </w:r>
      <w:r>
        <w:fldChar w:fldCharType="separate"/>
      </w:r>
      <w:r w:rsidR="005E608C">
        <w:rPr>
          <w:noProof/>
        </w:rPr>
        <w:t>Health (Smoking in Enclosed Public Places) Regulations 2004</w:t>
      </w:r>
      <w:r>
        <w:fldChar w:fldCharType="end"/>
      </w:r>
    </w:p>
    <w:p w:rsidR="006E093D" w:rsidRDefault="006E093D">
      <w:pPr>
        <w:jc w:val="center"/>
        <w:rPr>
          <w:b/>
        </w:rPr>
        <w:sectPr w:rsidR="006E093D">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rsidR="006E093D" w:rsidRDefault="001768A5">
      <w:pPr>
        <w:pStyle w:val="WA"/>
      </w:pPr>
      <w:r>
        <w:lastRenderedPageBreak/>
        <w:t>Western Australia</w:t>
      </w:r>
    </w:p>
    <w:p w:rsidR="006E093D" w:rsidRDefault="001768A5">
      <w:pPr>
        <w:pStyle w:val="NameofActRegPage1"/>
      </w:pPr>
      <w:r>
        <w:fldChar w:fldCharType="begin"/>
      </w:r>
      <w:r>
        <w:instrText xml:space="preserve"> STYLEREF "Name Of Act/Reg"</w:instrText>
      </w:r>
      <w:r>
        <w:fldChar w:fldCharType="separate"/>
      </w:r>
      <w:r w:rsidR="005E608C">
        <w:rPr>
          <w:noProof/>
        </w:rPr>
        <w:t>Health (Smoking in Enclosed Public Places) Regulations 2004</w:t>
      </w:r>
      <w:r>
        <w:fldChar w:fldCharType="end"/>
      </w:r>
    </w:p>
    <w:p w:rsidR="006E093D" w:rsidRDefault="001768A5">
      <w:pPr>
        <w:pStyle w:val="Arrangement"/>
      </w:pPr>
      <w:r>
        <w:t>CONTENTS</w:t>
      </w:r>
    </w:p>
    <w:p w:rsidR="006E093D" w:rsidRDefault="001768A5">
      <w:pPr>
        <w:pStyle w:val="TOC4"/>
        <w:rPr>
          <w:noProof/>
          <w:sz w:val="24"/>
          <w:szCs w:val="24"/>
        </w:rPr>
      </w:pPr>
      <w:r>
        <w:rPr>
          <w:noProof/>
        </w:rPr>
        <w:fldChar w:fldCharType="begin"/>
      </w:r>
      <w:r>
        <w:rPr>
          <w:noProof/>
        </w:rPr>
        <w:instrText xml:space="preserve"> TOC \o "2-3"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24"/>
        </w:rPr>
        <w:t>1.</w:t>
      </w:r>
      <w:r>
        <w:rPr>
          <w:noProof/>
          <w:sz w:val="24"/>
          <w:szCs w:val="24"/>
        </w:rPr>
        <w:tab/>
      </w:r>
      <w:r>
        <w:rPr>
          <w:noProof/>
          <w:szCs w:val="24"/>
        </w:rPr>
        <w:t>Citation</w:t>
      </w:r>
      <w:r>
        <w:rPr>
          <w:noProof/>
        </w:rPr>
        <w:tab/>
      </w:r>
      <w:r>
        <w:rPr>
          <w:noProof/>
        </w:rPr>
        <w:fldChar w:fldCharType="begin"/>
      </w:r>
      <w:r>
        <w:rPr>
          <w:noProof/>
        </w:rPr>
        <w:instrText xml:space="preserve"> PAGEREF _Toc89741378 \h </w:instrText>
      </w:r>
      <w:r>
        <w:rPr>
          <w:noProof/>
        </w:rPr>
      </w:r>
      <w:r>
        <w:rPr>
          <w:noProof/>
        </w:rPr>
        <w:fldChar w:fldCharType="separate"/>
      </w:r>
      <w:r w:rsidR="005E608C">
        <w:rPr>
          <w:noProof/>
        </w:rPr>
        <w:t>1</w:t>
      </w:r>
      <w:r>
        <w:rPr>
          <w:noProof/>
        </w:rPr>
        <w:fldChar w:fldCharType="end"/>
      </w:r>
    </w:p>
    <w:p w:rsidR="006E093D" w:rsidRDefault="001768A5">
      <w:pPr>
        <w:pStyle w:val="TOC4"/>
        <w:rPr>
          <w:noProof/>
          <w:sz w:val="24"/>
          <w:szCs w:val="24"/>
        </w:rPr>
      </w:pPr>
      <w:r>
        <w:rPr>
          <w:noProof/>
          <w:szCs w:val="24"/>
        </w:rPr>
        <w:t>2</w:t>
      </w:r>
      <w:r>
        <w:rPr>
          <w:noProof/>
          <w:spacing w:val="-2"/>
          <w:szCs w:val="24"/>
        </w:rPr>
        <w:t>.</w:t>
      </w:r>
      <w:r>
        <w:rPr>
          <w:noProof/>
          <w:sz w:val="24"/>
          <w:szCs w:val="24"/>
        </w:rPr>
        <w:tab/>
      </w:r>
      <w:r>
        <w:rPr>
          <w:noProof/>
          <w:spacing w:val="-2"/>
          <w:szCs w:val="24"/>
        </w:rPr>
        <w:t>Commencement</w:t>
      </w:r>
      <w:r>
        <w:rPr>
          <w:noProof/>
        </w:rPr>
        <w:tab/>
      </w:r>
      <w:r>
        <w:rPr>
          <w:noProof/>
        </w:rPr>
        <w:fldChar w:fldCharType="begin"/>
      </w:r>
      <w:r>
        <w:rPr>
          <w:noProof/>
        </w:rPr>
        <w:instrText xml:space="preserve"> PAGEREF _Toc89741379 \h </w:instrText>
      </w:r>
      <w:r>
        <w:rPr>
          <w:noProof/>
        </w:rPr>
      </w:r>
      <w:r>
        <w:rPr>
          <w:noProof/>
        </w:rPr>
        <w:fldChar w:fldCharType="separate"/>
      </w:r>
      <w:r w:rsidR="005E608C">
        <w:rPr>
          <w:noProof/>
        </w:rPr>
        <w:t>1</w:t>
      </w:r>
      <w:r>
        <w:rPr>
          <w:noProof/>
        </w:rPr>
        <w:fldChar w:fldCharType="end"/>
      </w:r>
    </w:p>
    <w:p w:rsidR="006E093D" w:rsidRDefault="001768A5">
      <w:pPr>
        <w:pStyle w:val="TOC2"/>
        <w:tabs>
          <w:tab w:val="right" w:leader="dot" w:pos="7086"/>
        </w:tabs>
        <w:rPr>
          <w:b w:val="0"/>
          <w:noProof/>
          <w:sz w:val="24"/>
          <w:szCs w:val="24"/>
        </w:rPr>
      </w:pPr>
      <w:r>
        <w:rPr>
          <w:noProof/>
          <w:szCs w:val="26"/>
        </w:rPr>
        <w:t>Notes</w:t>
      </w:r>
    </w:p>
    <w:p w:rsidR="006E093D" w:rsidRDefault="001768A5">
      <w:pPr>
        <w:pStyle w:val="TOC4"/>
        <w:rPr>
          <w:noProof/>
          <w:sz w:val="24"/>
          <w:szCs w:val="24"/>
        </w:rPr>
      </w:pPr>
      <w:r>
        <w:rPr>
          <w:noProof/>
          <w:szCs w:val="24"/>
        </w:rPr>
        <w:tab/>
        <w:t>Compilation table</w:t>
      </w:r>
      <w:r>
        <w:rPr>
          <w:noProof/>
        </w:rPr>
        <w:tab/>
      </w:r>
      <w:r>
        <w:rPr>
          <w:noProof/>
        </w:rPr>
        <w:fldChar w:fldCharType="begin"/>
      </w:r>
      <w:r>
        <w:rPr>
          <w:noProof/>
        </w:rPr>
        <w:instrText xml:space="preserve"> PAGEREF _Toc89741381 \h </w:instrText>
      </w:r>
      <w:r>
        <w:rPr>
          <w:noProof/>
        </w:rPr>
      </w:r>
      <w:r>
        <w:rPr>
          <w:noProof/>
        </w:rPr>
        <w:fldChar w:fldCharType="separate"/>
      </w:r>
      <w:r w:rsidR="005E608C">
        <w:rPr>
          <w:noProof/>
        </w:rPr>
        <w:t>2</w:t>
      </w:r>
      <w:r>
        <w:rPr>
          <w:noProof/>
        </w:rPr>
        <w:fldChar w:fldCharType="end"/>
      </w:r>
    </w:p>
    <w:p w:rsidR="006E093D" w:rsidRDefault="001768A5">
      <w:pPr>
        <w:pStyle w:val="TOC4"/>
        <w:rPr>
          <w:noProof/>
          <w:sz w:val="24"/>
          <w:szCs w:val="24"/>
        </w:rPr>
      </w:pPr>
      <w:r>
        <w:rPr>
          <w:noProof/>
          <w:snapToGrid w:val="0"/>
          <w:szCs w:val="24"/>
        </w:rPr>
        <w:tab/>
        <w:t>Provisions that have not come into operation</w:t>
      </w:r>
      <w:r>
        <w:rPr>
          <w:noProof/>
        </w:rPr>
        <w:tab/>
      </w:r>
      <w:r>
        <w:rPr>
          <w:noProof/>
        </w:rPr>
        <w:fldChar w:fldCharType="begin"/>
      </w:r>
      <w:r>
        <w:rPr>
          <w:noProof/>
        </w:rPr>
        <w:instrText xml:space="preserve"> PAGEREF _Toc89741382 \h </w:instrText>
      </w:r>
      <w:r>
        <w:rPr>
          <w:noProof/>
        </w:rPr>
      </w:r>
      <w:r>
        <w:rPr>
          <w:noProof/>
        </w:rPr>
        <w:fldChar w:fldCharType="separate"/>
      </w:r>
      <w:r w:rsidR="005E608C">
        <w:rPr>
          <w:noProof/>
        </w:rPr>
        <w:t>2</w:t>
      </w:r>
      <w:r>
        <w:rPr>
          <w:noProof/>
        </w:rPr>
        <w:fldChar w:fldCharType="end"/>
      </w:r>
    </w:p>
    <w:p w:rsidR="006E093D" w:rsidRDefault="001768A5">
      <w:pPr>
        <w:pStyle w:val="TOC2"/>
      </w:pPr>
      <w:r>
        <w:fldChar w:fldCharType="end"/>
      </w:r>
    </w:p>
    <w:p w:rsidR="006E093D" w:rsidRDefault="001768A5">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6E093D" w:rsidRDefault="006E093D">
      <w:pPr>
        <w:pStyle w:val="NoteHeading"/>
        <w:sectPr w:rsidR="006E093D">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rsidR="006E093D" w:rsidRDefault="001768A5">
      <w:pPr>
        <w:pStyle w:val="PrincipalActReg"/>
      </w:pPr>
      <w:r>
        <w:lastRenderedPageBreak/>
        <w:t>Health Act 1911</w:t>
      </w:r>
    </w:p>
    <w:p w:rsidR="006E093D" w:rsidRDefault="001768A5">
      <w:pPr>
        <w:pStyle w:val="NameofActReg"/>
      </w:pPr>
      <w:r>
        <w:t>Health (Smoking in Enclosed Public Places) Regulations 2004</w:t>
      </w:r>
    </w:p>
    <w:p w:rsidR="006E093D" w:rsidRDefault="001768A5">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515958686"/>
      <w:bookmarkStart w:id="8" w:name="_Toc89741378"/>
      <w:r>
        <w:rPr>
          <w:rStyle w:val="CharSectno"/>
        </w:rPr>
        <w:t>1</w:t>
      </w:r>
      <w:r>
        <w:t>.</w:t>
      </w:r>
      <w:r>
        <w:tab/>
        <w:t>Citation</w:t>
      </w:r>
      <w:bookmarkEnd w:id="1"/>
      <w:bookmarkEnd w:id="2"/>
      <w:bookmarkEnd w:id="3"/>
      <w:bookmarkEnd w:id="4"/>
      <w:bookmarkEnd w:id="5"/>
      <w:bookmarkEnd w:id="6"/>
      <w:bookmarkEnd w:id="7"/>
      <w:bookmarkEnd w:id="8"/>
    </w:p>
    <w:p w:rsidR="006E093D" w:rsidRDefault="001768A5">
      <w:pPr>
        <w:pStyle w:val="Subsection"/>
        <w:rPr>
          <w:i/>
        </w:rPr>
      </w:pPr>
      <w:r>
        <w:tab/>
      </w:r>
      <w:r>
        <w:tab/>
      </w:r>
      <w:bookmarkStart w:id="9" w:name="Start_Cursor"/>
      <w:bookmarkEnd w:id="9"/>
      <w:r>
        <w:rPr>
          <w:spacing w:val="-2"/>
        </w:rPr>
        <w:t>These</w:t>
      </w:r>
      <w:r>
        <w:t xml:space="preserve"> </w:t>
      </w:r>
      <w:r>
        <w:rPr>
          <w:spacing w:val="-2"/>
        </w:rPr>
        <w:t>regulations</w:t>
      </w:r>
      <w:r>
        <w:t xml:space="preserve"> are the </w:t>
      </w:r>
      <w:r>
        <w:rPr>
          <w:i/>
        </w:rPr>
        <w:t>Health (Smoking in Enclosed Public Places) Regulations 2004</w:t>
      </w:r>
      <w:r>
        <w:t>.</w:t>
      </w:r>
    </w:p>
    <w:p w:rsidR="006E093D" w:rsidRDefault="001768A5">
      <w:pPr>
        <w:pStyle w:val="Heading5"/>
        <w:rPr>
          <w:spacing w:val="-2"/>
        </w:rPr>
      </w:pPr>
      <w:bookmarkStart w:id="10" w:name="_Toc423332723"/>
      <w:bookmarkStart w:id="11" w:name="_Toc425219442"/>
      <w:bookmarkStart w:id="12" w:name="_Toc426249309"/>
      <w:bookmarkStart w:id="13" w:name="_Toc449924705"/>
      <w:bookmarkStart w:id="14" w:name="_Toc449947723"/>
      <w:bookmarkStart w:id="15" w:name="_Toc454185714"/>
      <w:bookmarkStart w:id="16" w:name="_Toc515958687"/>
      <w:bookmarkStart w:id="17" w:name="_Toc89741379"/>
      <w:r>
        <w:rPr>
          <w:rStyle w:val="CharSectno"/>
        </w:rPr>
        <w:t>2</w:t>
      </w:r>
      <w:r>
        <w:rPr>
          <w:spacing w:val="-2"/>
        </w:rPr>
        <w:t>.</w:t>
      </w:r>
      <w:r>
        <w:rPr>
          <w:spacing w:val="-2"/>
        </w:rPr>
        <w:tab/>
        <w:t>Commencement</w:t>
      </w:r>
      <w:bookmarkEnd w:id="10"/>
      <w:bookmarkEnd w:id="11"/>
      <w:bookmarkEnd w:id="12"/>
      <w:bookmarkEnd w:id="13"/>
      <w:bookmarkEnd w:id="14"/>
      <w:bookmarkEnd w:id="15"/>
      <w:bookmarkEnd w:id="16"/>
      <w:bookmarkEnd w:id="17"/>
    </w:p>
    <w:p w:rsidR="006E093D" w:rsidRDefault="001768A5">
      <w:pPr>
        <w:pStyle w:val="Subsection"/>
        <w:rPr>
          <w:spacing w:val="-2"/>
        </w:rPr>
      </w:pPr>
      <w:r>
        <w:rPr>
          <w:spacing w:val="-2"/>
        </w:rPr>
        <w:tab/>
      </w:r>
      <w:r>
        <w:rPr>
          <w:spacing w:val="-2"/>
        </w:rPr>
        <w:tab/>
        <w:t>These regulations come into operation on 31 July 2006.</w:t>
      </w:r>
    </w:p>
    <w:p w:rsidR="006E093D" w:rsidRDefault="001768A5">
      <w:pPr>
        <w:pStyle w:val="Ednotesection"/>
      </w:pPr>
      <w:r>
        <w:t>[</w:t>
      </w:r>
      <w:r>
        <w:rPr>
          <w:b/>
          <w:bCs/>
        </w:rPr>
        <w:t>3-10.</w:t>
      </w:r>
      <w:r>
        <w:rPr>
          <w:b/>
          <w:bCs/>
        </w:rPr>
        <w:tab/>
      </w:r>
      <w:r>
        <w:rPr>
          <w:b/>
          <w:bCs/>
        </w:rPr>
        <w:tab/>
      </w:r>
      <w:r>
        <w:t>Have not come into operation </w:t>
      </w:r>
      <w:r>
        <w:rPr>
          <w:vertAlign w:val="superscript"/>
        </w:rPr>
        <w:t>2</w:t>
      </w:r>
      <w:r>
        <w:t>.]</w:t>
      </w:r>
    </w:p>
    <w:p w:rsidR="006E093D" w:rsidRDefault="006E093D">
      <w:pPr>
        <w:pStyle w:val="Defpara"/>
        <w:rPr>
          <w:rStyle w:val="CharDivText"/>
        </w:rPr>
        <w:sectPr w:rsidR="006E093D">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rsidR="006E093D" w:rsidRDefault="001768A5">
      <w:pPr>
        <w:pStyle w:val="nHeading2"/>
      </w:pPr>
      <w:bookmarkStart w:id="18" w:name="_Toc89599234"/>
      <w:bookmarkStart w:id="19" w:name="_Toc89740841"/>
      <w:bookmarkStart w:id="20" w:name="_Toc89741380"/>
      <w:bookmarkStart w:id="21" w:name="_Toc435856808"/>
      <w:bookmarkStart w:id="22" w:name="_Toc443301423"/>
      <w:bookmarkStart w:id="23" w:name="_Toc446755007"/>
      <w:bookmarkStart w:id="24" w:name="_Toc53551009"/>
      <w:r>
        <w:lastRenderedPageBreak/>
        <w:t>Notes</w:t>
      </w:r>
      <w:bookmarkEnd w:id="18"/>
      <w:bookmarkEnd w:id="19"/>
      <w:bookmarkEnd w:id="20"/>
    </w:p>
    <w:p w:rsidR="006E093D" w:rsidRDefault="001768A5">
      <w:pPr>
        <w:pStyle w:val="nSubsection"/>
        <w:rPr>
          <w:snapToGrid w:val="0"/>
        </w:rPr>
      </w:pPr>
      <w:r>
        <w:rPr>
          <w:snapToGrid w:val="0"/>
          <w:vertAlign w:val="superscript"/>
        </w:rPr>
        <w:t>1</w:t>
      </w:r>
      <w:r>
        <w:rPr>
          <w:snapToGrid w:val="0"/>
        </w:rPr>
        <w:tab/>
        <w:t xml:space="preserve">This is a compilation of the </w:t>
      </w:r>
      <w:r>
        <w:rPr>
          <w:i/>
          <w:noProof/>
          <w:snapToGrid w:val="0"/>
        </w:rPr>
        <w:t>Health (Smoking in Enclosed Public Places) Regulations 2004</w:t>
      </w:r>
      <w:r>
        <w:rPr>
          <w:snapToGrid w:val="0"/>
        </w:rPr>
        <w:t>.  The following table contains information about those regulations </w:t>
      </w:r>
      <w:r>
        <w:rPr>
          <w:snapToGrid w:val="0"/>
          <w:vertAlign w:val="superscript"/>
        </w:rPr>
        <w:t>1a</w:t>
      </w:r>
      <w:r>
        <w:rPr>
          <w:snapToGrid w:val="0"/>
        </w:rPr>
        <w:t>.</w:t>
      </w:r>
    </w:p>
    <w:p w:rsidR="006E093D" w:rsidRDefault="001768A5">
      <w:pPr>
        <w:pStyle w:val="nHeading3"/>
      </w:pPr>
      <w:bookmarkStart w:id="25" w:name="_Toc89741381"/>
      <w:r>
        <w:t>Compilation table</w:t>
      </w:r>
      <w:bookmarkEnd w:id="2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6E093D">
        <w:trPr>
          <w:tblHeader/>
        </w:trPr>
        <w:tc>
          <w:tcPr>
            <w:tcW w:w="3118" w:type="dxa"/>
            <w:tcBorders>
              <w:top w:val="single" w:sz="8" w:space="0" w:color="auto"/>
              <w:bottom w:val="single" w:sz="8" w:space="0" w:color="auto"/>
            </w:tcBorders>
          </w:tcPr>
          <w:p w:rsidR="006E093D" w:rsidRDefault="001768A5">
            <w:pPr>
              <w:pStyle w:val="nTable"/>
              <w:spacing w:before="60" w:after="60"/>
              <w:rPr>
                <w:b/>
                <w:sz w:val="19"/>
              </w:rPr>
            </w:pPr>
            <w:r>
              <w:rPr>
                <w:b/>
                <w:sz w:val="19"/>
              </w:rPr>
              <w:t>Citation</w:t>
            </w:r>
          </w:p>
        </w:tc>
        <w:tc>
          <w:tcPr>
            <w:tcW w:w="1276" w:type="dxa"/>
            <w:tcBorders>
              <w:top w:val="single" w:sz="8" w:space="0" w:color="auto"/>
              <w:bottom w:val="single" w:sz="8" w:space="0" w:color="auto"/>
            </w:tcBorders>
          </w:tcPr>
          <w:p w:rsidR="006E093D" w:rsidRDefault="001768A5">
            <w:pPr>
              <w:pStyle w:val="nTable"/>
              <w:spacing w:before="60" w:after="60"/>
              <w:rPr>
                <w:b/>
                <w:sz w:val="19"/>
              </w:rPr>
            </w:pPr>
            <w:r>
              <w:rPr>
                <w:b/>
                <w:sz w:val="19"/>
              </w:rPr>
              <w:t>Gazettal</w:t>
            </w:r>
          </w:p>
        </w:tc>
        <w:tc>
          <w:tcPr>
            <w:tcW w:w="2693" w:type="dxa"/>
            <w:tcBorders>
              <w:top w:val="single" w:sz="8" w:space="0" w:color="auto"/>
              <w:bottom w:val="single" w:sz="8" w:space="0" w:color="auto"/>
            </w:tcBorders>
          </w:tcPr>
          <w:p w:rsidR="006E093D" w:rsidRDefault="001768A5">
            <w:pPr>
              <w:pStyle w:val="nTable"/>
              <w:spacing w:before="60" w:after="60"/>
              <w:rPr>
                <w:b/>
                <w:sz w:val="19"/>
              </w:rPr>
            </w:pPr>
            <w:r>
              <w:rPr>
                <w:b/>
                <w:sz w:val="19"/>
              </w:rPr>
              <w:t>Commencement</w:t>
            </w:r>
          </w:p>
        </w:tc>
      </w:tr>
      <w:tr w:rsidR="006E093D">
        <w:tc>
          <w:tcPr>
            <w:tcW w:w="3118" w:type="dxa"/>
            <w:tcBorders>
              <w:bottom w:val="single" w:sz="4" w:space="0" w:color="auto"/>
            </w:tcBorders>
          </w:tcPr>
          <w:p w:rsidR="006E093D" w:rsidRDefault="001768A5">
            <w:pPr>
              <w:pStyle w:val="nTable"/>
              <w:rPr>
                <w:iCs/>
              </w:rPr>
            </w:pPr>
            <w:r>
              <w:rPr>
                <w:i/>
                <w:noProof/>
                <w:snapToGrid w:val="0"/>
              </w:rPr>
              <w:t xml:space="preserve">Health (Smoking in Enclosed Public Places) Regulations 2004 </w:t>
            </w:r>
            <w:r>
              <w:rPr>
                <w:iCs/>
                <w:noProof/>
                <w:snapToGrid w:val="0"/>
              </w:rPr>
              <w:t>r. 1</w:t>
            </w:r>
            <w:r>
              <w:rPr>
                <w:iCs/>
                <w:noProof/>
                <w:snapToGrid w:val="0"/>
              </w:rPr>
              <w:noBreakHyphen/>
              <w:t>2</w:t>
            </w:r>
          </w:p>
        </w:tc>
        <w:tc>
          <w:tcPr>
            <w:tcW w:w="1276" w:type="dxa"/>
            <w:tcBorders>
              <w:bottom w:val="single" w:sz="4" w:space="0" w:color="auto"/>
            </w:tcBorders>
          </w:tcPr>
          <w:p w:rsidR="006E093D" w:rsidRDefault="001768A5">
            <w:pPr>
              <w:pStyle w:val="nTable"/>
            </w:pPr>
            <w:r>
              <w:t>30 Nov 2004 p. 5507</w:t>
            </w:r>
            <w:r>
              <w:noBreakHyphen/>
              <w:t>14</w:t>
            </w:r>
          </w:p>
        </w:tc>
        <w:tc>
          <w:tcPr>
            <w:tcW w:w="2693" w:type="dxa"/>
            <w:tcBorders>
              <w:bottom w:val="single" w:sz="4" w:space="0" w:color="auto"/>
            </w:tcBorders>
          </w:tcPr>
          <w:p w:rsidR="006E093D" w:rsidRDefault="001768A5">
            <w:pPr>
              <w:pStyle w:val="nTable"/>
            </w:pPr>
            <w:r>
              <w:t>30 Nov 2004</w:t>
            </w:r>
          </w:p>
        </w:tc>
      </w:tr>
    </w:tbl>
    <w:p w:rsidR="006E093D" w:rsidRDefault="006E093D"/>
    <w:p w:rsidR="006E093D" w:rsidRDefault="001768A5">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6E093D" w:rsidRDefault="001768A5">
      <w:pPr>
        <w:pStyle w:val="nHeading3"/>
        <w:rPr>
          <w:snapToGrid w:val="0"/>
        </w:rPr>
      </w:pPr>
      <w:bookmarkStart w:id="26" w:name="_Toc534778309"/>
      <w:bookmarkStart w:id="27" w:name="_Toc7405063"/>
      <w:bookmarkStart w:id="28" w:name="_Toc87418939"/>
      <w:bookmarkStart w:id="29" w:name="_Toc87419906"/>
      <w:bookmarkStart w:id="30" w:name="_Toc89741382"/>
      <w:r>
        <w:rPr>
          <w:snapToGrid w:val="0"/>
        </w:rPr>
        <w:t>Provisions that have not come into operation</w:t>
      </w:r>
      <w:bookmarkEnd w:id="26"/>
      <w:bookmarkEnd w:id="27"/>
      <w:bookmarkEnd w:id="28"/>
      <w:bookmarkEnd w:id="29"/>
      <w:bookmarkEnd w:id="3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6E093D">
        <w:trPr>
          <w:tblHeader/>
        </w:trPr>
        <w:tc>
          <w:tcPr>
            <w:tcW w:w="3118" w:type="dxa"/>
            <w:tcBorders>
              <w:top w:val="single" w:sz="8" w:space="0" w:color="auto"/>
              <w:bottom w:val="single" w:sz="8" w:space="0" w:color="auto"/>
            </w:tcBorders>
          </w:tcPr>
          <w:p w:rsidR="006E093D" w:rsidRDefault="001768A5">
            <w:pPr>
              <w:pStyle w:val="nTable"/>
              <w:spacing w:before="60" w:after="60"/>
              <w:rPr>
                <w:b/>
                <w:sz w:val="19"/>
              </w:rPr>
            </w:pPr>
            <w:r>
              <w:rPr>
                <w:b/>
                <w:sz w:val="19"/>
              </w:rPr>
              <w:t>Citation</w:t>
            </w:r>
          </w:p>
        </w:tc>
        <w:tc>
          <w:tcPr>
            <w:tcW w:w="1276" w:type="dxa"/>
            <w:tcBorders>
              <w:top w:val="single" w:sz="8" w:space="0" w:color="auto"/>
              <w:bottom w:val="single" w:sz="8" w:space="0" w:color="auto"/>
            </w:tcBorders>
          </w:tcPr>
          <w:p w:rsidR="006E093D" w:rsidRDefault="001768A5">
            <w:pPr>
              <w:pStyle w:val="nTable"/>
              <w:spacing w:before="60" w:after="60"/>
              <w:rPr>
                <w:b/>
                <w:sz w:val="19"/>
              </w:rPr>
            </w:pPr>
            <w:r>
              <w:rPr>
                <w:b/>
                <w:sz w:val="19"/>
              </w:rPr>
              <w:t>Gazettal</w:t>
            </w:r>
          </w:p>
        </w:tc>
        <w:tc>
          <w:tcPr>
            <w:tcW w:w="2693" w:type="dxa"/>
            <w:tcBorders>
              <w:top w:val="single" w:sz="8" w:space="0" w:color="auto"/>
              <w:bottom w:val="single" w:sz="8" w:space="0" w:color="auto"/>
            </w:tcBorders>
          </w:tcPr>
          <w:p w:rsidR="006E093D" w:rsidRDefault="001768A5">
            <w:pPr>
              <w:pStyle w:val="nTable"/>
              <w:spacing w:before="60" w:after="60"/>
              <w:rPr>
                <w:b/>
                <w:sz w:val="19"/>
              </w:rPr>
            </w:pPr>
            <w:r>
              <w:rPr>
                <w:b/>
                <w:sz w:val="19"/>
              </w:rPr>
              <w:t>Commencement</w:t>
            </w:r>
          </w:p>
        </w:tc>
      </w:tr>
      <w:tr w:rsidR="006E093D">
        <w:trPr>
          <w:tblHeader/>
        </w:trPr>
        <w:tc>
          <w:tcPr>
            <w:tcW w:w="3118" w:type="dxa"/>
            <w:tcBorders>
              <w:top w:val="single" w:sz="8" w:space="0" w:color="auto"/>
            </w:tcBorders>
          </w:tcPr>
          <w:p w:rsidR="006E093D" w:rsidRDefault="001768A5">
            <w:pPr>
              <w:pStyle w:val="nTable"/>
              <w:rPr>
                <w:iCs/>
                <w:sz w:val="19"/>
                <w:vertAlign w:val="superscript"/>
              </w:rPr>
            </w:pPr>
            <w:r>
              <w:rPr>
                <w:i/>
                <w:noProof/>
                <w:snapToGrid w:val="0"/>
                <w:sz w:val="19"/>
              </w:rPr>
              <w:t xml:space="preserve">Health (Smoking in Enclosed Public Places) Regulations 2004 </w:t>
            </w:r>
            <w:r>
              <w:rPr>
                <w:iCs/>
                <w:noProof/>
                <w:snapToGrid w:val="0"/>
                <w:sz w:val="19"/>
              </w:rPr>
              <w:t>r. 3</w:t>
            </w:r>
            <w:r>
              <w:rPr>
                <w:iCs/>
                <w:noProof/>
                <w:snapToGrid w:val="0"/>
                <w:sz w:val="19"/>
              </w:rPr>
              <w:noBreakHyphen/>
              <w:t>10 </w:t>
            </w:r>
            <w:r>
              <w:rPr>
                <w:iCs/>
                <w:noProof/>
                <w:snapToGrid w:val="0"/>
                <w:sz w:val="19"/>
                <w:vertAlign w:val="superscript"/>
              </w:rPr>
              <w:t>2</w:t>
            </w:r>
          </w:p>
        </w:tc>
        <w:tc>
          <w:tcPr>
            <w:tcW w:w="1276" w:type="dxa"/>
            <w:tcBorders>
              <w:top w:val="single" w:sz="8" w:space="0" w:color="auto"/>
            </w:tcBorders>
          </w:tcPr>
          <w:p w:rsidR="006E093D" w:rsidRDefault="001768A5">
            <w:pPr>
              <w:pStyle w:val="nTable"/>
              <w:rPr>
                <w:sz w:val="19"/>
              </w:rPr>
            </w:pPr>
            <w:r>
              <w:rPr>
                <w:sz w:val="19"/>
              </w:rPr>
              <w:t>30 Nov 2004 p. 5507</w:t>
            </w:r>
            <w:r>
              <w:rPr>
                <w:sz w:val="19"/>
              </w:rPr>
              <w:noBreakHyphen/>
              <w:t>14</w:t>
            </w:r>
          </w:p>
        </w:tc>
        <w:tc>
          <w:tcPr>
            <w:tcW w:w="2693" w:type="dxa"/>
            <w:tcBorders>
              <w:top w:val="single" w:sz="8" w:space="0" w:color="auto"/>
            </w:tcBorders>
          </w:tcPr>
          <w:p w:rsidR="006E093D" w:rsidRDefault="001768A5">
            <w:pPr>
              <w:pStyle w:val="nTable"/>
              <w:spacing w:before="60" w:after="60"/>
              <w:rPr>
                <w:bCs/>
                <w:sz w:val="19"/>
              </w:rPr>
            </w:pPr>
            <w:r>
              <w:rPr>
                <w:bCs/>
                <w:sz w:val="19"/>
              </w:rPr>
              <w:t>31 Jul 2006 (see r. 2)</w:t>
            </w:r>
          </w:p>
        </w:tc>
      </w:tr>
      <w:tr w:rsidR="006E093D">
        <w:trPr>
          <w:cantSplit/>
          <w:tblHeader/>
        </w:trPr>
        <w:tc>
          <w:tcPr>
            <w:tcW w:w="4394" w:type="dxa"/>
            <w:gridSpan w:val="2"/>
            <w:tcBorders>
              <w:bottom w:val="single" w:sz="8" w:space="0" w:color="auto"/>
            </w:tcBorders>
          </w:tcPr>
          <w:p w:rsidR="006E093D" w:rsidRDefault="001768A5">
            <w:pPr>
              <w:pStyle w:val="nTable"/>
              <w:rPr>
                <w:sz w:val="19"/>
              </w:rPr>
            </w:pPr>
            <w:r>
              <w:rPr>
                <w:i/>
                <w:iCs/>
                <w:sz w:val="19"/>
              </w:rPr>
              <w:t>Tobacco Products Control Act 2006</w:t>
            </w:r>
            <w:r>
              <w:rPr>
                <w:sz w:val="19"/>
              </w:rPr>
              <w:t xml:space="preserve"> assented to 12 Apr 2006 s. 126 </w:t>
            </w:r>
            <w:r>
              <w:rPr>
                <w:sz w:val="19"/>
                <w:vertAlign w:val="superscript"/>
              </w:rPr>
              <w:t>3</w:t>
            </w:r>
          </w:p>
        </w:tc>
        <w:tc>
          <w:tcPr>
            <w:tcW w:w="2693" w:type="dxa"/>
            <w:tcBorders>
              <w:bottom w:val="single" w:sz="8" w:space="0" w:color="auto"/>
            </w:tcBorders>
          </w:tcPr>
          <w:p w:rsidR="006E093D" w:rsidRDefault="001768A5">
            <w:pPr>
              <w:pStyle w:val="nTable"/>
              <w:spacing w:before="60" w:after="60"/>
              <w:rPr>
                <w:bCs/>
                <w:sz w:val="19"/>
              </w:rPr>
            </w:pPr>
            <w:r>
              <w:rPr>
                <w:bCs/>
                <w:sz w:val="19"/>
              </w:rPr>
              <w:t>To be proclaimed (see s. 2)</w:t>
            </w:r>
          </w:p>
        </w:tc>
      </w:tr>
    </w:tbl>
    <w:p w:rsidR="006E093D" w:rsidRDefault="001768A5">
      <w:pPr>
        <w:pStyle w:val="nSubsection"/>
        <w:rPr>
          <w:snapToGrid w:val="0"/>
        </w:rPr>
      </w:pPr>
      <w:r>
        <w:rPr>
          <w:snapToGrid w:val="0"/>
          <w:vertAlign w:val="superscript"/>
        </w:rPr>
        <w:t>2</w:t>
      </w:r>
      <w:r>
        <w:rPr>
          <w:snapToGrid w:val="0"/>
        </w:rPr>
        <w:tab/>
        <w:t xml:space="preserve">On the date as at which this compilation was prepared the </w:t>
      </w:r>
      <w:r>
        <w:rPr>
          <w:i/>
          <w:noProof/>
          <w:snapToGrid w:val="0"/>
        </w:rPr>
        <w:t xml:space="preserve">Health (Smoking in Enclosed Public Places) Regulations 2004 </w:t>
      </w:r>
      <w:r>
        <w:rPr>
          <w:iCs/>
          <w:noProof/>
          <w:snapToGrid w:val="0"/>
        </w:rPr>
        <w:t>r. 3</w:t>
      </w:r>
      <w:r>
        <w:rPr>
          <w:iCs/>
          <w:noProof/>
          <w:snapToGrid w:val="0"/>
        </w:rPr>
        <w:noBreakHyphen/>
        <w:t>10</w:t>
      </w:r>
      <w:r>
        <w:rPr>
          <w:snapToGrid w:val="0"/>
        </w:rPr>
        <w:t xml:space="preserve"> have not come into operation.  They read as follows:</w:t>
      </w:r>
    </w:p>
    <w:p w:rsidR="006E093D" w:rsidRDefault="001768A5">
      <w:pPr>
        <w:pStyle w:val="MiscOpen"/>
        <w:rPr>
          <w:snapToGrid w:val="0"/>
        </w:rPr>
      </w:pPr>
      <w:r>
        <w:rPr>
          <w:snapToGrid w:val="0"/>
        </w:rPr>
        <w:t>“</w:t>
      </w:r>
    </w:p>
    <w:p w:rsidR="006E093D" w:rsidRDefault="001768A5">
      <w:pPr>
        <w:pStyle w:val="nzHeading5"/>
      </w:pPr>
      <w:r>
        <w:rPr>
          <w:rStyle w:val="CharSectno"/>
        </w:rPr>
        <w:t>3</w:t>
      </w:r>
      <w:r>
        <w:t>.</w:t>
      </w:r>
      <w:r>
        <w:tab/>
        <w:t>Interpretation</w:t>
      </w:r>
      <w:bookmarkEnd w:id="21"/>
      <w:bookmarkEnd w:id="22"/>
      <w:bookmarkEnd w:id="23"/>
      <w:bookmarkEnd w:id="24"/>
    </w:p>
    <w:p w:rsidR="006E093D" w:rsidRDefault="001768A5">
      <w:pPr>
        <w:pStyle w:val="nzSubsection"/>
      </w:pPr>
      <w:r>
        <w:tab/>
      </w:r>
      <w:r>
        <w:tab/>
        <w:t>In these regulations, unless the contrary intention appears —</w:t>
      </w:r>
    </w:p>
    <w:p w:rsidR="006E093D" w:rsidRDefault="001768A5">
      <w:pPr>
        <w:pStyle w:val="nzDefstart"/>
      </w:pPr>
      <w:r>
        <w:tab/>
      </w:r>
      <w:r>
        <w:rPr>
          <w:b/>
        </w:rPr>
        <w:t>“</w:t>
      </w:r>
      <w:r>
        <w:rPr>
          <w:rStyle w:val="CharDefText"/>
        </w:rPr>
        <w:t>adequate ventilation</w:t>
      </w:r>
      <w:r>
        <w:rPr>
          <w:b/>
        </w:rPr>
        <w:t>”</w:t>
      </w:r>
      <w:r>
        <w:t xml:space="preserve"> means natural or mechanical ventilation, or both, that meets the ventilation performance requirements described in FP4.3, FP4.4 and FP4.5 of the Building Code of Australia 1996 issued by the Australian Building Codes Board as amended from time to time;</w:t>
      </w:r>
    </w:p>
    <w:p w:rsidR="006E093D" w:rsidRDefault="001768A5">
      <w:pPr>
        <w:pStyle w:val="nzDefstart"/>
      </w:pPr>
      <w:r>
        <w:tab/>
      </w:r>
      <w:r>
        <w:rPr>
          <w:b/>
        </w:rPr>
        <w:t>“</w:t>
      </w:r>
      <w:r>
        <w:rPr>
          <w:rStyle w:val="CharDefText"/>
        </w:rPr>
        <w:t>Burswood Casino</w:t>
      </w:r>
      <w:r>
        <w:rPr>
          <w:b/>
        </w:rPr>
        <w:t>”</w:t>
      </w:r>
      <w:r>
        <w:t xml:space="preserve"> means the premises at Burswood Island that are the subject of a casino gaming licence granted under the </w:t>
      </w:r>
      <w:r>
        <w:rPr>
          <w:i/>
        </w:rPr>
        <w:t>Casino Control Act 1984</w:t>
      </w:r>
      <w:r>
        <w:t>;</w:t>
      </w:r>
    </w:p>
    <w:p w:rsidR="006E093D" w:rsidRDefault="001768A5">
      <w:pPr>
        <w:pStyle w:val="nzDefstart"/>
      </w:pPr>
      <w:r>
        <w:tab/>
      </w:r>
      <w:r>
        <w:rPr>
          <w:b/>
        </w:rPr>
        <w:t>“</w:t>
      </w:r>
      <w:r>
        <w:rPr>
          <w:rStyle w:val="CharDefText"/>
        </w:rPr>
        <w:t>occupier</w:t>
      </w:r>
      <w:r>
        <w:rPr>
          <w:b/>
        </w:rPr>
        <w:t>”</w:t>
      </w:r>
      <w:r>
        <w:t>, in relation to an enclosed public place, means a person having the management or control, or otherwise being in charge, of that place;</w:t>
      </w:r>
    </w:p>
    <w:p w:rsidR="006E093D" w:rsidRDefault="001768A5">
      <w:pPr>
        <w:pStyle w:val="nzDefstart"/>
      </w:pPr>
      <w:r>
        <w:tab/>
      </w:r>
      <w:r>
        <w:rPr>
          <w:b/>
        </w:rPr>
        <w:t>“</w:t>
      </w:r>
      <w:r>
        <w:rPr>
          <w:rStyle w:val="CharDefText"/>
        </w:rPr>
        <w:t>smoking prohibited symbol</w:t>
      </w:r>
      <w:r>
        <w:rPr>
          <w:b/>
        </w:rPr>
        <w:t>”</w:t>
      </w:r>
      <w:r>
        <w:t xml:space="preserve"> means the symbol designated in Australian Standard 2899.1 — 1986, published by Standards Australia, to indicate that smoking is prohibited.</w:t>
      </w:r>
    </w:p>
    <w:p w:rsidR="006E093D" w:rsidRDefault="001768A5">
      <w:pPr>
        <w:pStyle w:val="nzHeading5"/>
      </w:pPr>
      <w:bookmarkStart w:id="31" w:name="_Toc435856809"/>
      <w:bookmarkStart w:id="32" w:name="_Toc443301424"/>
      <w:bookmarkStart w:id="33" w:name="_Toc446755008"/>
      <w:bookmarkStart w:id="34" w:name="_Toc53551010"/>
      <w:r>
        <w:rPr>
          <w:rStyle w:val="CharSectno"/>
        </w:rPr>
        <w:t>4</w:t>
      </w:r>
      <w:r>
        <w:t>.</w:t>
      </w:r>
      <w:r>
        <w:tab/>
        <w:t>Prohibition on smoking in enclosed public places</w:t>
      </w:r>
      <w:bookmarkEnd w:id="31"/>
      <w:bookmarkEnd w:id="32"/>
      <w:bookmarkEnd w:id="33"/>
      <w:bookmarkEnd w:id="34"/>
    </w:p>
    <w:p w:rsidR="006E093D" w:rsidRDefault="001768A5">
      <w:pPr>
        <w:pStyle w:val="nzSubsection"/>
      </w:pPr>
      <w:r>
        <w:tab/>
        <w:t>(1)</w:t>
      </w:r>
      <w:r>
        <w:tab/>
        <w:t>Smoking is prohibited in an enclosed public place.</w:t>
      </w:r>
    </w:p>
    <w:p w:rsidR="006E093D" w:rsidRDefault="001768A5">
      <w:pPr>
        <w:pStyle w:val="nzSubsection"/>
      </w:pPr>
      <w:r>
        <w:tab/>
        <w:t>(2)</w:t>
      </w:r>
      <w:r>
        <w:tab/>
        <w:t>A person who smokes in an enclosed public place in contravention of subregulation (1) commits an offence.</w:t>
      </w:r>
    </w:p>
    <w:p w:rsidR="006E093D" w:rsidRDefault="001768A5">
      <w:pPr>
        <w:pStyle w:val="nzSubsection"/>
      </w:pPr>
      <w:r>
        <w:tab/>
        <w:t>(3)</w:t>
      </w:r>
      <w:r>
        <w:tab/>
        <w:t>Subregulation (1) does not apply to the International room at Burswood Casino if the room has adequate ventilation.</w:t>
      </w:r>
    </w:p>
    <w:p w:rsidR="006E093D" w:rsidRDefault="001768A5">
      <w:pPr>
        <w:pStyle w:val="nzSubsection"/>
      </w:pPr>
      <w:bookmarkStart w:id="35" w:name="_Hlt440339481"/>
      <w:bookmarkEnd w:id="35"/>
      <w:r>
        <w:tab/>
        <w:t>(4)</w:t>
      </w:r>
      <w:r>
        <w:tab/>
        <w:t>A person does not commit an offence under subregulation (2) if the person is an actor, artist or other performer who smokes for the purposes of a performance.</w:t>
      </w:r>
    </w:p>
    <w:p w:rsidR="006E093D" w:rsidRDefault="001768A5">
      <w:pPr>
        <w:pStyle w:val="nzHeading5"/>
      </w:pPr>
      <w:bookmarkStart w:id="36" w:name="_Hlt440173902"/>
      <w:bookmarkStart w:id="37" w:name="_Toc443301430"/>
      <w:bookmarkStart w:id="38" w:name="_Toc446755014"/>
      <w:bookmarkStart w:id="39" w:name="_Toc53551016"/>
      <w:bookmarkEnd w:id="36"/>
      <w:r>
        <w:rPr>
          <w:rStyle w:val="CharSectno"/>
        </w:rPr>
        <w:t>5</w:t>
      </w:r>
      <w:r>
        <w:t>.</w:t>
      </w:r>
      <w:r>
        <w:tab/>
        <w:t>Environmental health officers to notify occupiers before taking action under these regulations</w:t>
      </w:r>
      <w:bookmarkEnd w:id="37"/>
      <w:bookmarkEnd w:id="38"/>
      <w:bookmarkEnd w:id="39"/>
    </w:p>
    <w:p w:rsidR="006E093D" w:rsidRDefault="001768A5">
      <w:pPr>
        <w:pStyle w:val="nzSubsection"/>
      </w:pPr>
      <w:r>
        <w:tab/>
        <w:t>(1)</w:t>
      </w:r>
      <w:r>
        <w:tab/>
        <w:t>An environmental health officer must take reasonable steps to notify the occupier of an enclosed public place of the officer’s presence before the officer takes any action for purposes connected with the operation of these regulations.</w:t>
      </w:r>
    </w:p>
    <w:p w:rsidR="006E093D" w:rsidRDefault="001768A5">
      <w:pPr>
        <w:pStyle w:val="nzSubsection"/>
      </w:pPr>
      <w:r>
        <w:tab/>
        <w:t>(2)</w:t>
      </w:r>
      <w:r>
        <w:tab/>
        <w:t>Subregulation (1) does not apply to action that is taken only for the purposes of assessing whether or not these regulations are being complied with.</w:t>
      </w:r>
    </w:p>
    <w:p w:rsidR="006E093D" w:rsidRDefault="001768A5">
      <w:pPr>
        <w:pStyle w:val="nzHeading5"/>
      </w:pPr>
      <w:bookmarkStart w:id="40" w:name="_Toc435856811"/>
      <w:bookmarkStart w:id="41" w:name="_Toc443301431"/>
      <w:bookmarkStart w:id="42" w:name="_Toc446755015"/>
      <w:bookmarkStart w:id="43" w:name="_Toc53551017"/>
      <w:r>
        <w:rPr>
          <w:rStyle w:val="CharSectno"/>
        </w:rPr>
        <w:t>6</w:t>
      </w:r>
      <w:r>
        <w:t>.</w:t>
      </w:r>
      <w:r>
        <w:tab/>
        <w:t>Directions by environmental health officers</w:t>
      </w:r>
      <w:bookmarkEnd w:id="40"/>
      <w:bookmarkEnd w:id="41"/>
      <w:bookmarkEnd w:id="42"/>
      <w:bookmarkEnd w:id="43"/>
    </w:p>
    <w:p w:rsidR="006E093D" w:rsidRDefault="001768A5">
      <w:pPr>
        <w:pStyle w:val="nzSubsection"/>
      </w:pPr>
      <w:r>
        <w:tab/>
        <w:t>(1)</w:t>
      </w:r>
      <w:r>
        <w:tab/>
        <w:t>If an environmental health officer has reason to believe that a person has committed or is committing an offence under regulation 4(2), the environmental health officer may direct the person to state his or her name and residential address.</w:t>
      </w:r>
    </w:p>
    <w:p w:rsidR="006E093D" w:rsidRDefault="001768A5">
      <w:pPr>
        <w:pStyle w:val="nzSubsection"/>
      </w:pPr>
      <w:r>
        <w:tab/>
        <w:t>(2)</w:t>
      </w:r>
      <w:r>
        <w:tab/>
        <w:t>If an environmental health officer has reason to believe that a person is committing an offence under regulation 4(2) the environmental health officer may direct the person to stop smoking in the enclosed public place.</w:t>
      </w:r>
    </w:p>
    <w:p w:rsidR="006E093D" w:rsidRDefault="001768A5">
      <w:pPr>
        <w:pStyle w:val="nzSubsection"/>
      </w:pPr>
      <w:r>
        <w:tab/>
        <w:t>(3)</w:t>
      </w:r>
      <w:r>
        <w:tab/>
        <w:t>A direction under subregulation (1) or (2) may be given orally or in writing and if given orally must be reduced to writing as soon as is practicable.</w:t>
      </w:r>
    </w:p>
    <w:p w:rsidR="006E093D" w:rsidRDefault="001768A5">
      <w:pPr>
        <w:pStyle w:val="nzSubsection"/>
      </w:pPr>
      <w:r>
        <w:tab/>
        <w:t>(4)</w:t>
      </w:r>
      <w:r>
        <w:tab/>
        <w:t>A person who —</w:t>
      </w:r>
    </w:p>
    <w:p w:rsidR="006E093D" w:rsidRDefault="001768A5">
      <w:pPr>
        <w:pStyle w:val="nzIndenta"/>
      </w:pPr>
      <w:r>
        <w:tab/>
        <w:t>(a)</w:t>
      </w:r>
      <w:r>
        <w:tab/>
        <w:t>does not comply with a direction under subregulation (1) or (2); or</w:t>
      </w:r>
    </w:p>
    <w:p w:rsidR="006E093D" w:rsidRDefault="001768A5">
      <w:pPr>
        <w:pStyle w:val="nzIndenta"/>
      </w:pPr>
      <w:r>
        <w:tab/>
        <w:t>(b)</w:t>
      </w:r>
      <w:r>
        <w:tab/>
        <w:t>gives information that is false or misleading in a material particular in response to a direction under subregulation (1),</w:t>
      </w:r>
    </w:p>
    <w:p w:rsidR="006E093D" w:rsidRDefault="001768A5">
      <w:pPr>
        <w:pStyle w:val="nzSubsection"/>
      </w:pPr>
      <w:r>
        <w:tab/>
      </w:r>
      <w:r>
        <w:tab/>
        <w:t>commits an offence.</w:t>
      </w:r>
    </w:p>
    <w:p w:rsidR="006E093D" w:rsidRDefault="001768A5">
      <w:pPr>
        <w:pStyle w:val="nzSubsection"/>
      </w:pPr>
      <w:r>
        <w:tab/>
        <w:t>(5)</w:t>
      </w:r>
      <w:r>
        <w:tab/>
        <w:t>In proceedings for an offence under subregulation (4) a statement —</w:t>
      </w:r>
    </w:p>
    <w:p w:rsidR="006E093D" w:rsidRDefault="001768A5">
      <w:pPr>
        <w:pStyle w:val="nzIndenta"/>
      </w:pPr>
      <w:r>
        <w:tab/>
        <w:t>(a)</w:t>
      </w:r>
      <w:r>
        <w:tab/>
        <w:t>signed or purporting to be signed by the Executive Director, Public Health;</w:t>
      </w:r>
    </w:p>
    <w:p w:rsidR="006E093D" w:rsidRDefault="001768A5">
      <w:pPr>
        <w:pStyle w:val="nzIndenta"/>
      </w:pPr>
      <w:r>
        <w:tab/>
        <w:t>(b)</w:t>
      </w:r>
      <w:r>
        <w:tab/>
        <w:t>to which is attached a copy of a direction given under subregulation (1) or (2); and</w:t>
      </w:r>
    </w:p>
    <w:p w:rsidR="006E093D" w:rsidRDefault="001768A5">
      <w:pPr>
        <w:pStyle w:val="nzIndenta"/>
      </w:pPr>
      <w:r>
        <w:tab/>
        <w:t>(c)</w:t>
      </w:r>
      <w:r>
        <w:tab/>
        <w:t>stating that the direction —</w:t>
      </w:r>
    </w:p>
    <w:p w:rsidR="006E093D" w:rsidRDefault="001768A5">
      <w:pPr>
        <w:pStyle w:val="nzIndenti"/>
      </w:pPr>
      <w:r>
        <w:tab/>
        <w:t>(i)</w:t>
      </w:r>
      <w:r>
        <w:tab/>
        <w:t>was given by the environmental health officer referred to in the statement; and</w:t>
      </w:r>
    </w:p>
    <w:p w:rsidR="006E093D" w:rsidRDefault="001768A5">
      <w:pPr>
        <w:pStyle w:val="nzIndenti"/>
      </w:pPr>
      <w:r>
        <w:tab/>
        <w:t>(ii)</w:t>
      </w:r>
      <w:r>
        <w:tab/>
        <w:t>was in force at the time specified in the statement,</w:t>
      </w:r>
    </w:p>
    <w:p w:rsidR="006E093D" w:rsidRDefault="001768A5">
      <w:pPr>
        <w:pStyle w:val="nzSubsection"/>
      </w:pPr>
      <w:r>
        <w:tab/>
      </w:r>
      <w:r>
        <w:tab/>
        <w:t>is, in the absence of evidence to the contrary, sufficient evidence of the direction and of the facts set out in the statement.</w:t>
      </w:r>
    </w:p>
    <w:p w:rsidR="006E093D" w:rsidRDefault="001768A5">
      <w:pPr>
        <w:pStyle w:val="nzHeading5"/>
      </w:pPr>
      <w:bookmarkStart w:id="44" w:name="_Toc435856813"/>
      <w:bookmarkStart w:id="45" w:name="_Toc443301432"/>
      <w:bookmarkStart w:id="46" w:name="_Toc446755016"/>
      <w:bookmarkStart w:id="47" w:name="_Toc53551018"/>
      <w:r>
        <w:rPr>
          <w:rStyle w:val="CharSectno"/>
        </w:rPr>
        <w:t>7</w:t>
      </w:r>
      <w:r>
        <w:t>.</w:t>
      </w:r>
      <w:r>
        <w:tab/>
        <w:t>Offence by occupier</w:t>
      </w:r>
      <w:bookmarkEnd w:id="44"/>
      <w:bookmarkEnd w:id="45"/>
      <w:bookmarkEnd w:id="46"/>
      <w:bookmarkEnd w:id="47"/>
    </w:p>
    <w:p w:rsidR="006E093D" w:rsidRDefault="001768A5">
      <w:pPr>
        <w:pStyle w:val="nzSubsection"/>
      </w:pPr>
      <w:r>
        <w:tab/>
        <w:t>(1)</w:t>
      </w:r>
      <w:r>
        <w:tab/>
        <w:t>If a person commits an offence under regulation 4(2) the occupier of the enclosed public place commits an offence.</w:t>
      </w:r>
    </w:p>
    <w:p w:rsidR="006E093D" w:rsidRDefault="001768A5">
      <w:pPr>
        <w:pStyle w:val="nzSubsection"/>
      </w:pPr>
      <w:r>
        <w:tab/>
        <w:t>(2)</w:t>
      </w:r>
      <w:r>
        <w:tab/>
        <w:t>It is a defence to a prosecution for an offence under subregulation (1) that neither the defendant nor any employee or agent of the defendant provided at the enclosed public place any ashtray, matches, lighter, or other thing that could facilitate smoking and that —</w:t>
      </w:r>
    </w:p>
    <w:p w:rsidR="006E093D" w:rsidRDefault="001768A5">
      <w:pPr>
        <w:pStyle w:val="nzIndenta"/>
      </w:pPr>
      <w:r>
        <w:tab/>
        <w:t>(a)</w:t>
      </w:r>
      <w:r>
        <w:tab/>
        <w:t>neither the defendant nor any employee or agent of the defendant was aware, or could reasonably be expected to have been aware, that the offence was occurring; or</w:t>
      </w:r>
    </w:p>
    <w:p w:rsidR="006E093D" w:rsidRDefault="001768A5">
      <w:pPr>
        <w:pStyle w:val="nzIndenta"/>
      </w:pPr>
      <w:r>
        <w:tab/>
        <w:t>(b)</w:t>
      </w:r>
      <w:r>
        <w:tab/>
        <w:t>as soon as the defendant or an employee or agent of the defendant became aware that the offence was occurring, the defendant or an employee or agent of the defendant —</w:t>
      </w:r>
    </w:p>
    <w:p w:rsidR="006E093D" w:rsidRDefault="001768A5">
      <w:pPr>
        <w:pStyle w:val="nzIndenti"/>
      </w:pPr>
      <w:r>
        <w:tab/>
        <w:t>(i)</w:t>
      </w:r>
      <w:r>
        <w:tab/>
        <w:t xml:space="preserve">informed the person concerned that the person was committing an offence; </w:t>
      </w:r>
    </w:p>
    <w:p w:rsidR="006E093D" w:rsidRDefault="001768A5">
      <w:pPr>
        <w:pStyle w:val="nzIndenti"/>
      </w:pPr>
      <w:r>
        <w:tab/>
        <w:t>(ii)</w:t>
      </w:r>
      <w:r>
        <w:tab/>
        <w:t>requested the person to stop smoking in the enclosed public place and to extinguish, and properly dispose of, the tobacco product; and</w:t>
      </w:r>
    </w:p>
    <w:p w:rsidR="006E093D" w:rsidRDefault="001768A5">
      <w:pPr>
        <w:pStyle w:val="nzIndenti"/>
      </w:pPr>
      <w:r>
        <w:tab/>
        <w:t>(iii)</w:t>
      </w:r>
      <w:r>
        <w:tab/>
        <w:t>(if the person failed to comply with a request under subparagraph (ii)) requested the person to leave the enclosed public place until the person finished smoking the tobacco product.</w:t>
      </w:r>
    </w:p>
    <w:p w:rsidR="006E093D" w:rsidRDefault="001768A5">
      <w:pPr>
        <w:pStyle w:val="nzHeading5"/>
      </w:pPr>
      <w:bookmarkStart w:id="48" w:name="_Toc435856815"/>
      <w:bookmarkStart w:id="49" w:name="_Toc443301434"/>
      <w:bookmarkStart w:id="50" w:name="_Toc446755018"/>
      <w:bookmarkStart w:id="51" w:name="_Toc53551020"/>
      <w:r>
        <w:rPr>
          <w:rStyle w:val="CharSectno"/>
        </w:rPr>
        <w:t>8</w:t>
      </w:r>
      <w:r>
        <w:t>.</w:t>
      </w:r>
      <w:r>
        <w:tab/>
        <w:t>Occupier to display signs</w:t>
      </w:r>
      <w:bookmarkEnd w:id="48"/>
      <w:bookmarkEnd w:id="49"/>
      <w:bookmarkEnd w:id="50"/>
      <w:bookmarkEnd w:id="51"/>
    </w:p>
    <w:p w:rsidR="006E093D" w:rsidRDefault="001768A5">
      <w:pPr>
        <w:pStyle w:val="nzSubsection"/>
      </w:pPr>
      <w:r>
        <w:tab/>
        <w:t>(1)</w:t>
      </w:r>
      <w:r>
        <w:tab/>
        <w:t>An occupier of an enclosed public place must display, or cause to be displayed, at the place signs that comply with the requirements of subregulation (2) —</w:t>
      </w:r>
    </w:p>
    <w:p w:rsidR="006E093D" w:rsidRDefault="001768A5">
      <w:pPr>
        <w:pStyle w:val="nzIndenta"/>
      </w:pPr>
      <w:r>
        <w:tab/>
        <w:t>(a)</w:t>
      </w:r>
      <w:r>
        <w:tab/>
        <w:t>in such numbers; and</w:t>
      </w:r>
    </w:p>
    <w:p w:rsidR="006E093D" w:rsidRDefault="001768A5">
      <w:pPr>
        <w:pStyle w:val="nzIndenta"/>
      </w:pPr>
      <w:r>
        <w:tab/>
        <w:t>(b)</w:t>
      </w:r>
      <w:r>
        <w:tab/>
        <w:t>in such positions,</w:t>
      </w:r>
    </w:p>
    <w:p w:rsidR="006E093D" w:rsidRDefault="001768A5">
      <w:pPr>
        <w:pStyle w:val="nzSubsection"/>
      </w:pPr>
      <w:r>
        <w:tab/>
      </w:r>
      <w:r>
        <w:tab/>
        <w:t>as would ensure that a sign is likely to be seen by a person at a public entrance to the place or by a person in the place.</w:t>
      </w:r>
    </w:p>
    <w:p w:rsidR="006E093D" w:rsidRDefault="001768A5">
      <w:pPr>
        <w:pStyle w:val="nzSubsection"/>
      </w:pPr>
      <w:r>
        <w:tab/>
        <w:t>(2)</w:t>
      </w:r>
      <w:r>
        <w:tab/>
        <w:t>A sign must —</w:t>
      </w:r>
    </w:p>
    <w:p w:rsidR="006E093D" w:rsidRDefault="001768A5">
      <w:pPr>
        <w:pStyle w:val="nzIndenta"/>
      </w:pPr>
      <w:r>
        <w:tab/>
        <w:t>(a)</w:t>
      </w:r>
      <w:r>
        <w:tab/>
        <w:t>contain —</w:t>
      </w:r>
    </w:p>
    <w:p w:rsidR="006E093D" w:rsidRDefault="001768A5">
      <w:pPr>
        <w:pStyle w:val="nzIndenti"/>
      </w:pPr>
      <w:r>
        <w:tab/>
        <w:t>(i)</w:t>
      </w:r>
      <w:r>
        <w:tab/>
        <w:t>the phrase “no smoking” or “smoking prohibited” in letters that are at least 20 mm in height;</w:t>
      </w:r>
    </w:p>
    <w:p w:rsidR="006E093D" w:rsidRDefault="001768A5">
      <w:pPr>
        <w:pStyle w:val="nzIndenti"/>
      </w:pPr>
      <w:r>
        <w:tab/>
        <w:t>(ii)</w:t>
      </w:r>
      <w:r>
        <w:tab/>
        <w:t>the smoking prohibited symbol with a diameter of at least 70 mm; or</w:t>
      </w:r>
    </w:p>
    <w:p w:rsidR="006E093D" w:rsidRDefault="001768A5">
      <w:pPr>
        <w:pStyle w:val="nzIndenti"/>
      </w:pPr>
      <w:r>
        <w:tab/>
        <w:t>(iii)</w:t>
      </w:r>
      <w:r>
        <w:tab/>
        <w:t>other words or symbols that indicate clearly that smoking is prohibited;</w:t>
      </w:r>
    </w:p>
    <w:p w:rsidR="006E093D" w:rsidRDefault="001768A5">
      <w:pPr>
        <w:pStyle w:val="nzIndenta"/>
      </w:pPr>
      <w:r>
        <w:tab/>
      </w:r>
      <w:r>
        <w:tab/>
        <w:t>and</w:t>
      </w:r>
    </w:p>
    <w:p w:rsidR="006E093D" w:rsidRDefault="001768A5">
      <w:pPr>
        <w:pStyle w:val="nzIndenta"/>
      </w:pPr>
      <w:r>
        <w:tab/>
        <w:t>(b)</w:t>
      </w:r>
      <w:r>
        <w:tab/>
        <w:t>indicate clearly where smoking is prohibited.</w:t>
      </w:r>
    </w:p>
    <w:p w:rsidR="006E093D" w:rsidRDefault="001768A5">
      <w:pPr>
        <w:pStyle w:val="nzSubsection"/>
      </w:pPr>
      <w:r>
        <w:tab/>
        <w:t>(3)</w:t>
      </w:r>
      <w:r>
        <w:tab/>
        <w:t>A person who contravenes subregulation (1) commits an offence.</w:t>
      </w:r>
    </w:p>
    <w:p w:rsidR="006E093D" w:rsidRDefault="001768A5">
      <w:pPr>
        <w:pStyle w:val="nzSubsection"/>
      </w:pPr>
      <w:r>
        <w:tab/>
        <w:t>(4)</w:t>
      </w:r>
      <w:r>
        <w:tab/>
        <w:t>It is a defence to a prosecution for an offence under subregulation (3) that —</w:t>
      </w:r>
    </w:p>
    <w:p w:rsidR="006E093D" w:rsidRDefault="001768A5">
      <w:pPr>
        <w:pStyle w:val="nzIndenta"/>
      </w:pPr>
      <w:r>
        <w:tab/>
        <w:t>(a)</w:t>
      </w:r>
      <w:r>
        <w:tab/>
        <w:t>persons within the place could reasonably be expected to know that smoking is not permitted in the place; and</w:t>
      </w:r>
    </w:p>
    <w:p w:rsidR="006E093D" w:rsidRDefault="001768A5">
      <w:pPr>
        <w:pStyle w:val="nzIndenta"/>
      </w:pPr>
      <w:r>
        <w:tab/>
        <w:t>(b)</w:t>
      </w:r>
      <w:r>
        <w:tab/>
        <w:t>persons do not usually smoke in the place.</w:t>
      </w:r>
    </w:p>
    <w:p w:rsidR="006E093D" w:rsidRDefault="001768A5">
      <w:pPr>
        <w:pStyle w:val="nzHeading5"/>
      </w:pPr>
      <w:bookmarkStart w:id="52" w:name="_Toc435856816"/>
      <w:bookmarkStart w:id="53" w:name="_Toc443301435"/>
      <w:bookmarkStart w:id="54" w:name="_Toc446755019"/>
      <w:bookmarkStart w:id="55" w:name="_Toc53551021"/>
      <w:r>
        <w:rPr>
          <w:rStyle w:val="CharSectno"/>
        </w:rPr>
        <w:t>9</w:t>
      </w:r>
      <w:r>
        <w:t>.</w:t>
      </w:r>
      <w:r>
        <w:tab/>
        <w:t>Penalties</w:t>
      </w:r>
      <w:bookmarkEnd w:id="52"/>
      <w:bookmarkEnd w:id="53"/>
      <w:bookmarkEnd w:id="54"/>
      <w:bookmarkEnd w:id="55"/>
    </w:p>
    <w:p w:rsidR="006E093D" w:rsidRDefault="001768A5">
      <w:pPr>
        <w:pStyle w:val="nzSubsection"/>
      </w:pPr>
      <w:r>
        <w:tab/>
      </w:r>
      <w:r>
        <w:tab/>
        <w:t>A person who is convicted of an offence under these regulations is liable —</w:t>
      </w:r>
    </w:p>
    <w:p w:rsidR="006E093D" w:rsidRDefault="001768A5">
      <w:pPr>
        <w:pStyle w:val="nzIndenta"/>
      </w:pPr>
      <w:r>
        <w:tab/>
        <w:t>(a)</w:t>
      </w:r>
      <w:r>
        <w:tab/>
        <w:t>if the offender is an individual —</w:t>
      </w:r>
    </w:p>
    <w:p w:rsidR="006E093D" w:rsidRDefault="001768A5">
      <w:pPr>
        <w:pStyle w:val="nzIndenti"/>
      </w:pPr>
      <w:r>
        <w:tab/>
        <w:t>(i)</w:t>
      </w:r>
      <w:r>
        <w:tab/>
        <w:t>to a penalty which is not more than $500; and</w:t>
      </w:r>
    </w:p>
    <w:p w:rsidR="006E093D" w:rsidRDefault="001768A5">
      <w:pPr>
        <w:pStyle w:val="nzIndenti"/>
      </w:pPr>
      <w:r>
        <w:tab/>
        <w:t>(ii)</w:t>
      </w:r>
      <w:r>
        <w:tab/>
        <w:t>if the offence is a continuing offence, to a daily penalty which is not more than $50;</w:t>
      </w:r>
    </w:p>
    <w:p w:rsidR="006E093D" w:rsidRDefault="001768A5">
      <w:pPr>
        <w:pStyle w:val="nzIndenta"/>
      </w:pPr>
      <w:r>
        <w:tab/>
      </w:r>
      <w:r>
        <w:tab/>
        <w:t>and</w:t>
      </w:r>
    </w:p>
    <w:p w:rsidR="006E093D" w:rsidRDefault="001768A5">
      <w:pPr>
        <w:pStyle w:val="nzIndenta"/>
      </w:pPr>
      <w:r>
        <w:tab/>
        <w:t>(b)</w:t>
      </w:r>
      <w:r>
        <w:tab/>
        <w:t>if the offender is a body corporate —</w:t>
      </w:r>
    </w:p>
    <w:p w:rsidR="006E093D" w:rsidRDefault="001768A5">
      <w:pPr>
        <w:pStyle w:val="nzIndenti"/>
      </w:pPr>
      <w:r>
        <w:tab/>
        <w:t>(i)</w:t>
      </w:r>
      <w:r>
        <w:tab/>
        <w:t>to a penalty which is not more than $5 000; and</w:t>
      </w:r>
    </w:p>
    <w:p w:rsidR="006E093D" w:rsidRDefault="001768A5">
      <w:pPr>
        <w:pStyle w:val="nzIndenti"/>
      </w:pPr>
      <w:r>
        <w:tab/>
        <w:t>(ii)</w:t>
      </w:r>
      <w:r>
        <w:tab/>
        <w:t>if the offence is a continuing offence, to a daily penalty which is not more than $500.</w:t>
      </w:r>
    </w:p>
    <w:p w:rsidR="006E093D" w:rsidRDefault="001768A5">
      <w:pPr>
        <w:pStyle w:val="nzHeading5"/>
        <w:rPr>
          <w:snapToGrid w:val="0"/>
        </w:rPr>
      </w:pPr>
      <w:bookmarkStart w:id="56" w:name="_Toc423332724"/>
      <w:bookmarkStart w:id="57" w:name="_Toc425219443"/>
      <w:bookmarkStart w:id="58" w:name="_Toc426249310"/>
      <w:bookmarkStart w:id="59" w:name="_Toc449924706"/>
      <w:bookmarkStart w:id="60" w:name="_Toc449947724"/>
      <w:bookmarkStart w:id="61" w:name="_Toc454185715"/>
      <w:bookmarkStart w:id="62" w:name="_Toc53551022"/>
      <w:r>
        <w:rPr>
          <w:rStyle w:val="CharSectno"/>
        </w:rPr>
        <w:t>10</w:t>
      </w:r>
      <w:r>
        <w:rPr>
          <w:snapToGrid w:val="0"/>
        </w:rPr>
        <w:t>.</w:t>
      </w:r>
      <w:r>
        <w:rPr>
          <w:snapToGrid w:val="0"/>
        </w:rPr>
        <w:tab/>
      </w:r>
      <w:r>
        <w:rPr>
          <w:i/>
          <w:snapToGrid w:val="0"/>
        </w:rPr>
        <w:t>Health (Smoking in Enclosed Public Places) Regulations </w:t>
      </w:r>
      <w:bookmarkEnd w:id="56"/>
      <w:bookmarkEnd w:id="57"/>
      <w:bookmarkEnd w:id="58"/>
      <w:bookmarkEnd w:id="59"/>
      <w:bookmarkEnd w:id="60"/>
      <w:bookmarkEnd w:id="61"/>
      <w:r>
        <w:rPr>
          <w:i/>
          <w:snapToGrid w:val="0"/>
        </w:rPr>
        <w:t>2003</w:t>
      </w:r>
      <w:r>
        <w:rPr>
          <w:snapToGrid w:val="0"/>
        </w:rPr>
        <w:t xml:space="preserve"> repealed</w:t>
      </w:r>
      <w:bookmarkEnd w:id="62"/>
    </w:p>
    <w:p w:rsidR="006E093D" w:rsidRDefault="001768A5">
      <w:pPr>
        <w:pStyle w:val="nzSubsection"/>
      </w:pPr>
      <w:r>
        <w:tab/>
      </w:r>
      <w:r>
        <w:tab/>
        <w:t xml:space="preserve">The </w:t>
      </w:r>
      <w:r>
        <w:rPr>
          <w:i/>
        </w:rPr>
        <w:t>Health (Smoking in Enclosed Public Places) Regulations 2003</w:t>
      </w:r>
      <w:r>
        <w:t xml:space="preserve"> are repealed.</w:t>
      </w:r>
    </w:p>
    <w:p w:rsidR="006E093D" w:rsidRDefault="001768A5">
      <w:pPr>
        <w:pStyle w:val="MiscClose"/>
      </w:pPr>
      <w:r>
        <w:t>”.</w:t>
      </w:r>
    </w:p>
    <w:p w:rsidR="006E093D" w:rsidRDefault="001768A5">
      <w:pPr>
        <w:pStyle w:val="nSubsection"/>
        <w:rPr>
          <w:snapToGrid w:val="0"/>
        </w:rPr>
      </w:pPr>
      <w:r>
        <w:rPr>
          <w:vertAlign w:val="superscript"/>
        </w:rPr>
        <w:t>3</w:t>
      </w:r>
      <w:r>
        <w:tab/>
      </w:r>
      <w:r>
        <w:rPr>
          <w:snapToGrid w:val="0"/>
        </w:rPr>
        <w:t xml:space="preserve">On the date as at which this compilation was prepared, the </w:t>
      </w:r>
      <w:r>
        <w:rPr>
          <w:i/>
          <w:noProof/>
          <w:snapToGrid w:val="0"/>
        </w:rPr>
        <w:t>Tobacco Products Control Act 2006</w:t>
      </w:r>
      <w:r>
        <w:rPr>
          <w:iCs/>
          <w:noProof/>
          <w:snapToGrid w:val="0"/>
        </w:rPr>
        <w:t xml:space="preserve"> s. 126</w:t>
      </w:r>
      <w:r>
        <w:rPr>
          <w:noProof/>
          <w:snapToGrid w:val="0"/>
        </w:rPr>
        <w:t>, which gives effect to Sch. 2,</w:t>
      </w:r>
      <w:r>
        <w:rPr>
          <w:snapToGrid w:val="0"/>
        </w:rPr>
        <w:t xml:space="preserve"> had not come into operation.  It reads as follows:</w:t>
      </w:r>
    </w:p>
    <w:p w:rsidR="006E093D" w:rsidRDefault="001768A5">
      <w:pPr>
        <w:pStyle w:val="MiscOpen"/>
        <w:rPr>
          <w:snapToGrid w:val="0"/>
        </w:rPr>
      </w:pPr>
      <w:r>
        <w:rPr>
          <w:snapToGrid w:val="0"/>
        </w:rPr>
        <w:t>“</w:t>
      </w:r>
    </w:p>
    <w:p w:rsidR="006E093D" w:rsidRDefault="001768A5">
      <w:pPr>
        <w:pStyle w:val="nzHeading5"/>
      </w:pPr>
      <w:bookmarkStart w:id="63" w:name="_Toc104888061"/>
      <w:bookmarkStart w:id="64" w:name="_Toc112831141"/>
      <w:bookmarkStart w:id="65" w:name="_Toc132001064"/>
      <w:bookmarkStart w:id="66" w:name="_Toc133116236"/>
      <w:r>
        <w:rPr>
          <w:rStyle w:val="CharSectno"/>
        </w:rPr>
        <w:t>126</w:t>
      </w:r>
      <w:r>
        <w:t>.</w:t>
      </w:r>
      <w:r>
        <w:tab/>
        <w:t>Repeals, transitional provisions, consequential amendments to other Acts</w:t>
      </w:r>
      <w:bookmarkEnd w:id="63"/>
      <w:bookmarkEnd w:id="64"/>
      <w:bookmarkEnd w:id="65"/>
      <w:bookmarkEnd w:id="66"/>
    </w:p>
    <w:p w:rsidR="006E093D" w:rsidRDefault="001768A5">
      <w:pPr>
        <w:pStyle w:val="nzSubsection"/>
      </w:pPr>
      <w:r>
        <w:tab/>
      </w:r>
      <w:r>
        <w:tab/>
        <w:t>Schedule 2 has effect.</w:t>
      </w:r>
    </w:p>
    <w:p w:rsidR="006E093D" w:rsidRDefault="001768A5">
      <w:pPr>
        <w:pStyle w:val="MiscClose"/>
      </w:pPr>
      <w:r>
        <w:t>”.</w:t>
      </w:r>
    </w:p>
    <w:p w:rsidR="006E093D" w:rsidRDefault="001768A5">
      <w:pPr>
        <w:pStyle w:val="nSubsection"/>
      </w:pPr>
      <w:r>
        <w:tab/>
        <w:t>Schedule 2 Division 1 cl. 3(2) reads as follows:</w:t>
      </w:r>
    </w:p>
    <w:p w:rsidR="006E093D" w:rsidRDefault="001768A5">
      <w:pPr>
        <w:pStyle w:val="MiscOpen"/>
      </w:pPr>
      <w:r>
        <w:t>“</w:t>
      </w:r>
    </w:p>
    <w:p w:rsidR="006E093D" w:rsidRDefault="001768A5">
      <w:pPr>
        <w:pStyle w:val="nzHeading2"/>
      </w:pPr>
      <w:bookmarkStart w:id="67" w:name="_Toc107644221"/>
      <w:bookmarkStart w:id="68" w:name="_Toc112831167"/>
      <w:bookmarkStart w:id="69" w:name="_Toc112831362"/>
      <w:bookmarkStart w:id="70" w:name="_Toc112833486"/>
      <w:bookmarkStart w:id="71" w:name="_Toc114570035"/>
      <w:bookmarkStart w:id="72" w:name="_Toc130805118"/>
      <w:bookmarkStart w:id="73" w:name="_Toc130806155"/>
      <w:bookmarkStart w:id="74" w:name="_Toc130811866"/>
      <w:bookmarkStart w:id="75" w:name="_Toc131931592"/>
      <w:bookmarkStart w:id="76" w:name="_Toc131931824"/>
      <w:bookmarkStart w:id="77" w:name="_Toc131933107"/>
      <w:bookmarkStart w:id="78" w:name="_Toc132001090"/>
      <w:bookmarkStart w:id="79" w:name="_Toc133116262"/>
      <w:bookmarkStart w:id="80" w:name="_Toc104888101"/>
      <w:bookmarkStart w:id="81" w:name="_Toc112831180"/>
      <w:bookmarkStart w:id="82" w:name="_Toc112831375"/>
      <w:bookmarkStart w:id="83" w:name="_Toc112833499"/>
      <w:bookmarkStart w:id="84" w:name="_Toc114570048"/>
      <w:bookmarkStart w:id="85" w:name="_Toc130805131"/>
      <w:bookmarkStart w:id="86" w:name="_Toc130806168"/>
      <w:bookmarkStart w:id="87" w:name="_Toc130811879"/>
      <w:bookmarkStart w:id="88" w:name="_Toc131931605"/>
      <w:bookmarkStart w:id="89" w:name="_Toc131931837"/>
      <w:bookmarkStart w:id="90" w:name="_Toc131933120"/>
      <w:bookmarkStart w:id="91" w:name="_Toc132001103"/>
      <w:bookmarkStart w:id="92" w:name="_Toc133116275"/>
      <w:r>
        <w:rPr>
          <w:rStyle w:val="CharSchNo"/>
        </w:rPr>
        <w:t>Schedule 2</w:t>
      </w:r>
      <w:r>
        <w:t> — </w:t>
      </w:r>
      <w:r>
        <w:rPr>
          <w:rStyle w:val="CharSchText"/>
        </w:rPr>
        <w:t>Repeals, transitional provisions, consequential amendments to other Acts</w:t>
      </w:r>
      <w:bookmarkEnd w:id="67"/>
      <w:bookmarkEnd w:id="68"/>
      <w:bookmarkEnd w:id="69"/>
      <w:bookmarkEnd w:id="70"/>
      <w:bookmarkEnd w:id="71"/>
      <w:bookmarkEnd w:id="72"/>
      <w:bookmarkEnd w:id="73"/>
      <w:bookmarkEnd w:id="74"/>
      <w:bookmarkEnd w:id="75"/>
      <w:bookmarkEnd w:id="76"/>
      <w:bookmarkEnd w:id="77"/>
      <w:bookmarkEnd w:id="78"/>
      <w:bookmarkEnd w:id="79"/>
    </w:p>
    <w:p w:rsidR="006E093D" w:rsidRDefault="001768A5">
      <w:pPr>
        <w:pStyle w:val="nzMiscellaneousBody"/>
        <w:jc w:val="right"/>
      </w:pPr>
      <w:r>
        <w:t>[s. 126]</w:t>
      </w:r>
    </w:p>
    <w:p w:rsidR="006E093D" w:rsidRDefault="001768A5">
      <w:pPr>
        <w:pStyle w:val="nzHeading3"/>
      </w:pPr>
      <w:r>
        <w:rPr>
          <w:rStyle w:val="CharSDivNo"/>
        </w:rPr>
        <w:t>Division 1</w:t>
      </w:r>
      <w:r>
        <w:t> — </w:t>
      </w:r>
      <w:bookmarkEnd w:id="80"/>
      <w:bookmarkEnd w:id="81"/>
      <w:bookmarkEnd w:id="82"/>
      <w:bookmarkEnd w:id="83"/>
      <w:bookmarkEnd w:id="84"/>
      <w:bookmarkEnd w:id="85"/>
      <w:bookmarkEnd w:id="86"/>
      <w:bookmarkEnd w:id="87"/>
      <w:bookmarkEnd w:id="88"/>
      <w:bookmarkEnd w:id="89"/>
      <w:bookmarkEnd w:id="90"/>
      <w:bookmarkEnd w:id="91"/>
      <w:bookmarkEnd w:id="92"/>
      <w:r>
        <w:rPr>
          <w:rStyle w:val="CharSDivText"/>
        </w:rPr>
        <w:t>Repeals</w:t>
      </w:r>
    </w:p>
    <w:p w:rsidR="006E093D" w:rsidRDefault="001768A5">
      <w:pPr>
        <w:pStyle w:val="nzHeading5"/>
      </w:pPr>
      <w:bookmarkStart w:id="93" w:name="_Toc104888091"/>
      <w:bookmarkStart w:id="94" w:name="_Toc112831171"/>
      <w:bookmarkStart w:id="95" w:name="_Toc132001094"/>
      <w:bookmarkStart w:id="96" w:name="_Toc133116266"/>
      <w:r>
        <w:rPr>
          <w:rStyle w:val="CharSClsNo"/>
        </w:rPr>
        <w:t>3</w:t>
      </w:r>
      <w:r>
        <w:t>.</w:t>
      </w:r>
      <w:r>
        <w:tab/>
        <w:t xml:space="preserve">Regulations under the </w:t>
      </w:r>
      <w:r>
        <w:rPr>
          <w:i/>
          <w:iCs/>
        </w:rPr>
        <w:t>Health Act 1911</w:t>
      </w:r>
      <w:r>
        <w:t xml:space="preserve"> Part IXB repealed</w:t>
      </w:r>
      <w:bookmarkEnd w:id="93"/>
      <w:bookmarkEnd w:id="94"/>
      <w:bookmarkEnd w:id="95"/>
      <w:bookmarkEnd w:id="96"/>
    </w:p>
    <w:p w:rsidR="006E093D" w:rsidRDefault="001768A5">
      <w:pPr>
        <w:pStyle w:val="nzSubsection"/>
      </w:pPr>
      <w:r>
        <w:tab/>
        <w:t>(2)</w:t>
      </w:r>
      <w:r>
        <w:tab/>
        <w:t xml:space="preserve">The </w:t>
      </w:r>
      <w:r>
        <w:rPr>
          <w:i/>
        </w:rPr>
        <w:t>Health (Smoking in Enclosed Public Places) Regulations 2004</w:t>
      </w:r>
      <w:r>
        <w:t xml:space="preserve"> are repealed.</w:t>
      </w:r>
    </w:p>
    <w:p w:rsidR="006E093D" w:rsidRDefault="001768A5">
      <w:pPr>
        <w:pStyle w:val="MiscClose"/>
      </w:pPr>
      <w:r>
        <w:t>”.</w:t>
      </w:r>
    </w:p>
    <w:p w:rsidR="006E093D" w:rsidRDefault="006E093D"/>
    <w:p w:rsidR="006E093D" w:rsidRDefault="006E093D">
      <w:pPr>
        <w:sectPr w:rsidR="006E093D">
          <w:headerReference w:type="even" r:id="rId25"/>
          <w:headerReference w:type="default" r:id="rId26"/>
          <w:headerReference w:type="first" r:id="rId27"/>
          <w:endnotePr>
            <w:numFmt w:val="decimal"/>
          </w:endnotePr>
          <w:pgSz w:w="11906" w:h="16838" w:code="9"/>
          <w:pgMar w:top="2376" w:right="2404" w:bottom="3544" w:left="2404" w:header="720" w:footer="3380" w:gutter="0"/>
          <w:cols w:space="720"/>
          <w:noEndnote/>
          <w:docGrid w:linePitch="326"/>
        </w:sectPr>
      </w:pPr>
    </w:p>
    <w:p w:rsidR="006E093D" w:rsidRDefault="006E093D"/>
    <w:sectPr w:rsidR="006E093D">
      <w:headerReference w:type="even" r:id="rId28"/>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93D" w:rsidRDefault="001768A5">
      <w:pPr>
        <w:rPr>
          <w:b/>
          <w:sz w:val="28"/>
        </w:rPr>
      </w:pPr>
      <w:r>
        <w:rPr>
          <w:b/>
          <w:sz w:val="28"/>
        </w:rPr>
        <w:t>Endnotes</w:t>
      </w:r>
    </w:p>
    <w:p w:rsidR="006E093D" w:rsidRDefault="001768A5">
      <w:pPr>
        <w:spacing w:after="240"/>
        <w:rPr>
          <w:rFonts w:ascii="Times" w:hAnsi="Times"/>
          <w:sz w:val="18"/>
        </w:rPr>
      </w:pPr>
      <w:r>
        <w:rPr>
          <w:sz w:val="20"/>
        </w:rPr>
        <w:t>[For ease of reference detach these notes and read them alongside the draft.]</w:t>
      </w:r>
    </w:p>
  </w:endnote>
  <w:endnote w:type="continuationSeparator" w:id="0">
    <w:p w:rsidR="006E093D" w:rsidRDefault="006E093D">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93D" w:rsidRDefault="006E093D">
    <w:pPr>
      <w:pStyle w:val="Footer"/>
      <w:tabs>
        <w:tab w:val="clear" w:pos="4153"/>
        <w:tab w:val="right" w:pos="7088"/>
      </w:tabs>
      <w:rPr>
        <w:rStyle w:val="PageNumber"/>
      </w:rPr>
    </w:pPr>
  </w:p>
  <w:p w:rsidR="006E093D" w:rsidRDefault="001768A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E608C">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E608C">
      <w:rPr>
        <w:rFonts w:ascii="Arial" w:hAnsi="Arial" w:cs="Arial"/>
        <w:sz w:val="20"/>
        <w:lang w:val="en-US"/>
      </w:rPr>
      <w:t>12 Apr 2006</w:t>
    </w:r>
    <w:r>
      <w:rPr>
        <w:rFonts w:ascii="Arial" w:hAnsi="Arial" w:cs="Arial"/>
        <w:sz w:val="20"/>
        <w:lang w:val="en-US"/>
      </w:rPr>
      <w:fldChar w:fldCharType="end"/>
    </w:r>
  </w:p>
  <w:p w:rsidR="006E093D" w:rsidRDefault="001768A5">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93D" w:rsidRDefault="006E093D">
    <w:pPr>
      <w:pStyle w:val="Footer"/>
      <w:tabs>
        <w:tab w:val="clear" w:pos="4153"/>
        <w:tab w:val="right" w:pos="7088"/>
      </w:tabs>
      <w:rPr>
        <w:rStyle w:val="PageNumber"/>
      </w:rPr>
    </w:pPr>
  </w:p>
  <w:p w:rsidR="006E093D" w:rsidRDefault="001768A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E608C">
      <w:rPr>
        <w:rFonts w:ascii="Arial" w:hAnsi="Arial" w:cs="Arial"/>
        <w:sz w:val="20"/>
        <w:lang w:val="en-US"/>
      </w:rPr>
      <w:t>12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E608C">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r>
  </w:p>
  <w:p w:rsidR="006E093D" w:rsidRDefault="001768A5">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93D" w:rsidRDefault="006E093D">
    <w:pPr>
      <w:pStyle w:val="Footer"/>
      <w:tabs>
        <w:tab w:val="clear" w:pos="4153"/>
        <w:tab w:val="right" w:pos="7088"/>
      </w:tabs>
      <w:rPr>
        <w:rStyle w:val="PageNumber"/>
      </w:rPr>
    </w:pPr>
  </w:p>
  <w:p w:rsidR="006E093D" w:rsidRDefault="001768A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E608C">
      <w:rPr>
        <w:rFonts w:ascii="Arial" w:hAnsi="Arial" w:cs="Arial"/>
        <w:sz w:val="20"/>
        <w:lang w:val="en-US"/>
      </w:rPr>
      <w:t>12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E608C">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r>
  </w:p>
  <w:p w:rsidR="006E093D" w:rsidRDefault="001768A5">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93D" w:rsidRDefault="006E093D">
    <w:pPr>
      <w:pStyle w:val="Footer"/>
      <w:tabs>
        <w:tab w:val="clear" w:pos="4153"/>
        <w:tab w:val="right" w:pos="7088"/>
      </w:tabs>
      <w:rPr>
        <w:rStyle w:val="PageNumber"/>
      </w:rPr>
    </w:pPr>
  </w:p>
  <w:p w:rsidR="006E093D" w:rsidRDefault="001768A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E608C">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E608C">
      <w:rPr>
        <w:rFonts w:ascii="Arial" w:hAnsi="Arial" w:cs="Arial"/>
        <w:sz w:val="20"/>
        <w:lang w:val="en-US"/>
      </w:rPr>
      <w:t>12 Apr 2006</w:t>
    </w:r>
    <w:r>
      <w:rPr>
        <w:rFonts w:ascii="Arial" w:hAnsi="Arial" w:cs="Arial"/>
        <w:sz w:val="20"/>
        <w:lang w:val="en-US"/>
      </w:rPr>
      <w:fldChar w:fldCharType="end"/>
    </w:r>
  </w:p>
  <w:p w:rsidR="006E093D" w:rsidRDefault="001768A5">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93D" w:rsidRDefault="006E093D">
    <w:pPr>
      <w:pStyle w:val="Footer"/>
      <w:tabs>
        <w:tab w:val="clear" w:pos="4153"/>
        <w:tab w:val="right" w:pos="7088"/>
      </w:tabs>
      <w:rPr>
        <w:rStyle w:val="PageNumber"/>
      </w:rPr>
    </w:pPr>
  </w:p>
  <w:p w:rsidR="006E093D" w:rsidRDefault="001768A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E608C">
      <w:rPr>
        <w:rFonts w:ascii="Arial" w:hAnsi="Arial" w:cs="Arial"/>
        <w:sz w:val="20"/>
        <w:lang w:val="en-US"/>
      </w:rPr>
      <w:t>12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E608C">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6E093D" w:rsidRDefault="001768A5">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93D" w:rsidRDefault="006E093D">
    <w:pPr>
      <w:pStyle w:val="Footer"/>
      <w:tabs>
        <w:tab w:val="clear" w:pos="4153"/>
        <w:tab w:val="right" w:pos="7088"/>
      </w:tabs>
      <w:rPr>
        <w:rStyle w:val="PageNumber"/>
      </w:rPr>
    </w:pPr>
  </w:p>
  <w:p w:rsidR="006E093D" w:rsidRDefault="001768A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E608C">
      <w:rPr>
        <w:rFonts w:ascii="Arial" w:hAnsi="Arial" w:cs="Arial"/>
        <w:sz w:val="20"/>
        <w:lang w:val="en-US"/>
      </w:rPr>
      <w:t>12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E608C">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5E608C">
      <w:rPr>
        <w:rStyle w:val="PageNumber"/>
        <w:rFonts w:ascii="Arial" w:hAnsi="Arial" w:cs="Arial"/>
        <w:noProof/>
      </w:rPr>
      <w:t>i</w:t>
    </w:r>
    <w:r>
      <w:rPr>
        <w:rStyle w:val="PageNumber"/>
        <w:rFonts w:ascii="Arial" w:hAnsi="Arial" w:cs="Arial"/>
      </w:rPr>
      <w:fldChar w:fldCharType="end"/>
    </w:r>
  </w:p>
  <w:p w:rsidR="006E093D" w:rsidRDefault="001768A5">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93D" w:rsidRDefault="006E093D">
    <w:pPr>
      <w:pStyle w:val="Footer"/>
      <w:tabs>
        <w:tab w:val="clear" w:pos="4153"/>
        <w:tab w:val="right" w:pos="7088"/>
      </w:tabs>
      <w:rPr>
        <w:rStyle w:val="PageNumber"/>
      </w:rPr>
    </w:pPr>
  </w:p>
  <w:p w:rsidR="006E093D" w:rsidRDefault="001768A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E608C">
      <w:rPr>
        <w:rStyle w:val="CharPageNo"/>
        <w:rFonts w:ascii="Arial" w:hAnsi="Arial"/>
        <w:noProof/>
      </w:rPr>
      <w:t>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E608C">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E608C">
      <w:rPr>
        <w:rFonts w:ascii="Arial" w:hAnsi="Arial" w:cs="Arial"/>
        <w:sz w:val="20"/>
        <w:lang w:val="en-US"/>
      </w:rPr>
      <w:t>12 Apr 2006</w:t>
    </w:r>
    <w:r>
      <w:rPr>
        <w:rFonts w:ascii="Arial" w:hAnsi="Arial" w:cs="Arial"/>
        <w:sz w:val="20"/>
        <w:lang w:val="en-US"/>
      </w:rPr>
      <w:fldChar w:fldCharType="end"/>
    </w:r>
    <w:r>
      <w:rPr>
        <w:rFonts w:ascii="Arial" w:hAnsi="Arial" w:cs="Arial"/>
        <w:sz w:val="20"/>
        <w:lang w:val="en-US"/>
      </w:rPr>
      <w:t xml:space="preserve"> </w:t>
    </w:r>
  </w:p>
  <w:p w:rsidR="006E093D" w:rsidRDefault="001768A5">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93D" w:rsidRDefault="006E093D">
    <w:pPr>
      <w:pStyle w:val="Footer"/>
      <w:tabs>
        <w:tab w:val="clear" w:pos="4153"/>
        <w:tab w:val="right" w:pos="7088"/>
      </w:tabs>
      <w:rPr>
        <w:rStyle w:val="PageNumber"/>
      </w:rPr>
    </w:pPr>
  </w:p>
  <w:p w:rsidR="006E093D" w:rsidRDefault="001768A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E608C">
      <w:rPr>
        <w:rFonts w:ascii="Arial" w:hAnsi="Arial" w:cs="Arial"/>
        <w:sz w:val="20"/>
        <w:lang w:val="en-US"/>
      </w:rPr>
      <w:t>12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E608C">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E608C">
      <w:rPr>
        <w:rStyle w:val="CharPageNo"/>
        <w:rFonts w:ascii="Arial" w:hAnsi="Arial"/>
        <w:noProof/>
      </w:rPr>
      <w:t>5</w:t>
    </w:r>
    <w:r>
      <w:rPr>
        <w:rStyle w:val="CharPageNo"/>
        <w:rFonts w:ascii="Arial" w:hAnsi="Arial"/>
      </w:rPr>
      <w:fldChar w:fldCharType="end"/>
    </w:r>
  </w:p>
  <w:p w:rsidR="006E093D" w:rsidRDefault="001768A5">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93D" w:rsidRDefault="006E093D">
    <w:pPr>
      <w:pStyle w:val="Footer"/>
      <w:tabs>
        <w:tab w:val="clear" w:pos="4153"/>
        <w:tab w:val="right" w:pos="7088"/>
      </w:tabs>
      <w:rPr>
        <w:rStyle w:val="PageNumber"/>
      </w:rPr>
    </w:pPr>
  </w:p>
  <w:p w:rsidR="006E093D" w:rsidRDefault="001768A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E608C">
      <w:rPr>
        <w:rFonts w:ascii="Arial" w:hAnsi="Arial" w:cs="Arial"/>
        <w:sz w:val="20"/>
        <w:lang w:val="en-US"/>
      </w:rPr>
      <w:t>12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E608C">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E608C">
      <w:rPr>
        <w:rStyle w:val="CharPageNo"/>
        <w:rFonts w:ascii="Arial" w:hAnsi="Arial"/>
        <w:noProof/>
      </w:rPr>
      <w:t>1</w:t>
    </w:r>
    <w:r>
      <w:rPr>
        <w:rStyle w:val="CharPageNo"/>
        <w:rFonts w:ascii="Arial" w:hAnsi="Arial"/>
      </w:rPr>
      <w:fldChar w:fldCharType="end"/>
    </w:r>
  </w:p>
  <w:p w:rsidR="006E093D" w:rsidRDefault="001768A5">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93D" w:rsidRDefault="001768A5">
      <w:r>
        <w:separator/>
      </w:r>
    </w:p>
  </w:footnote>
  <w:footnote w:type="continuationSeparator" w:id="0">
    <w:p w:rsidR="006E093D" w:rsidRDefault="001768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93D" w:rsidRDefault="001768A5">
    <w:pPr>
      <w:pStyle w:val="headerpartodd"/>
      <w:ind w:left="0" w:firstLine="0"/>
      <w:rPr>
        <w:i/>
      </w:rPr>
    </w:pPr>
    <w:r>
      <w:rPr>
        <w:i/>
      </w:rPr>
      <w:fldChar w:fldCharType="begin"/>
    </w:r>
    <w:r>
      <w:rPr>
        <w:i/>
      </w:rPr>
      <w:instrText xml:space="preserve"> Styleref "Name of Act/Reg" </w:instrText>
    </w:r>
    <w:r>
      <w:rPr>
        <w:i/>
      </w:rPr>
      <w:fldChar w:fldCharType="separate"/>
    </w:r>
    <w:r w:rsidR="005E608C">
      <w:rPr>
        <w:i/>
        <w:noProof/>
      </w:rPr>
      <w:t>Health (Smoking in Enclosed Public Places) Regulations 2004</w:t>
    </w:r>
    <w:r>
      <w:rPr>
        <w:i/>
      </w:rPr>
      <w:fldChar w:fldCharType="end"/>
    </w:r>
  </w:p>
  <w:p w:rsidR="006E093D" w:rsidRDefault="001768A5">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6E093D" w:rsidRDefault="001768A5">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6E093D" w:rsidRDefault="006E093D">
    <w:pPr>
      <w:pStyle w:val="headerpart"/>
    </w:pPr>
  </w:p>
  <w:p w:rsidR="006E093D" w:rsidRDefault="006E093D">
    <w:pPr>
      <w:pBdr>
        <w:bottom w:val="single" w:sz="6" w:space="1" w:color="auto"/>
      </w:pBdr>
      <w:rPr>
        <w:b/>
      </w:rPr>
    </w:pPr>
  </w:p>
  <w:p w:rsidR="006E093D" w:rsidRDefault="006E093D">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6E093D">
      <w:trPr>
        <w:cantSplit/>
      </w:trPr>
      <w:tc>
        <w:tcPr>
          <w:tcW w:w="7258" w:type="dxa"/>
          <w:gridSpan w:val="2"/>
        </w:tcPr>
        <w:p w:rsidR="006E093D" w:rsidRDefault="001768A5">
          <w:pPr>
            <w:pStyle w:val="HeaderActNameRight"/>
            <w:ind w:right="17"/>
          </w:pPr>
          <w:fldSimple w:instr=" Styleref &quot;Name of Act/Reg&quot; ">
            <w:r w:rsidR="005E608C">
              <w:rPr>
                <w:noProof/>
              </w:rPr>
              <w:t>Health (Smoking in Enclosed Public Places) Regulations 2004</w:t>
            </w:r>
          </w:fldSimple>
        </w:p>
      </w:tc>
    </w:tr>
    <w:tr w:rsidR="006E093D">
      <w:tc>
        <w:tcPr>
          <w:tcW w:w="5715" w:type="dxa"/>
        </w:tcPr>
        <w:p w:rsidR="006E093D" w:rsidRDefault="006E093D">
          <w:pPr>
            <w:pStyle w:val="HeaderTextRight"/>
          </w:pPr>
        </w:p>
      </w:tc>
      <w:tc>
        <w:tcPr>
          <w:tcW w:w="1548" w:type="dxa"/>
        </w:tcPr>
        <w:p w:rsidR="006E093D" w:rsidRDefault="006E093D">
          <w:pPr>
            <w:pStyle w:val="HeaderNumberRight"/>
            <w:ind w:right="17"/>
          </w:pPr>
        </w:p>
      </w:tc>
    </w:tr>
    <w:tr w:rsidR="006E093D">
      <w:tc>
        <w:tcPr>
          <w:tcW w:w="5715" w:type="dxa"/>
        </w:tcPr>
        <w:p w:rsidR="006E093D" w:rsidRDefault="006E093D">
          <w:pPr>
            <w:pStyle w:val="HeaderTextRight"/>
          </w:pPr>
        </w:p>
      </w:tc>
      <w:tc>
        <w:tcPr>
          <w:tcW w:w="1548" w:type="dxa"/>
        </w:tcPr>
        <w:p w:rsidR="006E093D" w:rsidRDefault="006E093D">
          <w:pPr>
            <w:pStyle w:val="HeaderNumberRight"/>
            <w:ind w:right="17"/>
          </w:pPr>
        </w:p>
      </w:tc>
    </w:tr>
    <w:tr w:rsidR="006E093D">
      <w:trPr>
        <w:cantSplit/>
      </w:trPr>
      <w:tc>
        <w:tcPr>
          <w:tcW w:w="7258" w:type="dxa"/>
          <w:gridSpan w:val="2"/>
        </w:tcPr>
        <w:p w:rsidR="006E093D" w:rsidRDefault="006E093D">
          <w:pPr>
            <w:pStyle w:val="HeaderSectionRight"/>
            <w:ind w:right="17"/>
          </w:pPr>
        </w:p>
      </w:tc>
    </w:tr>
  </w:tbl>
  <w:p w:rsidR="006E093D" w:rsidRDefault="006E093D">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93D" w:rsidRDefault="006E093D">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93D" w:rsidRDefault="006E09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08C" w:rsidRDefault="005E608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08C" w:rsidRDefault="005E608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6E093D">
      <w:trPr>
        <w:cantSplit/>
      </w:trPr>
      <w:tc>
        <w:tcPr>
          <w:tcW w:w="7258" w:type="dxa"/>
          <w:gridSpan w:val="2"/>
        </w:tcPr>
        <w:p w:rsidR="006E093D" w:rsidRDefault="001768A5">
          <w:pPr>
            <w:pStyle w:val="HeaderActNameLeft"/>
          </w:pPr>
          <w:fldSimple w:instr=" Styleref &quot;Name of Act/Reg&quot; ">
            <w:r w:rsidR="005E608C">
              <w:rPr>
                <w:noProof/>
              </w:rPr>
              <w:t>Health (Smoking in Enclosed Public Places) Regulations 2004</w:t>
            </w:r>
          </w:fldSimple>
        </w:p>
      </w:tc>
    </w:tr>
    <w:tr w:rsidR="006E093D">
      <w:tc>
        <w:tcPr>
          <w:tcW w:w="1548" w:type="dxa"/>
        </w:tcPr>
        <w:p w:rsidR="006E093D" w:rsidRDefault="006E093D">
          <w:pPr>
            <w:pStyle w:val="HeaderNumberLeft"/>
          </w:pPr>
        </w:p>
      </w:tc>
      <w:tc>
        <w:tcPr>
          <w:tcW w:w="5715" w:type="dxa"/>
        </w:tcPr>
        <w:p w:rsidR="006E093D" w:rsidRDefault="006E093D">
          <w:pPr>
            <w:pStyle w:val="HeaderTextLeft"/>
          </w:pPr>
        </w:p>
      </w:tc>
    </w:tr>
    <w:tr w:rsidR="006E093D">
      <w:tc>
        <w:tcPr>
          <w:tcW w:w="1548" w:type="dxa"/>
        </w:tcPr>
        <w:p w:rsidR="006E093D" w:rsidRDefault="006E093D">
          <w:pPr>
            <w:pStyle w:val="HeaderNumberLeft"/>
          </w:pPr>
        </w:p>
      </w:tc>
      <w:tc>
        <w:tcPr>
          <w:tcW w:w="5715" w:type="dxa"/>
        </w:tcPr>
        <w:p w:rsidR="006E093D" w:rsidRDefault="006E093D">
          <w:pPr>
            <w:pStyle w:val="HeaderTextLeft"/>
          </w:pPr>
        </w:p>
      </w:tc>
    </w:tr>
    <w:tr w:rsidR="006E093D">
      <w:trPr>
        <w:cantSplit/>
      </w:trPr>
      <w:tc>
        <w:tcPr>
          <w:tcW w:w="7258" w:type="dxa"/>
          <w:gridSpan w:val="2"/>
        </w:tcPr>
        <w:p w:rsidR="006E093D" w:rsidRDefault="001768A5">
          <w:pPr>
            <w:pStyle w:val="HeaderSectionLeft"/>
            <w:rPr>
              <w:b w:val="0"/>
            </w:rPr>
          </w:pPr>
          <w:r>
            <w:rPr>
              <w:b w:val="0"/>
            </w:rPr>
            <w:t>Contents</w:t>
          </w:r>
        </w:p>
      </w:tc>
    </w:tr>
  </w:tbl>
  <w:p w:rsidR="006E093D" w:rsidRDefault="006E093D">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6E093D">
      <w:trPr>
        <w:cantSplit/>
      </w:trPr>
      <w:tc>
        <w:tcPr>
          <w:tcW w:w="7258" w:type="dxa"/>
          <w:gridSpan w:val="2"/>
        </w:tcPr>
        <w:p w:rsidR="006E093D" w:rsidRDefault="001768A5">
          <w:pPr>
            <w:pStyle w:val="HeaderActNameRight"/>
            <w:ind w:right="17"/>
          </w:pPr>
          <w:fldSimple w:instr=" Styleref &quot;Name of Act/Reg&quot; ">
            <w:r w:rsidR="005E608C">
              <w:rPr>
                <w:noProof/>
              </w:rPr>
              <w:t>Health (Smoking in Enclosed Public Places) Regulations 2004</w:t>
            </w:r>
          </w:fldSimple>
        </w:p>
      </w:tc>
    </w:tr>
    <w:tr w:rsidR="006E093D">
      <w:tc>
        <w:tcPr>
          <w:tcW w:w="5715" w:type="dxa"/>
        </w:tcPr>
        <w:p w:rsidR="006E093D" w:rsidRDefault="006E093D">
          <w:pPr>
            <w:pStyle w:val="HeaderTextRight"/>
          </w:pPr>
        </w:p>
      </w:tc>
      <w:tc>
        <w:tcPr>
          <w:tcW w:w="1548" w:type="dxa"/>
        </w:tcPr>
        <w:p w:rsidR="006E093D" w:rsidRDefault="006E093D">
          <w:pPr>
            <w:pStyle w:val="HeaderNumberRight"/>
            <w:ind w:right="17"/>
          </w:pPr>
        </w:p>
      </w:tc>
    </w:tr>
    <w:tr w:rsidR="006E093D">
      <w:tc>
        <w:tcPr>
          <w:tcW w:w="5715" w:type="dxa"/>
        </w:tcPr>
        <w:p w:rsidR="006E093D" w:rsidRDefault="006E093D">
          <w:pPr>
            <w:pStyle w:val="HeaderTextRight"/>
          </w:pPr>
        </w:p>
      </w:tc>
      <w:tc>
        <w:tcPr>
          <w:tcW w:w="1548" w:type="dxa"/>
        </w:tcPr>
        <w:p w:rsidR="006E093D" w:rsidRDefault="006E093D">
          <w:pPr>
            <w:pStyle w:val="HeaderNumberRight"/>
            <w:ind w:right="17"/>
          </w:pPr>
        </w:p>
      </w:tc>
    </w:tr>
    <w:tr w:rsidR="006E093D">
      <w:trPr>
        <w:cantSplit/>
      </w:trPr>
      <w:tc>
        <w:tcPr>
          <w:tcW w:w="7258" w:type="dxa"/>
          <w:gridSpan w:val="2"/>
        </w:tcPr>
        <w:p w:rsidR="006E093D" w:rsidRDefault="001768A5">
          <w:pPr>
            <w:pStyle w:val="HeaderSectionRight"/>
            <w:ind w:right="17"/>
            <w:rPr>
              <w:b w:val="0"/>
            </w:rPr>
          </w:pPr>
          <w:r>
            <w:rPr>
              <w:b w:val="0"/>
            </w:rPr>
            <w:t>Contents</w:t>
          </w:r>
        </w:p>
      </w:tc>
    </w:tr>
  </w:tbl>
  <w:p w:rsidR="006E093D" w:rsidRDefault="006E093D">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6E093D">
      <w:trPr>
        <w:cantSplit/>
      </w:trPr>
      <w:tc>
        <w:tcPr>
          <w:tcW w:w="7258" w:type="dxa"/>
          <w:gridSpan w:val="2"/>
        </w:tcPr>
        <w:p w:rsidR="006E093D" w:rsidRDefault="001768A5">
          <w:pPr>
            <w:pStyle w:val="HeaderActNameLeft"/>
          </w:pPr>
          <w:fldSimple w:instr=" Styleref &quot;Name of Act/Reg&quot; ">
            <w:r w:rsidR="005E608C">
              <w:rPr>
                <w:noProof/>
              </w:rPr>
              <w:t>Health (Smoking in Enclosed Public Places) Regulations 2004</w:t>
            </w:r>
          </w:fldSimple>
        </w:p>
      </w:tc>
    </w:tr>
    <w:tr w:rsidR="006E093D">
      <w:tc>
        <w:tcPr>
          <w:tcW w:w="1548" w:type="dxa"/>
        </w:tcPr>
        <w:p w:rsidR="006E093D" w:rsidRDefault="001768A5">
          <w:pPr>
            <w:pStyle w:val="HeaderNumberLeft"/>
          </w:pPr>
          <w:r>
            <w:fldChar w:fldCharType="begin"/>
          </w:r>
          <w:r>
            <w:instrText xml:space="preserve"> styleref CharPartNo </w:instrText>
          </w:r>
          <w:r>
            <w:fldChar w:fldCharType="end"/>
          </w:r>
        </w:p>
      </w:tc>
      <w:tc>
        <w:tcPr>
          <w:tcW w:w="5715" w:type="dxa"/>
        </w:tcPr>
        <w:p w:rsidR="006E093D" w:rsidRDefault="001768A5">
          <w:pPr>
            <w:pStyle w:val="HeaderTextLeft"/>
          </w:pPr>
          <w:r>
            <w:fldChar w:fldCharType="begin"/>
          </w:r>
          <w:r>
            <w:instrText xml:space="preserve"> styleref CharPartText </w:instrText>
          </w:r>
          <w:r>
            <w:fldChar w:fldCharType="end"/>
          </w:r>
        </w:p>
      </w:tc>
    </w:tr>
    <w:tr w:rsidR="006E093D">
      <w:tc>
        <w:tcPr>
          <w:tcW w:w="1548" w:type="dxa"/>
        </w:tcPr>
        <w:p w:rsidR="006E093D" w:rsidRDefault="001768A5">
          <w:pPr>
            <w:pStyle w:val="HeaderNumberLeft"/>
          </w:pPr>
          <w:r>
            <w:fldChar w:fldCharType="begin"/>
          </w:r>
          <w:r>
            <w:instrText xml:space="preserve"> styleref CharDivNo </w:instrText>
          </w:r>
          <w:r>
            <w:fldChar w:fldCharType="end"/>
          </w:r>
        </w:p>
      </w:tc>
      <w:tc>
        <w:tcPr>
          <w:tcW w:w="5715" w:type="dxa"/>
        </w:tcPr>
        <w:p w:rsidR="006E093D" w:rsidRDefault="001768A5">
          <w:pPr>
            <w:pStyle w:val="HeaderTextLeft"/>
          </w:pPr>
          <w:r>
            <w:fldChar w:fldCharType="begin"/>
          </w:r>
          <w:r>
            <w:instrText xml:space="preserve"> styleref CharDivText </w:instrText>
          </w:r>
          <w:r>
            <w:fldChar w:fldCharType="end"/>
          </w:r>
        </w:p>
      </w:tc>
    </w:tr>
    <w:tr w:rsidR="006E093D">
      <w:trPr>
        <w:cantSplit/>
      </w:trPr>
      <w:tc>
        <w:tcPr>
          <w:tcW w:w="7258" w:type="dxa"/>
          <w:gridSpan w:val="2"/>
        </w:tcPr>
        <w:p w:rsidR="006E093D" w:rsidRDefault="001768A5">
          <w:pPr>
            <w:pStyle w:val="HeaderSectionLeft"/>
          </w:pPr>
          <w:r>
            <w:t xml:space="preserve">r. </w:t>
          </w:r>
          <w:fldSimple w:instr=" styleref CharSectno ">
            <w:r w:rsidR="005E608C">
              <w:rPr>
                <w:noProof/>
              </w:rPr>
              <w:t>1</w:t>
            </w:r>
          </w:fldSimple>
        </w:p>
      </w:tc>
    </w:tr>
  </w:tbl>
  <w:p w:rsidR="006E093D" w:rsidRDefault="006E093D">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6E093D">
      <w:trPr>
        <w:cantSplit/>
      </w:trPr>
      <w:tc>
        <w:tcPr>
          <w:tcW w:w="7258" w:type="dxa"/>
          <w:gridSpan w:val="2"/>
        </w:tcPr>
        <w:p w:rsidR="006E093D" w:rsidRDefault="001768A5">
          <w:pPr>
            <w:pStyle w:val="HeaderActNameRight"/>
            <w:ind w:right="17"/>
          </w:pPr>
          <w:fldSimple w:instr=" Styleref &quot;Name of Act/Reg&quot; ">
            <w:r w:rsidR="005E608C">
              <w:rPr>
                <w:noProof/>
              </w:rPr>
              <w:t>Health (Smoking in Enclosed Public Places) Regulations 2004</w:t>
            </w:r>
          </w:fldSimple>
        </w:p>
      </w:tc>
    </w:tr>
    <w:tr w:rsidR="006E093D">
      <w:tc>
        <w:tcPr>
          <w:tcW w:w="5715" w:type="dxa"/>
        </w:tcPr>
        <w:p w:rsidR="006E093D" w:rsidRDefault="001768A5">
          <w:pPr>
            <w:pStyle w:val="HeaderTextRight"/>
          </w:pPr>
          <w:r>
            <w:fldChar w:fldCharType="begin"/>
          </w:r>
          <w:r>
            <w:instrText xml:space="preserve"> styleref CharPartText </w:instrText>
          </w:r>
          <w:r>
            <w:fldChar w:fldCharType="end"/>
          </w:r>
        </w:p>
      </w:tc>
      <w:tc>
        <w:tcPr>
          <w:tcW w:w="1548" w:type="dxa"/>
        </w:tcPr>
        <w:p w:rsidR="006E093D" w:rsidRDefault="001768A5">
          <w:pPr>
            <w:pStyle w:val="HeaderNumberRight"/>
            <w:ind w:right="17"/>
          </w:pPr>
          <w:r>
            <w:fldChar w:fldCharType="begin"/>
          </w:r>
          <w:r>
            <w:instrText xml:space="preserve"> styleref CharPartNo </w:instrText>
          </w:r>
          <w:r>
            <w:fldChar w:fldCharType="end"/>
          </w:r>
        </w:p>
      </w:tc>
    </w:tr>
    <w:tr w:rsidR="006E093D">
      <w:tc>
        <w:tcPr>
          <w:tcW w:w="5715" w:type="dxa"/>
        </w:tcPr>
        <w:p w:rsidR="006E093D" w:rsidRDefault="001768A5">
          <w:pPr>
            <w:pStyle w:val="HeaderTextRight"/>
          </w:pPr>
          <w:r>
            <w:fldChar w:fldCharType="begin"/>
          </w:r>
          <w:r>
            <w:instrText xml:space="preserve"> styleref CharDivText </w:instrText>
          </w:r>
          <w:r>
            <w:fldChar w:fldCharType="end"/>
          </w:r>
        </w:p>
      </w:tc>
      <w:tc>
        <w:tcPr>
          <w:tcW w:w="1548" w:type="dxa"/>
        </w:tcPr>
        <w:p w:rsidR="006E093D" w:rsidRDefault="001768A5">
          <w:pPr>
            <w:pStyle w:val="HeaderNumberRight"/>
            <w:ind w:right="17"/>
          </w:pPr>
          <w:r>
            <w:fldChar w:fldCharType="begin"/>
          </w:r>
          <w:r>
            <w:instrText xml:space="preserve"> styleref CharDivNo </w:instrText>
          </w:r>
          <w:r>
            <w:fldChar w:fldCharType="end"/>
          </w:r>
        </w:p>
      </w:tc>
    </w:tr>
    <w:tr w:rsidR="006E093D">
      <w:trPr>
        <w:cantSplit/>
      </w:trPr>
      <w:tc>
        <w:tcPr>
          <w:tcW w:w="7258" w:type="dxa"/>
          <w:gridSpan w:val="2"/>
        </w:tcPr>
        <w:p w:rsidR="006E093D" w:rsidRDefault="001768A5">
          <w:pPr>
            <w:pStyle w:val="HeaderSectionRight"/>
            <w:ind w:right="17"/>
          </w:pPr>
          <w:r>
            <w:t xml:space="preserve">r. </w:t>
          </w:r>
          <w:fldSimple w:instr=" styleref CharSectno ">
            <w:r w:rsidR="005E608C">
              <w:rPr>
                <w:noProof/>
              </w:rPr>
              <w:t>1</w:t>
            </w:r>
          </w:fldSimple>
        </w:p>
      </w:tc>
    </w:tr>
  </w:tbl>
  <w:p w:rsidR="006E093D" w:rsidRDefault="006E093D">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93D" w:rsidRDefault="006E093D">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6E093D">
      <w:trPr>
        <w:cantSplit/>
      </w:trPr>
      <w:tc>
        <w:tcPr>
          <w:tcW w:w="7258" w:type="dxa"/>
          <w:gridSpan w:val="2"/>
        </w:tcPr>
        <w:p w:rsidR="006E093D" w:rsidRDefault="001768A5">
          <w:pPr>
            <w:pStyle w:val="HeaderActNameLeft"/>
          </w:pPr>
          <w:fldSimple w:instr=" Styleref &quot;Name of Act/Reg&quot; ">
            <w:r w:rsidR="005E608C">
              <w:rPr>
                <w:noProof/>
              </w:rPr>
              <w:t>Health (Smoking in Enclosed Public Places) Regulations 2004</w:t>
            </w:r>
          </w:fldSimple>
        </w:p>
      </w:tc>
    </w:tr>
    <w:tr w:rsidR="006E093D">
      <w:tc>
        <w:tcPr>
          <w:tcW w:w="1548" w:type="dxa"/>
        </w:tcPr>
        <w:p w:rsidR="006E093D" w:rsidRDefault="006E093D">
          <w:pPr>
            <w:pStyle w:val="HeaderNumberLeft"/>
          </w:pPr>
        </w:p>
      </w:tc>
      <w:tc>
        <w:tcPr>
          <w:tcW w:w="5715" w:type="dxa"/>
        </w:tcPr>
        <w:p w:rsidR="006E093D" w:rsidRDefault="006E093D">
          <w:pPr>
            <w:pStyle w:val="HeaderTextLeft"/>
          </w:pPr>
        </w:p>
      </w:tc>
    </w:tr>
    <w:tr w:rsidR="006E093D">
      <w:tc>
        <w:tcPr>
          <w:tcW w:w="1548" w:type="dxa"/>
        </w:tcPr>
        <w:p w:rsidR="006E093D" w:rsidRDefault="006E093D">
          <w:pPr>
            <w:pStyle w:val="HeaderNumberLeft"/>
          </w:pPr>
        </w:p>
      </w:tc>
      <w:tc>
        <w:tcPr>
          <w:tcW w:w="5715" w:type="dxa"/>
        </w:tcPr>
        <w:p w:rsidR="006E093D" w:rsidRDefault="006E093D">
          <w:pPr>
            <w:pStyle w:val="HeaderTextLeft"/>
          </w:pPr>
        </w:p>
      </w:tc>
    </w:tr>
    <w:tr w:rsidR="006E093D">
      <w:trPr>
        <w:cantSplit/>
      </w:trPr>
      <w:tc>
        <w:tcPr>
          <w:tcW w:w="7258" w:type="dxa"/>
          <w:gridSpan w:val="2"/>
        </w:tcPr>
        <w:p w:rsidR="006E093D" w:rsidRDefault="006E093D">
          <w:pPr>
            <w:pStyle w:val="HeaderSectionRight"/>
            <w:ind w:right="17"/>
            <w:jc w:val="left"/>
          </w:pPr>
        </w:p>
      </w:tc>
    </w:tr>
  </w:tbl>
  <w:p w:rsidR="006E093D" w:rsidRDefault="006E093D">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8962FA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26EE98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17AA0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779ACE5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2A0A46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37644A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8D24EB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0C0AB1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93A06DC"/>
    <w:lvl w:ilvl="0">
      <w:start w:val="1"/>
      <w:numFmt w:val="decimal"/>
      <w:pStyle w:val="ListNumber"/>
      <w:lvlText w:val="%1."/>
      <w:lvlJc w:val="left"/>
      <w:pPr>
        <w:tabs>
          <w:tab w:val="num" w:pos="360"/>
        </w:tabs>
        <w:ind w:left="360" w:hanging="360"/>
      </w:pPr>
    </w:lvl>
  </w:abstractNum>
  <w:abstractNum w:abstractNumId="9">
    <w:nsid w:val="FFFFFF89"/>
    <w:multiLevelType w:val="singleLevel"/>
    <w:tmpl w:val="1DFCC1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D8DAC50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E1F6432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23"/>
  </w:num>
  <w:num w:numId="14">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activeWritingStyle w:appName="MSWord" w:lang="en-AU" w:vendorID="64" w:dllVersion="131077" w:nlCheck="1" w:checkStyle="1"/>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8A5"/>
    <w:rsid w:val="001768A5"/>
    <w:rsid w:val="005E608C"/>
    <w:rsid w:val="006E093D"/>
    <w:rsid w:val="00D3788F"/>
    <w:rsid w:val="00DA53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val="en-US"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val="en-US"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nzDefpara">
    <w:name w:val="nzDefpara"/>
    <w:basedOn w:val="zDefpara"/>
    <w:pPr>
      <w:spacing w:before="40" w:line="240" w:lineRule="auto"/>
    </w:pPr>
    <w:rPr>
      <w:sz w:val="20"/>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4"/>
      </w:numPr>
      <w:tabs>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autoRedefine/>
    <w:semiHidden/>
    <w:pPr>
      <w:spacing w:before="60" w:after="20"/>
      <w:ind w:left="1701" w:hanging="567"/>
    </w:pPr>
    <w:rPr>
      <w:b/>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i/>
      <w:sz w:val="24"/>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val="en-US"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val="en-US"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nzDefpara">
    <w:name w:val="nzDefpara"/>
    <w:basedOn w:val="zDefpara"/>
    <w:pPr>
      <w:spacing w:before="40" w:line="240" w:lineRule="auto"/>
    </w:pPr>
    <w:rPr>
      <w:sz w:val="20"/>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4"/>
      </w:numPr>
      <w:tabs>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autoRedefine/>
    <w:semiHidden/>
    <w:pPr>
      <w:spacing w:before="60" w:after="20"/>
      <w:ind w:left="1701" w:hanging="567"/>
    </w:pPr>
    <w:rPr>
      <w:b/>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i/>
      <w:sz w:val="24"/>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1453</Words>
  <Characters>7280</Characters>
  <Application>Microsoft Office Word</Application>
  <DocSecurity>0</DocSecurity>
  <Lines>227</Lines>
  <Paragraphs>145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Drafting Template (Regs)</vt:lpstr>
      <vt:lpstr>    Notes</vt:lpstr>
    </vt:vector>
  </TitlesOfParts>
  <Company>Parliamentary Counsel's Office</Company>
  <LinksUpToDate>false</LinksUpToDate>
  <CharactersWithSpaces>8588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(Smoking in Enclosed Public Places) Regulations 2004 - 00-b0-02</dc:title>
  <dc:subject>Subsidiary Legislation</dc:subject>
  <dc:creator>Alison O'Dwyer</dc:creator>
  <cp:keywords>Brought into Production 7 June 2002</cp:keywords>
  <dc:description/>
  <cp:lastModifiedBy>svcMRProcess</cp:lastModifiedBy>
  <cp:revision>4</cp:revision>
  <cp:lastPrinted>2004-11-22T04:11:00Z</cp:lastPrinted>
  <dcterms:created xsi:type="dcterms:W3CDTF">2013-02-16T00:48:00Z</dcterms:created>
  <dcterms:modified xsi:type="dcterms:W3CDTF">2013-02-16T00:48:00Z</dcterms:modified>
  <cp:category>Reg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Nov 2004 p 5507-14</vt:lpwstr>
  </property>
  <property fmtid="{D5CDD505-2E9C-101B-9397-08002B2CF9AE}" pid="3" name="CommencementDate">
    <vt:lpwstr>20060412</vt:lpwstr>
  </property>
  <property fmtid="{D5CDD505-2E9C-101B-9397-08002B2CF9AE}" pid="4" name="DocumentType">
    <vt:lpwstr>Reg</vt:lpwstr>
  </property>
  <property fmtid="{D5CDD505-2E9C-101B-9397-08002B2CF9AE}" pid="5" name="OwlsUID">
    <vt:i4>37152</vt:i4>
  </property>
  <property fmtid="{D5CDD505-2E9C-101B-9397-08002B2CF9AE}" pid="6" name="AsAtDate">
    <vt:lpwstr>12 Apr 2006</vt:lpwstr>
  </property>
  <property fmtid="{D5CDD505-2E9C-101B-9397-08002B2CF9AE}" pid="7" name="Suffix">
    <vt:lpwstr>00-b0-02</vt:lpwstr>
  </property>
</Properties>
</file>