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EA" w:rsidRDefault="00515FB2">
      <w:pPr>
        <w:pStyle w:val="WA"/>
      </w:pPr>
      <w:bookmarkStart w:id="0" w:name="_GoBack"/>
      <w:bookmarkEnd w:id="0"/>
      <w:r>
        <w:t>Western Australia</w:t>
      </w:r>
    </w:p>
    <w:p w:rsidR="00E646EA" w:rsidRDefault="00515FB2">
      <w:pPr>
        <w:pStyle w:val="NameofActRegPage1"/>
        <w:spacing w:before="3760" w:after="4200"/>
        <w:ind w:left="284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B7629">
        <w:rPr>
          <w:noProof/>
        </w:rPr>
        <w:t>Hospitals and Health Services (Day Hospital Facility) Determination (No. 2) 2005</w:t>
      </w:r>
      <w:r>
        <w:fldChar w:fldCharType="end"/>
      </w:r>
    </w:p>
    <w:p w:rsidR="00E646EA" w:rsidRDefault="00E646EA">
      <w:pPr>
        <w:jc w:val="center"/>
        <w:rPr>
          <w:b/>
        </w:rPr>
        <w:sectPr w:rsidR="00E646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646EA" w:rsidRDefault="00515FB2">
      <w:pPr>
        <w:pStyle w:val="WA"/>
      </w:pPr>
      <w:r>
        <w:lastRenderedPageBreak/>
        <w:t>Western Australia</w:t>
      </w:r>
    </w:p>
    <w:p w:rsidR="00E646EA" w:rsidRDefault="00515FB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B7629">
        <w:rPr>
          <w:noProof/>
        </w:rPr>
        <w:t>Hospitals and Health Services (Day Hospital Facility) Determination (No. 2) 2005</w:t>
      </w:r>
      <w:r>
        <w:fldChar w:fldCharType="end"/>
      </w:r>
    </w:p>
    <w:p w:rsidR="00E646EA" w:rsidRDefault="00515FB2">
      <w:pPr>
        <w:pStyle w:val="Arrangement"/>
      </w:pPr>
      <w:r>
        <w:t>CONTENTS</w:t>
      </w:r>
    </w:p>
    <w:p w:rsidR="00E646EA" w:rsidRDefault="00515FB2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_Toc120599524 \h </w:instrText>
      </w:r>
      <w:r>
        <w:fldChar w:fldCharType="separate"/>
      </w:r>
      <w:r w:rsidR="003B7629">
        <w:t>1</w:t>
      </w:r>
      <w:r>
        <w:fldChar w:fldCharType="end"/>
      </w:r>
    </w:p>
    <w:p w:rsidR="00E646EA" w:rsidRDefault="00515FB2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_Toc120599525 \h </w:instrText>
      </w:r>
      <w:r>
        <w:fldChar w:fldCharType="separate"/>
      </w:r>
      <w:r w:rsidR="003B7629">
        <w:t>1</w:t>
      </w:r>
      <w:r>
        <w:fldChar w:fldCharType="end"/>
      </w:r>
    </w:p>
    <w:p w:rsidR="00E646EA" w:rsidRDefault="00515FB2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Services that are “professional attention”</w:t>
      </w:r>
      <w:r>
        <w:tab/>
      </w:r>
      <w:r>
        <w:fldChar w:fldCharType="begin"/>
      </w:r>
      <w:r>
        <w:instrText xml:space="preserve"> PAGEREF _Toc120599526 \h </w:instrText>
      </w:r>
      <w:r>
        <w:fldChar w:fldCharType="separate"/>
      </w:r>
      <w:r w:rsidR="003B7629">
        <w:t>1</w:t>
      </w:r>
      <w:r>
        <w:fldChar w:fldCharType="end"/>
      </w:r>
    </w:p>
    <w:p w:rsidR="00E646EA" w:rsidRDefault="00515FB2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E646EA" w:rsidRDefault="00515FB2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_Toc120599528 \h </w:instrText>
      </w:r>
      <w:r>
        <w:fldChar w:fldCharType="separate"/>
      </w:r>
      <w:r w:rsidR="003B7629">
        <w:t>1</w:t>
      </w:r>
      <w:r>
        <w:fldChar w:fldCharType="end"/>
      </w:r>
    </w:p>
    <w:p w:rsidR="00E646EA" w:rsidRDefault="00515FB2">
      <w:pPr>
        <w:pStyle w:val="TOC8"/>
      </w:pPr>
      <w:r>
        <w:fldChar w:fldCharType="end"/>
      </w:r>
    </w:p>
    <w:p w:rsidR="00E646EA" w:rsidRDefault="00515FB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E646EA" w:rsidRDefault="00E646EA">
      <w:pPr>
        <w:pStyle w:val="NoteHeading"/>
        <w:sectPr w:rsidR="00E646E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E646EA" w:rsidRDefault="00515FB2">
      <w:pPr>
        <w:pStyle w:val="WA"/>
      </w:pPr>
      <w:r>
        <w:t>Western Australia</w:t>
      </w:r>
    </w:p>
    <w:p w:rsidR="00E646EA" w:rsidRDefault="00515FB2">
      <w:pPr>
        <w:pStyle w:val="PrincipalActReg"/>
      </w:pPr>
      <w:r>
        <w:t>Hospitals and Health Services Act 1927</w:t>
      </w:r>
    </w:p>
    <w:p w:rsidR="00E646EA" w:rsidRDefault="00515FB2">
      <w:pPr>
        <w:pStyle w:val="NameofActReg"/>
      </w:pPr>
      <w:r>
        <w:t>Hospitals and Health Services (Day Hospital Facility) Determination (No. 2) 2005</w:t>
      </w:r>
    </w:p>
    <w:p w:rsidR="00E646EA" w:rsidRDefault="00515FB2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20599524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646EA" w:rsidRDefault="00515FB2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and Health Services (Day Hospital Facility) Determination (No. 2) 2005</w:t>
      </w:r>
      <w:r>
        <w:t>.</w:t>
      </w:r>
    </w:p>
    <w:p w:rsidR="00E646EA" w:rsidRDefault="00515FB2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2059952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646EA" w:rsidRDefault="00515FB2"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This determination comes into operation on the day on which it is published in the </w:t>
      </w:r>
      <w:r>
        <w:rPr>
          <w:i/>
          <w:iCs/>
          <w:spacing w:val="-2"/>
        </w:rPr>
        <w:t>Gazette</w:t>
      </w:r>
      <w:r>
        <w:rPr>
          <w:rFonts w:ascii="Times" w:hAnsi="Times"/>
        </w:rPr>
        <w:t>.</w:t>
      </w:r>
    </w:p>
    <w:p w:rsidR="00E646EA" w:rsidRDefault="00515FB2">
      <w:pPr>
        <w:pStyle w:val="Heading5"/>
      </w:pPr>
      <w:bookmarkStart w:id="18" w:name="_Toc120599526"/>
      <w:r>
        <w:rPr>
          <w:rStyle w:val="CharSectno"/>
        </w:rPr>
        <w:t>3</w:t>
      </w:r>
      <w:r>
        <w:t>.</w:t>
      </w:r>
      <w:r>
        <w:tab/>
        <w:t>Services that are “professional attention”</w:t>
      </w:r>
      <w:bookmarkEnd w:id="18"/>
    </w:p>
    <w:p w:rsidR="00E646EA" w:rsidRDefault="00515FB2">
      <w:pPr>
        <w:pStyle w:val="Subsection"/>
      </w:pPr>
      <w:r>
        <w:tab/>
        <w:t>(1)</w:t>
      </w:r>
      <w:r>
        <w:tab/>
        <w:t xml:space="preserve">A psychiatric treatment programme that — </w:t>
      </w:r>
    </w:p>
    <w:p w:rsidR="00E646EA" w:rsidRDefault="00515FB2">
      <w:pPr>
        <w:pStyle w:val="Indenta"/>
      </w:pPr>
      <w:r>
        <w:tab/>
        <w:t>(a)</w:t>
      </w:r>
      <w:r>
        <w:tab/>
        <w:t>is for a patient who has a mental illness;</w:t>
      </w:r>
    </w:p>
    <w:p w:rsidR="00E646EA" w:rsidRDefault="00515FB2">
      <w:pPr>
        <w:pStyle w:val="Indenta"/>
      </w:pPr>
      <w:r>
        <w:tab/>
        <w:t>(b)</w:t>
      </w:r>
      <w:r>
        <w:tab/>
        <w:t>is provided by a multi</w:t>
      </w:r>
      <w:r>
        <w:noBreakHyphen/>
        <w:t>disciplinary team under the direction and supervision of a psychiatrist; and</w:t>
      </w:r>
    </w:p>
    <w:p w:rsidR="00E646EA" w:rsidRDefault="00515FB2">
      <w:pPr>
        <w:pStyle w:val="Indenta"/>
      </w:pPr>
      <w:r>
        <w:tab/>
        <w:t>(c)</w:t>
      </w:r>
      <w:r>
        <w:tab/>
        <w:t>is a half or full day programme that consists of more than one type of mainstream therapeutic activity,</w:t>
      </w:r>
    </w:p>
    <w:p w:rsidR="00E646EA" w:rsidRDefault="00515FB2">
      <w:pPr>
        <w:pStyle w:val="Subsection"/>
      </w:pPr>
      <w:r>
        <w:tab/>
      </w:r>
      <w:r>
        <w:tab/>
        <w:t>is determined to be professional attention for the purposes of the definition of “day hospital facility” in section 2(1) of the Act.</w:t>
      </w:r>
    </w:p>
    <w:p w:rsidR="00E646EA" w:rsidRDefault="00515FB2">
      <w:pPr>
        <w:pStyle w:val="Subsection"/>
        <w:keepNext/>
        <w:keepLines/>
      </w:pPr>
      <w:r>
        <w:tab/>
        <w:t>(2)</w:t>
      </w:r>
      <w:r>
        <w:tab/>
        <w:t xml:space="preserve">In this clause — </w:t>
      </w:r>
    </w:p>
    <w:p w:rsidR="00E646EA" w:rsidRDefault="00515FB2">
      <w:pPr>
        <w:pStyle w:val="Defstart"/>
      </w:pPr>
      <w:r>
        <w:rPr>
          <w:b/>
        </w:rPr>
        <w:tab/>
      </w:r>
      <w:r>
        <w:rPr>
          <w:rStyle w:val="CharDefText"/>
        </w:rPr>
        <w:t>mental illness</w:t>
      </w:r>
      <w:r>
        <w:t xml:space="preserve"> has the meaning given to that term in the </w:t>
      </w:r>
      <w:r>
        <w:rPr>
          <w:i/>
          <w:iCs/>
        </w:rPr>
        <w:t>Mental Health Act 1996</w:t>
      </w:r>
      <w:r>
        <w:t xml:space="preserve"> section 4;</w:t>
      </w:r>
    </w:p>
    <w:p w:rsidR="00E646EA" w:rsidRDefault="00515FB2">
      <w:pPr>
        <w:pStyle w:val="Defstart"/>
      </w:pPr>
      <w:r>
        <w:rPr>
          <w:b/>
        </w:rPr>
        <w:tab/>
      </w:r>
      <w:r>
        <w:rPr>
          <w:rStyle w:val="CharDefText"/>
        </w:rPr>
        <w:t>multi-disciplinary team</w:t>
      </w:r>
      <w:r>
        <w:t xml:space="preserve"> means a team of health professionals that includes at least one psychiatrist, one clinical psychologist, one registered mental health nurse, one occupational therapist and one social worker;</w:t>
      </w:r>
    </w:p>
    <w:p w:rsidR="00E646EA" w:rsidRDefault="00515FB2">
      <w:pPr>
        <w:pStyle w:val="Defstart"/>
      </w:pPr>
      <w:r>
        <w:rPr>
          <w:b/>
        </w:rPr>
        <w:tab/>
      </w:r>
      <w:r>
        <w:rPr>
          <w:rStyle w:val="CharDefText"/>
        </w:rPr>
        <w:t>psychiatrist</w:t>
      </w:r>
      <w:r>
        <w:t xml:space="preserve"> means a medical practitioner whose name is contained in a register of psychiatrists prepared and maintained under the </w:t>
      </w:r>
      <w:r>
        <w:rPr>
          <w:i/>
          <w:iCs/>
        </w:rPr>
        <w:t>Mental Health Act 1996</w:t>
      </w:r>
      <w:r>
        <w:t xml:space="preserve"> section 4 by the Medical Board.</w:t>
      </w:r>
    </w:p>
    <w:p w:rsidR="00E646EA" w:rsidRDefault="00E646EA">
      <w:pPr>
        <w:pStyle w:val="Defpara"/>
        <w:rPr>
          <w:rStyle w:val="CharDivText"/>
        </w:rPr>
        <w:sectPr w:rsidR="00E646E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E646EA" w:rsidRDefault="00515FB2">
      <w:pPr>
        <w:pStyle w:val="nHeading2"/>
      </w:pPr>
      <w:bookmarkStart w:id="19" w:name="_Toc113695922"/>
      <w:bookmarkStart w:id="20" w:name="_Toc120595835"/>
      <w:bookmarkStart w:id="21" w:name="_Toc120595889"/>
      <w:bookmarkStart w:id="22" w:name="_Toc120599527"/>
      <w:r>
        <w:t>Notes</w:t>
      </w:r>
      <w:bookmarkEnd w:id="19"/>
      <w:bookmarkEnd w:id="20"/>
      <w:bookmarkEnd w:id="21"/>
      <w:bookmarkEnd w:id="22"/>
    </w:p>
    <w:p w:rsidR="00E646EA" w:rsidRDefault="00515FB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Hospitals and Health Services (Day Hospital Facility) Determination (No. 2) 2005</w:t>
      </w:r>
      <w:r>
        <w:rPr>
          <w:snapToGrid w:val="0"/>
        </w:rPr>
        <w:t xml:space="preserve">.  The following table contains information about those regulations. </w:t>
      </w:r>
    </w:p>
    <w:p w:rsidR="00E646EA" w:rsidRDefault="00515FB2">
      <w:pPr>
        <w:pStyle w:val="nHeading3"/>
      </w:pPr>
      <w:bookmarkStart w:id="23" w:name="_Toc70311430"/>
      <w:bookmarkStart w:id="24" w:name="_Toc113695923"/>
      <w:bookmarkStart w:id="25" w:name="_Toc120599528"/>
      <w:r>
        <w:t>Compilation table</w:t>
      </w:r>
      <w:bookmarkEnd w:id="23"/>
      <w:bookmarkEnd w:id="24"/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E646EA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E646EA" w:rsidRDefault="00515FB2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E646EA" w:rsidRDefault="00515FB2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646EA" w:rsidRDefault="00515FB2"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E646EA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E646EA" w:rsidRDefault="00515FB2"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</w:rPr>
              <w:t>Hospitals and Health Services (Day Hospital Facility) Determination (No. 2) 2005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E646EA" w:rsidRDefault="00515FB2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Nov 2005 p. 5689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E646EA" w:rsidRDefault="00515FB2"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25 Nov 2005 (see cl. 2)</w:t>
            </w:r>
          </w:p>
        </w:tc>
      </w:tr>
    </w:tbl>
    <w:p w:rsidR="00E646EA" w:rsidRDefault="00E646EA"/>
    <w:p w:rsidR="00E646EA" w:rsidRDefault="00E646EA">
      <w:pPr>
        <w:sectPr w:rsidR="00E646EA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E646EA" w:rsidRDefault="00E646EA"/>
    <w:sectPr w:rsidR="00E646EA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6EA" w:rsidRDefault="00515FB2">
      <w:pPr>
        <w:rPr>
          <w:b/>
          <w:sz w:val="28"/>
        </w:rPr>
      </w:pPr>
      <w:r>
        <w:rPr>
          <w:b/>
          <w:sz w:val="28"/>
        </w:rPr>
        <w:t>Endnotes</w:t>
      </w:r>
    </w:p>
    <w:p w:rsidR="00E646EA" w:rsidRDefault="00515FB2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E646EA" w:rsidRDefault="00E646EA"/>
  </w:endnote>
  <w:endnote w:type="continuationSeparator" w:id="0">
    <w:p w:rsidR="00E646EA" w:rsidRDefault="00E646EA">
      <w:pPr>
        <w:pStyle w:val="Footer"/>
      </w:pPr>
    </w:p>
    <w:p w:rsidR="00E646EA" w:rsidRDefault="00E64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Footer"/>
      <w:tabs>
        <w:tab w:val="clear" w:pos="4153"/>
        <w:tab w:val="right" w:pos="7088"/>
      </w:tabs>
      <w:rPr>
        <w:rStyle w:val="PageNumber"/>
      </w:rPr>
    </w:pPr>
  </w:p>
  <w:p w:rsidR="00E646EA" w:rsidRDefault="00515FB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</w:p>
  <w:p w:rsidR="00E646EA" w:rsidRDefault="00515FB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Footer"/>
      <w:tabs>
        <w:tab w:val="clear" w:pos="4153"/>
        <w:tab w:val="right" w:pos="7088"/>
      </w:tabs>
      <w:rPr>
        <w:rStyle w:val="PageNumber"/>
      </w:rPr>
    </w:pPr>
  </w:p>
  <w:p w:rsidR="00E646EA" w:rsidRDefault="00515FB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646EA" w:rsidRDefault="00515FB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Footer"/>
      <w:tabs>
        <w:tab w:val="clear" w:pos="4153"/>
        <w:tab w:val="right" w:pos="7088"/>
      </w:tabs>
      <w:rPr>
        <w:rStyle w:val="PageNumber"/>
      </w:rPr>
    </w:pPr>
  </w:p>
  <w:p w:rsidR="00E646EA" w:rsidRDefault="00515FB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E646EA" w:rsidRDefault="00515FB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Footer"/>
      <w:tabs>
        <w:tab w:val="clear" w:pos="4153"/>
        <w:tab w:val="right" w:pos="7088"/>
      </w:tabs>
      <w:rPr>
        <w:rStyle w:val="PageNumber"/>
      </w:rPr>
    </w:pPr>
  </w:p>
  <w:p w:rsidR="00E646EA" w:rsidRDefault="00515FB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</w:p>
  <w:p w:rsidR="00E646EA" w:rsidRDefault="00515FB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Footer"/>
      <w:tabs>
        <w:tab w:val="clear" w:pos="4153"/>
        <w:tab w:val="right" w:pos="7088"/>
      </w:tabs>
      <w:rPr>
        <w:rStyle w:val="PageNumber"/>
      </w:rPr>
    </w:pPr>
  </w:p>
  <w:p w:rsidR="00E646EA" w:rsidRDefault="00515FB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646EA" w:rsidRDefault="00515FB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Footer"/>
      <w:tabs>
        <w:tab w:val="clear" w:pos="4153"/>
        <w:tab w:val="right" w:pos="7088"/>
      </w:tabs>
      <w:rPr>
        <w:rStyle w:val="PageNumber"/>
      </w:rPr>
    </w:pPr>
  </w:p>
  <w:p w:rsidR="00E646EA" w:rsidRDefault="00515FB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B762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E646EA" w:rsidRDefault="00515FB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Footer"/>
      <w:tabs>
        <w:tab w:val="clear" w:pos="4153"/>
        <w:tab w:val="right" w:pos="7088"/>
      </w:tabs>
      <w:rPr>
        <w:rStyle w:val="PageNumber"/>
      </w:rPr>
    </w:pPr>
  </w:p>
  <w:p w:rsidR="00E646EA" w:rsidRDefault="00515FB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B762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E646EA" w:rsidRDefault="00515FB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Footer"/>
      <w:tabs>
        <w:tab w:val="clear" w:pos="4153"/>
        <w:tab w:val="right" w:pos="7088"/>
      </w:tabs>
      <w:rPr>
        <w:rStyle w:val="PageNumber"/>
      </w:rPr>
    </w:pPr>
  </w:p>
  <w:p w:rsidR="00E646EA" w:rsidRDefault="00515FB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B7629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E646EA" w:rsidRDefault="00515FB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Footer"/>
      <w:tabs>
        <w:tab w:val="clear" w:pos="4153"/>
        <w:tab w:val="right" w:pos="7088"/>
      </w:tabs>
      <w:rPr>
        <w:rStyle w:val="PageNumber"/>
      </w:rPr>
    </w:pPr>
  </w:p>
  <w:p w:rsidR="00E646EA" w:rsidRDefault="00515FB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25 Nov 2005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B7629">
      <w:rPr>
        <w:rFonts w:ascii="Arial" w:hAnsi="Arial" w:cs="Arial"/>
        <w:sz w:val="20"/>
        <w:lang w:val="en-US"/>
      </w:rPr>
      <w:t>00-a0-07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B762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E646EA" w:rsidRDefault="00515FB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6EA" w:rsidRDefault="00515FB2">
      <w:r>
        <w:separator/>
      </w:r>
    </w:p>
  </w:footnote>
  <w:footnote w:type="continuationSeparator" w:id="0">
    <w:p w:rsidR="00E646EA" w:rsidRDefault="00515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515FB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B7629">
      <w:rPr>
        <w:i/>
        <w:noProof/>
      </w:rPr>
      <w:t>Hospitals and Health Services (Day Hospital Facility) Determination (No. 2) 2005</w:t>
    </w:r>
    <w:r>
      <w:rPr>
        <w:i/>
      </w:rPr>
      <w:fldChar w:fldCharType="end"/>
    </w:r>
  </w:p>
  <w:p w:rsidR="00E646EA" w:rsidRDefault="00515FB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E646EA" w:rsidRDefault="00515FB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E646EA" w:rsidRDefault="00E646EA">
    <w:pPr>
      <w:pStyle w:val="headerpart"/>
    </w:pPr>
  </w:p>
  <w:p w:rsidR="00E646EA" w:rsidRDefault="00E646EA">
    <w:pPr>
      <w:pBdr>
        <w:bottom w:val="single" w:sz="6" w:space="1" w:color="auto"/>
      </w:pBdr>
      <w:rPr>
        <w:b/>
      </w:rPr>
    </w:pPr>
  </w:p>
  <w:p w:rsidR="00E646EA" w:rsidRDefault="00E646E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646EA">
      <w:trPr>
        <w:cantSplit/>
      </w:trPr>
      <w:tc>
        <w:tcPr>
          <w:tcW w:w="7258" w:type="dxa"/>
          <w:gridSpan w:val="2"/>
        </w:tcPr>
        <w:p w:rsidR="00E646EA" w:rsidRDefault="00515FB2">
          <w:pPr>
            <w:pStyle w:val="HeaderActNameRight"/>
            <w:ind w:right="17"/>
          </w:pPr>
          <w:fldSimple w:instr=" Styleref &quot;Name of Act/Reg&quot; ">
            <w:r w:rsidR="003B7629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E646EA">
      <w:tc>
        <w:tcPr>
          <w:tcW w:w="5715" w:type="dxa"/>
        </w:tcPr>
        <w:p w:rsidR="00E646EA" w:rsidRDefault="00E646EA">
          <w:pPr>
            <w:pStyle w:val="HeaderTextRight"/>
          </w:pPr>
        </w:p>
      </w:tc>
      <w:tc>
        <w:tcPr>
          <w:tcW w:w="1548" w:type="dxa"/>
        </w:tcPr>
        <w:p w:rsidR="00E646EA" w:rsidRDefault="00E646EA">
          <w:pPr>
            <w:pStyle w:val="HeaderNumberRight"/>
            <w:ind w:right="17"/>
          </w:pPr>
        </w:p>
      </w:tc>
    </w:tr>
    <w:tr w:rsidR="00E646EA">
      <w:tc>
        <w:tcPr>
          <w:tcW w:w="5715" w:type="dxa"/>
        </w:tcPr>
        <w:p w:rsidR="00E646EA" w:rsidRDefault="00E646EA">
          <w:pPr>
            <w:pStyle w:val="HeaderTextRight"/>
          </w:pPr>
        </w:p>
      </w:tc>
      <w:tc>
        <w:tcPr>
          <w:tcW w:w="1548" w:type="dxa"/>
        </w:tcPr>
        <w:p w:rsidR="00E646EA" w:rsidRDefault="00E646EA">
          <w:pPr>
            <w:pStyle w:val="HeaderNumberRight"/>
            <w:ind w:right="17"/>
          </w:pPr>
        </w:p>
      </w:tc>
    </w:tr>
    <w:tr w:rsidR="00E646EA">
      <w:trPr>
        <w:cantSplit/>
      </w:trPr>
      <w:tc>
        <w:tcPr>
          <w:tcW w:w="7258" w:type="dxa"/>
          <w:gridSpan w:val="2"/>
        </w:tcPr>
        <w:p w:rsidR="00E646EA" w:rsidRDefault="00E646EA">
          <w:pPr>
            <w:pStyle w:val="HeaderSectionRight"/>
            <w:ind w:right="17"/>
          </w:pPr>
        </w:p>
      </w:tc>
    </w:tr>
  </w:tbl>
  <w:p w:rsidR="00E646EA" w:rsidRDefault="00E646E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E646EA">
      <w:trPr>
        <w:cantSplit/>
      </w:trPr>
      <w:tc>
        <w:tcPr>
          <w:tcW w:w="7312" w:type="dxa"/>
          <w:gridSpan w:val="2"/>
        </w:tcPr>
        <w:p w:rsidR="00E646EA" w:rsidRDefault="00515FB2">
          <w:pPr>
            <w:pStyle w:val="HeaderActNameLeft"/>
          </w:pPr>
          <w:fldSimple w:instr=" Styleref &quot;Name of Act/Reg&quot; ">
            <w:r w:rsidR="003B7629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E646EA">
      <w:tc>
        <w:tcPr>
          <w:tcW w:w="1548" w:type="dxa"/>
        </w:tcPr>
        <w:p w:rsidR="00E646EA" w:rsidRDefault="00E646EA">
          <w:pPr>
            <w:pStyle w:val="HeaderNumberLeft"/>
          </w:pPr>
        </w:p>
      </w:tc>
      <w:tc>
        <w:tcPr>
          <w:tcW w:w="5764" w:type="dxa"/>
        </w:tcPr>
        <w:p w:rsidR="00E646EA" w:rsidRDefault="00E646EA">
          <w:pPr>
            <w:pStyle w:val="HeaderTextLeft"/>
          </w:pPr>
        </w:p>
      </w:tc>
    </w:tr>
    <w:tr w:rsidR="00E646EA">
      <w:tc>
        <w:tcPr>
          <w:tcW w:w="1548" w:type="dxa"/>
        </w:tcPr>
        <w:p w:rsidR="00E646EA" w:rsidRDefault="00E646EA">
          <w:pPr>
            <w:pStyle w:val="HeaderNumberLeft"/>
          </w:pPr>
        </w:p>
      </w:tc>
      <w:tc>
        <w:tcPr>
          <w:tcW w:w="5764" w:type="dxa"/>
        </w:tcPr>
        <w:p w:rsidR="00E646EA" w:rsidRDefault="00E646EA">
          <w:pPr>
            <w:pStyle w:val="HeaderTextLeft"/>
          </w:pPr>
        </w:p>
      </w:tc>
    </w:tr>
    <w:tr w:rsidR="00E646EA">
      <w:trPr>
        <w:cantSplit/>
      </w:trPr>
      <w:tc>
        <w:tcPr>
          <w:tcW w:w="7312" w:type="dxa"/>
          <w:gridSpan w:val="2"/>
        </w:tcPr>
        <w:p w:rsidR="00E646EA" w:rsidRDefault="00E646EA">
          <w:pPr>
            <w:pStyle w:val="HeaderSectionLeft"/>
          </w:pPr>
        </w:p>
      </w:tc>
    </w:tr>
  </w:tbl>
  <w:p w:rsidR="00E646EA" w:rsidRDefault="00E646EA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646EA">
      <w:trPr>
        <w:cantSplit/>
      </w:trPr>
      <w:tc>
        <w:tcPr>
          <w:tcW w:w="7258" w:type="dxa"/>
          <w:gridSpan w:val="2"/>
        </w:tcPr>
        <w:p w:rsidR="00E646EA" w:rsidRDefault="00515FB2">
          <w:pPr>
            <w:pStyle w:val="HeaderActNameLeft"/>
          </w:pPr>
          <w:fldSimple w:instr=" Styleref &quot;Name of Act/Reg&quot; ">
            <w:r w:rsidR="003B7629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E646EA">
      <w:tc>
        <w:tcPr>
          <w:tcW w:w="1548" w:type="dxa"/>
        </w:tcPr>
        <w:p w:rsidR="00E646EA" w:rsidRDefault="00E646EA">
          <w:pPr>
            <w:pStyle w:val="HeaderNumberLeft"/>
          </w:pPr>
        </w:p>
      </w:tc>
      <w:tc>
        <w:tcPr>
          <w:tcW w:w="5715" w:type="dxa"/>
        </w:tcPr>
        <w:p w:rsidR="00E646EA" w:rsidRDefault="00E646EA">
          <w:pPr>
            <w:pStyle w:val="HeaderTextLeft"/>
          </w:pPr>
        </w:p>
      </w:tc>
    </w:tr>
    <w:tr w:rsidR="00E646EA">
      <w:tc>
        <w:tcPr>
          <w:tcW w:w="1548" w:type="dxa"/>
        </w:tcPr>
        <w:p w:rsidR="00E646EA" w:rsidRDefault="00E646EA">
          <w:pPr>
            <w:pStyle w:val="HeaderNumberLeft"/>
          </w:pPr>
        </w:p>
      </w:tc>
      <w:tc>
        <w:tcPr>
          <w:tcW w:w="5715" w:type="dxa"/>
        </w:tcPr>
        <w:p w:rsidR="00E646EA" w:rsidRDefault="00E646EA">
          <w:pPr>
            <w:pStyle w:val="HeaderTextLeft"/>
          </w:pPr>
        </w:p>
      </w:tc>
    </w:tr>
    <w:tr w:rsidR="00E646EA">
      <w:trPr>
        <w:cantSplit/>
      </w:trPr>
      <w:tc>
        <w:tcPr>
          <w:tcW w:w="7258" w:type="dxa"/>
          <w:gridSpan w:val="2"/>
        </w:tcPr>
        <w:p w:rsidR="00E646EA" w:rsidRDefault="00515FB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646EA" w:rsidRDefault="00E646E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646EA">
      <w:trPr>
        <w:cantSplit/>
      </w:trPr>
      <w:tc>
        <w:tcPr>
          <w:tcW w:w="7258" w:type="dxa"/>
          <w:gridSpan w:val="2"/>
        </w:tcPr>
        <w:p w:rsidR="00E646EA" w:rsidRDefault="00515FB2">
          <w:pPr>
            <w:pStyle w:val="HeaderActNameRight"/>
            <w:ind w:right="17"/>
          </w:pPr>
          <w:fldSimple w:instr=" Styleref &quot;Name of Act/Reg&quot; ">
            <w:r w:rsidR="003B7629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E646EA">
      <w:tc>
        <w:tcPr>
          <w:tcW w:w="5715" w:type="dxa"/>
        </w:tcPr>
        <w:p w:rsidR="00E646EA" w:rsidRDefault="00E646EA">
          <w:pPr>
            <w:pStyle w:val="HeaderTextRight"/>
          </w:pPr>
        </w:p>
      </w:tc>
      <w:tc>
        <w:tcPr>
          <w:tcW w:w="1548" w:type="dxa"/>
        </w:tcPr>
        <w:p w:rsidR="00E646EA" w:rsidRDefault="00E646EA">
          <w:pPr>
            <w:pStyle w:val="HeaderNumberRight"/>
            <w:ind w:right="17"/>
          </w:pPr>
        </w:p>
      </w:tc>
    </w:tr>
    <w:tr w:rsidR="00E646EA">
      <w:tc>
        <w:tcPr>
          <w:tcW w:w="5715" w:type="dxa"/>
        </w:tcPr>
        <w:p w:rsidR="00E646EA" w:rsidRDefault="00E646EA">
          <w:pPr>
            <w:pStyle w:val="HeaderTextRight"/>
          </w:pPr>
        </w:p>
      </w:tc>
      <w:tc>
        <w:tcPr>
          <w:tcW w:w="1548" w:type="dxa"/>
        </w:tcPr>
        <w:p w:rsidR="00E646EA" w:rsidRDefault="00E646EA">
          <w:pPr>
            <w:pStyle w:val="HeaderNumberRight"/>
            <w:ind w:right="17"/>
          </w:pPr>
        </w:p>
      </w:tc>
    </w:tr>
    <w:tr w:rsidR="00E646EA">
      <w:trPr>
        <w:cantSplit/>
      </w:trPr>
      <w:tc>
        <w:tcPr>
          <w:tcW w:w="7258" w:type="dxa"/>
          <w:gridSpan w:val="2"/>
        </w:tcPr>
        <w:p w:rsidR="00E646EA" w:rsidRDefault="00515FB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E646EA" w:rsidRDefault="00E646E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646EA">
      <w:trPr>
        <w:cantSplit/>
      </w:trPr>
      <w:tc>
        <w:tcPr>
          <w:tcW w:w="7258" w:type="dxa"/>
          <w:gridSpan w:val="2"/>
        </w:tcPr>
        <w:p w:rsidR="00E646EA" w:rsidRDefault="00515FB2">
          <w:pPr>
            <w:pStyle w:val="HeaderActNameLeft"/>
          </w:pPr>
          <w:fldSimple w:instr=" Styleref &quot;Name of Act/Reg&quot; ">
            <w:r w:rsidR="003B7629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E646EA">
      <w:tc>
        <w:tcPr>
          <w:tcW w:w="1548" w:type="dxa"/>
        </w:tcPr>
        <w:p w:rsidR="00E646EA" w:rsidRDefault="00515FB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E646EA" w:rsidRDefault="00515FB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E646EA">
      <w:tc>
        <w:tcPr>
          <w:tcW w:w="1548" w:type="dxa"/>
        </w:tcPr>
        <w:p w:rsidR="00E646EA" w:rsidRDefault="00515FB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E646EA" w:rsidRDefault="00515FB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E646EA">
      <w:trPr>
        <w:cantSplit/>
      </w:trPr>
      <w:tc>
        <w:tcPr>
          <w:tcW w:w="7258" w:type="dxa"/>
          <w:gridSpan w:val="2"/>
        </w:tcPr>
        <w:p w:rsidR="00E646EA" w:rsidRDefault="00515FB2">
          <w:pPr>
            <w:pStyle w:val="HeaderSectionLeft"/>
          </w:pPr>
          <w:r>
            <w:t xml:space="preserve">r. </w:t>
          </w:r>
          <w:fldSimple w:instr=" styleref CharSectno ">
            <w:r w:rsidR="003B7629">
              <w:rPr>
                <w:noProof/>
              </w:rPr>
              <w:t>1</w:t>
            </w:r>
          </w:fldSimple>
        </w:p>
      </w:tc>
    </w:tr>
  </w:tbl>
  <w:p w:rsidR="00E646EA" w:rsidRDefault="00E646E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E646EA">
      <w:trPr>
        <w:cantSplit/>
      </w:trPr>
      <w:tc>
        <w:tcPr>
          <w:tcW w:w="7258" w:type="dxa"/>
          <w:gridSpan w:val="2"/>
        </w:tcPr>
        <w:p w:rsidR="00E646EA" w:rsidRDefault="00515FB2">
          <w:pPr>
            <w:pStyle w:val="HeaderActNameRight"/>
            <w:ind w:right="17"/>
          </w:pPr>
          <w:fldSimple w:instr=" Styleref &quot;Name of Act/Reg&quot; ">
            <w:r w:rsidR="003B7629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E646EA">
      <w:tc>
        <w:tcPr>
          <w:tcW w:w="5715" w:type="dxa"/>
        </w:tcPr>
        <w:p w:rsidR="00E646EA" w:rsidRDefault="00515FB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E646EA" w:rsidRDefault="00515FB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E646EA">
      <w:tc>
        <w:tcPr>
          <w:tcW w:w="5715" w:type="dxa"/>
        </w:tcPr>
        <w:p w:rsidR="00E646EA" w:rsidRDefault="00515FB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E646EA" w:rsidRDefault="00515FB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E646EA">
      <w:trPr>
        <w:cantSplit/>
      </w:trPr>
      <w:tc>
        <w:tcPr>
          <w:tcW w:w="7258" w:type="dxa"/>
          <w:gridSpan w:val="2"/>
        </w:tcPr>
        <w:p w:rsidR="00E646EA" w:rsidRDefault="00515FB2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3B7629">
              <w:rPr>
                <w:noProof/>
              </w:rPr>
              <w:t>1</w:t>
            </w:r>
          </w:fldSimple>
        </w:p>
      </w:tc>
    </w:tr>
  </w:tbl>
  <w:p w:rsidR="00E646EA" w:rsidRDefault="00E646E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6EA" w:rsidRDefault="00E646E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E646EA">
      <w:trPr>
        <w:cantSplit/>
      </w:trPr>
      <w:tc>
        <w:tcPr>
          <w:tcW w:w="7258" w:type="dxa"/>
          <w:gridSpan w:val="2"/>
        </w:tcPr>
        <w:p w:rsidR="00E646EA" w:rsidRDefault="00515FB2">
          <w:pPr>
            <w:pStyle w:val="HeaderActNameLeft"/>
          </w:pPr>
          <w:fldSimple w:instr=" Styleref &quot;Name of Act/Reg&quot; ">
            <w:r w:rsidR="003B7629">
              <w:rPr>
                <w:noProof/>
              </w:rPr>
              <w:t>Hospitals and Health Services (Day Hospital Facility) Determination (No. 2) 2005</w:t>
            </w:r>
          </w:fldSimple>
        </w:p>
      </w:tc>
    </w:tr>
    <w:tr w:rsidR="00E646EA">
      <w:tc>
        <w:tcPr>
          <w:tcW w:w="1548" w:type="dxa"/>
        </w:tcPr>
        <w:p w:rsidR="00E646EA" w:rsidRDefault="00E646EA">
          <w:pPr>
            <w:pStyle w:val="HeaderNumberLeft"/>
          </w:pPr>
        </w:p>
      </w:tc>
      <w:tc>
        <w:tcPr>
          <w:tcW w:w="5715" w:type="dxa"/>
        </w:tcPr>
        <w:p w:rsidR="00E646EA" w:rsidRDefault="00E646EA">
          <w:pPr>
            <w:pStyle w:val="HeaderTextLeft"/>
          </w:pPr>
        </w:p>
      </w:tc>
    </w:tr>
    <w:tr w:rsidR="00E646EA">
      <w:tc>
        <w:tcPr>
          <w:tcW w:w="1548" w:type="dxa"/>
        </w:tcPr>
        <w:p w:rsidR="00E646EA" w:rsidRDefault="00E646EA">
          <w:pPr>
            <w:pStyle w:val="HeaderNumberLeft"/>
          </w:pPr>
        </w:p>
      </w:tc>
      <w:tc>
        <w:tcPr>
          <w:tcW w:w="5715" w:type="dxa"/>
        </w:tcPr>
        <w:p w:rsidR="00E646EA" w:rsidRDefault="00E646EA">
          <w:pPr>
            <w:pStyle w:val="HeaderTextLeft"/>
          </w:pPr>
        </w:p>
      </w:tc>
    </w:tr>
    <w:tr w:rsidR="00E646EA">
      <w:trPr>
        <w:cantSplit/>
      </w:trPr>
      <w:tc>
        <w:tcPr>
          <w:tcW w:w="7258" w:type="dxa"/>
          <w:gridSpan w:val="2"/>
        </w:tcPr>
        <w:p w:rsidR="00E646EA" w:rsidRDefault="00E646EA">
          <w:pPr>
            <w:pStyle w:val="HeaderSectionRight"/>
            <w:ind w:right="17"/>
            <w:jc w:val="left"/>
          </w:pPr>
        </w:p>
      </w:tc>
    </w:tr>
  </w:tbl>
  <w:p w:rsidR="00E646EA" w:rsidRDefault="00E646E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05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B2"/>
    <w:rsid w:val="003503ED"/>
    <w:rsid w:val="003B7629"/>
    <w:rsid w:val="00515FB2"/>
    <w:rsid w:val="007C7BE2"/>
    <w:rsid w:val="00E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pPr>
      <w:spacing w:before="80"/>
      <w:ind w:left="3050" w:hanging="3050"/>
    </w:pPr>
    <w:rPr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pPr>
      <w:spacing w:before="80"/>
      <w:ind w:left="2330" w:hanging="2330"/>
    </w:pPr>
    <w:rPr>
      <w:sz w:val="22"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  <w:outlineLvl w:val="4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SignatureText">
    <w:name w:val="SignatureText"/>
    <w:basedOn w:val="Normal"/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  <w:rPr>
      <w:rFonts w:ascii="Times" w:hAnsi="Times"/>
    </w:r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pPr>
      <w:spacing w:before="80"/>
      <w:ind w:left="3050" w:hanging="3050"/>
    </w:pPr>
    <w:rPr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pPr>
      <w:spacing w:before="80"/>
      <w:ind w:left="2330" w:hanging="2330"/>
    </w:pPr>
    <w:rPr>
      <w:sz w:val="22"/>
    </w:rPr>
  </w:style>
  <w:style w:type="paragraph" w:customStyle="1" w:styleId="yEdnotesubsection">
    <w:name w:val="yEdnote(subsection)"/>
    <w:basedOn w:val="Ednotesubsection"/>
    <w:pPr>
      <w:tabs>
        <w:tab w:val="clear" w:pos="605"/>
        <w:tab w:val="clear" w:pos="893"/>
        <w:tab w:val="right" w:pos="595"/>
        <w:tab w:val="left" w:pos="879"/>
      </w:tabs>
      <w:spacing w:before="160"/>
      <w:ind w:left="890" w:hanging="890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605"/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605"/>
        <w:tab w:val="clear" w:pos="893"/>
      </w:tabs>
      <w:ind w:left="0" w:firstLine="0"/>
      <w:outlineLvl w:val="4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2171</Characters>
  <Application>Microsoft Office Word</Application>
  <DocSecurity>0</DocSecurity>
  <Lines>83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(Day Hospital Facility) Determination (No. 2) 2005 - 00-a0-07</dc:title>
  <dc:subject>Subsidiary Legislation</dc:subject>
  <dc:creator>Matthew Pether</dc:creator>
  <cp:keywords>Brought into Production 7 June 2002</cp:keywords>
  <dc:description/>
  <cp:lastModifiedBy>svcMRProcess</cp:lastModifiedBy>
  <cp:revision>4</cp:revision>
  <cp:lastPrinted>2005-10-14T03:19:00Z</cp:lastPrinted>
  <dcterms:created xsi:type="dcterms:W3CDTF">2013-02-16T01:34:00Z</dcterms:created>
  <dcterms:modified xsi:type="dcterms:W3CDTF">2013-02-16T01:34:00Z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25 Nov 2005 p 5689</vt:lpwstr>
  </property>
  <property fmtid="{D5CDD505-2E9C-101B-9397-08002B2CF9AE}" pid="3" name="CommencementDate">
    <vt:lpwstr>20051125</vt:lpwstr>
  </property>
  <property fmtid="{D5CDD505-2E9C-101B-9397-08002B2CF9AE}" pid="4" name="DocumentType">
    <vt:lpwstr>Reg</vt:lpwstr>
  </property>
  <property fmtid="{D5CDD505-2E9C-101B-9397-08002B2CF9AE}" pid="5" name="AsAtDate">
    <vt:lpwstr>25 Nov 2005</vt:lpwstr>
  </property>
  <property fmtid="{D5CDD505-2E9C-101B-9397-08002B2CF9AE}" pid="6" name="Suffix">
    <vt:lpwstr>00-a0-07</vt:lpwstr>
  </property>
</Properties>
</file>