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b504ac3972524088" Type="http://schemas.microsoft.com/office/2007/relationships/ui/extensibility" Target="customUI/customUI14.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(Superannuation)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12 March 2004</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Industrial Relations (Superannuation)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_Toc530380099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_Toc530380100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_Toc530380101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by employer</w:t>
      </w:r>
      <w:r>
        <w:tab/>
      </w:r>
      <w:r>
        <w:fldChar w:fldCharType="begin"/>
      </w:r>
      <w:r>
        <w:instrText xml:space="preserve"> PAGEREF _Toc530380102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Nomination of fund</w:t>
      </w:r>
      <w:r>
        <w:tab/>
      </w:r>
      <w:r>
        <w:fldChar w:fldCharType="begin"/>
      </w:r>
      <w:r>
        <w:instrText xml:space="preserve"> PAGEREF _Toc530380103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_Toc530380106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12 March 2004</w:t>
            </w:r>
            <w:r>
              <w:rPr>
                <w:b/>
                <w:sz w:val="22"/>
              </w:rPr>
              <w:fldChar w:fldCharType="end"/>
            </w:r>
          </w:p>
        </w:tc>
      </w:tr>
    </w:tbl>
    <w:p>
      <w:pPr>
        <w:pStyle w:val="WA"/>
        <w:spacing w:before="12"/>
      </w:pPr>
      <w:r>
        <w:t>Western Australia</w:t>
      </w:r>
    </w:p>
    <w:p>
      <w:pPr>
        <w:pStyle w:val="PrincipalActReg"/>
        <w:rPr>
          <w:snapToGrid w:val="0"/>
        </w:rPr>
      </w:pPr>
      <w:r>
        <w:rPr>
          <w:snapToGrid w:val="0"/>
        </w:rPr>
        <w:t>Industrial Relations Act 1979</w:t>
      </w:r>
    </w:p>
    <w:p>
      <w:pPr>
        <w:pStyle w:val="NameofActReg"/>
      </w:pPr>
      <w:r>
        <w:t>Industrial Relations (Superannuation) Regulations 1997</w:t>
      </w:r>
    </w:p>
    <w:p>
      <w:pPr>
        <w:pStyle w:val="Heading5"/>
        <w:rPr>
          <w:snapToGrid w:val="0"/>
        </w:rPr>
      </w:pPr>
      <w:bookmarkStart w:id="3" w:name="_Toc378838679"/>
      <w:bookmarkStart w:id="4" w:name="_Toc419713310"/>
      <w:bookmarkStart w:id="5" w:name="_Toc530379495"/>
      <w:bookmarkStart w:id="6" w:name="_Toc530379579"/>
      <w:bookmarkStart w:id="7" w:name="_Toc530380099"/>
      <w:r>
        <w:rPr>
          <w:rStyle w:val="CharSectno"/>
        </w:rPr>
        <w:t>1</w:t>
      </w:r>
      <w:r>
        <w:rPr>
          <w:snapToGrid w:val="0"/>
        </w:rPr>
        <w:t>.</w:t>
      </w:r>
      <w:r>
        <w:rPr>
          <w:snapToGrid w:val="0"/>
        </w:rPr>
        <w:tab/>
        <w:t>Citation</w:t>
      </w:r>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(Superannuation) Regulations 1997</w:t>
      </w:r>
      <w:r>
        <w:rPr>
          <w:snapToGrid w:val="0"/>
          <w:vertAlign w:val="superscript"/>
        </w:rPr>
        <w:t> 1</w:t>
      </w:r>
      <w:r>
        <w:rPr>
          <w:snapToGrid w:val="0"/>
        </w:rPr>
        <w:t>.</w:t>
      </w:r>
    </w:p>
    <w:p>
      <w:pPr>
        <w:pStyle w:val="Heading5"/>
        <w:rPr>
          <w:snapToGrid w:val="0"/>
        </w:rPr>
      </w:pPr>
      <w:bookmarkStart w:id="8" w:name="_Toc378838680"/>
      <w:bookmarkStart w:id="9" w:name="_Toc419713311"/>
      <w:bookmarkStart w:id="10" w:name="_Toc530379496"/>
      <w:bookmarkStart w:id="11" w:name="_Toc530379580"/>
      <w:bookmarkStart w:id="12" w:name="_Toc530380100"/>
      <w:r>
        <w:rPr>
          <w:rStyle w:val="CharSectno"/>
        </w:rPr>
        <w:t>2</w:t>
      </w:r>
      <w:r>
        <w:rPr>
          <w:snapToGrid w:val="0"/>
        </w:rPr>
        <w:t>.</w:t>
      </w:r>
      <w:r>
        <w:rPr>
          <w:snapToGrid w:val="0"/>
        </w:rPr>
        <w:tab/>
        <w:t>Commencement</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13 of the </w:t>
      </w:r>
      <w:r>
        <w:rPr>
          <w:i/>
          <w:snapToGrid w:val="0"/>
        </w:rPr>
        <w:t>Industrial Relations Legislation Amendment and Repeal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13" w:name="_Toc378838681"/>
      <w:bookmarkStart w:id="14" w:name="_Toc419713312"/>
      <w:bookmarkStart w:id="15" w:name="_Toc530379497"/>
      <w:bookmarkStart w:id="16" w:name="_Toc530379581"/>
      <w:bookmarkStart w:id="17" w:name="_Toc530380101"/>
      <w:r>
        <w:rPr>
          <w:rStyle w:val="CharSectno"/>
        </w:rPr>
        <w:t>3</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award employee</w:t>
      </w:r>
      <w:r>
        <w:t xml:space="preserve"> means an employee who is bound by an award, order or industrial agreement which requires the employer to make superannuation contributions for the employee;</w:t>
      </w:r>
    </w:p>
    <w:p>
      <w:pPr>
        <w:pStyle w:val="Defstart"/>
      </w:pPr>
      <w:r>
        <w:rPr>
          <w:b/>
        </w:rPr>
        <w:tab/>
      </w:r>
      <w:r>
        <w:rPr>
          <w:rStyle w:val="CharDefText"/>
        </w:rPr>
        <w:t>commencement day</w:t>
      </w:r>
      <w:r>
        <w:t xml:space="preserve"> means the day on which these regulations come into operation; </w:t>
      </w:r>
    </w:p>
    <w:p>
      <w:pPr>
        <w:pStyle w:val="Defstart"/>
      </w:pPr>
      <w:r>
        <w:rPr>
          <w:b/>
        </w:rPr>
        <w:tab/>
      </w:r>
      <w:r>
        <w:rPr>
          <w:rStyle w:val="CharDefText"/>
        </w:rPr>
        <w:t>fund</w:t>
      </w:r>
      <w:r>
        <w:t xml:space="preserve"> means a complying superannuation fund or scheme as defined in section 49C of the Act.</w:t>
      </w:r>
    </w:p>
    <w:p>
      <w:pPr>
        <w:pStyle w:val="Heading5"/>
        <w:rPr>
          <w:snapToGrid w:val="0"/>
        </w:rPr>
      </w:pPr>
      <w:bookmarkStart w:id="18" w:name="_Toc378838682"/>
      <w:bookmarkStart w:id="19" w:name="_Toc419713313"/>
      <w:bookmarkStart w:id="20" w:name="_Toc530379498"/>
      <w:bookmarkStart w:id="21" w:name="_Toc530379582"/>
      <w:bookmarkStart w:id="22" w:name="_Toc530380102"/>
      <w:r>
        <w:rPr>
          <w:rStyle w:val="CharSectno"/>
        </w:rPr>
        <w:t>4</w:t>
      </w:r>
      <w:r>
        <w:rPr>
          <w:snapToGrid w:val="0"/>
        </w:rPr>
        <w:t>.</w:t>
      </w:r>
      <w:r>
        <w:rPr>
          <w:snapToGrid w:val="0"/>
        </w:rPr>
        <w:tab/>
        <w:t>Notification by employer</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employer of an award employee must give to the employee — </w:t>
      </w:r>
    </w:p>
    <w:p>
      <w:pPr>
        <w:pStyle w:val="Indenta"/>
        <w:rPr>
          <w:snapToGrid w:val="0"/>
        </w:rPr>
      </w:pPr>
      <w:r>
        <w:rPr>
          <w:snapToGrid w:val="0"/>
        </w:rPr>
        <w:tab/>
        <w:t>(a)</w:t>
      </w:r>
      <w:r>
        <w:rPr>
          <w:snapToGrid w:val="0"/>
        </w:rPr>
        <w:tab/>
        <w:t>a Notification of Choice of Superannuation Fund form in the form of Form 1 in Schedule 1; or</w:t>
      </w:r>
    </w:p>
    <w:p>
      <w:pPr>
        <w:pStyle w:val="Indenta"/>
        <w:rPr>
          <w:snapToGrid w:val="0"/>
        </w:rPr>
      </w:pPr>
      <w:r>
        <w:rPr>
          <w:snapToGrid w:val="0"/>
        </w:rPr>
        <w:tab/>
        <w:t>(b)</w:t>
      </w:r>
      <w:r>
        <w:rPr>
          <w:snapToGrid w:val="0"/>
        </w:rPr>
        <w:tab/>
        <w:t>a written notice setting out all of the information set out in Form 1 in such a way that it is readily comprehensible to the employee.</w:t>
      </w:r>
    </w:p>
    <w:p>
      <w:pPr>
        <w:pStyle w:val="Subsection"/>
        <w:rPr>
          <w:snapToGrid w:val="0"/>
        </w:rPr>
      </w:pPr>
      <w:r>
        <w:rPr>
          <w:snapToGrid w:val="0"/>
        </w:rPr>
        <w:tab/>
        <w:t>(2)</w:t>
      </w:r>
      <w:r>
        <w:rPr>
          <w:snapToGrid w:val="0"/>
        </w:rPr>
        <w:tab/>
        <w:t>The Notification or written notice must be given — </w:t>
      </w:r>
    </w:p>
    <w:p>
      <w:pPr>
        <w:pStyle w:val="Indenta"/>
        <w:rPr>
          <w:snapToGrid w:val="0"/>
        </w:rPr>
      </w:pPr>
      <w:r>
        <w:rPr>
          <w:snapToGrid w:val="0"/>
        </w:rPr>
        <w:tab/>
        <w:t>(a)</w:t>
      </w:r>
      <w:r>
        <w:rPr>
          <w:snapToGrid w:val="0"/>
        </w:rPr>
        <w:tab/>
        <w:t>if the employee is, on the commencement day, an award employee — as soon as practicable after the commencement day;</w:t>
      </w:r>
    </w:p>
    <w:p>
      <w:pPr>
        <w:pStyle w:val="Indenta"/>
        <w:rPr>
          <w:snapToGrid w:val="0"/>
        </w:rPr>
      </w:pPr>
      <w:r>
        <w:rPr>
          <w:snapToGrid w:val="0"/>
        </w:rPr>
        <w:tab/>
        <w:t>(b)</w:t>
      </w:r>
      <w:r>
        <w:rPr>
          <w:snapToGrid w:val="0"/>
        </w:rPr>
        <w:tab/>
        <w:t>if the employee commences employment as an award employee after the commencement day — as soon as practicable after the employment commences; or</w:t>
      </w:r>
    </w:p>
    <w:p>
      <w:pPr>
        <w:pStyle w:val="Indenta"/>
        <w:rPr>
          <w:snapToGrid w:val="0"/>
        </w:rPr>
      </w:pPr>
      <w:r>
        <w:rPr>
          <w:snapToGrid w:val="0"/>
        </w:rPr>
        <w:tab/>
        <w:t>(c)</w:t>
      </w:r>
      <w:r>
        <w:rPr>
          <w:snapToGrid w:val="0"/>
        </w:rPr>
        <w:tab/>
        <w:t>if the employee — </w:t>
      </w:r>
    </w:p>
    <w:p>
      <w:pPr>
        <w:pStyle w:val="Indenti"/>
        <w:rPr>
          <w:snapToGrid w:val="0"/>
        </w:rPr>
      </w:pPr>
      <w:r>
        <w:rPr>
          <w:snapToGrid w:val="0"/>
        </w:rPr>
        <w:tab/>
        <w:t>(i)</w:t>
      </w:r>
      <w:r>
        <w:rPr>
          <w:snapToGrid w:val="0"/>
        </w:rPr>
        <w:tab/>
        <w:t xml:space="preserve">becomes an award employee after the commencement day other than by reason of commencing employment; and </w:t>
      </w:r>
    </w:p>
    <w:p>
      <w:pPr>
        <w:pStyle w:val="Indenti"/>
        <w:rPr>
          <w:snapToGrid w:val="0"/>
        </w:rPr>
      </w:pPr>
      <w:r>
        <w:rPr>
          <w:snapToGrid w:val="0"/>
        </w:rPr>
        <w:tab/>
        <w:t>(ii)</w:t>
      </w:r>
      <w:r>
        <w:rPr>
          <w:snapToGrid w:val="0"/>
        </w:rPr>
        <w:tab/>
        <w:t>immediately prior to becoming an award employee was not subject to any other award, order or industrial agreement which required the employer to make superannuation contributions for the employee,</w:t>
      </w:r>
    </w:p>
    <w:p>
      <w:pPr>
        <w:pStyle w:val="Indenta"/>
        <w:rPr>
          <w:snapToGrid w:val="0"/>
        </w:rPr>
      </w:pPr>
      <w:r>
        <w:rPr>
          <w:snapToGrid w:val="0"/>
        </w:rPr>
        <w:tab/>
      </w:r>
      <w:r>
        <w:rPr>
          <w:snapToGrid w:val="0"/>
        </w:rPr>
        <w:tab/>
        <w:t>as soon as practicable after the employee becomes an award employee.</w:t>
      </w:r>
    </w:p>
    <w:p>
      <w:pPr>
        <w:pStyle w:val="Heading5"/>
        <w:rPr>
          <w:snapToGrid w:val="0"/>
        </w:rPr>
      </w:pPr>
      <w:bookmarkStart w:id="23" w:name="_Toc378838683"/>
      <w:bookmarkStart w:id="24" w:name="_Toc419713314"/>
      <w:bookmarkStart w:id="25" w:name="_Toc530379499"/>
      <w:bookmarkStart w:id="26" w:name="_Toc530379583"/>
      <w:bookmarkStart w:id="27" w:name="_Toc530380103"/>
      <w:r>
        <w:rPr>
          <w:rStyle w:val="CharSectno"/>
        </w:rPr>
        <w:t>5</w:t>
      </w:r>
      <w:r>
        <w:rPr>
          <w:snapToGrid w:val="0"/>
        </w:rPr>
        <w:t>.</w:t>
      </w:r>
      <w:r>
        <w:rPr>
          <w:snapToGrid w:val="0"/>
        </w:rPr>
        <w:tab/>
        <w:t>Nomination of fund</w:t>
      </w:r>
      <w:bookmarkEnd w:id="23"/>
      <w:bookmarkEnd w:id="24"/>
      <w:bookmarkEnd w:id="25"/>
      <w:bookmarkEnd w:id="26"/>
      <w:bookmarkEnd w:id="27"/>
      <w:r>
        <w:rPr>
          <w:snapToGrid w:val="0"/>
        </w:rPr>
        <w:t xml:space="preserve"> </w:t>
      </w:r>
    </w:p>
    <w:p>
      <w:pPr>
        <w:pStyle w:val="Subsection"/>
        <w:keepLines/>
        <w:rPr>
          <w:snapToGrid w:val="0"/>
        </w:rPr>
      </w:pPr>
      <w:r>
        <w:rPr>
          <w:snapToGrid w:val="0"/>
        </w:rPr>
        <w:tab/>
      </w:r>
      <w:r>
        <w:rPr>
          <w:snapToGrid w:val="0"/>
        </w:rPr>
        <w:tab/>
        <w:t>An employee may nominate a fund as the fund to which the employer is to pay superannuation contributions made for the employee by giving notice in writing to that effect to the employer.</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8" w:name="_Toc378838684"/>
      <w:bookmarkStart w:id="29" w:name="_Toc419713315"/>
      <w:bookmarkStart w:id="30" w:name="_Toc530379500"/>
      <w:bookmarkStart w:id="31" w:name="_Toc530379584"/>
      <w:bookmarkStart w:id="32" w:name="_Toc530379631"/>
      <w:bookmarkStart w:id="33" w:name="_Toc530380053"/>
      <w:bookmarkStart w:id="34" w:name="_Toc530380104"/>
      <w:r>
        <w:rPr>
          <w:rStyle w:val="CharSchNo"/>
        </w:rPr>
        <w:t>Schedule 1</w:t>
      </w:r>
      <w:r>
        <w:t> — </w:t>
      </w:r>
      <w:r>
        <w:rPr>
          <w:rStyle w:val="CharSchText"/>
        </w:rPr>
        <w:t>Forms</w:t>
      </w:r>
      <w:bookmarkEnd w:id="28"/>
      <w:bookmarkEnd w:id="29"/>
      <w:bookmarkEnd w:id="30"/>
      <w:bookmarkEnd w:id="31"/>
      <w:bookmarkEnd w:id="32"/>
      <w:bookmarkEnd w:id="33"/>
      <w:bookmarkEnd w:id="34"/>
      <w:r>
        <w:t xml:space="preserve"> </w:t>
      </w:r>
    </w:p>
    <w:p>
      <w:pPr>
        <w:pStyle w:val="yShoulderClause"/>
        <w:spacing w:before="40" w:after="80"/>
        <w:rPr>
          <w:snapToGrid w:val="0"/>
        </w:rPr>
      </w:pPr>
      <w:r>
        <w:rPr>
          <w:snapToGrid w:val="0"/>
        </w:rPr>
        <w:t>[Regulation 4]</w:t>
      </w:r>
    </w:p>
    <w:tbl>
      <w:tblPr>
        <w:tblW w:w="0" w:type="auto"/>
        <w:tblInd w:w="112" w:type="dxa"/>
        <w:tblLayout w:type="fixed"/>
        <w:tblCellMar>
          <w:left w:w="112" w:type="dxa"/>
          <w:right w:w="112"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Table"/>
              <w:tabs>
                <w:tab w:val="left" w:pos="5984"/>
              </w:tabs>
              <w:jc w:val="center"/>
              <w:rPr>
                <w:i/>
              </w:rPr>
            </w:pPr>
            <w:r>
              <w:rPr>
                <w:i/>
              </w:rPr>
              <w:t>Industrial Relations (Superannuation) Regulations 1997, reg. 4</w:t>
            </w:r>
          </w:p>
          <w:p>
            <w:pPr>
              <w:pStyle w:val="Table"/>
              <w:tabs>
                <w:tab w:val="left" w:pos="5984"/>
              </w:tabs>
              <w:jc w:val="right"/>
            </w:pPr>
            <w:r>
              <w:t>Form 1</w:t>
            </w:r>
          </w:p>
          <w:p>
            <w:pPr>
              <w:pStyle w:val="Table"/>
              <w:spacing w:before="0" w:after="80" w:line="360" w:lineRule="exact"/>
              <w:jc w:val="center"/>
              <w:rPr>
                <w:rFonts w:ascii="NewCenturySchlbk" w:hAnsi="NewCenturySchlbk"/>
                <w:sz w:val="20"/>
              </w:rPr>
            </w:pPr>
            <w:r>
              <w:rPr>
                <w:b/>
                <w:spacing w:val="-4"/>
                <w:sz w:val="36"/>
              </w:rPr>
              <w:fldChar w:fldCharType="begin"/>
            </w:r>
            <w:r>
              <w:rPr>
                <w:b/>
                <w:spacing w:val="-4"/>
                <w:sz w:val="36"/>
              </w:rPr>
              <w:instrText>ADVANCE \D 5.60</w:instrText>
            </w:r>
            <w:r>
              <w:rPr>
                <w:b/>
                <w:spacing w:val="-4"/>
                <w:sz w:val="36"/>
              </w:rPr>
              <w:fldChar w:fldCharType="end"/>
            </w:r>
            <w:r>
              <w:rPr>
                <w:b/>
                <w:spacing w:val="-4"/>
                <w:sz w:val="36"/>
              </w:rPr>
              <w:t>Notification of Choice of</w:t>
            </w:r>
            <w:r>
              <w:rPr>
                <w:b/>
                <w:spacing w:val="-4"/>
                <w:sz w:val="36"/>
              </w:rPr>
              <w:br/>
              <w:t>Superannuation Fund</w:t>
            </w:r>
          </w:p>
        </w:tc>
      </w:tr>
    </w:tbl>
    <w:p>
      <w:pPr>
        <w:pStyle w:val="yMiscellaneousBody"/>
        <w:spacing w:before="120"/>
        <w:rPr>
          <w:b/>
          <w:snapToGrid w:val="0"/>
        </w:rPr>
      </w:pPr>
      <w:r>
        <w:rPr>
          <w:b/>
          <w:snapToGrid w:val="0"/>
        </w:rPr>
        <w:t>Employer to make superannuation contributions</w:t>
      </w:r>
    </w:p>
    <w:p>
      <w:pPr>
        <w:pStyle w:val="yTable"/>
        <w:rPr>
          <w:snapToGrid w:val="0"/>
        </w:rPr>
      </w:pPr>
      <w:r>
        <w:rPr>
          <w:snapToGrid w:val="0"/>
        </w:rPr>
        <w:t>Your employer is required by an award, order or industrial agreement to make certain superannuation contributions for you. You may also be able to make contributions of your own.</w:t>
      </w:r>
    </w:p>
    <w:p>
      <w:pPr>
        <w:pStyle w:val="yMiscellaneousBody"/>
        <w:spacing w:before="120"/>
        <w:rPr>
          <w:b/>
          <w:snapToGrid w:val="0"/>
        </w:rPr>
      </w:pPr>
      <w:r>
        <w:rPr>
          <w:b/>
          <w:snapToGrid w:val="0"/>
        </w:rPr>
        <w:t>Which fund?</w:t>
      </w:r>
    </w:p>
    <w:p>
      <w:pPr>
        <w:pStyle w:val="yTable"/>
        <w:rPr>
          <w:snapToGrid w:val="0"/>
        </w:rPr>
      </w:pPr>
      <w:r>
        <w:rPr>
          <w:snapToGrid w:val="0"/>
        </w:rPr>
        <w:t>You are entitled to choose the superannuation fund to which your contributions will be paid. You may choose any fund that is — </w:t>
      </w:r>
    </w:p>
    <w:p>
      <w:pPr>
        <w:pStyle w:val="yTable"/>
        <w:tabs>
          <w:tab w:val="left" w:pos="709"/>
        </w:tabs>
        <w:ind w:left="709" w:hanging="425"/>
        <w:rPr>
          <w:snapToGrid w:val="0"/>
        </w:rPr>
      </w:pPr>
      <w:r>
        <w:rPr>
          <w:snapToGrid w:val="0"/>
        </w:rPr>
        <w:sym w:font="Symbol" w:char="F0B7"/>
      </w:r>
      <w:r>
        <w:rPr>
          <w:snapToGrid w:val="0"/>
        </w:rPr>
        <w:tab/>
        <w:t xml:space="preserve">a complying fund for the purposes of the </w:t>
      </w:r>
      <w:r>
        <w:rPr>
          <w:i/>
          <w:snapToGrid w:val="0"/>
        </w:rPr>
        <w:t>Commonwealth Superannuation Guarantee (Administration) Act 1992</w:t>
      </w:r>
      <w:r>
        <w:rPr>
          <w:snapToGrid w:val="0"/>
        </w:rPr>
        <w:t>; and</w:t>
      </w:r>
    </w:p>
    <w:p>
      <w:pPr>
        <w:pStyle w:val="yTable"/>
        <w:tabs>
          <w:tab w:val="left" w:pos="709"/>
        </w:tabs>
        <w:ind w:left="709" w:hanging="425"/>
        <w:rPr>
          <w:snapToGrid w:val="0"/>
        </w:rPr>
      </w:pPr>
      <w:r>
        <w:rPr>
          <w:snapToGrid w:val="0"/>
        </w:rPr>
        <w:sym w:font="Symbol" w:char="F0B7"/>
      </w:r>
      <w:r>
        <w:rPr>
          <w:snapToGrid w:val="0"/>
        </w:rPr>
        <w:tab/>
        <w:t>able to accept contributions from your employer.</w:t>
      </w:r>
    </w:p>
    <w:p>
      <w:pPr>
        <w:pStyle w:val="yTable"/>
        <w:rPr>
          <w:snapToGrid w:val="0"/>
        </w:rPr>
      </w:pPr>
      <w:r>
        <w:rPr>
          <w:snapToGrid w:val="0"/>
        </w:rPr>
        <w:t>The trustee of a fund you wish to join should be able to tell you if the fund complies with these requirements.</w:t>
      </w:r>
    </w:p>
    <w:p>
      <w:pPr>
        <w:pStyle w:val="yTable"/>
        <w:rPr>
          <w:snapToGrid w:val="0"/>
        </w:rPr>
      </w:pPr>
      <w:r>
        <w:rPr>
          <w:snapToGrid w:val="0"/>
        </w:rPr>
        <w:t>Unless and until you nominate a fund, subject to any applicable award, order or industrial agreement, your contributions will be paid to a fund chosen by your employer.</w:t>
      </w:r>
    </w:p>
    <w:p>
      <w:pPr>
        <w:pStyle w:val="yMiscellaneousBody"/>
        <w:spacing w:before="120"/>
        <w:rPr>
          <w:b/>
          <w:snapToGrid w:val="0"/>
        </w:rPr>
      </w:pPr>
      <w:r>
        <w:rPr>
          <w:b/>
          <w:snapToGrid w:val="0"/>
        </w:rPr>
        <w:t>How to nominate the fund of your choice</w:t>
      </w:r>
    </w:p>
    <w:p>
      <w:pPr>
        <w:pStyle w:val="yTable"/>
        <w:rPr>
          <w:snapToGrid w:val="0"/>
        </w:rPr>
      </w:pPr>
      <w:r>
        <w:rPr>
          <w:snapToGrid w:val="0"/>
        </w:rPr>
        <w:t xml:space="preserve">To nominate the fund of your choice you must give notice in writing to your employer specifying which fund you have chosen. </w:t>
      </w:r>
    </w:p>
    <w:p>
      <w:pPr>
        <w:pStyle w:val="yMiscellaneousBody"/>
        <w:spacing w:before="120"/>
        <w:rPr>
          <w:b/>
          <w:snapToGrid w:val="0"/>
        </w:rPr>
      </w:pPr>
      <w:r>
        <w:rPr>
          <w:b/>
          <w:snapToGrid w:val="0"/>
        </w:rPr>
        <w:t>Changing funds</w:t>
      </w:r>
    </w:p>
    <w:p>
      <w:pPr>
        <w:pStyle w:val="yTable"/>
        <w:rPr>
          <w:snapToGrid w:val="0"/>
        </w:rPr>
      </w:pPr>
      <w:r>
        <w:rPr>
          <w:snapToGrid w:val="0"/>
        </w:rPr>
        <w:t>Once you have nominated a fund you cannot change your nomination and choose a different fund unless your employer agrees.  However, your employer cannot unreasonably refuse to agree to a change of fund.</w:t>
      </w:r>
    </w:p>
    <w:p>
      <w:pPr>
        <w:pStyle w:val="yMiscellaneousBody"/>
        <w:rPr>
          <w:b/>
          <w:snapToGrid w:val="0"/>
        </w:rPr>
      </w:pPr>
      <w:r>
        <w:rPr>
          <w:b/>
          <w:snapToGrid w:val="0"/>
        </w:rPr>
        <w:t>MAKE THE RIGHT CHOICE</w:t>
      </w:r>
    </w:p>
    <w:p>
      <w:pPr>
        <w:pStyle w:val="yTable"/>
        <w:rPr>
          <w:b/>
          <w:snapToGrid w:val="0"/>
        </w:rPr>
      </w:pPr>
      <w:r>
        <w:rPr>
          <w:b/>
          <w:snapToGrid w:val="0"/>
        </w:rPr>
        <w:t>Choosing the right fund is a complex decision.  Before you nominate a fund read the “Information for Employees” on the back of this form and consult your accountant or an independent financial adviser to make sure it is the best fund for you.</w:t>
      </w:r>
    </w:p>
    <w:p>
      <w:pPr>
        <w:pStyle w:val="yMiscellaneousBody"/>
        <w:rPr>
          <w:b/>
          <w:snapToGrid w:val="0"/>
        </w:rPr>
      </w:pPr>
      <w:r>
        <w:rPr>
          <w:b/>
          <w:snapToGrid w:val="0"/>
        </w:rPr>
        <w:t>Back of Form 1</w:t>
      </w:r>
    </w:p>
    <w:p>
      <w:pPr>
        <w:pStyle w:val="yMiscellaneousHeading"/>
        <w:rPr>
          <w:b/>
          <w:snapToGrid w:val="0"/>
        </w:rPr>
      </w:pPr>
      <w:r>
        <w:rPr>
          <w:b/>
          <w:snapToGrid w:val="0"/>
        </w:rPr>
        <w:t>Information for Employees</w:t>
      </w:r>
    </w:p>
    <w:p>
      <w:pPr>
        <w:pStyle w:val="yTable"/>
        <w:rPr>
          <w:snapToGrid w:val="0"/>
        </w:rPr>
      </w:pPr>
      <w:r>
        <w:rPr>
          <w:snapToGrid w:val="0"/>
        </w:rPr>
        <w:t>Before you nominate a fund there are many things you need to consider to make sure the fund is suitable for you.  Some of the things you should consider are — </w:t>
      </w:r>
    </w:p>
    <w:p>
      <w:pPr>
        <w:pStyle w:val="yTable"/>
        <w:tabs>
          <w:tab w:val="left" w:pos="709"/>
        </w:tabs>
        <w:ind w:left="709" w:hanging="425"/>
        <w:rPr>
          <w:snapToGrid w:val="0"/>
        </w:rPr>
      </w:pPr>
      <w:r>
        <w:rPr>
          <w:snapToGrid w:val="0"/>
        </w:rPr>
        <w:sym w:font="Symbol" w:char="F0B7"/>
      </w:r>
      <w:r>
        <w:rPr>
          <w:snapToGrid w:val="0"/>
        </w:rPr>
        <w:tab/>
        <w:t xml:space="preserve">the type and level of </w:t>
      </w:r>
      <w:r>
        <w:rPr>
          <w:b/>
          <w:snapToGrid w:val="0"/>
        </w:rPr>
        <w:t>benefits</w:t>
      </w:r>
      <w:r>
        <w:rPr>
          <w:snapToGrid w:val="0"/>
        </w:rPr>
        <w:t xml:space="preserve"> provided by the fund</w:t>
      </w:r>
    </w:p>
    <w:p>
      <w:pPr>
        <w:pStyle w:val="yTable"/>
        <w:tabs>
          <w:tab w:val="left" w:pos="709"/>
        </w:tabs>
        <w:ind w:left="709" w:hanging="425"/>
        <w:rPr>
          <w:snapToGrid w:val="0"/>
        </w:rPr>
      </w:pPr>
      <w:r>
        <w:rPr>
          <w:snapToGrid w:val="0"/>
        </w:rPr>
        <w:sym w:font="Symbol" w:char="F0B7"/>
      </w:r>
      <w:r>
        <w:rPr>
          <w:snapToGrid w:val="0"/>
        </w:rPr>
        <w:tab/>
        <w:t xml:space="preserve">the </w:t>
      </w:r>
      <w:r>
        <w:rPr>
          <w:b/>
          <w:snapToGrid w:val="0"/>
        </w:rPr>
        <w:t>fees and charges</w:t>
      </w:r>
      <w:r>
        <w:rPr>
          <w:snapToGrid w:val="0"/>
        </w:rPr>
        <w:t xml:space="preserve"> charged by the fund</w:t>
      </w:r>
    </w:p>
    <w:p>
      <w:pPr>
        <w:pStyle w:val="yTable"/>
        <w:tabs>
          <w:tab w:val="left" w:pos="709"/>
        </w:tabs>
        <w:ind w:left="709" w:hanging="425"/>
        <w:rPr>
          <w:snapToGrid w:val="0"/>
        </w:rPr>
      </w:pPr>
      <w:r>
        <w:rPr>
          <w:snapToGrid w:val="0"/>
        </w:rPr>
        <w:sym w:font="Symbol" w:char="F0B7"/>
      </w:r>
      <w:r>
        <w:rPr>
          <w:snapToGrid w:val="0"/>
        </w:rPr>
        <w:tab/>
        <w:t xml:space="preserve">the type and level of </w:t>
      </w:r>
      <w:r>
        <w:rPr>
          <w:b/>
          <w:snapToGrid w:val="0"/>
        </w:rPr>
        <w:t>insurance</w:t>
      </w:r>
      <w:r>
        <w:rPr>
          <w:snapToGrid w:val="0"/>
        </w:rPr>
        <w:t xml:space="preserve"> provided by the fund</w:t>
      </w:r>
    </w:p>
    <w:p>
      <w:pPr>
        <w:pStyle w:val="yTable"/>
        <w:tabs>
          <w:tab w:val="left" w:pos="709"/>
        </w:tabs>
        <w:ind w:left="709" w:hanging="425"/>
        <w:rPr>
          <w:snapToGrid w:val="0"/>
        </w:rPr>
      </w:pPr>
      <w:r>
        <w:rPr>
          <w:snapToGrid w:val="0"/>
        </w:rPr>
        <w:sym w:font="Symbol" w:char="F0B7"/>
      </w:r>
      <w:r>
        <w:rPr>
          <w:snapToGrid w:val="0"/>
        </w:rPr>
        <w:tab/>
        <w:t xml:space="preserve">the </w:t>
      </w:r>
      <w:r>
        <w:rPr>
          <w:b/>
          <w:snapToGrid w:val="0"/>
        </w:rPr>
        <w:t>preservation</w:t>
      </w:r>
      <w:r>
        <w:rPr>
          <w:snapToGrid w:val="0"/>
        </w:rPr>
        <w:t xml:space="preserve"> requirements applying to benefits in the fund</w:t>
      </w:r>
    </w:p>
    <w:p>
      <w:pPr>
        <w:pStyle w:val="yTable"/>
        <w:tabs>
          <w:tab w:val="left" w:pos="709"/>
        </w:tabs>
        <w:ind w:left="709" w:hanging="425"/>
        <w:rPr>
          <w:b/>
          <w:snapToGrid w:val="0"/>
        </w:rPr>
      </w:pPr>
      <w:r>
        <w:rPr>
          <w:snapToGrid w:val="0"/>
        </w:rPr>
        <w:sym w:font="Symbol" w:char="F0B7"/>
      </w:r>
      <w:r>
        <w:rPr>
          <w:snapToGrid w:val="0"/>
        </w:rPr>
        <w:tab/>
        <w:t xml:space="preserve">any other restrictions on </w:t>
      </w:r>
      <w:r>
        <w:rPr>
          <w:b/>
          <w:snapToGrid w:val="0"/>
        </w:rPr>
        <w:t>access to benefits</w:t>
      </w:r>
    </w:p>
    <w:p>
      <w:pPr>
        <w:pStyle w:val="yTable"/>
        <w:tabs>
          <w:tab w:val="left" w:pos="709"/>
        </w:tabs>
        <w:ind w:left="709" w:hanging="425"/>
        <w:rPr>
          <w:snapToGrid w:val="0"/>
        </w:rPr>
      </w:pPr>
      <w:r>
        <w:rPr>
          <w:snapToGrid w:val="0"/>
        </w:rPr>
        <w:sym w:font="Symbol" w:char="F0B7"/>
      </w:r>
      <w:r>
        <w:rPr>
          <w:snapToGrid w:val="0"/>
        </w:rPr>
        <w:tab/>
        <w:t xml:space="preserve">the trustee’s </w:t>
      </w:r>
      <w:r>
        <w:rPr>
          <w:b/>
          <w:snapToGrid w:val="0"/>
        </w:rPr>
        <w:t>procedure for checking that employer contributions</w:t>
      </w:r>
      <w:r>
        <w:rPr>
          <w:snapToGrid w:val="0"/>
        </w:rPr>
        <w:t xml:space="preserve"> are being made</w:t>
      </w:r>
    </w:p>
    <w:p>
      <w:pPr>
        <w:pStyle w:val="yTable"/>
        <w:tabs>
          <w:tab w:val="left" w:pos="709"/>
        </w:tabs>
        <w:ind w:left="709" w:hanging="425"/>
        <w:rPr>
          <w:snapToGrid w:val="0"/>
        </w:rPr>
      </w:pPr>
      <w:r>
        <w:rPr>
          <w:snapToGrid w:val="0"/>
        </w:rPr>
        <w:sym w:font="Symbol" w:char="F0B7"/>
      </w:r>
      <w:r>
        <w:rPr>
          <w:snapToGrid w:val="0"/>
        </w:rPr>
        <w:tab/>
        <w:t xml:space="preserve">whether the fund permits </w:t>
      </w:r>
      <w:r>
        <w:rPr>
          <w:b/>
          <w:snapToGrid w:val="0"/>
        </w:rPr>
        <w:t>additional member contributions</w:t>
      </w:r>
    </w:p>
    <w:p>
      <w:pPr>
        <w:pStyle w:val="yTable"/>
        <w:tabs>
          <w:tab w:val="left" w:pos="709"/>
        </w:tabs>
        <w:ind w:left="709" w:hanging="425"/>
        <w:rPr>
          <w:snapToGrid w:val="0"/>
        </w:rPr>
      </w:pPr>
      <w:r>
        <w:rPr>
          <w:snapToGrid w:val="0"/>
        </w:rPr>
        <w:sym w:font="Symbol" w:char="F0B7"/>
      </w:r>
      <w:r>
        <w:rPr>
          <w:snapToGrid w:val="0"/>
        </w:rPr>
        <w:tab/>
        <w:t xml:space="preserve">the fund’s </w:t>
      </w:r>
      <w:r>
        <w:rPr>
          <w:b/>
          <w:snapToGrid w:val="0"/>
        </w:rPr>
        <w:t>complaint resolution procedure</w:t>
      </w:r>
    </w:p>
    <w:p>
      <w:pPr>
        <w:pStyle w:val="yTable"/>
        <w:tabs>
          <w:tab w:val="left" w:pos="709"/>
        </w:tabs>
        <w:ind w:left="709" w:hanging="425"/>
        <w:rPr>
          <w:snapToGrid w:val="0"/>
        </w:rPr>
      </w:pPr>
      <w:r>
        <w:rPr>
          <w:snapToGrid w:val="0"/>
        </w:rPr>
        <w:sym w:font="Symbol" w:char="F0B7"/>
      </w:r>
      <w:r>
        <w:rPr>
          <w:snapToGrid w:val="0"/>
        </w:rPr>
        <w:tab/>
        <w:t xml:space="preserve">what sort of </w:t>
      </w:r>
      <w:r>
        <w:rPr>
          <w:b/>
          <w:snapToGrid w:val="0"/>
        </w:rPr>
        <w:t>investment options</w:t>
      </w:r>
      <w:r>
        <w:rPr>
          <w:snapToGrid w:val="0"/>
        </w:rPr>
        <w:t xml:space="preserve"> are available to fund members</w:t>
      </w:r>
    </w:p>
    <w:p>
      <w:pPr>
        <w:pStyle w:val="yTable"/>
        <w:tabs>
          <w:tab w:val="left" w:pos="709"/>
        </w:tabs>
        <w:ind w:left="709" w:hanging="425"/>
        <w:rPr>
          <w:snapToGrid w:val="0"/>
        </w:rPr>
      </w:pPr>
      <w:r>
        <w:rPr>
          <w:snapToGrid w:val="0"/>
        </w:rPr>
        <w:sym w:font="Symbol" w:char="F0B7"/>
      </w:r>
      <w:r>
        <w:rPr>
          <w:snapToGrid w:val="0"/>
        </w:rPr>
        <w:tab/>
        <w:t xml:space="preserve">whether the trustee employs fund managers, actuaries, stockbrokers and other </w:t>
      </w:r>
      <w:r>
        <w:rPr>
          <w:b/>
          <w:snapToGrid w:val="0"/>
        </w:rPr>
        <w:t>advisers</w:t>
      </w:r>
      <w:r>
        <w:rPr>
          <w:snapToGrid w:val="0"/>
        </w:rPr>
        <w:t>, and if so who they are, what they do and how much they are paid</w:t>
      </w:r>
    </w:p>
    <w:p>
      <w:pPr>
        <w:pStyle w:val="yTable"/>
        <w:tabs>
          <w:tab w:val="left" w:pos="709"/>
        </w:tabs>
        <w:ind w:left="709" w:hanging="425"/>
        <w:rPr>
          <w:snapToGrid w:val="0"/>
        </w:rPr>
      </w:pPr>
      <w:r>
        <w:rPr>
          <w:snapToGrid w:val="0"/>
        </w:rPr>
        <w:sym w:font="Symbol" w:char="F0B7"/>
      </w:r>
      <w:r>
        <w:rPr>
          <w:snapToGrid w:val="0"/>
        </w:rPr>
        <w:tab/>
        <w:t xml:space="preserve">whether there is a </w:t>
      </w:r>
      <w:r>
        <w:rPr>
          <w:b/>
          <w:snapToGrid w:val="0"/>
        </w:rPr>
        <w:t>“cooling</w:t>
      </w:r>
      <w:r>
        <w:rPr>
          <w:b/>
          <w:snapToGrid w:val="0"/>
        </w:rPr>
        <w:noBreakHyphen/>
        <w:t>off</w:t>
      </w:r>
      <w:r>
        <w:rPr>
          <w:b/>
          <w:snapToGrid w:val="0"/>
          <w:sz w:val="12"/>
          <w:vertAlign w:val="superscript"/>
        </w:rPr>
        <w:t> </w:t>
      </w:r>
      <w:r>
        <w:rPr>
          <w:b/>
          <w:snapToGrid w:val="0"/>
        </w:rPr>
        <w:t>” period</w:t>
      </w:r>
      <w:r>
        <w:rPr>
          <w:snapToGrid w:val="0"/>
        </w:rPr>
        <w:t xml:space="preserve"> for new members</w:t>
      </w:r>
    </w:p>
    <w:p>
      <w:pPr>
        <w:pStyle w:val="yTable"/>
        <w:tabs>
          <w:tab w:val="left" w:pos="709"/>
        </w:tabs>
        <w:ind w:left="709" w:hanging="425"/>
        <w:rPr>
          <w:snapToGrid w:val="0"/>
        </w:rPr>
      </w:pPr>
      <w:r>
        <w:rPr>
          <w:snapToGrid w:val="0"/>
        </w:rPr>
        <w:sym w:font="Symbol" w:char="F0B7"/>
      </w:r>
      <w:r>
        <w:rPr>
          <w:snapToGrid w:val="0"/>
        </w:rPr>
        <w:tab/>
        <w:t xml:space="preserve">the </w:t>
      </w:r>
      <w:r>
        <w:rPr>
          <w:b/>
          <w:snapToGrid w:val="0"/>
        </w:rPr>
        <w:t>tax</w:t>
      </w:r>
      <w:r>
        <w:rPr>
          <w:snapToGrid w:val="0"/>
        </w:rPr>
        <w:t xml:space="preserve"> implications of making contributions and receiving benefits</w:t>
      </w:r>
    </w:p>
    <w:p>
      <w:pPr>
        <w:pStyle w:val="yTable"/>
        <w:tabs>
          <w:tab w:val="left" w:pos="709"/>
        </w:tabs>
        <w:ind w:left="709" w:hanging="425"/>
        <w:rPr>
          <w:snapToGrid w:val="0"/>
        </w:rPr>
      </w:pPr>
      <w:r>
        <w:rPr>
          <w:snapToGrid w:val="0"/>
        </w:rPr>
        <w:sym w:font="Symbol" w:char="F0B7"/>
      </w:r>
      <w:r>
        <w:rPr>
          <w:snapToGrid w:val="0"/>
        </w:rPr>
        <w:tab/>
        <w:t xml:space="preserve">the quality and frequency of </w:t>
      </w:r>
      <w:r>
        <w:rPr>
          <w:b/>
          <w:snapToGrid w:val="0"/>
        </w:rPr>
        <w:t>information</w:t>
      </w:r>
      <w:r>
        <w:rPr>
          <w:snapToGrid w:val="0"/>
        </w:rPr>
        <w:t xml:space="preserve"> about the fund’s investments and performance provided to fund members by the trustee.</w:t>
      </w:r>
    </w:p>
    <w:p>
      <w:pPr>
        <w:pStyle w:val="yTable"/>
        <w:rPr>
          <w:snapToGrid w:val="0"/>
        </w:rPr>
      </w:pPr>
      <w:r>
        <w:rPr>
          <w:snapToGrid w:val="0"/>
        </w:rPr>
        <w:t>If you are already in a superannuation fund you should also consider the consequences of changing to a new fund.  Some of the things you should consider are — </w:t>
      </w:r>
    </w:p>
    <w:p>
      <w:pPr>
        <w:pStyle w:val="yTable"/>
        <w:tabs>
          <w:tab w:val="left" w:pos="709"/>
        </w:tabs>
        <w:ind w:left="709" w:hanging="425"/>
        <w:rPr>
          <w:snapToGrid w:val="0"/>
        </w:rPr>
      </w:pPr>
      <w:r>
        <w:rPr>
          <w:snapToGrid w:val="0"/>
        </w:rPr>
        <w:sym w:font="Symbol" w:char="F0B7"/>
      </w:r>
      <w:r>
        <w:rPr>
          <w:snapToGrid w:val="0"/>
        </w:rPr>
        <w:tab/>
        <w:t xml:space="preserve">whether you can </w:t>
      </w:r>
      <w:r>
        <w:rPr>
          <w:b/>
          <w:snapToGrid w:val="0"/>
        </w:rPr>
        <w:t>transfer benefits</w:t>
      </w:r>
      <w:r>
        <w:rPr>
          <w:snapToGrid w:val="0"/>
        </w:rPr>
        <w:t xml:space="preserve"> from your current fund to the new fund, and whether there are </w:t>
      </w:r>
      <w:r>
        <w:rPr>
          <w:b/>
          <w:snapToGrid w:val="0"/>
        </w:rPr>
        <w:t>fees</w:t>
      </w:r>
      <w:r>
        <w:rPr>
          <w:snapToGrid w:val="0"/>
        </w:rPr>
        <w:t xml:space="preserve"> for doing this</w:t>
      </w:r>
    </w:p>
    <w:p>
      <w:pPr>
        <w:pStyle w:val="yTable"/>
        <w:tabs>
          <w:tab w:val="left" w:pos="709"/>
        </w:tabs>
        <w:ind w:left="709" w:hanging="425"/>
        <w:rPr>
          <w:snapToGrid w:val="0"/>
        </w:rPr>
      </w:pPr>
      <w:r>
        <w:rPr>
          <w:snapToGrid w:val="0"/>
        </w:rPr>
        <w:sym w:font="Symbol" w:char="F0B7"/>
      </w:r>
      <w:r>
        <w:rPr>
          <w:snapToGrid w:val="0"/>
        </w:rPr>
        <w:tab/>
        <w:t xml:space="preserve">whether there will be </w:t>
      </w:r>
      <w:r>
        <w:rPr>
          <w:b/>
          <w:snapToGrid w:val="0"/>
        </w:rPr>
        <w:t>changes in your contribution and benefit levels</w:t>
      </w:r>
    </w:p>
    <w:p>
      <w:pPr>
        <w:pStyle w:val="yTable"/>
        <w:tabs>
          <w:tab w:val="left" w:pos="709"/>
        </w:tabs>
        <w:ind w:left="709" w:hanging="425"/>
        <w:rPr>
          <w:snapToGrid w:val="0"/>
        </w:rPr>
      </w:pPr>
      <w:r>
        <w:rPr>
          <w:snapToGrid w:val="0"/>
        </w:rPr>
        <w:sym w:font="Symbol" w:char="F0B7"/>
      </w:r>
      <w:r>
        <w:rPr>
          <w:snapToGrid w:val="0"/>
        </w:rPr>
        <w:tab/>
        <w:t xml:space="preserve">whether there are any </w:t>
      </w:r>
      <w:r>
        <w:rPr>
          <w:b/>
          <w:snapToGrid w:val="0"/>
        </w:rPr>
        <w:t>fees or charges</w:t>
      </w:r>
      <w:r>
        <w:rPr>
          <w:snapToGrid w:val="0"/>
        </w:rPr>
        <w:t xml:space="preserve"> to exit from your current fund</w:t>
      </w:r>
    </w:p>
    <w:p>
      <w:pPr>
        <w:pStyle w:val="yTable"/>
        <w:tabs>
          <w:tab w:val="left" w:pos="709"/>
        </w:tabs>
        <w:ind w:left="709" w:hanging="425"/>
        <w:rPr>
          <w:snapToGrid w:val="0"/>
        </w:rPr>
      </w:pPr>
      <w:r>
        <w:rPr>
          <w:snapToGrid w:val="0"/>
        </w:rPr>
        <w:sym w:font="Symbol" w:char="F0B7"/>
      </w:r>
      <w:r>
        <w:rPr>
          <w:snapToGrid w:val="0"/>
        </w:rPr>
        <w:tab/>
        <w:t xml:space="preserve">whether changing funds will affect the </w:t>
      </w:r>
      <w:r>
        <w:rPr>
          <w:b/>
          <w:snapToGrid w:val="0"/>
        </w:rPr>
        <w:t>preservation</w:t>
      </w:r>
      <w:r>
        <w:rPr>
          <w:snapToGrid w:val="0"/>
        </w:rPr>
        <w:t xml:space="preserve"> requirements applying to your benefit</w:t>
      </w:r>
    </w:p>
    <w:p>
      <w:pPr>
        <w:pStyle w:val="yTable"/>
        <w:tabs>
          <w:tab w:val="left" w:pos="709"/>
        </w:tabs>
        <w:ind w:left="709" w:hanging="425"/>
        <w:rPr>
          <w:snapToGrid w:val="0"/>
        </w:rPr>
      </w:pPr>
      <w:r>
        <w:rPr>
          <w:snapToGrid w:val="0"/>
        </w:rPr>
        <w:sym w:font="Symbol" w:char="F0B7"/>
      </w:r>
      <w:r>
        <w:rPr>
          <w:snapToGrid w:val="0"/>
        </w:rPr>
        <w:tab/>
        <w:t xml:space="preserve">the </w:t>
      </w:r>
      <w:r>
        <w:rPr>
          <w:b/>
          <w:snapToGrid w:val="0"/>
        </w:rPr>
        <w:t>tax</w:t>
      </w:r>
      <w:r>
        <w:rPr>
          <w:snapToGrid w:val="0"/>
        </w:rPr>
        <w:t xml:space="preserve"> implications of changing funds.</w:t>
      </w:r>
    </w:p>
    <w:p>
      <w:pPr>
        <w:pStyle w:val="yMiscellaneousBody"/>
        <w:keepNext/>
        <w:rPr>
          <w:b/>
          <w:snapToGrid w:val="0"/>
        </w:rPr>
      </w:pPr>
      <w:r>
        <w:rPr>
          <w:b/>
          <w:snapToGrid w:val="0"/>
        </w:rPr>
        <w:t xml:space="preserve">MAKE THE RIGHT CHOICE </w:t>
      </w:r>
    </w:p>
    <w:p>
      <w:pPr>
        <w:pStyle w:val="yTable"/>
        <w:rPr>
          <w:b/>
          <w:snapToGrid w:val="0"/>
        </w:rPr>
      </w:pPr>
      <w:r>
        <w:rPr>
          <w:b/>
          <w:snapToGrid w:val="0"/>
        </w:rPr>
        <w:t>Choosing the right fund is a complex decision.  Before you nominate a fund — </w:t>
      </w:r>
    </w:p>
    <w:p>
      <w:pPr>
        <w:pStyle w:val="yTable"/>
        <w:tabs>
          <w:tab w:val="left" w:pos="709"/>
        </w:tabs>
        <w:ind w:left="709" w:hanging="425"/>
        <w:rPr>
          <w:b/>
          <w:snapToGrid w:val="0"/>
        </w:rPr>
      </w:pPr>
      <w:r>
        <w:rPr>
          <w:snapToGrid w:val="0"/>
        </w:rPr>
        <w:sym w:font="Symbol" w:char="F0B7"/>
      </w:r>
      <w:r>
        <w:rPr>
          <w:b/>
          <w:snapToGrid w:val="0"/>
        </w:rPr>
        <w:tab/>
        <w:t>carefully read the member booklet, prospectus or other information provided by the trustee of the fund; and</w:t>
      </w:r>
    </w:p>
    <w:p>
      <w:pPr>
        <w:pStyle w:val="yTable"/>
        <w:tabs>
          <w:tab w:val="left" w:pos="709"/>
        </w:tabs>
        <w:ind w:left="709" w:hanging="425"/>
        <w:rPr>
          <w:b/>
          <w:snapToGrid w:val="0"/>
        </w:rPr>
      </w:pPr>
      <w:r>
        <w:rPr>
          <w:snapToGrid w:val="0"/>
        </w:rPr>
        <w:sym w:font="Symbol" w:char="F0B7"/>
      </w:r>
      <w:r>
        <w:rPr>
          <w:b/>
          <w:snapToGrid w:val="0"/>
        </w:rPr>
        <w:tab/>
        <w:t xml:space="preserve">consult your accountant or an independent financial adviser, </w:t>
      </w:r>
    </w:p>
    <w:p>
      <w:pPr>
        <w:pStyle w:val="yTable"/>
        <w:rPr>
          <w:b/>
          <w:snapToGrid w:val="0"/>
        </w:rPr>
      </w:pPr>
      <w:r>
        <w:rPr>
          <w:b/>
          <w:snapToGrid w:val="0"/>
        </w:rPr>
        <w:t>to make sure it is the best fund for you.</w:t>
      </w:r>
    </w:p>
    <w:p>
      <w:pPr>
        <w:pStyle w:val="yFootnotesection"/>
      </w:pPr>
      <w:r>
        <w:tab/>
        <w:t>[Schedule 1 amended: Gazette 1 Sep 1998 p. 4823.]</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6" w:name="_Toc378838685"/>
      <w:bookmarkStart w:id="37" w:name="_Toc419713316"/>
      <w:bookmarkStart w:id="38" w:name="_Toc530379501"/>
      <w:bookmarkStart w:id="39" w:name="_Toc530379585"/>
      <w:bookmarkStart w:id="40" w:name="_Toc530379632"/>
      <w:bookmarkStart w:id="41" w:name="_Toc530380054"/>
      <w:bookmarkStart w:id="42" w:name="_Toc530380105"/>
      <w:r>
        <w:t>Notes</w:t>
      </w:r>
      <w:bookmarkEnd w:id="36"/>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reprint is a compilation as at 12 March 2004 of the </w:t>
      </w:r>
      <w:r>
        <w:rPr>
          <w:i/>
          <w:noProof/>
          <w:snapToGrid w:val="0"/>
        </w:rPr>
        <w:t>Industrial Relations (Superannuation)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378838686"/>
      <w:bookmarkStart w:id="44" w:name="_Toc419713317"/>
      <w:bookmarkStart w:id="45" w:name="_Toc530379502"/>
      <w:bookmarkStart w:id="46" w:name="_Toc530379586"/>
      <w:bookmarkStart w:id="47" w:name="_Toc530380106"/>
      <w:r>
        <w:rPr>
          <w:snapToGrid w:val="0"/>
        </w:rPr>
        <w:t>Compilation table</w:t>
      </w:r>
      <w:bookmarkEnd w:id="43"/>
      <w:bookmarkEnd w:id="44"/>
      <w:bookmarkEnd w:id="45"/>
      <w:bookmarkEnd w:id="46"/>
      <w:bookmarkEnd w:id="4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Industrial Relations (Superannuation) Regulations 1997</w:t>
            </w:r>
          </w:p>
        </w:tc>
        <w:tc>
          <w:tcPr>
            <w:tcW w:w="1276" w:type="dxa"/>
          </w:tcPr>
          <w:p>
            <w:pPr>
              <w:pStyle w:val="nTable"/>
              <w:spacing w:after="40"/>
            </w:pPr>
            <w:r>
              <w:t>31 Dec 1997 p. 7609</w:t>
            </w:r>
            <w:r>
              <w:noBreakHyphen/>
              <w:t>11</w:t>
            </w:r>
          </w:p>
        </w:tc>
        <w:tc>
          <w:tcPr>
            <w:tcW w:w="2693" w:type="dxa"/>
          </w:tcPr>
          <w:p>
            <w:pPr>
              <w:pStyle w:val="nTable"/>
              <w:spacing w:after="40"/>
            </w:pPr>
            <w:r>
              <w:t xml:space="preserve">1 Jan 1998 (see r. 2 and </w:t>
            </w:r>
            <w:r>
              <w:rPr>
                <w:i/>
              </w:rPr>
              <w:t>Gazette</w:t>
            </w:r>
            <w:r>
              <w:t xml:space="preserve"> 31 Dec 1997 p. 7609)</w:t>
            </w:r>
          </w:p>
        </w:tc>
      </w:tr>
      <w:tr>
        <w:tc>
          <w:tcPr>
            <w:tcW w:w="3118" w:type="dxa"/>
          </w:tcPr>
          <w:p>
            <w:pPr>
              <w:pStyle w:val="nTable"/>
              <w:spacing w:after="40"/>
              <w:rPr>
                <w:i/>
              </w:rPr>
            </w:pPr>
            <w:r>
              <w:rPr>
                <w:i/>
              </w:rPr>
              <w:t xml:space="preserve">Industrial Relations (Superannuation) Amendment Regulations 1998 </w:t>
            </w:r>
          </w:p>
        </w:tc>
        <w:tc>
          <w:tcPr>
            <w:tcW w:w="1276" w:type="dxa"/>
          </w:tcPr>
          <w:p>
            <w:pPr>
              <w:pStyle w:val="nTable"/>
              <w:spacing w:after="40"/>
            </w:pPr>
            <w:r>
              <w:t>1 Sep 1998 p. 4823</w:t>
            </w:r>
          </w:p>
        </w:tc>
        <w:tc>
          <w:tcPr>
            <w:tcW w:w="2693" w:type="dxa"/>
          </w:tcPr>
          <w:p>
            <w:pPr>
              <w:pStyle w:val="nTable"/>
              <w:spacing w:after="40"/>
            </w:pPr>
            <w:r>
              <w:t>1 Sep 1998</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Industrial Relations (Superannuation) Regulations 1997</w:t>
            </w:r>
            <w:r>
              <w:rPr>
                <w:b/>
              </w:rPr>
              <w:t xml:space="preserve"> as at 12 Mar 2004</w:t>
            </w:r>
            <w:r>
              <w:t xml:space="preserve"> (includes amendments listed above)</w:t>
            </w:r>
          </w:p>
        </w:tc>
      </w:tr>
    </w:tb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9" w:name="_Toc530379503"/>
      <w:bookmarkStart w:id="50" w:name="_Toc530379587"/>
      <w:bookmarkStart w:id="51" w:name="_Toc530379634"/>
      <w:bookmarkStart w:id="52" w:name="_Toc530380056"/>
      <w:bookmarkStart w:id="53" w:name="_Toc530380107"/>
      <w:r>
        <w:rPr>
          <w:sz w:val="28"/>
        </w:rPr>
        <w:t>Defined terms</w:t>
      </w:r>
      <w:bookmarkEnd w:id="49"/>
      <w:bookmarkEnd w:id="50"/>
      <w:bookmarkEnd w:id="51"/>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award employee</w:t>
      </w:r>
      <w:r>
        <w:tab/>
        <w:t>3</w:t>
      </w:r>
    </w:p>
    <w:p>
      <w:pPr>
        <w:pStyle w:val="DefinedTerms"/>
      </w:pPr>
      <w:r>
        <w:t>commencement day</w:t>
      </w:r>
      <w:r>
        <w:tab/>
        <w:t>3</w:t>
      </w:r>
    </w:p>
    <w:p>
      <w:pPr>
        <w:pStyle w:val="DefinedTerms"/>
      </w:pPr>
      <w:r>
        <w:t>fund</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jc w:val="cente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(Superannuation) Regulations 1997</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(Superannuation) Regulations 1997</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(Superannuation)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(Superannuation)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(Superannuation)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(Superannuation)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(Superannuation)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(Superannuation)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(Superannuation)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(Superannuation)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xmlns:pcowa="urn:pcowa">
  <ribbon>
    <tabs>
      <tab idQ="pcowa:pcodrafting" label="PCO Drafting">
        <group id="pcodllbar" label="Common">
          <button id="displaypropertybox" screentip="Display the Document Properties Box" imageMso="AddTextToTextEffect" onAction="RCDisplayProperties"/>
          <button id="pcosave" screentip="PCO Save" imageMso="SaveAll" onAction="RCPCOSave"/>
          <button id="converttodefinition" screentip="Convert Selection to 'Definition' styles" imageMso="CatalogMergeResultsPreview" onAction="PCConvertToDefinition"/>
          <button id="changespacestb" screentip="Insert Hard Spaces" imageMso="AutoTextGallery" onAction="RCChangeSpaces"/>
          <button id="previouserror" screentip="Move to Previous error" imageMso="RoutingDirectionUp" onAction="RCRuleMovePrevious"/>
          <button id="nexterror" screentip="Move to Next error" imageMso="RoutingDirectionDown" onAction="RCRuleMoveNext"/>
          <button id="deleteerrorbookmarks" screentip="Delete all the Error Bookmarks" imageMso="BackgroundRemovalClose" onAction="RCDeleteErrorBookmarks"/>
          <button id="ruleclearerror" screentip="Clean error and Move to the Next error" imageMso="GroupListToolTrack" onAction="RCRuleClearError"/>
          <button id="rulehightlighterror" screentip="Highlight error and Move to the Next error" imageMso="GroupLevel" onAction="RCRuleHighlightError"/>
          <button id="rulehighlightallerrors" screentip="Highlight All errors" imageMso="GroupComments" onAction="RCRuleHighlightAllErrors"/>
          <button id="rulecheck" screentip="Get error information for current position" label="hae" onAction="RCRuleCheck"/>
          <button id="insertact" screentip="Display a list of Acts, double-click one to insert" imageMso="A" onAction="RCInsertAct"/>
          <button id="insertreg" screentip="Display a list of Regs, double-click one to insert" imageMso="R" onAction="RCInsertReg"/>
          <button id="locatedraftersnotes" screentip="Locate the next set of 'Drafters Notes' in this document" imageMso="OutlineShowTextFormatting" onAction="RCLocateDraftersNotes"/>
          <button id="amendingtext" screentip="Convert selection to 'Amendng Text'" imageMso="I" onAction="RCAmendingText"/>
          <control idQ="ParagraphKeepLinesTogether" screentip="Keep Lines Together" imageMso="EndOfLine" showLabel="false"/>
          <control idQ="ParagraphKeepWithNext" screentip="Keep With Next" label="kwn" showLabel="true" showImage="false"/>
          <control idQ="TableRowsInsertWord" screentip="Insert Rows" label="ir" showImage="false"/>
          <control idQ="TableRowsDelete" screentip="Delete Rows" label="dr" showImage="false"/>
          <button id="rearrangetable" screentip="Re Arrange Table" imageMso="ReadingViewShowTwoPages" onAction="RCReArrangeTable"/>
        </group>
        <group id="pcomenu" label="PCO Menu">
          <button id="changedpages" imageMso="PrintPreviewZoomTwoPages" label="Changed Pages" onAction="RCChangedPages"/>
          <button id="revisedsections" imageMso="AddCellRight" label="Changed Selected Report" onAction="RCRevisedSections"/>
          <button id="printeditedpages" imageMso="AutoFormat" label="Print Edited Pages" onAction="RCPrintEditedPages"/>
          <button id="documentreset" imageMso="HeaderFooterLinkToPrevious" label="Reset Document" onAction="RCDocumentReset"/>
          <button id="hardendocument" imageMso="JotSyncOffline" label="Harden Document" onAction="RCHardenDocument"/>
          <button id="documenttopdf" imageMso="P" label="Document to PDF" onAction="PDF" tag="Document"/>
          <button id="selectiontopdf" imageMso="TracePrecedentCells" label="Selection to PDF" onAction="PDF" tag="Selection"/>
          <button id="checkhyperlinks" imageMso="ImportTemplate" label="Check Hyperlinks" onAction="RCCheckHyperlinks"/>
          <button id="updatehyperlinks" imageMso="TextAllCaps" label="Update Hyperlinks" onAction="RCUpdateHyperlinks"/>
          <button id="aboutdll" imageMso="MicrosoftVisualFoxPro" label="About" onAction="RCAboutDLL"/>
        </group>
        <group id="camera" label="Camera">
          <button id="makecameraready" imageMso="Camera" label="Make Camera Ready" onAction="RCMakeCameraReady"/>
          <button id="stripcustomproperties" imageMso="SourceControlRefreshStatus" label="Strip Custom Properties" onAction="RCStripCustomProperties"/>
          <button id="highlightfields" imageMso="HighlightNew" label="Highlight Fields" onAction="RCHighLightFields"/>
        </group>
        <group id="checks" label="Checks">
          <button id="runcamerareadyrules" imageMso="JotRecordVideo" label="Camera Ready Check" onAction="RCRunCameraReadyRules"/>
          <button id="counselcheck" imageMso="RelationshipsDirectRelationships" label="Counsel Document Check" onAction="RCCounselCheck"/>
          <button id="reprintscheck" imageMso="CalendarViewZoom" label="Reprints Document Check" onAction="RCReprintsCheck"/>
          <button id="eoprecheck" imageMso="RelationshipDesignAllRelationships" label="EO Document Pre-Check" onAction="RCEOPreCheck"/>
          <button id="eocheck" imageMso="RelationshipDesignAllRelationships" label="EO Document Check" onAction="RCEOCheck"/>
          <button id="verifyactsandregs" imageMso="CitationInsert" label="Verify Acts and Regs" onAction="RCVerifyActsAndRegs"/>
        </group>
        <group id="comps" label="Comps">
          <button id="insertarrangement" imageMso="PivotShowDetails" label="Insert Arrangement" onAction="RCInsertArrangement"/>
          <button id="removearrangement" imageMso="PictureBackgroundRemovalMarkBackground" label="Remove Arrangement" onAction="RCRemoveArrangement"/>
          <button id="insertcitation" imageMso="AutoFormatGallery" label="Insert Citation" onAction="RCInsertCitation"/>
          <button id="insertschedule" imageMso="MacroDefault" label="Insert Schedule" onAction="RCInsertSchedule"/>
          <button id="removeschedule" imageMso="PictureBackgroundRemovalMarkBackground" label="Remove Schedule" onAction="RCRemoveSchedule"/>
          <button id="changespaces" imageMso="AutoTextGallery" label="Insert Hard Spaces" onAction="RCChangeSpaces"/>
          <button id="insertexco1" imageMso="OutlookGlobe" label="Insert Normal ExCo Minute" onAction="RCContentExCo" tag="Normal,Draft"/>
          <button id="insertexco2" imageMso="OutlookGlobe" label="Insert Precondition ExCo Minute" onAction="RCContentExCo" tag="PreCondition,Draft"/>
          <button id="removeexco" imageMso="PictureBackgroundRemovalMarkBackground" label="Remove ExCo Minute" onAction="RCRemoveExCo"/>
          <button id="insertcounsel1" imageMso="GroupMasterEdit" label="Insert Counsel Certificate" onAction="RCContentCounsel" tag="Normal,Draft"/>
          <button id="removecounsel" imageMso="PictureBackgroundRemovalMarkBackground" label="Remove Counsel Certificate" onAction="RCRemoveCounsel"/>
          <button id="insertwatermark" imageMso="BevelTextGallery" label="Insert and Clear Watermarks" onAction="RCWatermark"/>
          <button id="insertdefinedterms" imageMso="FrameInsertHorizontal" label="Insert Table of Defined Terms" onAction="RCInsertDefinedTerms"/>
          <button id="removedefinedterms" imageMso="PictureBackgroundRemovalMarkBackground" label="Remove Table of Defined Terms" onAction="RCRemoveDefinedTerms"/>
          <button id="converttexttotable" imageMso="Multiline" label="Convert Text to Table" onAction="RCConvertTextToTable"/>
        </group>
        <group id="ntfs" label="Notifications">
          <button id="ntfdistrict" imageMso="GroupMasterEdit" label="Insert District Court" onAction="RCContentNotification" tag="District,Draft"/>
          <button id="ntffamily" imageMso="GroupMasterEdit" label="Insert Family Court" onAction="RCContentNotification" tag="Family,Draft"/>
          <button id="ntfmagistrates" imageMso="GroupMasterEdit" label="Insert Magistrates Court" onAction="RCContentNotification" tag="Magistrates,Draft"/>
          <button id="ntfsat" imageMso="GroupMasterEdit" label="Insert SAT" onAction="RCContentNotification" tag="SAT,Draft"/>
          <button id="ntfsupreme" imageMso="GroupMasterEdit" label="Insert Supreme Court" onAction="RCContentNotification" tag="Supreme,Draft"/>
          <button id="ntfrem" imageMso="PictureBackgroundRemovalMarkBackground" label="Remove Notification" onAction="RCRemoveNotification"/>
        </group>
        <group id="styles" label="Styles">
          <button id="amendingtonormal" imageMso="AsianLayoutCharacterScaling" label="Amending To Normal" onAction="RCAmendingToNormal"/>
          <button id="normaltoamendingnotes" imageMso="HtmlMatchTag" label="Normal to Amending Notes" onAction="RCNormalToAmendingNotes"/>
          <button id="updatedocumentstyles" imageMso="PasteApplyStyle" label="Update Document Styles" onAction="RCUpdateDocumentStyles"/>
          <button id="updateoledocument" imageMso="CancelRequest" label="Update Old Regs" onAction="RCUpdateOldDocuments" tag="Draft"/>
          <button id="converttoswans" imageMso="C" label="Convert to SWANS" onAction="RCChangeTemplate" tag="Reg"/>
          <button id="fixdraftcoversheet" imageMso="ArrangeByAttachment" label="Fix Draft Coversheet" onAction="RCFixDraftCoversheet"/>
        </group>
        <group id="fvr" label="Final Version">
          <button id="fvfinalid" imageMso="AddTextToTextEffect" label="FinalId Properties" onAction="RCFinalIdProperties"/>
          <button id="fvfooters" imageMso="CustomFooterGallery" label="Final Footers" onAction="RCFinalFooters"/>
          <button id="fvexcofinalise" imageMso="ArrangeByToDoDue" label="Finalise ExCo Minute" onAction="RCSectionExCo" tag="Final"/>
          <button id="fvexcoreset" imageMso="CalendarToolToday" label="Reset ExCo Minute" onAction="RCSectionExCo" tag="Draft"/>
          <button id="fvcounselfinalise" imageMso="ArrangeByToDoDue" label="Finalise Counsel Certificate" onAction="RCSectionCounsel" tag="Final"/>
          <button id="fvcounselreset" imageMso="CalendarToolToday" label="Reset Counsel Certificate" onAction="RCSectionCounsel" tag="Draft"/>
          <button id="fvnotificationfinalise" imageMso="ArrangeByToDoDue" label="Finalise Notification" onAction="RCSectionNotification" tag="Final"/>
          <button id="fvnotificationreset" imageMso="CalendarToolToday" label="Reset Notification" onAction="RCSectionNotification" tag="Draft"/>
          <button id="fvwatermarks" imageMso="PictureBackgroundRemovalMarkBackground" label="Remove Watermarks" onAction="RCDeleteWatermarks"/>
          <button id="fvri" imageMso="BroadcastEnd" label="Remove Instrument" onAction="RCDocRemoveInstrument"/>
          <button id="fvrwatermark" imageMso="BevelTextGallery" label="Insert and Clear Final Watermarks" onAction="RCWatermarkFinal"/>
          <button id="fvrremovecoversheet" imageMso="PictureBackgroundRemovalMarkBackground" label="Remove Coversheet" onAction="RCRemoveCoversheet"/>
          <button id="fvipmain" imageMso="GroupMasterEdit" label="Insert Information Page" onAction="RCInsertInformationPage" tag="Main"/>
        </group>
        <group id="remote" label="Remote Drafting">
          <button id="rremovefieldcodesifs" imageMso="GoToHeader" label="Update Headers" onAction="RCRemoveFieldCodesIfs"/>
          <button id="rinsertpart999" imageMso="KeepBackgroundRemoval" label="Insert Part 999" onAction="RCDocContentPart999" tag="V1,Final"/>
          <button id="rremovepart999" imageMso="ChangeToDeclineInvitation" label="Remove Part 999" onAction="RCDocRemovePart999"/>
          <button id="rupdatecoversheet" imageMso="ArrangeByAttachment" label="Update Coversheet" onAction="RCDocContentTblCoversheet" tag="Remote_V1"/>
          <button id="rsetstationId" imageMso="HighlightNew" label="Fix Station Id" onAction="RCSettationId" tag="Rmt"/>
          <button id="converttonormal" imageMso="C" label="Convert to Normal" onAction="RCChangeTemplate" tag="Norma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DED1-2544-445D-A8C7-38293382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1258</Words>
  <Characters>6546</Characters>
  <Application>Microsoft Office Word</Application>
  <DocSecurity>0</DocSecurity>
  <Lines>218</Lines>
  <Paragraphs>144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(Superannuation) Regulations 1997 - 01-a0-09</dc:title>
  <dc:subject/>
  <dc:creator/>
  <cp:keywords/>
  <dc:description/>
  <cp:lastModifiedBy>svcMRProcess</cp:lastModifiedBy>
  <cp:revision>4</cp:revision>
  <cp:lastPrinted>2003-05-30T06:04:00Z</cp:lastPrinted>
  <dcterms:created xsi:type="dcterms:W3CDTF">2019-01-16T08:12:00Z</dcterms:created>
  <dcterms:modified xsi:type="dcterms:W3CDTF">2019-01-16T08:12:00Z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31 December 1997 p 7609-11</vt:lpwstr>
  </property>
  <property fmtid="{D5CDD505-2E9C-101B-9397-08002B2CF9AE}" pid="4" name="CommencementDate">
    <vt:lpwstr>20040312</vt:lpwstr>
  </property>
  <property fmtid="{D5CDD505-2E9C-101B-9397-08002B2CF9AE}" pid="5" name="OwlsUID">
    <vt:lpwstr>123</vt:lpwstr>
  </property>
  <property fmtid="{D5CDD505-2E9C-101B-9397-08002B2CF9AE}" pid="6" name="ReprintedAsAt">
    <vt:filetime>2004-03-11T16:00:00Z</vt:filetime>
  </property>
  <property fmtid="{D5CDD505-2E9C-101B-9397-08002B2CF9AE}" pid="7" name="ReprintNo">
    <vt:lpwstr>1</vt:lpwstr>
  </property>
  <property fmtid="{D5CDD505-2E9C-101B-9397-08002B2CF9AE}" pid="8" name="AsAtDate">
    <vt:lpwstr>12 Mar 2004</vt:lpwstr>
  </property>
  <property fmtid="{D5CDD505-2E9C-101B-9397-08002B2CF9AE}" pid="9" name="Suffix">
    <vt:lpwstr>01-a0-09</vt:lpwstr>
  </property>
</Properties>
</file>

<file path=userCustomization/customUI.xml><?xml version="1.0" encoding="utf-8"?>
<customUI xmlns="http://schemas.microsoft.com/office/2006/01/customui" xmlns:doc="http://schemas.microsoft.com/office/2006/01/customui/currentDocument">
  <ribbon>
    <qat>
      <documentControls>
        <button idQ="doc:QTDisplayProperties_1" label="Display the Document Properties Box" imageMso="AddTextToTextEffect" onAction="QTDisplayProperties"/>
        <button idQ="doc:QTPCOSave_1" screentip="PCO Save" imageMso="SaveAll" onAction="QTPCOSave"/>
        <button idQ="doc:QTInsertAct_1" screentip="Display a list of Acts, double-click one to insert" imageMso="A" onAction="QTInsertAct"/>
        <button idQ="doc:QTInsertReg_1" screentip="Display a list of Regs, double-click one to insert" imageMso="R" onAction="QTInsertReg"/>
        <button idQ="doc:QTLocateDraftersNotes_1" screentip="Locate the next set of 'Drafters Notes' in this document" imageMso="OutlineShowTextFormatting" onAction="QTLocateDraftersNotes"/>
      </documentControls>
    </qat>
  </ribbon>
</customUI>
</file>