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26" w:right="176"/>
      </w:pPr>
      <w:r>
        <w:fldChar w:fldCharType="begin"/>
      </w:r>
      <w:r>
        <w:instrText xml:space="preserve"> STYLEREF "Name Of Act/Reg"</w:instrText>
      </w:r>
      <w:r>
        <w:fldChar w:fldCharType="separate"/>
      </w:r>
      <w:r>
        <w:rPr>
          <w:noProof/>
        </w:rPr>
        <w:t>Industrial Training (Apprenticeship Training)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(Apprenticeship Training) Regulations 1981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_Toc147222455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_Toc147222456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_Toc147222457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_Toc147222458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Course of training</w:t>
      </w:r>
      <w:r>
        <w:tab/>
      </w:r>
      <w:r>
        <w:fldChar w:fldCharType="begin"/>
      </w:r>
      <w:r>
        <w:instrText xml:space="preserve"> PAGEREF _Toc147222459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 of apprenticeship</w:t>
      </w:r>
      <w:r>
        <w:tab/>
      </w:r>
      <w:r>
        <w:fldChar w:fldCharType="begin"/>
      </w:r>
      <w:r>
        <w:instrText xml:space="preserve"> PAGEREF _Toc147222460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Attendance at classes</w:t>
      </w:r>
      <w:r>
        <w:tab/>
      </w:r>
      <w:r>
        <w:fldChar w:fldCharType="begin"/>
      </w:r>
      <w:r>
        <w:instrText xml:space="preserve"> PAGEREF _Toc147222461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Correspondence and training</w:t>
      </w:r>
      <w:r>
        <w:tab/>
      </w:r>
      <w:r>
        <w:fldChar w:fldCharType="begin"/>
      </w:r>
      <w:r>
        <w:instrText xml:space="preserve"> PAGEREF _Toc147222462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Alternative direction of Director</w:t>
      </w:r>
      <w:r>
        <w:tab/>
      </w:r>
      <w:r>
        <w:fldChar w:fldCharType="begin"/>
      </w:r>
      <w:r>
        <w:instrText xml:space="preserve"> PAGEREF _Toc147222463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3A — Attendance at Technical Training Classes (irrespective of release type)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_Toc147222470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1" w:name="_Toc529258493"/>
      <w:bookmarkStart w:id="2" w:name="_Toc11228944"/>
      <w:bookmarkStart w:id="3" w:name="_Toc14584373"/>
      <w:bookmarkStart w:id="4" w:name="_Toc18228076"/>
      <w:bookmarkStart w:id="5" w:name="_Toc131838929"/>
      <w:bookmarkStart w:id="6" w:name="_Toc147222455"/>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7" w:name="_Toc529258494"/>
      <w:bookmarkStart w:id="8" w:name="_Toc11228945"/>
      <w:bookmarkStart w:id="9" w:name="_Toc14584374"/>
      <w:bookmarkStart w:id="10" w:name="_Toc18228077"/>
      <w:bookmarkStart w:id="11" w:name="_Toc131838930"/>
      <w:bookmarkStart w:id="12" w:name="_Toc147222456"/>
      <w:r>
        <w:rPr>
          <w:rStyle w:val="CharSectno"/>
        </w:rPr>
        <w:t>2</w:t>
      </w:r>
      <w:r>
        <w:rPr>
          <w:snapToGrid w:val="0"/>
        </w:rPr>
        <w:t>.</w:t>
      </w:r>
      <w:r>
        <w:rPr>
          <w:snapToGrid w:val="0"/>
        </w:rPr>
        <w:tab/>
        <w:t>Repeal and 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3" w:name="_Toc529258495"/>
      <w:bookmarkStart w:id="14" w:name="_Toc11228946"/>
      <w:bookmarkStart w:id="15" w:name="_Toc14584375"/>
      <w:bookmarkStart w:id="16" w:name="_Toc18228078"/>
      <w:bookmarkStart w:id="17" w:name="_Toc131838931"/>
      <w:bookmarkStart w:id="18" w:name="_Toc147222457"/>
      <w:r>
        <w:rPr>
          <w:rStyle w:val="CharSectno"/>
        </w:rPr>
        <w:t>3</w:t>
      </w:r>
      <w:r>
        <w:rPr>
          <w:snapToGrid w:val="0"/>
        </w:rPr>
        <w:t>.</w:t>
      </w:r>
      <w:r>
        <w:rPr>
          <w:snapToGrid w:val="0"/>
        </w:rPr>
        <w:tab/>
        <w:t>Construction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19" w:name="_Toc529258496"/>
      <w:bookmarkStart w:id="20" w:name="_Toc11228947"/>
      <w:bookmarkStart w:id="21" w:name="_Toc14584376"/>
      <w:bookmarkStart w:id="22" w:name="_Toc18228079"/>
      <w:bookmarkStart w:id="23" w:name="_Toc131838932"/>
      <w:bookmarkStart w:id="24" w:name="_Toc147222458"/>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5" w:name="_Toc529258497"/>
      <w:bookmarkStart w:id="26" w:name="_Toc11228948"/>
      <w:bookmarkStart w:id="27" w:name="_Toc14584377"/>
      <w:bookmarkStart w:id="28" w:name="_Toc18228080"/>
      <w:bookmarkStart w:id="29" w:name="_Toc131838933"/>
      <w:bookmarkStart w:id="30" w:name="_Toc147222459"/>
      <w:r>
        <w:rPr>
          <w:rStyle w:val="CharSectno"/>
        </w:rPr>
        <w:t>5</w:t>
      </w:r>
      <w:r>
        <w:rPr>
          <w:snapToGrid w:val="0"/>
        </w:rPr>
        <w:t>.</w:t>
      </w:r>
      <w:r>
        <w:rPr>
          <w:snapToGrid w:val="0"/>
        </w:rPr>
        <w:tab/>
        <w:t>Course of training</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1" w:name="_Toc529258498"/>
      <w:bookmarkStart w:id="32" w:name="_Toc11228949"/>
      <w:bookmarkStart w:id="33" w:name="_Toc14584378"/>
      <w:bookmarkStart w:id="34" w:name="_Toc18228081"/>
      <w:bookmarkStart w:id="35" w:name="_Toc131838934"/>
      <w:bookmarkStart w:id="36" w:name="_Toc147222460"/>
      <w:r>
        <w:rPr>
          <w:rStyle w:val="CharSectno"/>
        </w:rPr>
        <w:t>6</w:t>
      </w:r>
      <w:r>
        <w:rPr>
          <w:snapToGrid w:val="0"/>
        </w:rPr>
        <w:t>.</w:t>
      </w:r>
      <w:r>
        <w:rPr>
          <w:snapToGrid w:val="0"/>
        </w:rPr>
        <w:tab/>
        <w:t>Term of apprenticeship</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pPr>
      <w:r>
        <w:tab/>
        <w:t>[(3)</w:t>
      </w:r>
      <w:r>
        <w:tab/>
        <w:t>repealed]</w:t>
      </w:r>
    </w:p>
    <w:p>
      <w:pPr>
        <w:pStyle w:val="Footnotesection"/>
      </w:pPr>
      <w:r>
        <w:tab/>
        <w:t xml:space="preserve">[Regulation 6 inserted in Gazette 24 Dec 1987 p. 4548; amended in Gazette 19 Sep 2006 p. 3709.] </w:t>
      </w:r>
    </w:p>
    <w:p>
      <w:pPr>
        <w:pStyle w:val="Heading5"/>
        <w:rPr>
          <w:snapToGrid w:val="0"/>
        </w:rPr>
      </w:pPr>
      <w:bookmarkStart w:id="37" w:name="_Toc529258499"/>
      <w:bookmarkStart w:id="38" w:name="_Toc11228950"/>
      <w:bookmarkStart w:id="39" w:name="_Toc14584379"/>
      <w:bookmarkStart w:id="40" w:name="_Toc18228082"/>
      <w:bookmarkStart w:id="41" w:name="_Toc131838935"/>
      <w:bookmarkStart w:id="42" w:name="_Toc147222461"/>
      <w:r>
        <w:rPr>
          <w:rStyle w:val="CharSectno"/>
        </w:rPr>
        <w:t>7</w:t>
      </w:r>
      <w:r>
        <w:rPr>
          <w:snapToGrid w:val="0"/>
        </w:rPr>
        <w:t>.</w:t>
      </w:r>
      <w:r>
        <w:rPr>
          <w:snapToGrid w:val="0"/>
        </w:rPr>
        <w:tab/>
        <w:t>Attendance at classes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43" w:name="_Toc529258500"/>
      <w:bookmarkStart w:id="44" w:name="_Toc11228951"/>
      <w:bookmarkStart w:id="45" w:name="_Toc14584380"/>
      <w:bookmarkStart w:id="46" w:name="_Toc18228083"/>
      <w:bookmarkStart w:id="47" w:name="_Toc131838936"/>
      <w:bookmarkStart w:id="48" w:name="_Toc147222462"/>
      <w:r>
        <w:rPr>
          <w:rStyle w:val="CharSectno"/>
        </w:rPr>
        <w:t>8</w:t>
      </w:r>
      <w:r>
        <w:rPr>
          <w:snapToGrid w:val="0"/>
        </w:rPr>
        <w:t>.</w:t>
      </w:r>
      <w:r>
        <w:rPr>
          <w:snapToGrid w:val="0"/>
        </w:rPr>
        <w:tab/>
        <w:t>Correspondence and training</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49" w:name="_Toc529258501"/>
      <w:bookmarkStart w:id="50" w:name="_Toc11228952"/>
      <w:bookmarkStart w:id="51" w:name="_Toc14584381"/>
      <w:bookmarkStart w:id="52" w:name="_Toc18228084"/>
      <w:bookmarkStart w:id="53" w:name="_Toc131838937"/>
      <w:bookmarkStart w:id="54" w:name="_Toc147222463"/>
      <w:r>
        <w:rPr>
          <w:rStyle w:val="CharSectno"/>
        </w:rPr>
        <w:t>9</w:t>
      </w:r>
      <w:r>
        <w:rPr>
          <w:snapToGrid w:val="0"/>
        </w:rPr>
        <w:t>.</w:t>
      </w:r>
      <w:r>
        <w:rPr>
          <w:snapToGrid w:val="0"/>
        </w:rPr>
        <w:tab/>
        <w:t>Alternative direction of Director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5" w:name="_Toc14584382"/>
      <w:bookmarkStart w:id="56" w:name="_Toc18228085"/>
      <w:bookmarkStart w:id="57" w:name="_Toc131838938"/>
      <w:bookmarkStart w:id="58" w:name="_Toc131838995"/>
      <w:bookmarkStart w:id="59" w:name="_Toc133985373"/>
      <w:bookmarkStart w:id="60" w:name="_Toc136339771"/>
      <w:bookmarkStart w:id="61" w:name="_Toc146353974"/>
      <w:bookmarkStart w:id="62" w:name="_Toc146429018"/>
      <w:bookmarkStart w:id="63" w:name="_Toc147222464"/>
      <w:r>
        <w:rPr>
          <w:rStyle w:val="CharSchNo"/>
        </w:rPr>
        <w:t>Schedule 1</w:t>
      </w:r>
      <w:bookmarkEnd w:id="55"/>
      <w:bookmarkEnd w:id="56"/>
      <w:bookmarkEnd w:id="57"/>
      <w:bookmarkEnd w:id="58"/>
      <w:bookmarkEnd w:id="59"/>
      <w:bookmarkEnd w:id="60"/>
      <w:bookmarkEnd w:id="61"/>
      <w:bookmarkEnd w:id="62"/>
      <w:bookmarkEnd w:id="63"/>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c>
          <w:tcPr>
            <w:tcW w:w="5812" w:type="dxa"/>
          </w:tcPr>
          <w:p>
            <w:pPr>
              <w:pStyle w:val="yTable"/>
              <w:spacing w:before="0"/>
            </w:pPr>
            <w:r>
              <w:t>Cabinetmaking</w:t>
            </w:r>
          </w:p>
        </w:tc>
        <w:tc>
          <w:tcPr>
            <w:tcW w:w="1134" w:type="dxa"/>
          </w:tcPr>
          <w:p>
            <w:pPr>
              <w:pStyle w:val="yTable"/>
              <w:spacing w:before="0"/>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pPr>
            <w:r>
              <w:t>Automotive Electrician</w:t>
            </w:r>
          </w:p>
        </w:tc>
        <w:tc>
          <w:tcPr>
            <w:tcW w:w="1134" w:type="dxa"/>
            <w:tcBorders>
              <w:top w:val="single" w:sz="4" w:space="0" w:color="auto"/>
            </w:tcBorders>
          </w:tcPr>
          <w:p>
            <w:pPr>
              <w:pStyle w:val="yTable"/>
            </w:pPr>
            <w:r>
              <w:t>3.5 Years</w:t>
            </w:r>
          </w:p>
        </w:tc>
      </w:tr>
      <w:tr>
        <w:tc>
          <w:tcPr>
            <w:tcW w:w="5812" w:type="dxa"/>
          </w:tcPr>
          <w:p>
            <w:pPr>
              <w:pStyle w:val="yTable"/>
            </w:pPr>
            <w:r>
              <w:t>Automotive Technician</w:t>
            </w:r>
          </w:p>
        </w:tc>
        <w:tc>
          <w:tcPr>
            <w:tcW w:w="1134" w:type="dxa"/>
          </w:tcPr>
          <w:p>
            <w:pPr>
              <w:pStyle w:val="yTable"/>
            </w:pPr>
          </w:p>
        </w:tc>
      </w:tr>
      <w:tr>
        <w:tc>
          <w:tcPr>
            <w:tcW w:w="5812" w:type="dxa"/>
          </w:tcPr>
          <w:p>
            <w:pPr>
              <w:pStyle w:val="yTable"/>
            </w:pPr>
            <w:r>
              <w:t>Engineering Tradesperson (Fabrication)</w:t>
            </w:r>
          </w:p>
        </w:tc>
        <w:tc>
          <w:tcPr>
            <w:tcW w:w="1134" w:type="dxa"/>
          </w:tcPr>
          <w:p>
            <w:pPr>
              <w:pStyle w:val="yTable"/>
            </w:pPr>
          </w:p>
        </w:tc>
      </w:tr>
      <w:tr>
        <w:tc>
          <w:tcPr>
            <w:tcW w:w="5812" w:type="dxa"/>
          </w:tcPr>
          <w:p>
            <w:pPr>
              <w:pStyle w:val="yTable"/>
            </w:pPr>
            <w:r>
              <w:t>Engineering Tradesperson (Mechanical)</w:t>
            </w:r>
          </w:p>
        </w:tc>
        <w:tc>
          <w:tcPr>
            <w:tcW w:w="1134" w:type="dxa"/>
          </w:tcPr>
          <w:p>
            <w:pPr>
              <w:pStyle w:val="yTable"/>
            </w:pPr>
          </w:p>
        </w:tc>
      </w:tr>
      <w:tr>
        <w:tc>
          <w:tcPr>
            <w:tcW w:w="5812" w:type="dxa"/>
          </w:tcPr>
          <w:p>
            <w:pPr>
              <w:pStyle w:val="yTable"/>
            </w:pPr>
            <w:r>
              <w:t>Panel Beater</w:t>
            </w:r>
          </w:p>
        </w:tc>
        <w:tc>
          <w:tcPr>
            <w:tcW w:w="1134" w:type="dxa"/>
          </w:tcPr>
          <w:p>
            <w:pPr>
              <w:pStyle w:val="yTable"/>
            </w:pPr>
          </w:p>
        </w:tc>
      </w:tr>
      <w:tr>
        <w:tc>
          <w:tcPr>
            <w:tcW w:w="5812" w:type="dxa"/>
          </w:tcPr>
          <w:p>
            <w:pPr>
              <w:pStyle w:val="yTable"/>
            </w:pPr>
            <w:r>
              <w:t>Shipwright and Boatbuilder</w:t>
            </w:r>
          </w:p>
        </w:tc>
        <w:tc>
          <w:tcPr>
            <w:tcW w:w="1134" w:type="dxa"/>
          </w:tcPr>
          <w:p>
            <w:pPr>
              <w:pStyle w:val="yTable"/>
            </w:pPr>
          </w:p>
        </w:tc>
      </w:tr>
      <w:tr>
        <w:tc>
          <w:tcPr>
            <w:tcW w:w="5812" w:type="dxa"/>
          </w:tcPr>
          <w:p>
            <w:pPr>
              <w:pStyle w:val="yTable"/>
            </w:pPr>
            <w:r>
              <w:t>Vehicle Body Builder</w:t>
            </w:r>
          </w:p>
        </w:tc>
        <w:tc>
          <w:tcPr>
            <w:tcW w:w="1134" w:type="dxa"/>
          </w:tcPr>
          <w:p>
            <w:pPr>
              <w:pStyle w:val="yTable"/>
            </w:pPr>
          </w:p>
        </w:tc>
      </w:tr>
      <w:tr>
        <w:tc>
          <w:tcPr>
            <w:tcW w:w="5812" w:type="dxa"/>
          </w:tcPr>
          <w:p>
            <w:pPr>
              <w:pStyle w:val="yTable"/>
            </w:pPr>
            <w:r>
              <w:t>Vehicle Painter</w:t>
            </w:r>
          </w:p>
        </w:tc>
        <w:tc>
          <w:tcPr>
            <w:tcW w:w="1134" w:type="dxa"/>
          </w:tcPr>
          <w:p>
            <w:pPr>
              <w:pStyle w:val="yTable"/>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c>
          <w:tcPr>
            <w:tcW w:w="5812" w:type="dxa"/>
          </w:tcPr>
          <w:p>
            <w:pPr>
              <w:pStyle w:val="yTable"/>
              <w:spacing w:before="0"/>
            </w:pPr>
            <w:r>
              <w:t>Bricklaying</w:t>
            </w:r>
          </w:p>
        </w:tc>
        <w:tc>
          <w:tcPr>
            <w:tcW w:w="1134" w:type="dxa"/>
          </w:tcPr>
          <w:p>
            <w:pPr>
              <w:pStyle w:val="yTable"/>
              <w:spacing w:before="0"/>
            </w:pPr>
          </w:p>
        </w:tc>
      </w:tr>
      <w:tr>
        <w:tc>
          <w:tcPr>
            <w:tcW w:w="5812" w:type="dxa"/>
          </w:tcPr>
          <w:p>
            <w:pPr>
              <w:pStyle w:val="yTable"/>
              <w:spacing w:before="0"/>
            </w:pPr>
            <w:r>
              <w:t>Carpentry and Joinery</w:t>
            </w:r>
          </w:p>
        </w:tc>
        <w:tc>
          <w:tcPr>
            <w:tcW w:w="1134" w:type="dxa"/>
          </w:tcPr>
          <w:p>
            <w:pPr>
              <w:pStyle w:val="yTable"/>
              <w:spacing w:before="0"/>
            </w:pPr>
          </w:p>
        </w:tc>
      </w:tr>
      <w:tr>
        <w:tc>
          <w:tcPr>
            <w:tcW w:w="5812" w:type="dxa"/>
          </w:tcPr>
          <w:p>
            <w:pPr>
              <w:pStyle w:val="yTable"/>
              <w:spacing w:before="0"/>
            </w:pPr>
            <w:r>
              <w:t>Chef</w:t>
            </w:r>
          </w:p>
        </w:tc>
        <w:tc>
          <w:tcPr>
            <w:tcW w:w="1134" w:type="dxa"/>
          </w:tcPr>
          <w:p>
            <w:pPr>
              <w:pStyle w:val="yTable"/>
              <w:spacing w:before="0"/>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General Butcher</w:t>
            </w:r>
          </w:p>
        </w:tc>
        <w:tc>
          <w:tcPr>
            <w:tcW w:w="1134" w:type="dxa"/>
          </w:tcPr>
          <w:p>
            <w:pPr>
              <w:pStyle w:val="yTable"/>
              <w:spacing w:before="0"/>
            </w:pPr>
          </w:p>
        </w:tc>
      </w:tr>
      <w:tr>
        <w:tc>
          <w:tcPr>
            <w:tcW w:w="5812" w:type="dxa"/>
          </w:tcPr>
          <w:p>
            <w:pPr>
              <w:pStyle w:val="yTable"/>
              <w:spacing w:before="0"/>
            </w:pPr>
            <w:r>
              <w:t>Hairdresser</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c>
          <w:tcPr>
            <w:tcW w:w="5812" w:type="dxa"/>
          </w:tcPr>
          <w:p>
            <w:pPr>
              <w:pStyle w:val="yTable"/>
              <w:spacing w:before="0"/>
            </w:pPr>
            <w:r>
              <w:t>Plastering</w:t>
            </w:r>
          </w:p>
        </w:tc>
        <w:tc>
          <w:tcPr>
            <w:tcW w:w="1134" w:type="dxa"/>
          </w:tcPr>
          <w:p>
            <w:pPr>
              <w:pStyle w:val="yTable"/>
              <w:spacing w:before="0"/>
            </w:pPr>
          </w:p>
        </w:tc>
      </w:tr>
      <w:tr>
        <w:tc>
          <w:tcPr>
            <w:tcW w:w="5812" w:type="dxa"/>
          </w:tcPr>
          <w:p>
            <w:pPr>
              <w:pStyle w:val="yTable"/>
              <w:spacing w:before="0"/>
            </w:pPr>
            <w:r>
              <w:t>Roof Tiling</w:t>
            </w:r>
          </w:p>
        </w:tc>
        <w:tc>
          <w:tcPr>
            <w:tcW w:w="1134" w:type="dxa"/>
          </w:tcPr>
          <w:p>
            <w:pPr>
              <w:pStyle w:val="yTable"/>
              <w:spacing w:before="0"/>
            </w:pPr>
          </w:p>
        </w:tc>
      </w:tr>
      <w:tr>
        <w:tc>
          <w:tcPr>
            <w:tcW w:w="5812" w:type="dxa"/>
          </w:tcPr>
          <w:p>
            <w:pPr>
              <w:pStyle w:val="yTable"/>
              <w:spacing w:before="0"/>
            </w:pPr>
            <w:r>
              <w:t xml:space="preserve">Tilelaying </w:t>
            </w:r>
          </w:p>
        </w:tc>
        <w:tc>
          <w:tcPr>
            <w:tcW w:w="1134" w:type="dxa"/>
          </w:tcPr>
          <w:p>
            <w:pPr>
              <w:pStyle w:val="yTable"/>
              <w:spacing w:before="0"/>
            </w:pPr>
          </w:p>
        </w:tc>
      </w:tr>
      <w:tr>
        <w:tc>
          <w:tcPr>
            <w:tcW w:w="5812" w:type="dxa"/>
          </w:tcPr>
          <w:p>
            <w:pPr>
              <w:pStyle w:val="yTable"/>
              <w:spacing w:before="0"/>
            </w:pPr>
            <w:r>
              <w:t>Vehicle Trimmer</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Bricklaying (Housing)</w:t>
            </w:r>
          </w:p>
        </w:tc>
        <w:tc>
          <w:tcPr>
            <w:tcW w:w="1134" w:type="dxa"/>
            <w:tcBorders>
              <w:top w:val="single" w:sz="4" w:space="0" w:color="auto"/>
            </w:tcBorders>
          </w:tcPr>
          <w:p>
            <w:pPr>
              <w:pStyle w:val="yTable"/>
              <w:spacing w:before="0"/>
            </w:pPr>
            <w:r>
              <w:t>2 Years</w:t>
            </w:r>
          </w:p>
        </w:tc>
      </w:tr>
      <w:tr>
        <w:tc>
          <w:tcPr>
            <w:tcW w:w="5812" w:type="dxa"/>
          </w:tcPr>
          <w:p>
            <w:pPr>
              <w:pStyle w:val="yTable"/>
              <w:spacing w:before="0"/>
            </w:pPr>
            <w:r>
              <w:t xml:space="preserve">Carpentry (Housing) </w:t>
            </w:r>
          </w:p>
        </w:tc>
        <w:tc>
          <w:tcPr>
            <w:tcW w:w="1134" w:type="dxa"/>
          </w:tcPr>
          <w:p>
            <w:pPr>
              <w:pStyle w:val="yTable"/>
              <w:spacing w:before="0"/>
            </w:pPr>
          </w:p>
        </w:tc>
      </w:tr>
      <w:tr>
        <w:tc>
          <w:tcPr>
            <w:tcW w:w="5812" w:type="dxa"/>
          </w:tcPr>
          <w:p>
            <w:pPr>
              <w:pStyle w:val="yTable"/>
              <w:spacing w:before="0"/>
            </w:pPr>
            <w:r>
              <w:t>Joinery (Housing)</w:t>
            </w:r>
          </w:p>
        </w:tc>
        <w:tc>
          <w:tcPr>
            <w:tcW w:w="1134" w:type="dxa"/>
          </w:tcPr>
          <w:p>
            <w:pPr>
              <w:pStyle w:val="yTable"/>
              <w:spacing w:before="0"/>
            </w:pPr>
          </w:p>
        </w:tc>
      </w:tr>
      <w:tr>
        <w:tc>
          <w:tcPr>
            <w:tcW w:w="5812" w:type="dxa"/>
          </w:tcPr>
          <w:p>
            <w:pPr>
              <w:pStyle w:val="yTable"/>
              <w:spacing w:before="0"/>
            </w:pPr>
            <w:r>
              <w:t>Plastering (Housing)</w:t>
            </w:r>
          </w:p>
        </w:tc>
        <w:tc>
          <w:tcPr>
            <w:tcW w:w="1134" w:type="dxa"/>
          </w:tcPr>
          <w:p>
            <w:pPr>
              <w:pStyle w:val="yTable"/>
              <w:spacing w:before="0"/>
            </w:pPr>
          </w:p>
        </w:tc>
      </w:tr>
      <w:tr>
        <w:tc>
          <w:tcPr>
            <w:tcW w:w="5812" w:type="dxa"/>
          </w:tcPr>
          <w:p>
            <w:pPr>
              <w:pStyle w:val="yTable"/>
              <w:spacing w:before="0"/>
            </w:pPr>
            <w:r>
              <w:t>Wall and Ceiling Fixing (Housing)</w:t>
            </w:r>
          </w:p>
        </w:tc>
        <w:tc>
          <w:tcPr>
            <w:tcW w:w="1134" w:type="dxa"/>
          </w:tcPr>
          <w:p>
            <w:pPr>
              <w:pStyle w:val="yTable"/>
              <w:spacing w:before="0"/>
            </w:pPr>
          </w:p>
        </w:tc>
      </w:tr>
      <w:tr>
        <w:tc>
          <w:tcPr>
            <w:tcW w:w="5812"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 4 Apr 2006 p. 1402; 26 May 2006 p. 1873-4; 29 Sep 2006 p. 4254, 4256-7 and 4259.]</w:t>
      </w:r>
    </w:p>
    <w:p>
      <w:pPr>
        <w:pStyle w:val="yScheduleHeading"/>
      </w:pPr>
      <w:bookmarkStart w:id="64" w:name="_Toc14584383"/>
      <w:bookmarkStart w:id="65" w:name="_Toc18228086"/>
      <w:bookmarkStart w:id="66" w:name="_Toc131838939"/>
      <w:bookmarkStart w:id="67" w:name="_Toc131838996"/>
      <w:bookmarkStart w:id="68" w:name="_Toc133985374"/>
      <w:bookmarkStart w:id="69" w:name="_Toc136339772"/>
      <w:bookmarkStart w:id="70" w:name="_Toc146353975"/>
      <w:bookmarkStart w:id="71" w:name="_Toc146429019"/>
      <w:bookmarkStart w:id="72" w:name="_Toc147222465"/>
      <w:r>
        <w:rPr>
          <w:rStyle w:val="CharSchNo"/>
        </w:rPr>
        <w:t>Schedule 2</w:t>
      </w:r>
      <w:bookmarkEnd w:id="64"/>
      <w:bookmarkEnd w:id="65"/>
      <w:bookmarkEnd w:id="66"/>
      <w:bookmarkEnd w:id="67"/>
      <w:bookmarkEnd w:id="68"/>
      <w:bookmarkEnd w:id="69"/>
      <w:bookmarkEnd w:id="70"/>
      <w:bookmarkEnd w:id="71"/>
      <w:bookmarkEnd w:id="72"/>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w:t>
      </w:r>
    </w:p>
    <w:p>
      <w:pPr>
        <w:pStyle w:val="yScheduleHeading"/>
      </w:pPr>
      <w:bookmarkStart w:id="73" w:name="_Toc14584384"/>
      <w:bookmarkStart w:id="74" w:name="_Toc18228087"/>
      <w:bookmarkStart w:id="75" w:name="_Toc131838940"/>
      <w:bookmarkStart w:id="76" w:name="_Toc131838997"/>
      <w:bookmarkStart w:id="77" w:name="_Toc133985375"/>
      <w:bookmarkStart w:id="78" w:name="_Toc136339773"/>
      <w:bookmarkStart w:id="79" w:name="_Toc146353976"/>
      <w:bookmarkStart w:id="80" w:name="_Toc146429020"/>
      <w:bookmarkStart w:id="81" w:name="_Toc147222466"/>
      <w:r>
        <w:rPr>
          <w:rStyle w:val="CharSchNo"/>
        </w:rPr>
        <w:t>Schedule 3</w:t>
      </w:r>
      <w:bookmarkEnd w:id="73"/>
      <w:bookmarkEnd w:id="74"/>
      <w:bookmarkEnd w:id="75"/>
      <w:bookmarkEnd w:id="76"/>
      <w:bookmarkEnd w:id="77"/>
      <w:bookmarkEnd w:id="78"/>
      <w:bookmarkEnd w:id="79"/>
      <w:bookmarkEnd w:id="80"/>
      <w:bookmarkEnd w:id="81"/>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w:t>
      </w:r>
    </w:p>
    <w:p>
      <w:pPr>
        <w:pStyle w:val="yScheduleHeading"/>
      </w:pPr>
      <w:bookmarkStart w:id="82" w:name="_Toc14584385"/>
      <w:bookmarkStart w:id="83" w:name="_Toc18228088"/>
      <w:bookmarkStart w:id="84" w:name="_Toc131838941"/>
      <w:bookmarkStart w:id="85" w:name="_Toc131838998"/>
      <w:bookmarkStart w:id="86" w:name="_Toc133985376"/>
      <w:bookmarkStart w:id="87" w:name="_Toc136339774"/>
      <w:bookmarkStart w:id="88" w:name="_Toc146353977"/>
      <w:bookmarkStart w:id="89" w:name="_Toc146429021"/>
      <w:bookmarkStart w:id="90" w:name="_Toc147222467"/>
      <w:r>
        <w:rPr>
          <w:rStyle w:val="CharSchNo"/>
        </w:rPr>
        <w:t>Schedule 3A</w:t>
      </w:r>
      <w:r>
        <w:t xml:space="preserve"> — </w:t>
      </w:r>
      <w:r>
        <w:rPr>
          <w:rStyle w:val="CharSchText"/>
        </w:rPr>
        <w:t>Attendance at Technical Training Classes (irrespective of release type)</w:t>
      </w:r>
      <w:bookmarkEnd w:id="82"/>
      <w:bookmarkEnd w:id="83"/>
      <w:bookmarkEnd w:id="84"/>
      <w:bookmarkEnd w:id="85"/>
      <w:bookmarkEnd w:id="86"/>
      <w:bookmarkEnd w:id="87"/>
      <w:bookmarkEnd w:id="88"/>
      <w:bookmarkEnd w:id="89"/>
      <w:bookmarkEnd w:id="90"/>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pPr>
            <w: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rPr>
                <w:b/>
              </w:rPr>
            </w:pPr>
            <w: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Engineering Tradesperson (Mechanical)</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bl>
    <w:p>
      <w:pPr>
        <w:pStyle w:val="yTable"/>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1874-5; 29 Sep 2006 p. 4254, 4257 and 4259.]</w:t>
      </w:r>
    </w:p>
    <w:p>
      <w:pPr>
        <w:pStyle w:val="yScheduleHeading"/>
      </w:pPr>
      <w:bookmarkStart w:id="91" w:name="_Toc14584386"/>
      <w:bookmarkStart w:id="92" w:name="_Toc18228089"/>
      <w:bookmarkStart w:id="93" w:name="_Toc131838942"/>
      <w:bookmarkStart w:id="94" w:name="_Toc131838999"/>
      <w:bookmarkStart w:id="95" w:name="_Toc133985377"/>
      <w:bookmarkStart w:id="96" w:name="_Toc136339775"/>
      <w:bookmarkStart w:id="97" w:name="_Toc146353978"/>
      <w:bookmarkStart w:id="98" w:name="_Toc146429022"/>
      <w:bookmarkStart w:id="99" w:name="_Toc147222468"/>
      <w:r>
        <w:rPr>
          <w:rStyle w:val="CharSchNo"/>
        </w:rPr>
        <w:t>Schedule 4</w:t>
      </w:r>
      <w:bookmarkEnd w:id="91"/>
      <w:bookmarkEnd w:id="92"/>
      <w:bookmarkEnd w:id="93"/>
      <w:bookmarkEnd w:id="94"/>
      <w:bookmarkEnd w:id="95"/>
      <w:bookmarkEnd w:id="96"/>
      <w:bookmarkEnd w:id="97"/>
      <w:bookmarkEnd w:id="98"/>
      <w:bookmarkEnd w:id="99"/>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00" w:name="_Toc73409214"/>
      <w:bookmarkStart w:id="101" w:name="_Toc111525451"/>
      <w:bookmarkStart w:id="102" w:name="_Toc111525533"/>
      <w:bookmarkStart w:id="103" w:name="_Toc111544056"/>
      <w:bookmarkStart w:id="104" w:name="_Toc131838943"/>
      <w:bookmarkStart w:id="105" w:name="_Toc131839000"/>
      <w:bookmarkStart w:id="106" w:name="_Toc133985378"/>
      <w:bookmarkStart w:id="107" w:name="_Toc136339776"/>
      <w:bookmarkStart w:id="108" w:name="_Toc146353979"/>
      <w:bookmarkStart w:id="109" w:name="_Toc146429023"/>
      <w:bookmarkStart w:id="110" w:name="_Toc147222469"/>
      <w:r>
        <w:t>Notes</w:t>
      </w:r>
      <w:bookmarkEnd w:id="100"/>
      <w:bookmarkEnd w:id="101"/>
      <w:bookmarkEnd w:id="102"/>
      <w:bookmarkEnd w:id="103"/>
      <w:bookmarkEnd w:id="104"/>
      <w:bookmarkEnd w:id="105"/>
      <w:bookmarkEnd w:id="106"/>
      <w:bookmarkEnd w:id="107"/>
      <w:bookmarkEnd w:id="108"/>
      <w:bookmarkEnd w:id="109"/>
      <w:bookmarkEnd w:id="110"/>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r>
        <w:rPr>
          <w:sz w:val="18"/>
          <w:vertAlign w:val="superscript"/>
        </w:rPr>
        <w:t>7</w:t>
      </w:r>
      <w:r>
        <w:t xml:space="preserve">.  </w:t>
      </w:r>
      <w:r>
        <w:rPr>
          <w:snapToGrid w:val="0"/>
        </w:rPr>
        <w:t>The table also contains information about any reprint.</w:t>
      </w:r>
    </w:p>
    <w:p>
      <w:pPr>
        <w:pStyle w:val="nHeading3"/>
      </w:pPr>
      <w:bookmarkStart w:id="111" w:name="_Toc14584387"/>
      <w:bookmarkStart w:id="112" w:name="_Toc18228090"/>
      <w:bookmarkStart w:id="113" w:name="_Toc131838944"/>
      <w:bookmarkStart w:id="114" w:name="_Toc147222470"/>
      <w:r>
        <w:t>Compilation table</w:t>
      </w:r>
      <w:bookmarkEnd w:id="111"/>
      <w:bookmarkEnd w:id="112"/>
      <w:bookmarkEnd w:id="113"/>
      <w:bookmarkEnd w:id="11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sz w:val="19"/>
                <w:vertAlign w:val="superscript"/>
              </w:rPr>
            </w:pPr>
            <w:r>
              <w:rPr>
                <w:i/>
                <w:sz w:val="19"/>
              </w:rPr>
              <w:t>Industrial Training (Apprenticeship Training) Amendment Regulations (No. 2) 2005</w:t>
            </w:r>
            <w:r>
              <w:rPr>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2006</w:t>
            </w:r>
            <w:r>
              <w:rPr>
                <w:sz w:val="19"/>
              </w:rPr>
              <w:t> </w:t>
            </w:r>
            <w:r>
              <w:rPr>
                <w:sz w:val="19"/>
                <w:vertAlign w:val="superscript"/>
              </w:rPr>
              <w:t>17</w:t>
            </w:r>
          </w:p>
        </w:tc>
        <w:tc>
          <w:tcPr>
            <w:tcW w:w="1276" w:type="dxa"/>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Pr>
          <w:p>
            <w:pPr>
              <w:pStyle w:val="nTable"/>
              <w:keepNext/>
              <w:keepLines/>
              <w:spacing w:before="120"/>
              <w:rPr>
                <w:sz w:val="19"/>
              </w:rPr>
            </w:pPr>
            <w:r>
              <w:rPr>
                <w:snapToGrid w:val="0"/>
                <w:sz w:val="19"/>
                <w:lang w:val="en-US"/>
              </w:rPr>
              <w:t>1 May 2006 (see r. 2)</w:t>
            </w:r>
          </w:p>
        </w:tc>
      </w:tr>
      <w:tr>
        <w:trPr>
          <w:cantSplit/>
        </w:trPr>
        <w:tc>
          <w:tcPr>
            <w:tcW w:w="3119" w:type="dxa"/>
          </w:tcPr>
          <w:p>
            <w:pPr>
              <w:pStyle w:val="nTable"/>
              <w:keepNext/>
              <w:keepLines/>
              <w:spacing w:before="120"/>
              <w:ind w:right="113"/>
              <w:rPr>
                <w:sz w:val="19"/>
              </w:rPr>
            </w:pPr>
            <w:r>
              <w:rPr>
                <w:i/>
                <w:sz w:val="19"/>
              </w:rPr>
              <w:t>Industrial Training (Apprenticeship Training) Amendment Regulations (No. 2) 2006</w:t>
            </w:r>
            <w:r>
              <w:rPr>
                <w:sz w:val="19"/>
              </w:rPr>
              <w:t xml:space="preserve"> </w:t>
            </w:r>
            <w:r>
              <w:rPr>
                <w:sz w:val="19"/>
                <w:vertAlign w:val="superscript"/>
              </w:rPr>
              <w:t>18</w:t>
            </w:r>
          </w:p>
        </w:tc>
        <w:tc>
          <w:tcPr>
            <w:tcW w:w="1276" w:type="dxa"/>
          </w:tcPr>
          <w:p>
            <w:pPr>
              <w:pStyle w:val="nTable"/>
              <w:keepNext/>
              <w:keepLines/>
              <w:spacing w:before="120"/>
              <w:rPr>
                <w:snapToGrid w:val="0"/>
                <w:sz w:val="19"/>
                <w:lang w:val="en-US"/>
              </w:rPr>
            </w:pPr>
            <w:r>
              <w:rPr>
                <w:snapToGrid w:val="0"/>
                <w:sz w:val="19"/>
                <w:lang w:val="en-US"/>
              </w:rPr>
              <w:t>26 May 2006 p. 1873-6</w:t>
            </w:r>
          </w:p>
        </w:tc>
        <w:tc>
          <w:tcPr>
            <w:tcW w:w="2693" w:type="dxa"/>
          </w:tcPr>
          <w:p>
            <w:pPr>
              <w:pStyle w:val="nTable"/>
              <w:keepNext/>
              <w:keepLines/>
              <w:spacing w:before="120"/>
              <w:rPr>
                <w:snapToGrid w:val="0"/>
                <w:sz w:val="19"/>
                <w:lang w:val="en-US"/>
              </w:rPr>
            </w:pPr>
            <w:r>
              <w:rPr>
                <w:snapToGrid w:val="0"/>
                <w:sz w:val="19"/>
                <w:lang w:val="en-US"/>
              </w:rPr>
              <w:t>1 Jun 2006 (see r. 2)</w:t>
            </w:r>
          </w:p>
        </w:tc>
      </w:tr>
      <w:tr>
        <w:trPr>
          <w:cantSplit/>
        </w:trPr>
        <w:tc>
          <w:tcPr>
            <w:tcW w:w="3119" w:type="dxa"/>
          </w:tcPr>
          <w:p>
            <w:pPr>
              <w:pStyle w:val="nTable"/>
              <w:keepNext/>
              <w:keepLines/>
              <w:spacing w:before="120"/>
              <w:ind w:right="113"/>
              <w:rPr>
                <w:sz w:val="19"/>
              </w:rPr>
            </w:pPr>
            <w:r>
              <w:rPr>
                <w:i/>
                <w:sz w:val="19"/>
              </w:rPr>
              <w:t>Industrial Training Amendment Regulations 2006</w:t>
            </w:r>
            <w:r>
              <w:rPr>
                <w:sz w:val="19"/>
              </w:rPr>
              <w:t xml:space="preserve"> r. 3</w:t>
            </w:r>
          </w:p>
        </w:tc>
        <w:tc>
          <w:tcPr>
            <w:tcW w:w="1276" w:type="dxa"/>
          </w:tcPr>
          <w:p>
            <w:pPr>
              <w:pStyle w:val="nTable"/>
              <w:keepNext/>
              <w:keepLines/>
              <w:spacing w:before="120"/>
              <w:rPr>
                <w:snapToGrid w:val="0"/>
                <w:sz w:val="19"/>
                <w:lang w:val="en-US"/>
              </w:rPr>
            </w:pPr>
            <w:r>
              <w:rPr>
                <w:sz w:val="19"/>
              </w:rPr>
              <w:t>19 Sep 2006 p. 3708-9</w:t>
            </w:r>
          </w:p>
        </w:tc>
        <w:tc>
          <w:tcPr>
            <w:tcW w:w="2693" w:type="dxa"/>
          </w:tcPr>
          <w:p>
            <w:pPr>
              <w:pStyle w:val="nTable"/>
              <w:keepNext/>
              <w:keepLines/>
              <w:spacing w:before="120"/>
              <w:rPr>
                <w:snapToGrid w:val="0"/>
                <w:sz w:val="19"/>
                <w:lang w:val="en-US"/>
              </w:rPr>
            </w:pPr>
            <w:r>
              <w:rPr>
                <w:sz w:val="19"/>
              </w:rPr>
              <w:t xml:space="preserve">19 Sep 2006 </w:t>
            </w:r>
          </w:p>
        </w:tc>
      </w:tr>
      <w:tr>
        <w:trPr>
          <w:cantSplit/>
        </w:trPr>
        <w:tc>
          <w:tcPr>
            <w:tcW w:w="3119" w:type="dxa"/>
          </w:tcPr>
          <w:p>
            <w:pPr>
              <w:pStyle w:val="nTable"/>
              <w:keepNext/>
              <w:keepLines/>
              <w:spacing w:before="120"/>
              <w:ind w:right="113"/>
              <w:rPr>
                <w:iCs/>
                <w:sz w:val="19"/>
              </w:rPr>
            </w:pPr>
            <w:r>
              <w:rPr>
                <w:i/>
                <w:sz w:val="19"/>
              </w:rPr>
              <w:t>Industrial Training (Apprenticeship Training) Amendment Regulations (No. 3) 2006</w:t>
            </w:r>
            <w:r>
              <w:rPr>
                <w:iCs/>
                <w:sz w:val="19"/>
              </w:rPr>
              <w:t xml:space="preserve"> </w:t>
            </w:r>
            <w:r>
              <w:rPr>
                <w:iCs/>
                <w:sz w:val="19"/>
                <w:vertAlign w:val="superscript"/>
              </w:rPr>
              <w:t>19</w:t>
            </w:r>
          </w:p>
        </w:tc>
        <w:tc>
          <w:tcPr>
            <w:tcW w:w="1276" w:type="dxa"/>
          </w:tcPr>
          <w:p>
            <w:pPr>
              <w:pStyle w:val="nTable"/>
              <w:keepNext/>
              <w:keepLines/>
              <w:spacing w:before="120"/>
              <w:rPr>
                <w:sz w:val="19"/>
              </w:rPr>
            </w:pPr>
            <w:r>
              <w:rPr>
                <w:sz w:val="19"/>
              </w:rPr>
              <w:t>29 Sep 2006 p. 4253-6</w:t>
            </w:r>
          </w:p>
        </w:tc>
        <w:tc>
          <w:tcPr>
            <w:tcW w:w="2693" w:type="dxa"/>
          </w:tcPr>
          <w:p>
            <w:pPr>
              <w:pStyle w:val="nTable"/>
              <w:keepNext/>
              <w:keepLines/>
              <w:spacing w:before="120"/>
              <w:rPr>
                <w:sz w:val="19"/>
              </w:rPr>
            </w:pPr>
            <w:r>
              <w:rPr>
                <w:sz w:val="19"/>
              </w:rPr>
              <w:t>1 Oct 2006 (see r. 2)</w:t>
            </w:r>
          </w:p>
        </w:tc>
      </w:tr>
      <w:tr>
        <w:trPr>
          <w:cantSplit/>
        </w:trPr>
        <w:tc>
          <w:tcPr>
            <w:tcW w:w="3119" w:type="dxa"/>
          </w:tcPr>
          <w:p>
            <w:pPr>
              <w:pStyle w:val="nTable"/>
              <w:keepNext/>
              <w:keepLines/>
              <w:spacing w:before="120"/>
              <w:ind w:right="113"/>
              <w:rPr>
                <w:iCs/>
                <w:sz w:val="19"/>
              </w:rPr>
            </w:pPr>
            <w:r>
              <w:rPr>
                <w:i/>
                <w:sz w:val="19"/>
              </w:rPr>
              <w:t>Industrial Training (Apprenticeship Training) Amendment Regulations (No. 4) 2006</w:t>
            </w:r>
            <w:r>
              <w:rPr>
                <w:iCs/>
                <w:sz w:val="19"/>
              </w:rPr>
              <w:t xml:space="preserve"> </w:t>
            </w:r>
            <w:r>
              <w:rPr>
                <w:iCs/>
                <w:sz w:val="19"/>
                <w:vertAlign w:val="superscript"/>
              </w:rPr>
              <w:t>20</w:t>
            </w:r>
          </w:p>
        </w:tc>
        <w:tc>
          <w:tcPr>
            <w:tcW w:w="1276" w:type="dxa"/>
          </w:tcPr>
          <w:p>
            <w:pPr>
              <w:pStyle w:val="nTable"/>
              <w:keepNext/>
              <w:keepLines/>
              <w:spacing w:before="120"/>
              <w:rPr>
                <w:sz w:val="19"/>
              </w:rPr>
            </w:pPr>
            <w:r>
              <w:rPr>
                <w:sz w:val="19"/>
              </w:rPr>
              <w:t>29 Sep 2006 p. 4256-8</w:t>
            </w:r>
          </w:p>
        </w:tc>
        <w:tc>
          <w:tcPr>
            <w:tcW w:w="2693" w:type="dxa"/>
          </w:tcPr>
          <w:p>
            <w:pPr>
              <w:pStyle w:val="nTable"/>
              <w:keepNext/>
              <w:keepLines/>
              <w:spacing w:before="120"/>
              <w:rPr>
                <w:sz w:val="19"/>
              </w:rPr>
            </w:pPr>
            <w:r>
              <w:rPr>
                <w:sz w:val="19"/>
              </w:rPr>
              <w:t>1 Oct 2006 (see r. 2)</w:t>
            </w:r>
          </w:p>
        </w:tc>
      </w:tr>
      <w:tr>
        <w:trPr>
          <w:cantSplit/>
        </w:trPr>
        <w:tc>
          <w:tcPr>
            <w:tcW w:w="3119" w:type="dxa"/>
            <w:tcBorders>
              <w:bottom w:val="single" w:sz="4" w:space="0" w:color="auto"/>
            </w:tcBorders>
          </w:tcPr>
          <w:p>
            <w:pPr>
              <w:pStyle w:val="nTable"/>
              <w:keepNext/>
              <w:keepLines/>
              <w:spacing w:before="120"/>
              <w:ind w:right="113"/>
              <w:rPr>
                <w:iCs/>
                <w:sz w:val="19"/>
              </w:rPr>
            </w:pPr>
            <w:r>
              <w:rPr>
                <w:i/>
                <w:sz w:val="19"/>
              </w:rPr>
              <w:t>Industrial Training (Apprenticeship Training) Amendment Regulations (No. 5) 2006</w:t>
            </w:r>
            <w:r>
              <w:rPr>
                <w:iCs/>
                <w:sz w:val="19"/>
              </w:rPr>
              <w:t xml:space="preserve"> </w:t>
            </w:r>
            <w:r>
              <w:rPr>
                <w:iCs/>
                <w:sz w:val="19"/>
                <w:vertAlign w:val="superscript"/>
              </w:rPr>
              <w:t>21</w:t>
            </w:r>
          </w:p>
        </w:tc>
        <w:tc>
          <w:tcPr>
            <w:tcW w:w="1276" w:type="dxa"/>
            <w:tcBorders>
              <w:bottom w:val="single" w:sz="4" w:space="0" w:color="auto"/>
            </w:tcBorders>
          </w:tcPr>
          <w:p>
            <w:pPr>
              <w:pStyle w:val="nTable"/>
              <w:keepNext/>
              <w:keepLines/>
              <w:spacing w:before="120"/>
              <w:rPr>
                <w:sz w:val="19"/>
              </w:rPr>
            </w:pPr>
            <w:r>
              <w:rPr>
                <w:sz w:val="19"/>
              </w:rPr>
              <w:t>29 Sep 2006 p. 4258-60</w:t>
            </w:r>
          </w:p>
        </w:tc>
        <w:tc>
          <w:tcPr>
            <w:tcW w:w="2693" w:type="dxa"/>
            <w:tcBorders>
              <w:bottom w:val="single" w:sz="4" w:space="0" w:color="auto"/>
            </w:tcBorders>
          </w:tcPr>
          <w:p>
            <w:pPr>
              <w:pStyle w:val="nTable"/>
              <w:keepNext/>
              <w:keepLines/>
              <w:spacing w:before="120"/>
              <w:rPr>
                <w:sz w:val="19"/>
              </w:rPr>
            </w:pPr>
            <w:r>
              <w:rPr>
                <w:sz w:val="19"/>
              </w:rPr>
              <w:t>1 Oct 2006 (see r. 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(Apprenticeship Training) Amendment Regultions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rPr>
          <w:sz w:val="19"/>
        </w:rPr>
      </w:pPr>
      <w:r>
        <w:rPr>
          <w:vertAlign w:val="superscript"/>
        </w:rPr>
        <w:t>18</w:t>
      </w:r>
      <w:r>
        <w:tab/>
        <w:t xml:space="preserve">The </w:t>
      </w:r>
      <w:r>
        <w:rPr>
          <w:i/>
          <w:sz w:val="19"/>
        </w:rPr>
        <w:t>Industrial Training (Apprenticeship Training) Amendment Regulations (No. 2) 2006</w:t>
      </w:r>
      <w:r>
        <w:rPr>
          <w:sz w:val="19"/>
        </w:rPr>
        <w:t xml:space="preserve"> r. 9 reads as follows:</w:t>
      </w:r>
    </w:p>
    <w:p>
      <w:pPr>
        <w:pStyle w:val="MiscOpen"/>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pPr>
      <w:r>
        <w:tab/>
        <w:t>(a)</w:t>
      </w:r>
      <w:r>
        <w:tab/>
        <w:t xml:space="preserve">an apprentice who commenced service in an old trade under an apprenticeship agreement before 1 June 2006; or </w:t>
      </w:r>
    </w:p>
    <w:p>
      <w:pPr>
        <w:pStyle w:val="nzIndenta"/>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rPr>
          <w:iCs/>
        </w:rPr>
      </w:pPr>
      <w:r>
        <w:rPr>
          <w:vertAlign w:val="superscript"/>
        </w:rPr>
        <w:t>19</w:t>
      </w:r>
      <w:r>
        <w:tab/>
        <w:t xml:space="preserve">The </w:t>
      </w:r>
      <w:r>
        <w:rPr>
          <w:i/>
        </w:rPr>
        <w:t>Industrial Training (Apprenticeship Training) Amendment Regulations (No. 3) 2006</w:t>
      </w:r>
      <w:r>
        <w:rPr>
          <w:iCs/>
        </w:rP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rPr>
          <w:iCs/>
        </w:rPr>
        <w:t xml:space="preserve"> as in force immediately before 1 October </w:t>
      </w:r>
      <w:r>
        <w:rPr>
          <w:spacing w:val="-2"/>
        </w:rPr>
        <w:t xml:space="preserve">2006 </w:t>
      </w:r>
      <w:r>
        <w:rPr>
          <w:iCs/>
        </w:rP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 xml:space="preserve">If the parties to an apprenticeship agreement agree in the manner described in subregulation (2), subregulation (1) ceases to apply to and </w:t>
      </w:r>
      <w:r>
        <w:rPr>
          <w:iCs/>
        </w:rPr>
        <w:t>in relation to</w:t>
      </w:r>
      <w:r>
        <w:t xml:space="preserve">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20</w:t>
      </w:r>
      <w:r>
        <w:tab/>
        <w:t xml:space="preserve">The </w:t>
      </w:r>
      <w:r>
        <w:rPr>
          <w:i/>
          <w:iCs/>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rPr>
        <w:t>“</w:t>
      </w:r>
      <w:r>
        <w:rPr>
          <w:rStyle w:val="CharDefText"/>
        </w:rPr>
        <w:t>existing probationer</w:t>
      </w:r>
      <w:r>
        <w:rPr>
          <w:b/>
          <w:bCs/>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pPr>
      <w:r>
        <w:rPr>
          <w:vertAlign w:val="superscript"/>
        </w:rPr>
        <w:t>21</w:t>
      </w:r>
      <w:r>
        <w:tab/>
        <w:t xml:space="preserve">The </w:t>
      </w:r>
      <w:r>
        <w:rPr>
          <w:i/>
          <w:iCs/>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iCs/>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rPr>
        <w:t>“</w:t>
      </w:r>
      <w:r>
        <w:rPr>
          <w:rStyle w:val="CharDefText"/>
        </w:rPr>
        <w:t>existing probationer</w:t>
      </w:r>
      <w:r>
        <w:rPr>
          <w:b/>
          <w:bCs/>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rPr>
          <w:sz w:val="2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02"/>
    <w:docVar w:name="WAFER_20151211134402" w:val="RemoveTrackChanges"/>
    <w:docVar w:name="WAFER_20151211134402_GUID" w:val="2ce5737d-8166-4c68-b5c4-8b9db728c3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6943</Words>
  <Characters>37150</Characters>
  <Application>Microsoft Office Word</Application>
  <DocSecurity>0</DocSecurity>
  <Lines>1769</Lines>
  <Paragraphs>1075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1981 - 01-h0-03</dc:title>
  <dc:subject/>
  <dc:creator/>
  <cp:keywords/>
  <dc:description/>
  <cp:lastModifiedBy>svcMRProcess</cp:lastModifiedBy>
  <cp:revision>4</cp:revision>
  <cp:lastPrinted>2006-04-28T02:05:00Z</cp:lastPrinted>
  <dcterms:created xsi:type="dcterms:W3CDTF">2015-12-14T13:17:00Z</dcterms:created>
  <dcterms:modified xsi:type="dcterms:W3CDTF">2015-12-14T13:17:00Z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20061001</vt:lpwstr>
  </property>
  <property fmtid="{D5CDD505-2E9C-101B-9397-08002B2CF9AE}" pid="4" name="DocumentType">
    <vt:lpwstr>Reg</vt:lpwstr>
  </property>
  <property fmtid="{D5CDD505-2E9C-101B-9397-08002B2CF9AE}" pid="5" name="OwlsUID">
    <vt:i4>4529</vt:i4>
  </property>
  <property fmtid="{D5CDD505-2E9C-101B-9397-08002B2CF9AE}" pid="6" name="AsAtDate">
    <vt:lpwstr>01 Oct 2006</vt:lpwstr>
  </property>
  <property fmtid="{D5CDD505-2E9C-101B-9397-08002B2CF9AE}" pid="7" name="Suffix">
    <vt:lpwstr>01-h0-03</vt:lpwstr>
  </property>
</Properties>
</file>