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DB" w:rsidRDefault="00166544">
      <w:pPr>
        <w:pStyle w:val="WA"/>
      </w:pPr>
      <w:bookmarkStart w:id="0" w:name="_GoBack"/>
      <w:bookmarkEnd w:id="0"/>
      <w:r>
        <w:t>Western Australia</w:t>
      </w:r>
    </w:p>
    <w:p w:rsidR="00277FDB" w:rsidRDefault="00166544">
      <w:pPr>
        <w:pStyle w:val="NameofActRegPage1"/>
        <w:spacing w:before="3760" w:after="4200"/>
      </w:pPr>
      <w:r>
        <w:fldChar w:fldCharType="begin"/>
      </w:r>
      <w:r>
        <w:instrText xml:space="preserve"> STYLEREF "Name Of Act/Reg"</w:instrText>
      </w:r>
      <w:r>
        <w:fldChar w:fldCharType="separate"/>
      </w:r>
      <w:r w:rsidR="00C8245D">
        <w:rPr>
          <w:noProof/>
        </w:rPr>
        <w:t>Jetties Regulations</w:t>
      </w:r>
      <w:r>
        <w:fldChar w:fldCharType="end"/>
      </w:r>
    </w:p>
    <w:p w:rsidR="00277FDB" w:rsidRDefault="00277FDB">
      <w:pPr>
        <w:jc w:val="center"/>
        <w:rPr>
          <w:b/>
        </w:rPr>
        <w:sectPr w:rsidR="00277F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77FDB" w:rsidRDefault="00166544">
      <w:pPr>
        <w:pStyle w:val="WA"/>
      </w:pPr>
      <w:r>
        <w:lastRenderedPageBreak/>
        <w:t>Western Australia</w:t>
      </w:r>
    </w:p>
    <w:p w:rsidR="00277FDB" w:rsidRDefault="00166544">
      <w:pPr>
        <w:pStyle w:val="NameofActRegPage1"/>
      </w:pPr>
      <w:r>
        <w:fldChar w:fldCharType="begin"/>
      </w:r>
      <w:r>
        <w:instrText xml:space="preserve"> STYLEREF "Name Of Act/Reg"</w:instrText>
      </w:r>
      <w:r>
        <w:fldChar w:fldCharType="separate"/>
      </w:r>
      <w:r w:rsidR="00C8245D">
        <w:rPr>
          <w:noProof/>
        </w:rPr>
        <w:t>Jetties Regulations</w:t>
      </w:r>
      <w:r>
        <w:fldChar w:fldCharType="end"/>
      </w:r>
    </w:p>
    <w:p w:rsidR="00277FDB" w:rsidRDefault="00166544">
      <w:pPr>
        <w:pStyle w:val="Arrangement"/>
      </w:pPr>
      <w:r>
        <w:t>CONTENTS</w:t>
      </w:r>
    </w:p>
    <w:p w:rsidR="00277FDB" w:rsidRDefault="00166544">
      <w:pPr>
        <w:pStyle w:val="TOC4"/>
        <w:tabs>
          <w:tab w:val="left" w:pos="1483"/>
        </w:tabs>
        <w:rPr>
          <w:noProof/>
        </w:rPr>
      </w:pPr>
      <w:r>
        <w:fldChar w:fldCharType="begin"/>
      </w:r>
      <w:r>
        <w:instrText xml:space="preserve"> TOC \o "1-3" \t "Heading 5,4" \n 2-3 </w:instrText>
      </w:r>
      <w:r>
        <w:fldChar w:fldCharType="separate"/>
      </w:r>
      <w:r>
        <w:rPr>
          <w:noProof/>
        </w:rPr>
        <w:t>4</w:t>
      </w:r>
      <w:r>
        <w:rPr>
          <w:noProof/>
          <w:snapToGrid w:val="0"/>
        </w:rPr>
        <w:t>.</w:t>
      </w:r>
      <w:r>
        <w:rPr>
          <w:noProof/>
        </w:rPr>
        <w:tab/>
      </w:r>
      <w:r>
        <w:rPr>
          <w:noProof/>
          <w:snapToGrid w:val="0"/>
        </w:rPr>
        <w:t>Wharfage Dues, Handling and Haulage Charges</w:t>
      </w:r>
      <w:r>
        <w:rPr>
          <w:noProof/>
        </w:rPr>
        <w:tab/>
      </w:r>
      <w:r>
        <w:rPr>
          <w:noProof/>
        </w:rPr>
        <w:fldChar w:fldCharType="begin"/>
      </w:r>
      <w:r>
        <w:rPr>
          <w:noProof/>
        </w:rPr>
        <w:instrText xml:space="preserve"> PAGEREF _Toc443466886 \h </w:instrText>
      </w:r>
      <w:r>
        <w:rPr>
          <w:noProof/>
        </w:rPr>
      </w:r>
      <w:r>
        <w:rPr>
          <w:noProof/>
        </w:rPr>
        <w:fldChar w:fldCharType="separate"/>
      </w:r>
      <w:r w:rsidR="00C8245D">
        <w:rPr>
          <w:noProof/>
        </w:rPr>
        <w:t>1</w:t>
      </w:r>
      <w:r>
        <w:rPr>
          <w:noProof/>
        </w:rPr>
        <w:fldChar w:fldCharType="end"/>
      </w:r>
    </w:p>
    <w:p w:rsidR="00277FDB" w:rsidRDefault="00166544">
      <w:pPr>
        <w:pStyle w:val="TOC2"/>
        <w:tabs>
          <w:tab w:val="right" w:pos="7086"/>
        </w:tabs>
        <w:rPr>
          <w:noProof/>
        </w:rPr>
      </w:pPr>
      <w:r>
        <w:rPr>
          <w:noProof/>
        </w:rPr>
        <w:t>NOTES</w:t>
      </w:r>
    </w:p>
    <w:p w:rsidR="00277FDB" w:rsidRDefault="00166544">
      <w:pPr>
        <w:pStyle w:val="TOC2"/>
      </w:pPr>
      <w:r>
        <w:fldChar w:fldCharType="end"/>
      </w:r>
    </w:p>
    <w:p w:rsidR="00277FDB" w:rsidRDefault="001665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77FDB" w:rsidRDefault="00277FDB">
      <w:pPr>
        <w:pStyle w:val="NoteHeading"/>
        <w:sectPr w:rsidR="00277FD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77FDB" w:rsidRDefault="00166544">
      <w:pPr>
        <w:pStyle w:val="WA"/>
      </w:pPr>
      <w:r>
        <w:lastRenderedPageBreak/>
        <w:t>Western Australia</w:t>
      </w:r>
    </w:p>
    <w:p w:rsidR="00277FDB" w:rsidRDefault="00166544">
      <w:pPr>
        <w:pStyle w:val="PrincipalActReg"/>
        <w:rPr>
          <w:snapToGrid w:val="0"/>
        </w:rPr>
      </w:pPr>
      <w:r>
        <w:rPr>
          <w:snapToGrid w:val="0"/>
        </w:rPr>
        <w:t>HARBOUR AND LIGHT DEPARTMENT</w:t>
      </w:r>
    </w:p>
    <w:p w:rsidR="00277FDB" w:rsidRDefault="00166544">
      <w:pPr>
        <w:pStyle w:val="NameofActReg"/>
      </w:pPr>
      <w:r>
        <w:t xml:space="preserve">Jetties Regulations </w:t>
      </w:r>
    </w:p>
    <w:p w:rsidR="00277FDB" w:rsidRDefault="00166544">
      <w:pPr>
        <w:pStyle w:val="Ednotesection"/>
      </w:pPr>
      <w:r>
        <w:t>[</w:t>
      </w:r>
      <w:r>
        <w:rPr>
          <w:b/>
        </w:rPr>
        <w:t>1</w:t>
      </w:r>
      <w:r>
        <w:rPr>
          <w:b/>
        </w:rPr>
        <w:noBreakHyphen/>
        <w:t xml:space="preserve"> 3.</w:t>
      </w:r>
      <w:r>
        <w:rPr>
          <w:b/>
        </w:rPr>
        <w:tab/>
      </w:r>
      <w:r>
        <w:rPr>
          <w:b/>
        </w:rPr>
        <w:tab/>
      </w:r>
      <w:r>
        <w:t xml:space="preserve">Repealed by Gazette 2 May 1941 p.568.] </w:t>
      </w:r>
    </w:p>
    <w:p w:rsidR="00277FDB" w:rsidRDefault="00166544">
      <w:pPr>
        <w:pStyle w:val="MiscellaneousHeading"/>
        <w:jc w:val="center"/>
        <w:rPr>
          <w:i/>
          <w:snapToGrid w:val="0"/>
        </w:rPr>
      </w:pPr>
      <w:r>
        <w:rPr>
          <w:i/>
          <w:snapToGrid w:val="0"/>
        </w:rPr>
        <w:t>Wharfage Dues, Handling and Haulage Charges</w:t>
      </w:r>
    </w:p>
    <w:p w:rsidR="00277FDB" w:rsidRDefault="00166544">
      <w:pPr>
        <w:pStyle w:val="Heading5"/>
        <w:rPr>
          <w:snapToGrid w:val="0"/>
        </w:rPr>
      </w:pPr>
      <w:bookmarkStart w:id="1" w:name="_Toc443466886"/>
      <w:r>
        <w:rPr>
          <w:rStyle w:val="CharSectno"/>
        </w:rPr>
        <w:t>4</w:t>
      </w:r>
      <w:r>
        <w:rPr>
          <w:snapToGrid w:val="0"/>
        </w:rPr>
        <w:t>.</w:t>
      </w:r>
      <w:r>
        <w:rPr>
          <w:snapToGrid w:val="0"/>
        </w:rPr>
        <w:tab/>
        <w:t>Wharfage Dues, Handling and Haulage Charges</w:t>
      </w:r>
      <w:bookmarkEnd w:id="1"/>
    </w:p>
    <w:p w:rsidR="00277FDB" w:rsidRDefault="00166544">
      <w:pPr>
        <w:pStyle w:val="Subsection"/>
        <w:rPr>
          <w:snapToGrid w:val="0"/>
        </w:rPr>
      </w:pPr>
      <w:r>
        <w:rPr>
          <w:snapToGrid w:val="0"/>
        </w:rPr>
        <w:tab/>
      </w:r>
      <w:r>
        <w:rPr>
          <w:snapToGrid w:val="0"/>
        </w:rPr>
        <w:tab/>
        <w:t>All goods landed from or shipped into any vessel shall, except where otherwise provided, pay wharfage dues, handling and haulage charges, as prescribed from time to time. Such wharfage dues, handling and haulage charges shall, except where otherwise provided, be levied on the measurement or weight (at the option of the Wharfinger or Officer in Charge) of the goods as declared on the ship’s manifest.</w:t>
      </w:r>
    </w:p>
    <w:p w:rsidR="00277FDB" w:rsidRDefault="00166544">
      <w:pPr>
        <w:pStyle w:val="Subsection"/>
        <w:rPr>
          <w:snapToGrid w:val="0"/>
        </w:rPr>
      </w:pPr>
      <w:r>
        <w:rPr>
          <w:snapToGrid w:val="0"/>
        </w:rPr>
        <w:tab/>
      </w:r>
      <w:r>
        <w:rPr>
          <w:snapToGrid w:val="0"/>
        </w:rPr>
        <w:tab/>
        <w:t>Cargo for transhipment if landed on jetty shall pay full wharfage dues one way only, but if passed overside from one vessel to another for conveyance to destination, or temporarily, the wharfage dues shall be 1s. per ton; in both cases handling and haulage charges shall be payable as per rates shown for other cargo, according to the services rendered in each case.</w:t>
      </w:r>
    </w:p>
    <w:p w:rsidR="00277FDB" w:rsidRDefault="00166544">
      <w:pPr>
        <w:pStyle w:val="Subsection"/>
        <w:rPr>
          <w:snapToGrid w:val="0"/>
        </w:rPr>
      </w:pPr>
      <w:r>
        <w:rPr>
          <w:snapToGrid w:val="0"/>
        </w:rPr>
        <w:tab/>
      </w:r>
      <w:r>
        <w:rPr>
          <w:snapToGrid w:val="0"/>
        </w:rPr>
        <w:tab/>
        <w:t>Inward cargo shall not for any purpose whatever be deemed to be in the custody of the Wharfinger or Officer in Charge until the sling is released from the ship’s crane or hoisting hook, or deposited on the wharf or conveyance provided by the Wharfinger or Officer in Charge to receive the same.</w:t>
      </w:r>
    </w:p>
    <w:p w:rsidR="00277FDB" w:rsidRDefault="00166544">
      <w:pPr>
        <w:pStyle w:val="Subsection"/>
        <w:rPr>
          <w:snapToGrid w:val="0"/>
        </w:rPr>
      </w:pPr>
      <w:r>
        <w:rPr>
          <w:snapToGrid w:val="0"/>
        </w:rPr>
        <w:tab/>
      </w:r>
      <w:r>
        <w:rPr>
          <w:snapToGrid w:val="0"/>
        </w:rPr>
        <w:tab/>
        <w:t>Outward cargo shall be deemed to be in the custody of the ship when the ship’s crane, or hoisting hook, is inserted in the sling.</w:t>
      </w:r>
    </w:p>
    <w:p w:rsidR="00277FDB" w:rsidRDefault="00166544">
      <w:pPr>
        <w:pStyle w:val="Ednotesection"/>
      </w:pPr>
      <w:r>
        <w:lastRenderedPageBreak/>
        <w:t>[</w:t>
      </w:r>
      <w:r>
        <w:rPr>
          <w:b/>
        </w:rPr>
        <w:t>5</w:t>
      </w:r>
      <w:r>
        <w:rPr>
          <w:b/>
        </w:rPr>
        <w:noBreakHyphen/>
        <w:t>31.</w:t>
      </w:r>
      <w:r>
        <w:rPr>
          <w:b/>
        </w:rPr>
        <w:tab/>
      </w:r>
      <w:r>
        <w:rPr>
          <w:b/>
        </w:rPr>
        <w:tab/>
      </w:r>
      <w:r>
        <w:t>Repealed by Gazette 2 May 1941 p.568.]</w:t>
      </w:r>
    </w:p>
    <w:p w:rsidR="00277FDB" w:rsidRDefault="00277FDB">
      <w:pPr>
        <w:rPr>
          <w:rStyle w:val="CharDivText"/>
        </w:rPr>
        <w:sectPr w:rsidR="00277FD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77FDB" w:rsidRDefault="00166544">
      <w:pPr>
        <w:pStyle w:val="nHeading2"/>
      </w:pPr>
      <w:r>
        <w:t>Notes</w:t>
      </w:r>
    </w:p>
    <w:p w:rsidR="00277FDB" w:rsidRDefault="00166544">
      <w:pPr>
        <w:pStyle w:val="nSubsection"/>
        <w:rPr>
          <w:snapToGrid w:val="0"/>
        </w:rPr>
      </w:pPr>
      <w:r>
        <w:rPr>
          <w:snapToGrid w:val="0"/>
          <w:vertAlign w:val="superscript"/>
        </w:rPr>
        <w:t>1.</w:t>
      </w:r>
      <w:r>
        <w:rPr>
          <w:snapToGrid w:val="0"/>
        </w:rPr>
        <w:tab/>
        <w:t xml:space="preserve">This is a compilation of the </w:t>
      </w:r>
      <w:r>
        <w:rPr>
          <w:i/>
          <w:snapToGrid w:val="0"/>
        </w:rPr>
        <w:t>Jetties Regulations</w:t>
      </w:r>
      <w:r>
        <w:rPr>
          <w:snapToGrid w:val="0"/>
        </w:rPr>
        <w:t xml:space="preserve"> and includes the amendments referred to in the following Table.</w:t>
      </w:r>
    </w:p>
    <w:p w:rsidR="00277FDB" w:rsidRDefault="0016654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77FDB">
        <w:trPr>
          <w:tblHeader/>
        </w:trPr>
        <w:tc>
          <w:tcPr>
            <w:tcW w:w="3118" w:type="dxa"/>
            <w:tcBorders>
              <w:top w:val="single" w:sz="8" w:space="0" w:color="auto"/>
              <w:bottom w:val="single" w:sz="8" w:space="0" w:color="auto"/>
            </w:tcBorders>
          </w:tcPr>
          <w:p w:rsidR="00277FDB" w:rsidRDefault="0016654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277FDB" w:rsidRDefault="0016654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77FDB" w:rsidRDefault="00166544">
            <w:pPr>
              <w:pStyle w:val="nTable"/>
              <w:spacing w:before="40" w:after="40"/>
              <w:rPr>
                <w:b/>
                <w:sz w:val="19"/>
              </w:rPr>
            </w:pPr>
            <w:r>
              <w:rPr>
                <w:b/>
                <w:sz w:val="19"/>
              </w:rPr>
              <w:t>Commencement</w:t>
            </w:r>
          </w:p>
        </w:tc>
      </w:tr>
      <w:tr w:rsidR="00277FDB">
        <w:tc>
          <w:tcPr>
            <w:tcW w:w="3118" w:type="dxa"/>
          </w:tcPr>
          <w:p w:rsidR="00277FDB" w:rsidRDefault="00166544">
            <w:pPr>
              <w:pStyle w:val="nTable"/>
              <w:spacing w:before="40" w:after="40"/>
              <w:rPr>
                <w:sz w:val="19"/>
              </w:rPr>
            </w:pPr>
            <w:r>
              <w:rPr>
                <w:i/>
                <w:sz w:val="19"/>
              </w:rPr>
              <w:t>Jetties Regulations</w:t>
            </w:r>
          </w:p>
        </w:tc>
        <w:tc>
          <w:tcPr>
            <w:tcW w:w="1276" w:type="dxa"/>
          </w:tcPr>
          <w:p w:rsidR="00277FDB" w:rsidRDefault="00166544">
            <w:pPr>
              <w:pStyle w:val="nTable"/>
              <w:spacing w:before="40" w:after="40"/>
              <w:rPr>
                <w:sz w:val="19"/>
              </w:rPr>
            </w:pPr>
            <w:r>
              <w:rPr>
                <w:sz w:val="19"/>
              </w:rPr>
              <w:t>2 July 1920 pp.1233</w:t>
            </w:r>
            <w:r>
              <w:rPr>
                <w:sz w:val="19"/>
              </w:rPr>
              <w:noBreakHyphen/>
              <w:t>5</w:t>
            </w:r>
          </w:p>
        </w:tc>
        <w:tc>
          <w:tcPr>
            <w:tcW w:w="2693" w:type="dxa"/>
          </w:tcPr>
          <w:p w:rsidR="00277FDB" w:rsidRDefault="00277FDB">
            <w:pPr>
              <w:pStyle w:val="nTable"/>
              <w:spacing w:before="40" w:after="40"/>
              <w:rPr>
                <w:sz w:val="19"/>
              </w:rPr>
            </w:pPr>
          </w:p>
        </w:tc>
      </w:tr>
      <w:tr w:rsidR="00277FDB">
        <w:tc>
          <w:tcPr>
            <w:tcW w:w="3118" w:type="dxa"/>
            <w:tcBorders>
              <w:bottom w:val="single" w:sz="4" w:space="0" w:color="auto"/>
            </w:tcBorders>
          </w:tcPr>
          <w:p w:rsidR="00277FDB" w:rsidRDefault="00277FDB">
            <w:pPr>
              <w:pStyle w:val="nTable"/>
              <w:spacing w:before="40" w:after="40"/>
              <w:rPr>
                <w:sz w:val="19"/>
              </w:rPr>
            </w:pPr>
          </w:p>
        </w:tc>
        <w:tc>
          <w:tcPr>
            <w:tcW w:w="1276" w:type="dxa"/>
            <w:tcBorders>
              <w:bottom w:val="single" w:sz="4" w:space="0" w:color="auto"/>
            </w:tcBorders>
          </w:tcPr>
          <w:p w:rsidR="00277FDB" w:rsidRDefault="00166544">
            <w:pPr>
              <w:pStyle w:val="nTable"/>
              <w:spacing w:before="40" w:after="40"/>
              <w:rPr>
                <w:sz w:val="19"/>
              </w:rPr>
            </w:pPr>
            <w:r>
              <w:rPr>
                <w:sz w:val="19"/>
              </w:rPr>
              <w:t>2 May 1941 p.568</w:t>
            </w:r>
          </w:p>
        </w:tc>
        <w:tc>
          <w:tcPr>
            <w:tcW w:w="2693" w:type="dxa"/>
            <w:tcBorders>
              <w:bottom w:val="single" w:sz="4" w:space="0" w:color="auto"/>
            </w:tcBorders>
          </w:tcPr>
          <w:p w:rsidR="00277FDB" w:rsidRDefault="00277FDB">
            <w:pPr>
              <w:pStyle w:val="nTable"/>
              <w:spacing w:before="40" w:after="40"/>
              <w:rPr>
                <w:sz w:val="19"/>
              </w:rPr>
            </w:pPr>
          </w:p>
        </w:tc>
      </w:tr>
    </w:tbl>
    <w:p w:rsidR="00277FDB" w:rsidRDefault="00277FDB"/>
    <w:p w:rsidR="00277FDB" w:rsidRDefault="00277FDB">
      <w:pPr>
        <w:sectPr w:rsidR="00277FD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77FDB" w:rsidRDefault="00277FDB"/>
    <w:sectPr w:rsidR="00277FDB">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DB" w:rsidRDefault="00166544">
      <w:r>
        <w:separator/>
      </w:r>
    </w:p>
  </w:endnote>
  <w:endnote w:type="continuationSeparator" w:id="0">
    <w:p w:rsidR="00277FDB" w:rsidRDefault="0016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p>
  <w:p w:rsidR="00277FDB" w:rsidRDefault="001665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277FDB" w:rsidRDefault="001665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277FDB" w:rsidRDefault="001665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p>
  <w:p w:rsidR="00277FDB" w:rsidRDefault="001665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77FDB" w:rsidRDefault="001665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245D">
      <w:rPr>
        <w:rStyle w:val="PageNumber"/>
        <w:rFonts w:ascii="Arial" w:hAnsi="Arial" w:cs="Arial"/>
        <w:noProof/>
      </w:rPr>
      <w:t>i</w:t>
    </w:r>
    <w:r>
      <w:rPr>
        <w:rStyle w:val="PageNumber"/>
        <w:rFonts w:ascii="Arial" w:hAnsi="Arial" w:cs="Arial"/>
      </w:rPr>
      <w:fldChar w:fldCharType="end"/>
    </w:r>
  </w:p>
  <w:p w:rsidR="00277FDB" w:rsidRDefault="0016654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245D">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r>
      <w:rPr>
        <w:rFonts w:ascii="Arial" w:hAnsi="Arial" w:cs="Arial"/>
        <w:sz w:val="20"/>
        <w:lang w:val="en-US"/>
      </w:rPr>
      <w:t xml:space="preserve"> </w:t>
    </w:r>
  </w:p>
  <w:p w:rsidR="00277FDB" w:rsidRDefault="001665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245D">
      <w:rPr>
        <w:rStyle w:val="CharPageNo"/>
        <w:rFonts w:ascii="Arial" w:hAnsi="Arial"/>
        <w:noProof/>
      </w:rPr>
      <w:t>3</w:t>
    </w:r>
    <w:r>
      <w:rPr>
        <w:rStyle w:val="CharPageNo"/>
        <w:rFonts w:ascii="Arial" w:hAnsi="Arial"/>
      </w:rPr>
      <w:fldChar w:fldCharType="end"/>
    </w:r>
  </w:p>
  <w:p w:rsidR="00277FDB" w:rsidRDefault="001665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Footer"/>
      <w:tabs>
        <w:tab w:val="clear" w:pos="4153"/>
        <w:tab w:val="right" w:pos="7088"/>
      </w:tabs>
      <w:rPr>
        <w:rStyle w:val="PageNumber"/>
      </w:rPr>
    </w:pPr>
  </w:p>
  <w:p w:rsidR="00277FDB" w:rsidRDefault="001665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45D">
      <w:rPr>
        <w:rFonts w:ascii="Arial" w:hAnsi="Arial" w:cs="Arial"/>
        <w:sz w:val="20"/>
        <w:lang w:val="en-US"/>
      </w:rPr>
      <w:t>02 May 1941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45D">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245D">
      <w:rPr>
        <w:rStyle w:val="CharPageNo"/>
        <w:rFonts w:ascii="Arial" w:hAnsi="Arial"/>
        <w:noProof/>
      </w:rPr>
      <w:t>1</w:t>
    </w:r>
    <w:r>
      <w:rPr>
        <w:rStyle w:val="CharPageNo"/>
        <w:rFonts w:ascii="Arial" w:hAnsi="Arial"/>
      </w:rPr>
      <w:fldChar w:fldCharType="end"/>
    </w:r>
  </w:p>
  <w:p w:rsidR="00277FDB" w:rsidRDefault="001665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DB" w:rsidRDefault="00166544">
      <w:r>
        <w:separator/>
      </w:r>
    </w:p>
  </w:footnote>
  <w:footnote w:type="continuationSeparator" w:id="0">
    <w:p w:rsidR="00277FDB" w:rsidRDefault="00166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166544">
    <w:pPr>
      <w:pStyle w:val="headerpartodd"/>
      <w:ind w:left="0" w:firstLine="0"/>
      <w:rPr>
        <w:i/>
      </w:rPr>
    </w:pPr>
    <w:r>
      <w:rPr>
        <w:i/>
      </w:rPr>
      <w:fldChar w:fldCharType="begin"/>
    </w:r>
    <w:r>
      <w:rPr>
        <w:i/>
      </w:rPr>
      <w:instrText xml:space="preserve"> Styleref "Name of Act/Reg" </w:instrText>
    </w:r>
    <w:r>
      <w:rPr>
        <w:i/>
      </w:rPr>
      <w:fldChar w:fldCharType="separate"/>
    </w:r>
    <w:r w:rsidR="00C8245D">
      <w:rPr>
        <w:i/>
        <w:noProof/>
      </w:rPr>
      <w:t>Jetties Regulations</w:t>
    </w:r>
    <w:r>
      <w:rPr>
        <w:i/>
      </w:rPr>
      <w:fldChar w:fldCharType="end"/>
    </w:r>
  </w:p>
  <w:p w:rsidR="00277FDB" w:rsidRDefault="001665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77FDB" w:rsidRDefault="001665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77FDB" w:rsidRDefault="00277FDB">
    <w:pPr>
      <w:pStyle w:val="headerpart"/>
    </w:pPr>
  </w:p>
  <w:p w:rsidR="00277FDB" w:rsidRDefault="00277FDB">
    <w:pPr>
      <w:pBdr>
        <w:bottom w:val="single" w:sz="6" w:space="1" w:color="auto"/>
      </w:pBdr>
      <w:rPr>
        <w:b/>
      </w:rPr>
    </w:pPr>
  </w:p>
  <w:p w:rsidR="00277FDB" w:rsidRDefault="00277F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7FDB">
      <w:trPr>
        <w:cantSplit/>
      </w:trPr>
      <w:tc>
        <w:tcPr>
          <w:tcW w:w="7312" w:type="dxa"/>
          <w:gridSpan w:val="2"/>
        </w:tcPr>
        <w:p w:rsidR="00277FDB" w:rsidRDefault="00166544">
          <w:pPr>
            <w:pStyle w:val="HeaderActNameLeft"/>
          </w:pPr>
          <w:fldSimple w:instr=" Styleref &quot;Name of Act/Reg&quot; ">
            <w:r w:rsidR="00C8245D">
              <w:rPr>
                <w:noProof/>
              </w:rPr>
              <w:t>Jetties Regulations</w:t>
            </w:r>
          </w:fldSimple>
        </w:p>
      </w:tc>
    </w:tr>
    <w:tr w:rsidR="00277FDB">
      <w:tc>
        <w:tcPr>
          <w:tcW w:w="1548" w:type="dxa"/>
        </w:tcPr>
        <w:p w:rsidR="00277FDB" w:rsidRDefault="00277FDB">
          <w:pPr>
            <w:pStyle w:val="HeaderNumberLeft"/>
          </w:pPr>
        </w:p>
      </w:tc>
      <w:tc>
        <w:tcPr>
          <w:tcW w:w="5764" w:type="dxa"/>
        </w:tcPr>
        <w:p w:rsidR="00277FDB" w:rsidRDefault="00277FDB">
          <w:pPr>
            <w:pStyle w:val="HeaderTextLeft"/>
          </w:pPr>
        </w:p>
      </w:tc>
    </w:tr>
    <w:tr w:rsidR="00277FDB">
      <w:tc>
        <w:tcPr>
          <w:tcW w:w="1548" w:type="dxa"/>
        </w:tcPr>
        <w:p w:rsidR="00277FDB" w:rsidRDefault="00277FDB">
          <w:pPr>
            <w:pStyle w:val="HeaderNumberLeft"/>
          </w:pPr>
        </w:p>
      </w:tc>
      <w:tc>
        <w:tcPr>
          <w:tcW w:w="5764" w:type="dxa"/>
        </w:tcPr>
        <w:p w:rsidR="00277FDB" w:rsidRDefault="00277FDB">
          <w:pPr>
            <w:pStyle w:val="HeaderTextLeft"/>
          </w:pPr>
        </w:p>
      </w:tc>
    </w:tr>
    <w:tr w:rsidR="00277FDB">
      <w:trPr>
        <w:cantSplit/>
      </w:trPr>
      <w:tc>
        <w:tcPr>
          <w:tcW w:w="7312" w:type="dxa"/>
          <w:gridSpan w:val="2"/>
        </w:tcPr>
        <w:p w:rsidR="00277FDB" w:rsidRDefault="00277FDB">
          <w:pPr>
            <w:pStyle w:val="HeaderSectionLeft"/>
          </w:pPr>
        </w:p>
      </w:tc>
    </w:tr>
  </w:tbl>
  <w:p w:rsidR="00277FDB" w:rsidRDefault="00277F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7FDB">
      <w:trPr>
        <w:cantSplit/>
      </w:trPr>
      <w:tc>
        <w:tcPr>
          <w:tcW w:w="7312" w:type="dxa"/>
          <w:gridSpan w:val="2"/>
        </w:tcPr>
        <w:p w:rsidR="00277FDB" w:rsidRDefault="00166544">
          <w:pPr>
            <w:pStyle w:val="HeaderActNameRight"/>
          </w:pPr>
          <w:fldSimple w:instr=" Styleref &quot;Name of Act/Reg&quot; ">
            <w:r w:rsidR="00C8245D">
              <w:rPr>
                <w:noProof/>
              </w:rPr>
              <w:t>Jetties Regulations</w:t>
            </w:r>
          </w:fldSimple>
        </w:p>
      </w:tc>
    </w:tr>
    <w:tr w:rsidR="00277FDB">
      <w:tc>
        <w:tcPr>
          <w:tcW w:w="5760" w:type="dxa"/>
        </w:tcPr>
        <w:p w:rsidR="00277FDB" w:rsidRDefault="00277FDB">
          <w:pPr>
            <w:pStyle w:val="HeaderTextRight"/>
          </w:pPr>
        </w:p>
      </w:tc>
      <w:tc>
        <w:tcPr>
          <w:tcW w:w="1552" w:type="dxa"/>
        </w:tcPr>
        <w:p w:rsidR="00277FDB" w:rsidRDefault="00277FDB">
          <w:pPr>
            <w:pStyle w:val="HeaderNumberRight"/>
          </w:pPr>
        </w:p>
      </w:tc>
    </w:tr>
    <w:tr w:rsidR="00277FDB">
      <w:tc>
        <w:tcPr>
          <w:tcW w:w="5760" w:type="dxa"/>
        </w:tcPr>
        <w:p w:rsidR="00277FDB" w:rsidRDefault="00277FDB">
          <w:pPr>
            <w:pStyle w:val="HeaderTextRight"/>
          </w:pPr>
        </w:p>
      </w:tc>
      <w:tc>
        <w:tcPr>
          <w:tcW w:w="1552" w:type="dxa"/>
        </w:tcPr>
        <w:p w:rsidR="00277FDB" w:rsidRDefault="00277FDB">
          <w:pPr>
            <w:pStyle w:val="HeaderNumberRight"/>
          </w:pPr>
        </w:p>
      </w:tc>
    </w:tr>
    <w:tr w:rsidR="00277FDB">
      <w:trPr>
        <w:cantSplit/>
      </w:trPr>
      <w:tc>
        <w:tcPr>
          <w:tcW w:w="7312" w:type="dxa"/>
          <w:gridSpan w:val="2"/>
        </w:tcPr>
        <w:p w:rsidR="00277FDB" w:rsidRDefault="00277FDB">
          <w:pPr>
            <w:pStyle w:val="HeaderSectionRight"/>
          </w:pPr>
        </w:p>
      </w:tc>
    </w:tr>
  </w:tbl>
  <w:p w:rsidR="00277FDB" w:rsidRDefault="00277FD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166544">
    <w:pPr>
      <w:pStyle w:val="headerpartodd"/>
      <w:ind w:left="0" w:firstLine="0"/>
      <w:rPr>
        <w:i/>
      </w:rPr>
    </w:pPr>
    <w:r>
      <w:rPr>
        <w:i/>
      </w:rPr>
      <w:fldChar w:fldCharType="begin"/>
    </w:r>
    <w:r>
      <w:rPr>
        <w:i/>
      </w:rPr>
      <w:instrText xml:space="preserve"> Styleref "Name of Act/Reg" </w:instrText>
    </w:r>
    <w:r>
      <w:rPr>
        <w:i/>
      </w:rPr>
      <w:fldChar w:fldCharType="separate"/>
    </w:r>
    <w:r w:rsidR="00C8245D">
      <w:rPr>
        <w:i/>
        <w:noProof/>
      </w:rPr>
      <w:t>Jetties Regulations</w:t>
    </w:r>
    <w:r>
      <w:rPr>
        <w:i/>
      </w:rPr>
      <w:fldChar w:fldCharType="end"/>
    </w:r>
  </w:p>
  <w:p w:rsidR="00277FDB" w:rsidRDefault="00277FDB">
    <w:pPr>
      <w:pStyle w:val="headerpartodd"/>
      <w:ind w:left="0" w:firstLine="0"/>
      <w:rPr>
        <w:b w:val="0"/>
        <w:i/>
      </w:rPr>
    </w:pPr>
  </w:p>
  <w:p w:rsidR="00277FDB" w:rsidRDefault="00277FDB">
    <w:pPr>
      <w:pStyle w:val="headerpart"/>
    </w:pPr>
  </w:p>
  <w:p w:rsidR="00277FDB" w:rsidRDefault="00277FDB">
    <w:pPr>
      <w:pStyle w:val="headerpart"/>
    </w:pPr>
  </w:p>
  <w:p w:rsidR="00277FDB" w:rsidRDefault="00277FDB">
    <w:pPr>
      <w:pBdr>
        <w:bottom w:val="single" w:sz="6" w:space="1" w:color="auto"/>
      </w:pBdr>
      <w:rPr>
        <w:b/>
      </w:rPr>
    </w:pPr>
  </w:p>
  <w:p w:rsidR="00277FDB" w:rsidRDefault="00277FDB"/>
  <w:p w:rsidR="00277FDB" w:rsidRDefault="00277FD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166544">
    <w:pPr>
      <w:pStyle w:val="headerpartodd"/>
      <w:ind w:left="0" w:firstLine="0"/>
      <w:jc w:val="right"/>
      <w:rPr>
        <w:i/>
      </w:rPr>
    </w:pPr>
    <w:r>
      <w:rPr>
        <w:i/>
      </w:rPr>
      <w:fldChar w:fldCharType="begin"/>
    </w:r>
    <w:r>
      <w:rPr>
        <w:i/>
      </w:rPr>
      <w:instrText xml:space="preserve"> Styleref "Name of Act/Reg" </w:instrText>
    </w:r>
    <w:r>
      <w:rPr>
        <w:i/>
      </w:rPr>
      <w:fldChar w:fldCharType="separate"/>
    </w:r>
    <w:r w:rsidR="00C8245D">
      <w:rPr>
        <w:i/>
        <w:noProof/>
      </w:rPr>
      <w:t>Jetties Regulations</w:t>
    </w:r>
    <w:r>
      <w:rPr>
        <w:i/>
      </w:rPr>
      <w:fldChar w:fldCharType="end"/>
    </w:r>
  </w:p>
  <w:p w:rsidR="00277FDB" w:rsidRDefault="00277FDB">
    <w:pPr>
      <w:pStyle w:val="headerpartodd"/>
      <w:ind w:left="0" w:firstLine="0"/>
      <w:jc w:val="right"/>
      <w:rPr>
        <w:b w:val="0"/>
        <w:i/>
      </w:rPr>
    </w:pPr>
  </w:p>
  <w:p w:rsidR="00277FDB" w:rsidRDefault="00277FDB">
    <w:pPr>
      <w:pStyle w:val="headerpart"/>
      <w:jc w:val="right"/>
    </w:pPr>
  </w:p>
  <w:p w:rsidR="00277FDB" w:rsidRDefault="00277FDB">
    <w:pPr>
      <w:pStyle w:val="headerpart"/>
      <w:jc w:val="right"/>
    </w:pPr>
  </w:p>
  <w:p w:rsidR="00277FDB" w:rsidRDefault="00277FDB">
    <w:pPr>
      <w:pBdr>
        <w:bottom w:val="single" w:sz="6" w:space="1" w:color="auto"/>
      </w:pBdr>
      <w:jc w:val="right"/>
      <w:rPr>
        <w:b/>
      </w:rPr>
    </w:pPr>
  </w:p>
  <w:p w:rsidR="00277FDB" w:rsidRDefault="00277FDB"/>
  <w:p w:rsidR="00277FDB" w:rsidRDefault="00277F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5D" w:rsidRDefault="00C82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5D" w:rsidRDefault="00C82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7FDB">
      <w:trPr>
        <w:cantSplit/>
      </w:trPr>
      <w:tc>
        <w:tcPr>
          <w:tcW w:w="7312" w:type="dxa"/>
          <w:gridSpan w:val="2"/>
        </w:tcPr>
        <w:p w:rsidR="00277FDB" w:rsidRDefault="00166544">
          <w:pPr>
            <w:pStyle w:val="HeaderActNameLeft"/>
          </w:pPr>
          <w:r>
            <w:rPr>
              <w:i w:val="0"/>
            </w:rPr>
            <w:fldChar w:fldCharType="begin"/>
          </w:r>
          <w:r>
            <w:rPr>
              <w:i w:val="0"/>
            </w:rPr>
            <w:instrText xml:space="preserve"> Styleref "Name of Act/Reg" </w:instrText>
          </w:r>
          <w:r>
            <w:rPr>
              <w:i w:val="0"/>
            </w:rPr>
            <w:fldChar w:fldCharType="separate"/>
          </w:r>
          <w:r w:rsidR="00C8245D">
            <w:rPr>
              <w:i w:val="0"/>
              <w:noProof/>
            </w:rPr>
            <w:t>Jetties Regulations</w:t>
          </w:r>
          <w:r>
            <w:rPr>
              <w:i w:val="0"/>
            </w:rPr>
            <w:fldChar w:fldCharType="end"/>
          </w:r>
        </w:p>
      </w:tc>
    </w:tr>
    <w:tr w:rsidR="00277FDB">
      <w:tc>
        <w:tcPr>
          <w:tcW w:w="1548" w:type="dxa"/>
        </w:tcPr>
        <w:p w:rsidR="00277FDB" w:rsidRDefault="00277FDB">
          <w:pPr>
            <w:pStyle w:val="HeaderNumberLeft"/>
          </w:pPr>
        </w:p>
      </w:tc>
      <w:tc>
        <w:tcPr>
          <w:tcW w:w="5764" w:type="dxa"/>
        </w:tcPr>
        <w:p w:rsidR="00277FDB" w:rsidRDefault="00277FDB">
          <w:pPr>
            <w:pStyle w:val="HeaderTextLeft"/>
          </w:pPr>
        </w:p>
      </w:tc>
    </w:tr>
    <w:tr w:rsidR="00277FDB">
      <w:tc>
        <w:tcPr>
          <w:tcW w:w="1548" w:type="dxa"/>
        </w:tcPr>
        <w:p w:rsidR="00277FDB" w:rsidRDefault="00277FDB">
          <w:pPr>
            <w:pStyle w:val="HeaderNumberLeft"/>
          </w:pPr>
        </w:p>
      </w:tc>
      <w:tc>
        <w:tcPr>
          <w:tcW w:w="5764" w:type="dxa"/>
        </w:tcPr>
        <w:p w:rsidR="00277FDB" w:rsidRDefault="00277FDB">
          <w:pPr>
            <w:pStyle w:val="HeaderTextLeft"/>
          </w:pPr>
        </w:p>
      </w:tc>
    </w:tr>
    <w:tr w:rsidR="00277FDB">
      <w:trPr>
        <w:cantSplit/>
      </w:trPr>
      <w:tc>
        <w:tcPr>
          <w:tcW w:w="7312" w:type="dxa"/>
          <w:gridSpan w:val="2"/>
        </w:tcPr>
        <w:p w:rsidR="00277FDB" w:rsidRDefault="00277FDB">
          <w:pPr>
            <w:pStyle w:val="HeaderSectionLeft"/>
          </w:pPr>
        </w:p>
      </w:tc>
    </w:tr>
  </w:tbl>
  <w:p w:rsidR="00277FDB" w:rsidRDefault="00277F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7FDB">
      <w:trPr>
        <w:cantSplit/>
      </w:trPr>
      <w:tc>
        <w:tcPr>
          <w:tcW w:w="7312" w:type="dxa"/>
          <w:gridSpan w:val="2"/>
        </w:tcPr>
        <w:p w:rsidR="00277FDB" w:rsidRDefault="00166544">
          <w:pPr>
            <w:pStyle w:val="HeaderActNameRight"/>
          </w:pPr>
          <w:fldSimple w:instr=" Styleref &quot;Name of Act/Reg&quot; ">
            <w:r w:rsidR="00C8245D">
              <w:rPr>
                <w:noProof/>
              </w:rPr>
              <w:t>Jetties Regulations</w:t>
            </w:r>
          </w:fldSimple>
        </w:p>
      </w:tc>
    </w:tr>
    <w:tr w:rsidR="00277FDB">
      <w:tc>
        <w:tcPr>
          <w:tcW w:w="5760" w:type="dxa"/>
        </w:tcPr>
        <w:p w:rsidR="00277FDB" w:rsidRDefault="00277FDB">
          <w:pPr>
            <w:pStyle w:val="HeaderTextRight"/>
          </w:pPr>
        </w:p>
      </w:tc>
      <w:tc>
        <w:tcPr>
          <w:tcW w:w="1552" w:type="dxa"/>
        </w:tcPr>
        <w:p w:rsidR="00277FDB" w:rsidRDefault="00277FDB">
          <w:pPr>
            <w:pStyle w:val="HeaderNumberRight"/>
          </w:pPr>
        </w:p>
      </w:tc>
    </w:tr>
    <w:tr w:rsidR="00277FDB">
      <w:tc>
        <w:tcPr>
          <w:tcW w:w="5760" w:type="dxa"/>
        </w:tcPr>
        <w:p w:rsidR="00277FDB" w:rsidRDefault="00277FDB">
          <w:pPr>
            <w:pStyle w:val="HeaderTextRight"/>
          </w:pPr>
        </w:p>
      </w:tc>
      <w:tc>
        <w:tcPr>
          <w:tcW w:w="1552" w:type="dxa"/>
        </w:tcPr>
        <w:p w:rsidR="00277FDB" w:rsidRDefault="00277FDB">
          <w:pPr>
            <w:pStyle w:val="HeaderNumberRight"/>
          </w:pPr>
        </w:p>
      </w:tc>
    </w:tr>
    <w:tr w:rsidR="00277FDB">
      <w:trPr>
        <w:cantSplit/>
      </w:trPr>
      <w:tc>
        <w:tcPr>
          <w:tcW w:w="7312" w:type="dxa"/>
          <w:gridSpan w:val="2"/>
        </w:tcPr>
        <w:p w:rsidR="00277FDB" w:rsidRDefault="00277FDB">
          <w:pPr>
            <w:pStyle w:val="HeaderSectionRight"/>
          </w:pPr>
        </w:p>
      </w:tc>
    </w:tr>
  </w:tbl>
  <w:p w:rsidR="00277FDB" w:rsidRDefault="00277F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77FDB">
      <w:trPr>
        <w:cantSplit/>
      </w:trPr>
      <w:tc>
        <w:tcPr>
          <w:tcW w:w="7312" w:type="dxa"/>
          <w:gridSpan w:val="2"/>
        </w:tcPr>
        <w:p w:rsidR="00277FDB" w:rsidRDefault="00166544">
          <w:pPr>
            <w:pStyle w:val="HeaderActNameLeft"/>
          </w:pPr>
          <w:fldSimple w:instr=" Styleref &quot;Name of Act/Reg&quot; ">
            <w:r w:rsidR="00C8245D">
              <w:rPr>
                <w:noProof/>
              </w:rPr>
              <w:t>Jetties Regulations</w:t>
            </w:r>
          </w:fldSimple>
        </w:p>
      </w:tc>
    </w:tr>
    <w:tr w:rsidR="00277FDB">
      <w:tc>
        <w:tcPr>
          <w:tcW w:w="1305" w:type="dxa"/>
        </w:tcPr>
        <w:p w:rsidR="00277FDB" w:rsidRDefault="00166544">
          <w:pPr>
            <w:pStyle w:val="HeaderNumberLeft"/>
          </w:pPr>
          <w:r>
            <w:fldChar w:fldCharType="begin"/>
          </w:r>
          <w:r>
            <w:instrText xml:space="preserve"> styleref CharPartNo </w:instrText>
          </w:r>
          <w:r>
            <w:fldChar w:fldCharType="end"/>
          </w:r>
        </w:p>
      </w:tc>
      <w:tc>
        <w:tcPr>
          <w:tcW w:w="6007" w:type="dxa"/>
        </w:tcPr>
        <w:p w:rsidR="00277FDB" w:rsidRDefault="00166544">
          <w:pPr>
            <w:pStyle w:val="HeaderTextLeft"/>
          </w:pPr>
          <w:r>
            <w:fldChar w:fldCharType="begin"/>
          </w:r>
          <w:r>
            <w:instrText xml:space="preserve"> styleref CharPartText </w:instrText>
          </w:r>
          <w:r>
            <w:fldChar w:fldCharType="end"/>
          </w:r>
        </w:p>
      </w:tc>
    </w:tr>
    <w:tr w:rsidR="00277FDB">
      <w:tc>
        <w:tcPr>
          <w:tcW w:w="1305" w:type="dxa"/>
        </w:tcPr>
        <w:p w:rsidR="00277FDB" w:rsidRDefault="00166544">
          <w:pPr>
            <w:pStyle w:val="HeaderNumberLeft"/>
          </w:pPr>
          <w:r>
            <w:fldChar w:fldCharType="begin"/>
          </w:r>
          <w:r>
            <w:instrText xml:space="preserve"> styleref CharDivNo </w:instrText>
          </w:r>
          <w:r>
            <w:fldChar w:fldCharType="end"/>
          </w:r>
        </w:p>
      </w:tc>
      <w:tc>
        <w:tcPr>
          <w:tcW w:w="6007" w:type="dxa"/>
        </w:tcPr>
        <w:p w:rsidR="00277FDB" w:rsidRDefault="00166544">
          <w:pPr>
            <w:pStyle w:val="HeaderTextLeft"/>
          </w:pPr>
          <w:r>
            <w:fldChar w:fldCharType="begin"/>
          </w:r>
          <w:r>
            <w:instrText xml:space="preserve"> styleref CharDivText </w:instrText>
          </w:r>
          <w:r>
            <w:fldChar w:fldCharType="end"/>
          </w:r>
        </w:p>
      </w:tc>
    </w:tr>
    <w:tr w:rsidR="00277FDB">
      <w:trPr>
        <w:cantSplit/>
      </w:trPr>
      <w:tc>
        <w:tcPr>
          <w:tcW w:w="7312" w:type="dxa"/>
          <w:gridSpan w:val="2"/>
        </w:tcPr>
        <w:p w:rsidR="00277FDB" w:rsidRDefault="00166544">
          <w:pPr>
            <w:pStyle w:val="HeaderSectionLeft"/>
          </w:pPr>
          <w:r>
            <w:t xml:space="preserve">r. </w:t>
          </w:r>
          <w:fldSimple w:instr=" styleref CharSectno ">
            <w:r w:rsidR="00C8245D">
              <w:rPr>
                <w:noProof/>
              </w:rPr>
              <w:t>4</w:t>
            </w:r>
          </w:fldSimple>
        </w:p>
      </w:tc>
    </w:tr>
  </w:tbl>
  <w:p w:rsidR="00277FDB" w:rsidRDefault="00277FD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77FDB">
      <w:trPr>
        <w:cantSplit/>
      </w:trPr>
      <w:tc>
        <w:tcPr>
          <w:tcW w:w="7312" w:type="dxa"/>
          <w:gridSpan w:val="2"/>
        </w:tcPr>
        <w:p w:rsidR="00277FDB" w:rsidRDefault="00166544">
          <w:pPr>
            <w:pStyle w:val="HeaderActNameRight"/>
          </w:pPr>
          <w:fldSimple w:instr=" Styleref &quot;Name of Act/Reg&quot; ">
            <w:r w:rsidR="00C8245D">
              <w:rPr>
                <w:noProof/>
              </w:rPr>
              <w:t>Jetties Regulations</w:t>
            </w:r>
          </w:fldSimple>
        </w:p>
      </w:tc>
    </w:tr>
    <w:tr w:rsidR="00277FDB">
      <w:tc>
        <w:tcPr>
          <w:tcW w:w="5985" w:type="dxa"/>
        </w:tcPr>
        <w:p w:rsidR="00277FDB" w:rsidRDefault="00166544">
          <w:pPr>
            <w:pStyle w:val="HeaderTextRight"/>
          </w:pPr>
          <w:r>
            <w:fldChar w:fldCharType="begin"/>
          </w:r>
          <w:r>
            <w:instrText xml:space="preserve"> styleref CharPartText </w:instrText>
          </w:r>
          <w:r>
            <w:fldChar w:fldCharType="end"/>
          </w:r>
        </w:p>
      </w:tc>
      <w:tc>
        <w:tcPr>
          <w:tcW w:w="1327" w:type="dxa"/>
        </w:tcPr>
        <w:p w:rsidR="00277FDB" w:rsidRDefault="00166544">
          <w:pPr>
            <w:pStyle w:val="HeaderNumberRight"/>
          </w:pPr>
          <w:r>
            <w:fldChar w:fldCharType="begin"/>
          </w:r>
          <w:r>
            <w:instrText xml:space="preserve"> styleref CharPartNo </w:instrText>
          </w:r>
          <w:r>
            <w:fldChar w:fldCharType="end"/>
          </w:r>
        </w:p>
      </w:tc>
    </w:tr>
    <w:tr w:rsidR="00277FDB">
      <w:tc>
        <w:tcPr>
          <w:tcW w:w="5985" w:type="dxa"/>
        </w:tcPr>
        <w:p w:rsidR="00277FDB" w:rsidRDefault="00166544">
          <w:pPr>
            <w:pStyle w:val="HeaderTextRight"/>
          </w:pPr>
          <w:r>
            <w:fldChar w:fldCharType="begin"/>
          </w:r>
          <w:r>
            <w:instrText xml:space="preserve"> styleref CharDivText </w:instrText>
          </w:r>
          <w:r>
            <w:fldChar w:fldCharType="end"/>
          </w:r>
        </w:p>
      </w:tc>
      <w:tc>
        <w:tcPr>
          <w:tcW w:w="1327" w:type="dxa"/>
        </w:tcPr>
        <w:p w:rsidR="00277FDB" w:rsidRDefault="00166544">
          <w:pPr>
            <w:pStyle w:val="HeaderNumberRight"/>
          </w:pPr>
          <w:r>
            <w:fldChar w:fldCharType="begin"/>
          </w:r>
          <w:r>
            <w:instrText xml:space="preserve"> styleref CharDivNo </w:instrText>
          </w:r>
          <w:r>
            <w:fldChar w:fldCharType="end"/>
          </w:r>
        </w:p>
      </w:tc>
    </w:tr>
    <w:tr w:rsidR="00277FDB">
      <w:trPr>
        <w:cantSplit/>
      </w:trPr>
      <w:tc>
        <w:tcPr>
          <w:tcW w:w="7312" w:type="dxa"/>
          <w:gridSpan w:val="2"/>
        </w:tcPr>
        <w:p w:rsidR="00277FDB" w:rsidRDefault="00166544">
          <w:pPr>
            <w:pStyle w:val="HeaderSectionRight"/>
          </w:pPr>
          <w:r>
            <w:t xml:space="preserve">s. </w:t>
          </w:r>
          <w:fldSimple w:instr=" styleref CharSectno ">
            <w:r w:rsidR="00C8245D">
              <w:rPr>
                <w:noProof/>
              </w:rPr>
              <w:t>4</w:t>
            </w:r>
          </w:fldSimple>
        </w:p>
      </w:tc>
    </w:tr>
  </w:tbl>
  <w:p w:rsidR="00277FDB" w:rsidRDefault="00277FD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DB" w:rsidRDefault="00277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44"/>
    <w:rsid w:val="00166544"/>
    <w:rsid w:val="00277FDB"/>
    <w:rsid w:val="00A86D97"/>
    <w:rsid w:val="00C8245D"/>
    <w:rsid w:val="00D81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Words>
  <Characters>1654</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- 00-b0-02</dc:title>
  <dc:subject/>
  <dc:creator>David Harrold</dc:creator>
  <cp:keywords/>
  <cp:lastModifiedBy>svcMRProcess</cp:lastModifiedBy>
  <cp:revision>4</cp:revision>
  <cp:lastPrinted>2006-04-19T04:43:00Z</cp:lastPrinted>
  <dcterms:created xsi:type="dcterms:W3CDTF">2013-02-16T02:48:00Z</dcterms:created>
  <dcterms:modified xsi:type="dcterms:W3CDTF">2013-02-16T02:48:00Z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1920 pp.1233-5</vt:lpwstr>
  </property>
  <property fmtid="{D5CDD505-2E9C-101B-9397-08002B2CF9AE}" pid="3" name="CommencementDate">
    <vt:lpwstr>19410502</vt:lpwstr>
  </property>
  <property fmtid="{D5CDD505-2E9C-101B-9397-08002B2CF9AE}" pid="4" name="DocumentType">
    <vt:lpwstr>Reg</vt:lpwstr>
  </property>
  <property fmtid="{D5CDD505-2E9C-101B-9397-08002B2CF9AE}" pid="5" name="AsAtDate">
    <vt:lpwstr>02 May 1941</vt:lpwstr>
  </property>
  <property fmtid="{D5CDD505-2E9C-101B-9397-08002B2CF9AE}" pid="6" name="Suffix">
    <vt:lpwstr>00-b0-02</vt:lpwstr>
  </property>
</Properties>
</file>