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Jigalong Community Incorporated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September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Jigalong Community Incorporated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_Toc420504396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_Toc420504397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_Toc420504398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lands</w:t>
      </w:r>
    </w:p>
    <w:p>
      <w:pPr>
        <w:pStyle w:val="TOC8"/>
        <w:rPr>
          <w:rFonts w:asciiTheme="minorHAnsi" w:eastAsiaTheme="minorEastAsia" w:hAnsiTheme="minorHAnsi" w:cstheme="minorBidi"/>
          <w:szCs w:val="22"/>
        </w:rPr>
      </w:pPr>
      <w:r>
        <w:t>4</w:t>
      </w:r>
      <w:r>
        <w:rPr>
          <w:snapToGrid w:val="0"/>
        </w:rPr>
        <w:t>.</w:t>
      </w:r>
      <w:r>
        <w:rPr>
          <w:snapToGrid w:val="0"/>
        </w:rPr>
        <w:tab/>
        <w:t>Permission required to enter community land</w:t>
      </w:r>
      <w:r>
        <w:tab/>
      </w:r>
      <w:r>
        <w:fldChar w:fldCharType="begin"/>
      </w:r>
      <w:r>
        <w:instrText xml:space="preserve"> PAGEREF _Toc420504400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Remaining on community lands</w:t>
      </w:r>
      <w:r>
        <w:tab/>
      </w:r>
      <w:r>
        <w:fldChar w:fldCharType="begin"/>
      </w:r>
      <w:r>
        <w:instrText xml:space="preserve"> PAGEREF _Toc420504401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of entry into areas</w:t>
      </w:r>
      <w:r>
        <w:tab/>
      </w:r>
      <w:r>
        <w:fldChar w:fldCharType="begin"/>
      </w:r>
      <w:r>
        <w:instrText xml:space="preserve"> PAGEREF _Toc420504402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Homes</w:t>
      </w:r>
      <w:r>
        <w:tab/>
      </w:r>
      <w:r>
        <w:fldChar w:fldCharType="begin"/>
      </w:r>
      <w:r>
        <w:instrText xml:space="preserve"> PAGEREF _Toc420504403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Liquor and deleterious substances</w:t>
      </w:r>
    </w:p>
    <w:p>
      <w:pPr>
        <w:pStyle w:val="TOC8"/>
        <w:rPr>
          <w:rFonts w:asciiTheme="minorHAnsi" w:eastAsiaTheme="minorEastAsia" w:hAnsiTheme="minorHAnsi" w:cstheme="minorBidi"/>
          <w:szCs w:val="22"/>
        </w:rPr>
      </w:pPr>
      <w:r>
        <w:t>8</w:t>
      </w:r>
      <w:r>
        <w:rPr>
          <w:snapToGrid w:val="0"/>
        </w:rPr>
        <w:t>.</w:t>
      </w:r>
      <w:r>
        <w:rPr>
          <w:snapToGrid w:val="0"/>
        </w:rPr>
        <w:tab/>
        <w:t>Restriction of liquor</w:t>
      </w:r>
      <w:r>
        <w:tab/>
      </w:r>
      <w:r>
        <w:fldChar w:fldCharType="begin"/>
      </w:r>
      <w:r>
        <w:instrText xml:space="preserve"> PAGEREF _Toc420504405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Pharmaceutical</w:t>
      </w:r>
      <w:r>
        <w:tab/>
      </w:r>
      <w:r>
        <w:fldChar w:fldCharType="begin"/>
      </w:r>
      <w:r>
        <w:instrText xml:space="preserve"> PAGEREF _Toc420504406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Deleterious substance or petrol</w:t>
      </w:r>
      <w:r>
        <w:tab/>
      </w:r>
      <w:r>
        <w:fldChar w:fldCharType="begin"/>
      </w:r>
      <w:r>
        <w:instrText xml:space="preserve"> PAGEREF _Toc420504407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Traffic</w:t>
      </w:r>
    </w:p>
    <w:p>
      <w:pPr>
        <w:pStyle w:val="TOC8"/>
        <w:rPr>
          <w:rFonts w:asciiTheme="minorHAnsi" w:eastAsiaTheme="minorEastAsia" w:hAnsiTheme="minorHAnsi" w:cstheme="minorBidi"/>
          <w:szCs w:val="22"/>
        </w:rPr>
      </w:pPr>
      <w:r>
        <w:t>11</w:t>
      </w:r>
      <w:r>
        <w:rPr>
          <w:snapToGrid w:val="0"/>
        </w:rPr>
        <w:t>.</w:t>
      </w:r>
      <w:r>
        <w:rPr>
          <w:snapToGrid w:val="0"/>
        </w:rPr>
        <w:tab/>
        <w:t>Traffic signs</w:t>
      </w:r>
      <w:r>
        <w:tab/>
      </w:r>
      <w:r>
        <w:fldChar w:fldCharType="begin"/>
      </w:r>
      <w:r>
        <w:instrText xml:space="preserve"> PAGEREF _Toc420504409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Careless and dangerous driving</w:t>
      </w:r>
      <w:r>
        <w:tab/>
      </w:r>
      <w:r>
        <w:fldChar w:fldCharType="begin"/>
      </w:r>
      <w:r>
        <w:instrText xml:space="preserve"> PAGEREF _Toc420504410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The regulation of other matters</w:t>
      </w:r>
    </w:p>
    <w:p>
      <w:pPr>
        <w:pStyle w:val="TOC8"/>
        <w:rPr>
          <w:rFonts w:asciiTheme="minorHAnsi" w:eastAsiaTheme="minorEastAsia" w:hAnsiTheme="minorHAnsi" w:cstheme="minorBidi"/>
          <w:szCs w:val="22"/>
        </w:rPr>
      </w:pPr>
      <w:r>
        <w:t>13</w:t>
      </w:r>
      <w:r>
        <w:rPr>
          <w:snapToGrid w:val="0"/>
        </w:rPr>
        <w:t>.</w:t>
      </w:r>
      <w:r>
        <w:rPr>
          <w:snapToGrid w:val="0"/>
        </w:rPr>
        <w:tab/>
        <w:t>Offensive behaviour</w:t>
      </w:r>
      <w:r>
        <w:tab/>
      </w:r>
      <w:r>
        <w:fldChar w:fldCharType="begin"/>
      </w:r>
      <w:r>
        <w:instrText xml:space="preserve"> PAGEREF _Toc420504412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Wilful damage</w:t>
      </w:r>
      <w:r>
        <w:tab/>
      </w:r>
      <w:r>
        <w:fldChar w:fldCharType="begin"/>
      </w:r>
      <w:r>
        <w:instrText xml:space="preserve"> PAGEREF _Toc420504413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Disruption of meetings</w:t>
      </w:r>
      <w:r>
        <w:tab/>
      </w:r>
      <w:r>
        <w:fldChar w:fldCharType="begin"/>
      </w:r>
      <w:r>
        <w:instrText xml:space="preserve"> PAGEREF _Toc420504414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16</w:t>
      </w:r>
      <w:r>
        <w:rPr>
          <w:snapToGrid w:val="0"/>
        </w:rPr>
        <w:t>.</w:t>
      </w:r>
      <w:r>
        <w:rPr>
          <w:snapToGrid w:val="0"/>
        </w:rPr>
        <w:tab/>
        <w:t>Powers of Police</w:t>
      </w:r>
      <w:r>
        <w:tab/>
      </w:r>
      <w:r>
        <w:fldChar w:fldCharType="begin"/>
      </w:r>
      <w:r>
        <w:instrText xml:space="preserve"> PAGEREF _Toc420504416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w:t>
      </w:r>
      <w:r>
        <w:tab/>
      </w:r>
      <w:r>
        <w:fldChar w:fldCharType="begin"/>
      </w:r>
      <w:r>
        <w:instrText xml:space="preserve"> PAGEREF _Toc420504417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 — Penalties and orders of the Court</w:t>
      </w:r>
    </w:p>
    <w:p>
      <w:pPr>
        <w:pStyle w:val="TOC8"/>
        <w:rPr>
          <w:rFonts w:asciiTheme="minorHAnsi" w:eastAsiaTheme="minorEastAsia" w:hAnsiTheme="minorHAnsi" w:cstheme="minorBidi"/>
          <w:szCs w:val="22"/>
        </w:rPr>
      </w:pPr>
      <w:r>
        <w:t>18</w:t>
      </w:r>
      <w:r>
        <w:rPr>
          <w:snapToGrid w:val="0"/>
        </w:rPr>
        <w:t>.</w:t>
      </w:r>
      <w:r>
        <w:rPr>
          <w:snapToGrid w:val="0"/>
        </w:rPr>
        <w:tab/>
        <w:t>Penalties</w:t>
      </w:r>
      <w:r>
        <w:tab/>
      </w:r>
      <w:r>
        <w:fldChar w:fldCharType="begin"/>
      </w:r>
      <w:r>
        <w:instrText xml:space="preserve"> PAGEREF _Toc420504419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Defence of acting under custom</w:t>
      </w:r>
      <w:r>
        <w:tab/>
      </w:r>
      <w:r>
        <w:fldChar w:fldCharType="begin"/>
      </w:r>
      <w:r>
        <w:instrText xml:space="preserve"> PAGEREF _Toc420504420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Council members</w:t>
      </w:r>
      <w:r>
        <w:tab/>
      </w:r>
      <w:r>
        <w:fldChar w:fldCharType="begin"/>
      </w:r>
      <w:r>
        <w:instrText xml:space="preserve"> PAGEREF _Toc420504421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_Toc420504423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September 2004</w:t>
            </w:r>
          </w:p>
        </w:tc>
      </w:tr>
    </w:tbl>
    <w:p>
      <w:pPr>
        <w:pStyle w:val="WA"/>
        <w:spacing w:before="12"/>
      </w:pPr>
      <w:r>
        <w:t>Western Australia</w:t>
      </w:r>
    </w:p>
    <w:p>
      <w:pPr>
        <w:pStyle w:val="PrincipalActReg"/>
        <w:rPr>
          <w:snapToGrid w:val="0"/>
        </w:rPr>
      </w:pPr>
      <w:r>
        <w:rPr>
          <w:snapToGrid w:val="0"/>
        </w:rPr>
        <w:t>Aboriginal Communities Act 1979</w:t>
      </w:r>
    </w:p>
    <w:p>
      <w:pPr>
        <w:pStyle w:val="NameofActReg"/>
      </w:pPr>
      <w:r>
        <w:t>Jigalong Community Incorporated By</w:t>
      </w:r>
      <w:r>
        <w:noBreakHyphen/>
        <w:t>laws</w:t>
      </w:r>
    </w:p>
    <w:p>
      <w:pPr>
        <w:pStyle w:val="Heading2"/>
        <w:pageBreakBefore w:val="0"/>
      </w:pPr>
      <w:bookmarkStart w:id="3" w:name="_Toc378930475"/>
      <w:bookmarkStart w:id="4" w:name="_Toc420504271"/>
      <w:bookmarkStart w:id="5" w:name="_Toc420504395"/>
      <w:r>
        <w:rPr>
          <w:rStyle w:val="CharPartNo"/>
        </w:rPr>
        <w:t>Part 1 </w:t>
      </w:r>
      <w:r>
        <w:t>—</w:t>
      </w:r>
      <w:r>
        <w:rPr>
          <w:rStyle w:val="CharPartNo"/>
        </w:rPr>
        <w:t xml:space="preserve"> </w:t>
      </w:r>
      <w:r>
        <w:rPr>
          <w:rStyle w:val="CharPartText"/>
        </w:rPr>
        <w:t>Preliminary</w:t>
      </w:r>
      <w:bookmarkEnd w:id="3"/>
      <w:bookmarkEnd w:id="4"/>
      <w:bookmarkEnd w:id="5"/>
    </w:p>
    <w:p>
      <w:pPr>
        <w:pStyle w:val="Heading5"/>
        <w:rPr>
          <w:snapToGrid w:val="0"/>
        </w:rPr>
      </w:pPr>
      <w:bookmarkStart w:id="6" w:name="_Toc378930476"/>
      <w:bookmarkStart w:id="7" w:name="_Toc420504396"/>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Jigalong Community Incorporated By</w:t>
      </w:r>
      <w:r>
        <w:rPr>
          <w:i/>
          <w:snapToGrid w:val="0"/>
        </w:rPr>
        <w:noBreakHyphen/>
        <w:t>laws</w:t>
      </w:r>
      <w:r>
        <w:rPr>
          <w:snapToGrid w:val="0"/>
          <w:vertAlign w:val="superscript"/>
        </w:rPr>
        <w:t> 1</w:t>
      </w:r>
      <w:r>
        <w:rPr>
          <w:snapToGrid w:val="0"/>
        </w:rPr>
        <w:t>.</w:t>
      </w:r>
    </w:p>
    <w:p>
      <w:pPr>
        <w:pStyle w:val="Heading5"/>
        <w:rPr>
          <w:snapToGrid w:val="0"/>
        </w:rPr>
      </w:pPr>
      <w:bookmarkStart w:id="8" w:name="_Toc378930477"/>
      <w:bookmarkStart w:id="9" w:name="_Toc42050439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rFonts w:ascii="Times" w:hAnsi="Times"/>
          <w:snapToGrid w:val="0"/>
          <w:vertAlign w:val="superscript"/>
        </w:rPr>
        <w:t> </w:t>
      </w:r>
      <w:r>
        <w:rPr>
          <w:snapToGrid w:val="0"/>
          <w:vertAlign w:val="superscript"/>
        </w:rPr>
        <w:t>1</w:t>
      </w:r>
      <w:r>
        <w:rPr>
          <w:snapToGrid w:val="0"/>
        </w:rPr>
        <w:t>.</w:t>
      </w:r>
    </w:p>
    <w:p>
      <w:pPr>
        <w:pStyle w:val="Heading5"/>
        <w:rPr>
          <w:snapToGrid w:val="0"/>
        </w:rPr>
      </w:pPr>
      <w:bookmarkStart w:id="10" w:name="_Toc378930478"/>
      <w:bookmarkStart w:id="11" w:name="_Toc420504398"/>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these by</w:t>
      </w:r>
      <w:r>
        <w:rPr>
          <w:snapToGrid w:val="0"/>
        </w:rPr>
        <w:noBreakHyphen/>
        <w:t xml:space="preserve">laws unless the context requires otherwise — </w:t>
      </w:r>
    </w:p>
    <w:p>
      <w:pPr>
        <w:pStyle w:val="Defstart"/>
      </w:pPr>
      <w:r>
        <w:rPr>
          <w:b/>
        </w:rPr>
        <w:tab/>
      </w:r>
      <w:r>
        <w:rPr>
          <w:rStyle w:val="CharDefText"/>
        </w:rPr>
        <w:t>by</w:t>
      </w:r>
      <w:r>
        <w:rPr>
          <w:rStyle w:val="CharDefText"/>
        </w:rPr>
        <w:noBreakHyphen/>
        <w:t>law</w:t>
      </w:r>
      <w:r>
        <w:t xml:space="preserve"> means one of these by</w:t>
      </w:r>
      <w:r>
        <w:noBreakHyphen/>
        <w:t>laws;</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the community</w:t>
      </w:r>
      <w:r>
        <w:t xml:space="preserve"> means (as the context requires) Jigalong Community Incorporated and that collective group comprising the membership of Jigalong Community Incorporated, their spouses and dependants (where not members in their own right) and </w:t>
      </w:r>
      <w:r>
        <w:rPr>
          <w:rStyle w:val="CharDefText"/>
        </w:rPr>
        <w:t>members of the community</w:t>
      </w:r>
      <w:r>
        <w:t xml:space="preserve"> has a correlative meaning;</w:t>
      </w:r>
    </w:p>
    <w:p>
      <w:pPr>
        <w:pStyle w:val="Defstart"/>
      </w:pPr>
      <w:r>
        <w:rPr>
          <w:b/>
        </w:rPr>
        <w:tab/>
      </w:r>
      <w:r>
        <w:rPr>
          <w:rStyle w:val="CharDefText"/>
        </w:rPr>
        <w:t>liquor</w:t>
      </w:r>
      <w:r>
        <w:t xml:space="preserve"> means liquor as defined in the </w:t>
      </w:r>
      <w:r>
        <w:rPr>
          <w:i/>
        </w:rPr>
        <w:t>Liquor Licensing Act 1988</w:t>
      </w:r>
      <w:r>
        <w:t>;</w:t>
      </w:r>
    </w:p>
    <w:p>
      <w:pPr>
        <w:pStyle w:val="Defstart"/>
      </w:pPr>
      <w:r>
        <w:rPr>
          <w:b/>
        </w:rPr>
        <w:tab/>
      </w:r>
      <w:r>
        <w:rPr>
          <w:rStyle w:val="CharDefText"/>
        </w:rPr>
        <w:t>deleterious substance</w:t>
      </w:r>
      <w:r>
        <w:t xml:space="preserve"> means glue or any volatile liquid containing hydrocarbons;</w:t>
      </w:r>
    </w:p>
    <w:p>
      <w:pPr>
        <w:pStyle w:val="Defstart"/>
      </w:pPr>
      <w:r>
        <w:rPr>
          <w:b/>
        </w:rPr>
        <w:tab/>
      </w:r>
      <w:r>
        <w:rPr>
          <w:rStyle w:val="CharDefText"/>
        </w:rPr>
        <w:t>vehicle</w:t>
      </w:r>
      <w:r>
        <w:t xml:space="preserve"> means any motor vehicle, designed and manufactured to be capable of self propulsion and includes any trailer or caravan while attached to a vehicle;</w:t>
      </w:r>
    </w:p>
    <w:p>
      <w:pPr>
        <w:pStyle w:val="Defstart"/>
      </w:pPr>
      <w:r>
        <w:rPr>
          <w:b/>
        </w:rPr>
        <w:tab/>
      </w:r>
      <w:r>
        <w:rPr>
          <w:rStyle w:val="CharDefText"/>
        </w:rPr>
        <w:t>the Council</w:t>
      </w:r>
      <w:r>
        <w:t xml:space="preserve"> means the Council of Jigalong Community Incorporated. </w:t>
      </w:r>
    </w:p>
    <w:p>
      <w:pPr>
        <w:pStyle w:val="Subsection"/>
      </w:pPr>
      <w:r>
        <w:tab/>
      </w:r>
      <w:r>
        <w:tab/>
        <w:t>These by</w:t>
      </w:r>
      <w:r>
        <w:noBreakHyphen/>
        <w:t>laws shall apply —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 whether members of the community or not.</w:t>
      </w:r>
    </w:p>
    <w:p>
      <w:pPr>
        <w:pStyle w:val="Heading2"/>
      </w:pPr>
      <w:bookmarkStart w:id="12" w:name="_Toc378930479"/>
      <w:bookmarkStart w:id="13" w:name="_Toc420504275"/>
      <w:bookmarkStart w:id="14" w:name="_Toc420504399"/>
      <w:r>
        <w:rPr>
          <w:rStyle w:val="CharPartNo"/>
        </w:rPr>
        <w:t>Part 2</w:t>
      </w:r>
      <w:r>
        <w:rPr>
          <w:rStyle w:val="CharDivNo"/>
        </w:rPr>
        <w:t> </w:t>
      </w:r>
      <w:r>
        <w:t>—</w:t>
      </w:r>
      <w:r>
        <w:rPr>
          <w:rStyle w:val="CharDivText"/>
        </w:rPr>
        <w:t> </w:t>
      </w:r>
      <w:r>
        <w:rPr>
          <w:rStyle w:val="CharPartText"/>
        </w:rPr>
        <w:t>Community lands</w:t>
      </w:r>
      <w:bookmarkEnd w:id="12"/>
      <w:bookmarkEnd w:id="13"/>
      <w:bookmarkEnd w:id="14"/>
      <w:r>
        <w:rPr>
          <w:rStyle w:val="CharPartText"/>
        </w:rPr>
        <w:t xml:space="preserve"> </w:t>
      </w:r>
    </w:p>
    <w:p>
      <w:pPr>
        <w:pStyle w:val="Heading5"/>
        <w:rPr>
          <w:snapToGrid w:val="0"/>
        </w:rPr>
      </w:pPr>
      <w:bookmarkStart w:id="15" w:name="_Toc378930480"/>
      <w:bookmarkStart w:id="16" w:name="_Toc420504400"/>
      <w:r>
        <w:rPr>
          <w:rStyle w:val="CharSectno"/>
        </w:rPr>
        <w:t>4</w:t>
      </w:r>
      <w:r>
        <w:rPr>
          <w:snapToGrid w:val="0"/>
        </w:rPr>
        <w:t>.</w:t>
      </w:r>
      <w:r>
        <w:rPr>
          <w:snapToGrid w:val="0"/>
        </w:rPr>
        <w:tab/>
        <w:t>Permission required to enter community land</w:t>
      </w:r>
      <w:bookmarkEnd w:id="15"/>
      <w:bookmarkEnd w:id="16"/>
      <w:r>
        <w:rPr>
          <w:snapToGrid w:val="0"/>
        </w:rPr>
        <w:t xml:space="preserve"> </w:t>
      </w:r>
    </w:p>
    <w:p>
      <w:pPr>
        <w:pStyle w:val="Subsection"/>
        <w:rPr>
          <w:snapToGrid w:val="0"/>
        </w:rPr>
      </w:pPr>
      <w:r>
        <w:rPr>
          <w:snapToGrid w:val="0"/>
        </w:rPr>
        <w:tab/>
      </w:r>
      <w:r>
        <w:rPr>
          <w:snapToGrid w:val="0"/>
        </w:rPr>
        <w:tab/>
        <w:t>Save as otherwise provided by any law of the State or Commonwealth —</w:t>
      </w:r>
    </w:p>
    <w:p>
      <w:pPr>
        <w:pStyle w:val="Indenta"/>
        <w:rPr>
          <w:snapToGrid w:val="0"/>
        </w:rPr>
      </w:pPr>
      <w:r>
        <w:rPr>
          <w:snapToGrid w:val="0"/>
        </w:rPr>
        <w:tab/>
        <w:t>(a)</w:t>
      </w:r>
      <w:r>
        <w:rPr>
          <w:snapToGrid w:val="0"/>
        </w:rPr>
        <w:tab/>
        <w:t>no person who is not recognised by the Council to be Aboriginal, may enter or remain on community land without prior permission of the Council;</w:t>
      </w:r>
    </w:p>
    <w:p>
      <w:pPr>
        <w:pStyle w:val="Indenta"/>
        <w:rPr>
          <w:snapToGrid w:val="0"/>
        </w:rPr>
      </w:pPr>
      <w:r>
        <w:rPr>
          <w:snapToGrid w:val="0"/>
        </w:rPr>
        <w:tab/>
        <w:t>(b)</w:t>
      </w:r>
      <w:r>
        <w:rPr>
          <w:snapToGrid w:val="0"/>
        </w:rPr>
        <w:tab/>
        <w:t>such permission may be given either orally or in writing and may be subject to such terms or conditions as the Council sees fit;</w:t>
      </w:r>
    </w:p>
    <w:p>
      <w:pPr>
        <w:pStyle w:val="Indenta"/>
        <w:rPr>
          <w:snapToGrid w:val="0"/>
        </w:rPr>
      </w:pPr>
      <w:r>
        <w:rPr>
          <w:snapToGrid w:val="0"/>
        </w:rPr>
        <w:tab/>
        <w:t>(c)</w:t>
      </w:r>
      <w:r>
        <w:rPr>
          <w:snapToGrid w:val="0"/>
        </w:rPr>
        <w:tab/>
        <w:t>the Council may revoke such permission at any time and without the necessity of stating any reason for the action;</w:t>
      </w:r>
    </w:p>
    <w:p>
      <w:pPr>
        <w:pStyle w:val="Indenta"/>
        <w:rPr>
          <w:snapToGrid w:val="0"/>
        </w:rPr>
      </w:pPr>
      <w:r>
        <w:rPr>
          <w:snapToGrid w:val="0"/>
        </w:rPr>
        <w:tab/>
        <w:t>(d)</w:t>
      </w:r>
      <w:r>
        <w:rPr>
          <w:snapToGrid w:val="0"/>
        </w:rPr>
        <w:tab/>
        <w:t>the Council may order any person whatsoever (other than a member of the community) to leave community land and to remain off community land for such a time as the Council may direct;</w:t>
      </w:r>
    </w:p>
    <w:p>
      <w:pPr>
        <w:pStyle w:val="Indenta"/>
        <w:rPr>
          <w:snapToGrid w:val="0"/>
        </w:rPr>
      </w:pPr>
      <w:r>
        <w:rPr>
          <w:snapToGrid w:val="0"/>
        </w:rPr>
        <w:tab/>
        <w:t>(e)</w:t>
      </w:r>
      <w:r>
        <w:rPr>
          <w:snapToGrid w:val="0"/>
        </w:rPr>
        <w:tab/>
        <w:t>employees of Government departments of the State or Commonwealth entering or being on community lands in connection with their duties shall be deemed to have permission under by</w:t>
      </w:r>
      <w:r>
        <w:rPr>
          <w:snapToGrid w:val="0"/>
        </w:rPr>
        <w:noBreakHyphen/>
        <w:t>law 4 (a);</w:t>
      </w:r>
    </w:p>
    <w:p>
      <w:pPr>
        <w:pStyle w:val="Indenta"/>
        <w:rPr>
          <w:snapToGrid w:val="0"/>
        </w:rPr>
      </w:pPr>
      <w:r>
        <w:rPr>
          <w:snapToGrid w:val="0"/>
        </w:rPr>
        <w:tab/>
        <w:t>(f)</w:t>
      </w:r>
      <w:r>
        <w:rPr>
          <w:snapToGrid w:val="0"/>
        </w:rPr>
        <w:tab/>
        <w:t>the Council may act through any of its members to make or to revoke any of the permission or directions referred to in this by</w:t>
      </w:r>
      <w:r>
        <w:rPr>
          <w:snapToGrid w:val="0"/>
        </w:rPr>
        <w:noBreakHyphen/>
        <w:t>law.</w:t>
      </w:r>
    </w:p>
    <w:p>
      <w:pPr>
        <w:pStyle w:val="Heading5"/>
        <w:rPr>
          <w:snapToGrid w:val="0"/>
        </w:rPr>
      </w:pPr>
      <w:bookmarkStart w:id="17" w:name="_Toc378930481"/>
      <w:bookmarkStart w:id="18" w:name="_Toc420504401"/>
      <w:r>
        <w:rPr>
          <w:rStyle w:val="CharSectno"/>
        </w:rPr>
        <w:t>5</w:t>
      </w:r>
      <w:r>
        <w:rPr>
          <w:snapToGrid w:val="0"/>
        </w:rPr>
        <w:t>.</w:t>
      </w:r>
      <w:r>
        <w:rPr>
          <w:snapToGrid w:val="0"/>
        </w:rPr>
        <w:tab/>
        <w:t>Remaining on community lands</w:t>
      </w:r>
      <w:bookmarkEnd w:id="17"/>
      <w:bookmarkEnd w:id="18"/>
      <w:r>
        <w:rPr>
          <w:snapToGrid w:val="0"/>
        </w:rPr>
        <w:t xml:space="preserve"> </w:t>
      </w:r>
    </w:p>
    <w:p>
      <w:pPr>
        <w:pStyle w:val="Subsection"/>
        <w:rPr>
          <w:snapToGrid w:val="0"/>
        </w:rPr>
      </w:pPr>
      <w:r>
        <w:rPr>
          <w:snapToGrid w:val="0"/>
        </w:rPr>
        <w:tab/>
        <w:t>(a)</w:t>
      </w:r>
      <w:r>
        <w:rPr>
          <w:snapToGrid w:val="0"/>
        </w:rPr>
        <w:tab/>
        <w:t>A person who requires permission under these by</w:t>
      </w:r>
      <w:r>
        <w:rPr>
          <w:snapToGrid w:val="0"/>
        </w:rPr>
        <w:noBreakHyphen/>
        <w:t>laws shall not enter or remain on community land without permission.</w:t>
      </w:r>
    </w:p>
    <w:p>
      <w:pPr>
        <w:pStyle w:val="Subsection"/>
        <w:rPr>
          <w:snapToGrid w:val="0"/>
        </w:rPr>
      </w:pPr>
      <w:r>
        <w:rPr>
          <w:snapToGrid w:val="0"/>
        </w:rPr>
        <w:tab/>
        <w:t>(b)</w:t>
      </w:r>
      <w:r>
        <w:rPr>
          <w:snapToGrid w:val="0"/>
        </w:rPr>
        <w:tab/>
        <w:t>A person who has permission under these by</w:t>
      </w:r>
      <w:r>
        <w:rPr>
          <w:snapToGrid w:val="0"/>
        </w:rPr>
        <w:noBreakHyphen/>
        <w:t>laws to enter or remain on community land shall not contravene any term or condition of that permission to be or remain on community land.</w:t>
      </w:r>
    </w:p>
    <w:p>
      <w:pPr>
        <w:pStyle w:val="Subsection"/>
        <w:rPr>
          <w:snapToGrid w:val="0"/>
        </w:rPr>
      </w:pPr>
      <w:r>
        <w:rPr>
          <w:snapToGrid w:val="0"/>
        </w:rPr>
        <w:tab/>
        <w:t>(c)</w:t>
      </w:r>
      <w:r>
        <w:rPr>
          <w:snapToGrid w:val="0"/>
        </w:rPr>
        <w:tab/>
        <w:t>Any person ordered by the Council to leave community land shall do so as is reasonably possible.</w:t>
      </w:r>
    </w:p>
    <w:p>
      <w:pPr>
        <w:pStyle w:val="Heading5"/>
        <w:rPr>
          <w:snapToGrid w:val="0"/>
        </w:rPr>
      </w:pPr>
      <w:bookmarkStart w:id="19" w:name="_Toc378930482"/>
      <w:bookmarkStart w:id="20" w:name="_Toc420504402"/>
      <w:r>
        <w:rPr>
          <w:rStyle w:val="CharSectno"/>
        </w:rPr>
        <w:t>6</w:t>
      </w:r>
      <w:r>
        <w:rPr>
          <w:snapToGrid w:val="0"/>
        </w:rPr>
        <w:t>.</w:t>
      </w:r>
      <w:r>
        <w:rPr>
          <w:snapToGrid w:val="0"/>
        </w:rPr>
        <w:tab/>
        <w:t>Restriction of entry into areas</w:t>
      </w:r>
      <w:bookmarkEnd w:id="19"/>
      <w:bookmarkEnd w:id="20"/>
      <w:r>
        <w:rPr>
          <w:snapToGrid w:val="0"/>
        </w:rPr>
        <w:t xml:space="preserve"> </w:t>
      </w:r>
    </w:p>
    <w:p>
      <w:pPr>
        <w:pStyle w:val="Subsection"/>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(a)</w:t>
      </w:r>
      <w:r>
        <w:rPr>
          <w:snapToGrid w:val="0"/>
        </w:rPr>
        <w:tab/>
        <w:t>the Council may place signs on community land for the purpose of prohibiting entry to the part of land on which the sign is placed or to such part of the community land as indicated by the inscription of the sign;</w:t>
      </w:r>
    </w:p>
    <w:p>
      <w:pPr>
        <w:pStyle w:val="Indenta"/>
        <w:rPr>
          <w:snapToGrid w:val="0"/>
        </w:rPr>
      </w:pPr>
      <w:r>
        <w:rPr>
          <w:snapToGrid w:val="0"/>
        </w:rPr>
        <w:tab/>
        <w:t>(b)</w:t>
      </w:r>
      <w:r>
        <w:rPr>
          <w:snapToGrid w:val="0"/>
        </w:rPr>
        <w:tab/>
        <w:t>any person who fails to obey directions of the inscription on such a sign commits a breach of these by</w:t>
      </w:r>
      <w:r>
        <w:rPr>
          <w:snapToGrid w:val="0"/>
        </w:rPr>
        <w:noBreakHyphen/>
        <w:t>laws.</w:t>
      </w:r>
    </w:p>
    <w:p>
      <w:pPr>
        <w:pStyle w:val="Heading5"/>
        <w:rPr>
          <w:snapToGrid w:val="0"/>
        </w:rPr>
      </w:pPr>
      <w:bookmarkStart w:id="21" w:name="_Toc378930483"/>
      <w:bookmarkStart w:id="22" w:name="_Toc420504403"/>
      <w:r>
        <w:rPr>
          <w:rStyle w:val="CharSectno"/>
        </w:rPr>
        <w:t>7</w:t>
      </w:r>
      <w:r>
        <w:rPr>
          <w:snapToGrid w:val="0"/>
        </w:rPr>
        <w:t>.</w:t>
      </w:r>
      <w:r>
        <w:rPr>
          <w:snapToGrid w:val="0"/>
        </w:rPr>
        <w:tab/>
        <w:t>Homes</w:t>
      </w:r>
      <w:bookmarkEnd w:id="21"/>
      <w:bookmarkEnd w:id="22"/>
      <w:r>
        <w:rPr>
          <w:snapToGrid w:val="0"/>
        </w:rPr>
        <w:t xml:space="preserve"> </w:t>
      </w:r>
    </w:p>
    <w:p>
      <w:pPr>
        <w:pStyle w:val="Subsection"/>
        <w:rPr>
          <w:snapToGrid w:val="0"/>
        </w:rPr>
      </w:pPr>
      <w:r>
        <w:rPr>
          <w:snapToGrid w:val="0"/>
        </w:rPr>
        <w:tab/>
      </w:r>
      <w:r>
        <w:rPr>
          <w:snapToGrid w:val="0"/>
        </w:rPr>
        <w:tab/>
        <w:t>Any person who is told (by the principal occupant or by the person then in charge thereof) to leave the house of another and who refuses to leave as directed commits a breach of these by</w:t>
      </w:r>
      <w:r>
        <w:rPr>
          <w:snapToGrid w:val="0"/>
        </w:rPr>
        <w:noBreakHyphen/>
        <w:t>laws.</w:t>
      </w:r>
    </w:p>
    <w:p>
      <w:pPr>
        <w:pStyle w:val="Heading2"/>
      </w:pPr>
      <w:bookmarkStart w:id="23" w:name="_Toc378930484"/>
      <w:bookmarkStart w:id="24" w:name="_Toc420504280"/>
      <w:bookmarkStart w:id="25" w:name="_Toc420504404"/>
      <w:r>
        <w:rPr>
          <w:rStyle w:val="CharPartNo"/>
        </w:rPr>
        <w:t>Part 3</w:t>
      </w:r>
      <w:r>
        <w:rPr>
          <w:rStyle w:val="CharDivNo"/>
        </w:rPr>
        <w:t> </w:t>
      </w:r>
      <w:r>
        <w:t>—</w:t>
      </w:r>
      <w:r>
        <w:rPr>
          <w:rStyle w:val="CharDivText"/>
        </w:rPr>
        <w:t> </w:t>
      </w:r>
      <w:r>
        <w:rPr>
          <w:rStyle w:val="CharPartText"/>
        </w:rPr>
        <w:t>Liquor and deleterious substances</w:t>
      </w:r>
      <w:bookmarkEnd w:id="23"/>
      <w:bookmarkEnd w:id="24"/>
      <w:bookmarkEnd w:id="25"/>
      <w:r>
        <w:rPr>
          <w:rStyle w:val="CharPartText"/>
        </w:rPr>
        <w:t xml:space="preserve"> </w:t>
      </w:r>
    </w:p>
    <w:p>
      <w:pPr>
        <w:pStyle w:val="Heading5"/>
        <w:rPr>
          <w:snapToGrid w:val="0"/>
        </w:rPr>
      </w:pPr>
      <w:bookmarkStart w:id="26" w:name="_Toc378930485"/>
      <w:bookmarkStart w:id="27" w:name="_Toc420504405"/>
      <w:r>
        <w:rPr>
          <w:rStyle w:val="CharSectno"/>
        </w:rPr>
        <w:t>8</w:t>
      </w:r>
      <w:r>
        <w:rPr>
          <w:snapToGrid w:val="0"/>
        </w:rPr>
        <w:t>.</w:t>
      </w:r>
      <w:r>
        <w:rPr>
          <w:snapToGrid w:val="0"/>
        </w:rPr>
        <w:tab/>
        <w:t>Restriction of liquor</w:t>
      </w:r>
      <w:bookmarkEnd w:id="26"/>
      <w:bookmarkEnd w:id="27"/>
      <w:r>
        <w:rPr>
          <w:snapToGrid w:val="0"/>
        </w:rPr>
        <w:t xml:space="preserve"> </w:t>
      </w:r>
    </w:p>
    <w:p>
      <w:pPr>
        <w:pStyle w:val="Subsection"/>
        <w:tabs>
          <w:tab w:val="left" w:pos="1560"/>
        </w:tabs>
        <w:rPr>
          <w:snapToGrid w:val="0"/>
        </w:rPr>
      </w:pPr>
      <w:r>
        <w:rPr>
          <w:snapToGrid w:val="0"/>
        </w:rPr>
        <w:tab/>
      </w:r>
      <w:r>
        <w:rPr>
          <w:snapToGrid w:val="0"/>
        </w:rPr>
        <w:tab/>
        <w:t>The Council may, in its discretion and subject to such terms, conditions and restrictions as it sees fit,</w:t>
      </w:r>
    </w:p>
    <w:p>
      <w:pPr>
        <w:pStyle w:val="Indenta"/>
        <w:rPr>
          <w:snapToGrid w:val="0"/>
        </w:rPr>
      </w:pPr>
      <w:r>
        <w:rPr>
          <w:snapToGrid w:val="0"/>
        </w:rPr>
        <w:tab/>
        <w:t>(a)</w:t>
      </w:r>
      <w:r>
        <w:rPr>
          <w:snapToGrid w:val="0"/>
        </w:rPr>
        <w:tab/>
        <w:t>Permit any person to bring, possess, use or supply liquor on community lands.</w:t>
      </w:r>
    </w:p>
    <w:p>
      <w:pPr>
        <w:pStyle w:val="Indenta"/>
        <w:rPr>
          <w:snapToGrid w:val="0"/>
        </w:rPr>
      </w:pPr>
      <w:r>
        <w:rPr>
          <w:snapToGrid w:val="0"/>
        </w:rPr>
        <w:tab/>
        <w:t>(b)</w:t>
      </w:r>
      <w:r>
        <w:rPr>
          <w:snapToGrid w:val="0"/>
        </w:rPr>
        <w:tab/>
        <w:t>No person shall, without the permission of the Council, bring, possess, use or supply liquor on community lands.</w:t>
      </w:r>
    </w:p>
    <w:p>
      <w:pPr>
        <w:pStyle w:val="Indenta"/>
        <w:rPr>
          <w:snapToGrid w:val="0"/>
        </w:rPr>
      </w:pPr>
      <w:r>
        <w:rPr>
          <w:snapToGrid w:val="0"/>
        </w:rPr>
        <w:tab/>
        <w:t>(c)</w:t>
      </w:r>
      <w:r>
        <w:rPr>
          <w:snapToGrid w:val="0"/>
        </w:rPr>
        <w:tab/>
        <w:t>No person shall enter onto or remain on community land whilst under the influence of liquor to the extent that his behaviour causes alarm, annoyance or upset to members of the community.</w:t>
      </w:r>
    </w:p>
    <w:p>
      <w:pPr>
        <w:pStyle w:val="Heading5"/>
        <w:rPr>
          <w:snapToGrid w:val="0"/>
        </w:rPr>
      </w:pPr>
      <w:bookmarkStart w:id="28" w:name="_Toc378930486"/>
      <w:bookmarkStart w:id="29" w:name="_Toc420504406"/>
      <w:r>
        <w:rPr>
          <w:rStyle w:val="CharSectno"/>
        </w:rPr>
        <w:t>9</w:t>
      </w:r>
      <w:r>
        <w:rPr>
          <w:snapToGrid w:val="0"/>
        </w:rPr>
        <w:t>.</w:t>
      </w:r>
      <w:r>
        <w:rPr>
          <w:snapToGrid w:val="0"/>
        </w:rPr>
        <w:tab/>
        <w:t>Pharmaceutical</w:t>
      </w:r>
      <w:bookmarkEnd w:id="28"/>
      <w:bookmarkEnd w:id="29"/>
      <w:r>
        <w:rPr>
          <w:snapToGrid w:val="0"/>
        </w:rPr>
        <w:t xml:space="preserve"> </w:t>
      </w:r>
    </w:p>
    <w:p>
      <w:pPr>
        <w:pStyle w:val="Subsection"/>
        <w:rPr>
          <w:snapToGrid w:val="0"/>
        </w:rPr>
      </w:pPr>
      <w:r>
        <w:rPr>
          <w:snapToGrid w:val="0"/>
        </w:rPr>
        <w:tab/>
      </w:r>
      <w:r>
        <w:rPr>
          <w:snapToGrid w:val="0"/>
        </w:rPr>
        <w:tab/>
        <w:t>Pharmaceutical preparations and substances properly used in the ordinary course of medical practice shall exempt from the operation of this by</w:t>
      </w:r>
      <w:r>
        <w:rPr>
          <w:snapToGrid w:val="0"/>
        </w:rPr>
        <w:noBreakHyphen/>
        <w:t>law whilst in the possession or control of a medical professional or where properly prescribed and issued to a patient by a medical professional.</w:t>
      </w:r>
    </w:p>
    <w:p>
      <w:pPr>
        <w:pStyle w:val="Heading5"/>
        <w:rPr>
          <w:snapToGrid w:val="0"/>
        </w:rPr>
      </w:pPr>
      <w:bookmarkStart w:id="30" w:name="_Toc378930487"/>
      <w:bookmarkStart w:id="31" w:name="_Toc420504407"/>
      <w:r>
        <w:rPr>
          <w:rStyle w:val="CharSectno"/>
        </w:rPr>
        <w:t>10</w:t>
      </w:r>
      <w:r>
        <w:rPr>
          <w:snapToGrid w:val="0"/>
        </w:rPr>
        <w:t>.</w:t>
      </w:r>
      <w:r>
        <w:rPr>
          <w:snapToGrid w:val="0"/>
        </w:rPr>
        <w:tab/>
        <w:t>Deleterious substance or petrol</w:t>
      </w:r>
      <w:bookmarkEnd w:id="30"/>
      <w:bookmarkEnd w:id="31"/>
      <w:r>
        <w:rPr>
          <w:snapToGrid w:val="0"/>
        </w:rPr>
        <w:t xml:space="preserve"> </w:t>
      </w:r>
    </w:p>
    <w:p>
      <w:pPr>
        <w:pStyle w:val="Subsection"/>
        <w:rPr>
          <w:snapToGrid w:val="0"/>
        </w:rPr>
      </w:pPr>
      <w:r>
        <w:rPr>
          <w:snapToGrid w:val="0"/>
        </w:rPr>
        <w:tab/>
        <w:t>(a)</w:t>
      </w:r>
      <w:r>
        <w:rPr>
          <w:snapToGrid w:val="0"/>
        </w:rPr>
        <w:tab/>
        <w:t>A person shall not be in possession of a deleterious substance or petrol on community land for the purpose of inhalation.</w:t>
      </w:r>
    </w:p>
    <w:p>
      <w:pPr>
        <w:pStyle w:val="Subsection"/>
        <w:rPr>
          <w:snapToGrid w:val="0"/>
        </w:rPr>
      </w:pPr>
      <w:r>
        <w:rPr>
          <w:snapToGrid w:val="0"/>
        </w:rPr>
        <w:tab/>
        <w:t>(b)</w:t>
      </w:r>
      <w:r>
        <w:rPr>
          <w:snapToGrid w:val="0"/>
        </w:rPr>
        <w:tab/>
        <w:t>A person shall not sell or supply a deleterious substance or petrol to another person on community land if there are reasonable grounds for suspecting that the other person — </w:t>
      </w:r>
    </w:p>
    <w:p>
      <w:pPr>
        <w:pStyle w:val="Indenta"/>
        <w:rPr>
          <w:snapToGrid w:val="0"/>
        </w:rPr>
      </w:pPr>
      <w:r>
        <w:rPr>
          <w:snapToGrid w:val="0"/>
        </w:rPr>
        <w:tab/>
        <w:t>(i)</w:t>
      </w:r>
      <w:r>
        <w:rPr>
          <w:snapToGrid w:val="0"/>
        </w:rPr>
        <w:tab/>
        <w:t>intends to use the deleterious substance or petrol for the purpose of inhalation; or</w:t>
      </w:r>
    </w:p>
    <w:p>
      <w:pPr>
        <w:pStyle w:val="Indenta"/>
        <w:rPr>
          <w:snapToGrid w:val="0"/>
        </w:rPr>
      </w:pPr>
      <w:r>
        <w:rPr>
          <w:snapToGrid w:val="0"/>
        </w:rPr>
        <w:tab/>
        <w:t>(ii)</w:t>
      </w:r>
      <w:r>
        <w:rPr>
          <w:snapToGrid w:val="0"/>
        </w:rPr>
        <w:tab/>
        <w:t>intends to sell or supply the deleterious substance or petrol for the purpose of inhalation.</w:t>
      </w:r>
    </w:p>
    <w:p>
      <w:pPr>
        <w:pStyle w:val="Heading2"/>
      </w:pPr>
      <w:bookmarkStart w:id="32" w:name="_Toc378930488"/>
      <w:bookmarkStart w:id="33" w:name="_Toc420504284"/>
      <w:bookmarkStart w:id="34" w:name="_Toc420504408"/>
      <w:r>
        <w:rPr>
          <w:rStyle w:val="CharPartNo"/>
        </w:rPr>
        <w:t>Part 4</w:t>
      </w:r>
      <w:r>
        <w:rPr>
          <w:rStyle w:val="CharDivNo"/>
        </w:rPr>
        <w:t> </w:t>
      </w:r>
      <w:r>
        <w:t>—</w:t>
      </w:r>
      <w:r>
        <w:rPr>
          <w:rStyle w:val="CharDivText"/>
        </w:rPr>
        <w:t> </w:t>
      </w:r>
      <w:r>
        <w:rPr>
          <w:rStyle w:val="CharPartText"/>
        </w:rPr>
        <w:t>Traffic</w:t>
      </w:r>
      <w:bookmarkEnd w:id="32"/>
      <w:bookmarkEnd w:id="33"/>
      <w:bookmarkEnd w:id="34"/>
      <w:r>
        <w:rPr>
          <w:rStyle w:val="CharPartText"/>
        </w:rPr>
        <w:t xml:space="preserve"> </w:t>
      </w:r>
    </w:p>
    <w:p>
      <w:pPr>
        <w:pStyle w:val="Heading5"/>
        <w:rPr>
          <w:snapToGrid w:val="0"/>
        </w:rPr>
      </w:pPr>
      <w:bookmarkStart w:id="35" w:name="_Toc378930489"/>
      <w:bookmarkStart w:id="36" w:name="_Toc420504409"/>
      <w:r>
        <w:rPr>
          <w:rStyle w:val="CharSectno"/>
        </w:rPr>
        <w:t>11</w:t>
      </w:r>
      <w:r>
        <w:rPr>
          <w:snapToGrid w:val="0"/>
        </w:rPr>
        <w:t>.</w:t>
      </w:r>
      <w:r>
        <w:rPr>
          <w:snapToGrid w:val="0"/>
        </w:rPr>
        <w:tab/>
        <w:t>Traffic signs</w:t>
      </w:r>
      <w:bookmarkEnd w:id="35"/>
      <w:bookmarkEnd w:id="36"/>
      <w:r>
        <w:rPr>
          <w:snapToGrid w:val="0"/>
        </w:rPr>
        <w:t xml:space="preserve"> </w:t>
      </w:r>
    </w:p>
    <w:p>
      <w:pPr>
        <w:pStyle w:val="Subsection"/>
        <w:rPr>
          <w:snapToGrid w:val="0"/>
        </w:rPr>
      </w:pPr>
      <w:r>
        <w:rPr>
          <w:snapToGrid w:val="0"/>
        </w:rPr>
        <w:tab/>
        <w:t>(a)</w:t>
      </w:r>
      <w:r>
        <w:rPr>
          <w:snapToGrid w:val="0"/>
        </w:rPr>
        <w:tab/>
        <w:t>The Council may place signs (‘traffic signs’) on community land for the purpose of regulating vehicle traffic.</w:t>
      </w:r>
    </w:p>
    <w:p>
      <w:pPr>
        <w:pStyle w:val="Subsection"/>
        <w:rPr>
          <w:snapToGrid w:val="0"/>
        </w:rPr>
      </w:pPr>
      <w:r>
        <w:rPr>
          <w:snapToGrid w:val="0"/>
        </w:rPr>
        <w:tab/>
        <w:t>(b)</w:t>
      </w:r>
      <w:r>
        <w:rPr>
          <w:snapToGrid w:val="0"/>
        </w:rPr>
        <w:tab/>
        <w:t>Any person who fails to obey the directions of the inscription on a traffic sign commits a breach of these by</w:t>
      </w:r>
      <w:r>
        <w:rPr>
          <w:snapToGrid w:val="0"/>
        </w:rPr>
        <w:noBreakHyphen/>
        <w:t>laws.</w:t>
      </w:r>
    </w:p>
    <w:p>
      <w:pPr>
        <w:pStyle w:val="Heading5"/>
        <w:rPr>
          <w:snapToGrid w:val="0"/>
        </w:rPr>
      </w:pPr>
      <w:bookmarkStart w:id="37" w:name="_Toc378930490"/>
      <w:bookmarkStart w:id="38" w:name="_Toc420504410"/>
      <w:r>
        <w:rPr>
          <w:rStyle w:val="CharSectno"/>
        </w:rPr>
        <w:t>12</w:t>
      </w:r>
      <w:r>
        <w:rPr>
          <w:snapToGrid w:val="0"/>
        </w:rPr>
        <w:t>.</w:t>
      </w:r>
      <w:r>
        <w:rPr>
          <w:snapToGrid w:val="0"/>
        </w:rPr>
        <w:tab/>
        <w:t>Careless and dangerous driving</w:t>
      </w:r>
      <w:bookmarkEnd w:id="37"/>
      <w:bookmarkEnd w:id="38"/>
      <w:r>
        <w:rPr>
          <w:snapToGrid w:val="0"/>
        </w:rPr>
        <w:t xml:space="preserve"> </w:t>
      </w:r>
    </w:p>
    <w:p>
      <w:pPr>
        <w:pStyle w:val="Subsection"/>
        <w:rPr>
          <w:snapToGrid w:val="0"/>
        </w:rPr>
      </w:pPr>
      <w:r>
        <w:rPr>
          <w:snapToGrid w:val="0"/>
        </w:rPr>
        <w:tab/>
        <w:t>(a)</w:t>
      </w:r>
      <w:r>
        <w:rPr>
          <w:snapToGrid w:val="0"/>
        </w:rPr>
        <w:tab/>
        <w:t>No person shall drive a vehicle on community land without due care and attention.</w:t>
      </w:r>
    </w:p>
    <w:p>
      <w:pPr>
        <w:pStyle w:val="Subsection"/>
        <w:rPr>
          <w:snapToGrid w:val="0"/>
        </w:rPr>
      </w:pPr>
      <w:r>
        <w:rPr>
          <w:snapToGrid w:val="0"/>
        </w:rPr>
        <w:tab/>
        <w:t>(b)</w:t>
      </w:r>
      <w:r>
        <w:rPr>
          <w:snapToGrid w:val="0"/>
        </w:rPr>
        <w:tab/>
        <w:t>No person shall drive a vehicle on community land in a manner which, having regard to all of the circumstances, is dangerous to any person.</w:t>
      </w:r>
    </w:p>
    <w:p>
      <w:pPr>
        <w:pStyle w:val="Subsection"/>
        <w:rPr>
          <w:snapToGrid w:val="0"/>
        </w:rPr>
      </w:pPr>
      <w:r>
        <w:rPr>
          <w:snapToGrid w:val="0"/>
        </w:rPr>
        <w:tab/>
        <w:t>(c)</w:t>
      </w:r>
      <w:r>
        <w:rPr>
          <w:snapToGrid w:val="0"/>
        </w:rPr>
        <w:tab/>
        <w:t>No person shall drive a vehicle owned by the community or leased or hired to the community — </w:t>
      </w:r>
    </w:p>
    <w:p>
      <w:pPr>
        <w:pStyle w:val="Indenta"/>
        <w:rPr>
          <w:snapToGrid w:val="0"/>
        </w:rPr>
      </w:pPr>
      <w:r>
        <w:rPr>
          <w:snapToGrid w:val="0"/>
        </w:rPr>
        <w:tab/>
        <w:t>(i)</w:t>
      </w:r>
      <w:r>
        <w:rPr>
          <w:snapToGrid w:val="0"/>
        </w:rPr>
        <w:tab/>
        <w:t>without first having the permission of the Council or of a person placed by the Council in charge or control of the vehicle for the time being.</w:t>
      </w:r>
    </w:p>
    <w:p>
      <w:pPr>
        <w:pStyle w:val="Indenta"/>
        <w:rPr>
          <w:snapToGrid w:val="0"/>
        </w:rPr>
      </w:pPr>
      <w:r>
        <w:rPr>
          <w:snapToGrid w:val="0"/>
        </w:rPr>
        <w:tab/>
        <w:t>(ii)</w:t>
      </w:r>
      <w:r>
        <w:rPr>
          <w:snapToGrid w:val="0"/>
        </w:rPr>
        <w:tab/>
        <w:t>when under the influence of liquor or a deleterious substance.</w:t>
      </w:r>
    </w:p>
    <w:p>
      <w:pPr>
        <w:pStyle w:val="Indenta"/>
        <w:rPr>
          <w:snapToGrid w:val="0"/>
        </w:rPr>
      </w:pPr>
      <w:r>
        <w:rPr>
          <w:snapToGrid w:val="0"/>
        </w:rPr>
        <w:tab/>
        <w:t>(iii)</w:t>
      </w:r>
      <w:r>
        <w:rPr>
          <w:snapToGrid w:val="0"/>
        </w:rPr>
        <w:tab/>
        <w:t>without being the holder of a current valid motor driver’s licence of a class appropriate to the vehicle to be driven.</w:t>
      </w:r>
    </w:p>
    <w:p>
      <w:pPr>
        <w:pStyle w:val="Heading2"/>
      </w:pPr>
      <w:bookmarkStart w:id="39" w:name="_Toc378930491"/>
      <w:bookmarkStart w:id="40" w:name="_Toc420504287"/>
      <w:bookmarkStart w:id="41" w:name="_Toc420504411"/>
      <w:r>
        <w:rPr>
          <w:rStyle w:val="CharPartNo"/>
        </w:rPr>
        <w:t>Part 5</w:t>
      </w:r>
      <w:r>
        <w:rPr>
          <w:rStyle w:val="CharDivNo"/>
        </w:rPr>
        <w:t> </w:t>
      </w:r>
      <w:r>
        <w:t>—</w:t>
      </w:r>
      <w:r>
        <w:rPr>
          <w:rStyle w:val="CharDivText"/>
        </w:rPr>
        <w:t> </w:t>
      </w:r>
      <w:r>
        <w:rPr>
          <w:rStyle w:val="CharPartText"/>
        </w:rPr>
        <w:t>The regulation of other matters</w:t>
      </w:r>
      <w:bookmarkEnd w:id="39"/>
      <w:bookmarkEnd w:id="40"/>
      <w:bookmarkEnd w:id="41"/>
      <w:r>
        <w:rPr>
          <w:rStyle w:val="CharPartText"/>
        </w:rPr>
        <w:t xml:space="preserve"> </w:t>
      </w:r>
    </w:p>
    <w:p>
      <w:pPr>
        <w:pStyle w:val="Heading5"/>
        <w:rPr>
          <w:snapToGrid w:val="0"/>
        </w:rPr>
      </w:pPr>
      <w:bookmarkStart w:id="42" w:name="_Toc378930492"/>
      <w:bookmarkStart w:id="43" w:name="_Toc420504412"/>
      <w:r>
        <w:rPr>
          <w:rStyle w:val="CharSectno"/>
        </w:rPr>
        <w:t>13</w:t>
      </w:r>
      <w:r>
        <w:rPr>
          <w:snapToGrid w:val="0"/>
        </w:rPr>
        <w:t>.</w:t>
      </w:r>
      <w:r>
        <w:rPr>
          <w:snapToGrid w:val="0"/>
        </w:rPr>
        <w:tab/>
        <w:t>Offensive behaviour</w:t>
      </w:r>
      <w:bookmarkEnd w:id="42"/>
      <w:bookmarkEnd w:id="43"/>
      <w:r>
        <w:rPr>
          <w:snapToGrid w:val="0"/>
        </w:rPr>
        <w:t xml:space="preserve"> </w:t>
      </w:r>
    </w:p>
    <w:p>
      <w:pPr>
        <w:pStyle w:val="Subsection"/>
        <w:rPr>
          <w:snapToGrid w:val="0"/>
        </w:rPr>
      </w:pPr>
      <w:r>
        <w:rPr>
          <w:snapToGrid w:val="0"/>
        </w:rPr>
        <w:tab/>
      </w:r>
      <w:r>
        <w:rPr>
          <w:snapToGrid w:val="0"/>
        </w:rPr>
        <w:tab/>
        <w:t>No person shall cause a disturbance or annoyance to other persons by using abusive language, fighting otherwise behaving in an offensive or disorderly manner.</w:t>
      </w:r>
    </w:p>
    <w:p>
      <w:pPr>
        <w:pStyle w:val="Heading5"/>
        <w:rPr>
          <w:snapToGrid w:val="0"/>
        </w:rPr>
      </w:pPr>
      <w:bookmarkStart w:id="44" w:name="_Toc378930493"/>
      <w:bookmarkStart w:id="45" w:name="_Toc420504413"/>
      <w:r>
        <w:rPr>
          <w:rStyle w:val="CharSectno"/>
        </w:rPr>
        <w:t>14</w:t>
      </w:r>
      <w:r>
        <w:rPr>
          <w:snapToGrid w:val="0"/>
        </w:rPr>
        <w:t>.</w:t>
      </w:r>
      <w:r>
        <w:rPr>
          <w:snapToGrid w:val="0"/>
        </w:rPr>
        <w:tab/>
        <w:t>Wilful damage</w:t>
      </w:r>
      <w:bookmarkEnd w:id="44"/>
      <w:bookmarkEnd w:id="45"/>
      <w:r>
        <w:rPr>
          <w:snapToGrid w:val="0"/>
        </w:rPr>
        <w:t xml:space="preserve"> </w:t>
      </w:r>
    </w:p>
    <w:p>
      <w:pPr>
        <w:pStyle w:val="Subsection"/>
        <w:rPr>
          <w:snapToGrid w:val="0"/>
        </w:rPr>
      </w:pPr>
      <w:r>
        <w:rPr>
          <w:snapToGrid w:val="0"/>
        </w:rPr>
        <w:tab/>
      </w:r>
      <w:r>
        <w:rPr>
          <w:snapToGrid w:val="0"/>
        </w:rPr>
        <w:tab/>
        <w:t>No person shall damage any tree, bush, lawn, building, structure, vehicle or other thing, whether the property of the community or of any individual person.</w:t>
      </w:r>
    </w:p>
    <w:p>
      <w:pPr>
        <w:pStyle w:val="Heading5"/>
        <w:rPr>
          <w:snapToGrid w:val="0"/>
        </w:rPr>
      </w:pPr>
      <w:bookmarkStart w:id="46" w:name="_Toc378930494"/>
      <w:bookmarkStart w:id="47" w:name="_Toc420504414"/>
      <w:r>
        <w:rPr>
          <w:rStyle w:val="CharSectno"/>
        </w:rPr>
        <w:t>15</w:t>
      </w:r>
      <w:r>
        <w:rPr>
          <w:snapToGrid w:val="0"/>
        </w:rPr>
        <w:t>.</w:t>
      </w:r>
      <w:r>
        <w:rPr>
          <w:snapToGrid w:val="0"/>
        </w:rPr>
        <w:tab/>
        <w:t>Disruption of meetings</w:t>
      </w:r>
      <w:bookmarkEnd w:id="46"/>
      <w:bookmarkEnd w:id="47"/>
      <w:r>
        <w:rPr>
          <w:snapToGrid w:val="0"/>
        </w:rPr>
        <w:t xml:space="preserve"> </w:t>
      </w:r>
    </w:p>
    <w:p>
      <w:pPr>
        <w:pStyle w:val="Subsection"/>
        <w:rPr>
          <w:snapToGrid w:val="0"/>
        </w:rPr>
      </w:pPr>
      <w:r>
        <w:rPr>
          <w:snapToGrid w:val="0"/>
        </w:rPr>
        <w:tab/>
      </w:r>
      <w:r>
        <w:rPr>
          <w:snapToGrid w:val="0"/>
        </w:rPr>
        <w:tab/>
        <w:t>No person shall interrupt any meeting of the Council or of the community, or any customary meeting, by noise or any offensive or disorderly behaviour.</w:t>
      </w:r>
    </w:p>
    <w:p>
      <w:pPr>
        <w:pStyle w:val="Heading2"/>
      </w:pPr>
      <w:bookmarkStart w:id="48" w:name="_Toc378930495"/>
      <w:bookmarkStart w:id="49" w:name="_Toc420504291"/>
      <w:bookmarkStart w:id="50" w:name="_Toc420504415"/>
      <w:r>
        <w:rPr>
          <w:rStyle w:val="CharPartNo"/>
        </w:rPr>
        <w:t>Part 6</w:t>
      </w:r>
      <w:r>
        <w:rPr>
          <w:rStyle w:val="CharDivNo"/>
        </w:rPr>
        <w:t> </w:t>
      </w:r>
      <w:r>
        <w:t>—</w:t>
      </w:r>
      <w:r>
        <w:rPr>
          <w:rStyle w:val="CharDivText"/>
        </w:rPr>
        <w:t> </w:t>
      </w:r>
      <w:r>
        <w:rPr>
          <w:rStyle w:val="CharPartText"/>
        </w:rPr>
        <w:t>Enforcement and proceedings</w:t>
      </w:r>
      <w:bookmarkEnd w:id="48"/>
      <w:bookmarkEnd w:id="49"/>
      <w:bookmarkEnd w:id="50"/>
      <w:r>
        <w:rPr>
          <w:rStyle w:val="CharPartText"/>
        </w:rPr>
        <w:t xml:space="preserve"> </w:t>
      </w:r>
    </w:p>
    <w:p>
      <w:pPr>
        <w:pStyle w:val="Heading5"/>
        <w:rPr>
          <w:snapToGrid w:val="0"/>
        </w:rPr>
      </w:pPr>
      <w:bookmarkStart w:id="51" w:name="_Toc378930496"/>
      <w:bookmarkStart w:id="52" w:name="_Toc420504416"/>
      <w:r>
        <w:rPr>
          <w:rStyle w:val="CharSectno"/>
        </w:rPr>
        <w:t>16</w:t>
      </w:r>
      <w:r>
        <w:rPr>
          <w:snapToGrid w:val="0"/>
        </w:rPr>
        <w:t>.</w:t>
      </w:r>
      <w:r>
        <w:rPr>
          <w:snapToGrid w:val="0"/>
        </w:rPr>
        <w:tab/>
        <w:t>Powers of Police</w:t>
      </w:r>
      <w:bookmarkEnd w:id="51"/>
      <w:bookmarkEnd w:id="52"/>
      <w:r>
        <w:rPr>
          <w:snapToGrid w:val="0"/>
        </w:rPr>
        <w:t xml:space="preserve"> </w:t>
      </w:r>
    </w:p>
    <w:p>
      <w:pPr>
        <w:pStyle w:val="Subsection"/>
        <w:rPr>
          <w:snapToGrid w:val="0"/>
        </w:rPr>
      </w:pPr>
      <w:r>
        <w:rPr>
          <w:snapToGrid w:val="0"/>
        </w:rPr>
        <w:tab/>
      </w:r>
      <w:r>
        <w:rPr>
          <w:snapToGrid w:val="0"/>
        </w:rPr>
        <w:tab/>
        <w:t>A member of the Police Force may — </w:t>
      </w:r>
    </w:p>
    <w:p>
      <w:pPr>
        <w:pStyle w:val="Indenta"/>
        <w:rPr>
          <w:snapToGrid w:val="0"/>
        </w:rPr>
      </w:pPr>
      <w:r>
        <w:rPr>
          <w:snapToGrid w:val="0"/>
        </w:rPr>
        <w:tab/>
        <w:t>(a)</w:t>
      </w:r>
      <w:r>
        <w:rPr>
          <w:snapToGrid w:val="0"/>
        </w:rPr>
        <w:tab/>
        <w:t>take proceedings against any person for a breach of these by</w:t>
      </w:r>
      <w:r>
        <w:rPr>
          <w:snapToGrid w:val="0"/>
        </w:rPr>
        <w:noBreakHyphen/>
        <w:t>laws;</w:t>
      </w:r>
    </w:p>
    <w:p>
      <w:pPr>
        <w:pStyle w:val="Indenta"/>
        <w:rPr>
          <w:snapToGrid w:val="0"/>
        </w:rPr>
      </w:pPr>
      <w:r>
        <w:rPr>
          <w:snapToGrid w:val="0"/>
        </w:rPr>
        <w:tab/>
        <w:t>(b)</w:t>
      </w:r>
      <w:r>
        <w:rPr>
          <w:snapToGrid w:val="0"/>
        </w:rPr>
        <w:tab/>
        <w:t>where any person has committed or is found committing an offence against these by</w:t>
      </w:r>
      <w:r>
        <w:rPr>
          <w:snapToGrid w:val="0"/>
        </w:rPr>
        <w:noBreakHyphen/>
        <w:t>laws and it appears to the Police Officer on reasonable grounds to be likely that injury to persons or damage to property will be caused by that person if left at large; apprehend and remove that person from community land;</w:t>
      </w:r>
    </w:p>
    <w:p>
      <w:pPr>
        <w:pStyle w:val="Indenta"/>
        <w:rPr>
          <w:snapToGrid w:val="0"/>
        </w:rPr>
      </w:pPr>
      <w:r>
        <w:rPr>
          <w:snapToGrid w:val="0"/>
        </w:rPr>
        <w:tab/>
        <w:t>(c)</w:t>
      </w:r>
      <w:r>
        <w:rPr>
          <w:snapToGrid w:val="0"/>
        </w:rPr>
        <w:tab/>
        <w:t>request the name and address of any person who he believes on reasonable grounds — </w:t>
      </w:r>
    </w:p>
    <w:p>
      <w:pPr>
        <w:pStyle w:val="Indenti"/>
        <w:rPr>
          <w:snapToGrid w:val="0"/>
        </w:rPr>
      </w:pPr>
      <w:r>
        <w:rPr>
          <w:snapToGrid w:val="0"/>
        </w:rPr>
        <w:tab/>
        <w:t>(i)</w:t>
      </w:r>
      <w:r>
        <w:rPr>
          <w:snapToGrid w:val="0"/>
        </w:rPr>
        <w:tab/>
        <w:t>to be on community land, in breach of any by</w:t>
      </w:r>
      <w:r>
        <w:rPr>
          <w:snapToGrid w:val="0"/>
        </w:rPr>
        <w:noBreakHyphen/>
        <w:t>law; or</w:t>
      </w:r>
    </w:p>
    <w:p>
      <w:pPr>
        <w:pStyle w:val="Indenti"/>
        <w:rPr>
          <w:snapToGrid w:val="0"/>
        </w:rPr>
      </w:pPr>
      <w:r>
        <w:rPr>
          <w:snapToGrid w:val="0"/>
        </w:rPr>
        <w:tab/>
        <w:t>(ii)</w:t>
      </w:r>
      <w:r>
        <w:rPr>
          <w:snapToGrid w:val="0"/>
        </w:rPr>
        <w:tab/>
        <w:t>to have, while on community land, committed a breach of a by</w:t>
      </w:r>
      <w:r>
        <w:rPr>
          <w:snapToGrid w:val="0"/>
        </w:rPr>
        <w:noBreakHyphen/>
        <w:t>law;</w:t>
      </w:r>
    </w:p>
    <w:p>
      <w:pPr>
        <w:pStyle w:val="Indenta"/>
        <w:rPr>
          <w:snapToGrid w:val="0"/>
        </w:rPr>
      </w:pPr>
      <w:r>
        <w:rPr>
          <w:snapToGrid w:val="0"/>
        </w:rPr>
        <w:tab/>
        <w:t>(d)</w:t>
      </w:r>
      <w:r>
        <w:rPr>
          <w:snapToGrid w:val="0"/>
        </w:rPr>
        <w:tab/>
        <w:t>if he has reasonable cause to suspect that liquor or a deleterious substance is in any vehicle in contravention of these by</w:t>
      </w:r>
      <w:r>
        <w:rPr>
          <w:snapToGrid w:val="0"/>
        </w:rPr>
        <w:noBreakHyphen/>
        <w:t>laws: stop, detain and search such vehicle and seize any liquor or deleterious substance and any receptacle containing liquor or a deleterious substance which he may find in or on the vehicle and may retain in his custody or control any property so seized until dealt with according to these by</w:t>
      </w:r>
      <w:r>
        <w:rPr>
          <w:snapToGrid w:val="0"/>
        </w:rPr>
        <w:noBreakHyphen/>
        <w:t>laws;</w:t>
      </w:r>
    </w:p>
    <w:p>
      <w:pPr>
        <w:pStyle w:val="Indenta"/>
        <w:rPr>
          <w:snapToGrid w:val="0"/>
        </w:rPr>
      </w:pPr>
      <w:r>
        <w:rPr>
          <w:snapToGrid w:val="0"/>
        </w:rPr>
        <w:tab/>
        <w:t>(e)</w:t>
      </w:r>
      <w:r>
        <w:rPr>
          <w:snapToGrid w:val="0"/>
        </w:rPr>
        <w:tab/>
        <w:t>if a liquor or a deleterious substance is found in a vehicle through the exercise of the power conferred by by-</w:t>
      </w:r>
      <w:r>
        <w:rPr>
          <w:snapToGrid w:val="0"/>
        </w:rPr>
        <w:softHyphen/>
        <w:t>law 17, seize the vehicle, search and detain it for up to a maximum period of 14 days if such is considered necessary by the Police Officer, on reasonable grounds to prevent a repetition of the prescribed conduct.</w:t>
      </w:r>
    </w:p>
    <w:p>
      <w:pPr>
        <w:pStyle w:val="Heading5"/>
        <w:rPr>
          <w:snapToGrid w:val="0"/>
        </w:rPr>
      </w:pPr>
      <w:bookmarkStart w:id="53" w:name="_Toc378930497"/>
      <w:bookmarkStart w:id="54" w:name="_Toc420504417"/>
      <w:r>
        <w:rPr>
          <w:rStyle w:val="CharSectno"/>
        </w:rPr>
        <w:t>17</w:t>
      </w:r>
      <w:r>
        <w:rPr>
          <w:snapToGrid w:val="0"/>
        </w:rPr>
        <w:t>.</w:t>
      </w:r>
      <w:r>
        <w:rPr>
          <w:snapToGrid w:val="0"/>
        </w:rPr>
        <w:tab/>
        <w:t>Procedure</w:t>
      </w:r>
      <w:bookmarkEnd w:id="53"/>
      <w:bookmarkEnd w:id="54"/>
      <w:r>
        <w:rPr>
          <w:snapToGrid w:val="0"/>
        </w:rPr>
        <w:t xml:space="preserve"> </w:t>
      </w:r>
    </w:p>
    <w:p>
      <w:pPr>
        <w:pStyle w:val="Subsection"/>
        <w:rPr>
          <w:snapToGrid w:val="0"/>
        </w:rPr>
      </w:pPr>
      <w:r>
        <w:rPr>
          <w:snapToGrid w:val="0"/>
        </w:rPr>
        <w:tab/>
      </w:r>
      <w:r>
        <w:rPr>
          <w:snapToGrid w:val="0"/>
        </w:rPr>
        <w:tab/>
        <w:t xml:space="preserve">Subject to the </w:t>
      </w:r>
      <w:r>
        <w:rPr>
          <w:i/>
          <w:snapToGrid w:val="0"/>
        </w:rPr>
        <w:t>Child Welfare Act 1947</w:t>
      </w:r>
      <w:r>
        <w:rPr>
          <w:snapToGrid w:val="0"/>
        </w:rPr>
        <w:t>, proceedings for an offence against by</w:t>
      </w:r>
      <w:r>
        <w:rPr>
          <w:snapToGrid w:val="0"/>
        </w:rPr>
        <w:noBreakHyphen/>
        <w:t xml:space="preserve">law shall be commenced by the way of complaint and summons under and in accordance with the </w:t>
      </w:r>
      <w:r>
        <w:rPr>
          <w:i/>
          <w:snapToGrid w:val="0"/>
        </w:rPr>
        <w:t>Justices Act 1902</w:t>
      </w:r>
      <w:r>
        <w:rPr>
          <w:snapToGrid w:val="0"/>
        </w:rPr>
        <w:t xml:space="preserve"> and shall be commenced within 6 months after the offence was committed.</w:t>
      </w:r>
    </w:p>
    <w:p>
      <w:pPr>
        <w:pStyle w:val="Heading2"/>
      </w:pPr>
      <w:bookmarkStart w:id="55" w:name="_Toc378930498"/>
      <w:bookmarkStart w:id="56" w:name="_Toc420504294"/>
      <w:bookmarkStart w:id="57" w:name="_Toc420504418"/>
      <w:r>
        <w:rPr>
          <w:rStyle w:val="CharPartNo"/>
        </w:rPr>
        <w:t>Part 7</w:t>
      </w:r>
      <w:r>
        <w:rPr>
          <w:rStyle w:val="CharDivNo"/>
        </w:rPr>
        <w:t> </w:t>
      </w:r>
      <w:r>
        <w:t>—</w:t>
      </w:r>
      <w:r>
        <w:rPr>
          <w:rStyle w:val="CharDivText"/>
        </w:rPr>
        <w:t> </w:t>
      </w:r>
      <w:r>
        <w:rPr>
          <w:rStyle w:val="CharPartText"/>
        </w:rPr>
        <w:t>Penalties and orders of the Court</w:t>
      </w:r>
      <w:bookmarkEnd w:id="55"/>
      <w:bookmarkEnd w:id="56"/>
      <w:bookmarkEnd w:id="57"/>
      <w:r>
        <w:rPr>
          <w:rStyle w:val="CharPartText"/>
        </w:rPr>
        <w:t xml:space="preserve"> </w:t>
      </w:r>
    </w:p>
    <w:p>
      <w:pPr>
        <w:pStyle w:val="Heading5"/>
        <w:rPr>
          <w:snapToGrid w:val="0"/>
        </w:rPr>
      </w:pPr>
      <w:bookmarkStart w:id="58" w:name="_Toc378930499"/>
      <w:bookmarkStart w:id="59" w:name="_Toc420504419"/>
      <w:r>
        <w:rPr>
          <w:rStyle w:val="CharSectno"/>
        </w:rPr>
        <w:t>18</w:t>
      </w:r>
      <w:r>
        <w:rPr>
          <w:snapToGrid w:val="0"/>
        </w:rPr>
        <w:t>.</w:t>
      </w:r>
      <w:r>
        <w:rPr>
          <w:snapToGrid w:val="0"/>
        </w:rPr>
        <w:tab/>
        <w:t>Penalties</w:t>
      </w:r>
      <w:bookmarkEnd w:id="58"/>
      <w:bookmarkEnd w:id="59"/>
      <w:r>
        <w:rPr>
          <w:snapToGrid w:val="0"/>
        </w:rPr>
        <w:t xml:space="preserve"> </w:t>
      </w:r>
    </w:p>
    <w:p>
      <w:pPr>
        <w:pStyle w:val="Subsection"/>
      </w:pPr>
      <w:r>
        <w:tab/>
        <w:t>(a)</w:t>
      </w:r>
      <w:r>
        <w:tab/>
        <w:t>Any person who breaches or fails to comply with any of these by</w:t>
      </w:r>
      <w:r>
        <w:noBreakHyphen/>
        <w:t>laws is guilty of an offence and is liable to a fine of not more than $100.</w:t>
      </w:r>
    </w:p>
    <w:p>
      <w:pPr>
        <w:pStyle w:val="Subsection"/>
        <w:rPr>
          <w:snapToGrid w:val="0"/>
        </w:rPr>
      </w:pPr>
      <w:r>
        <w:rPr>
          <w:snapToGrid w:val="0"/>
        </w:rPr>
        <w:tab/>
        <w:t>(b)</w:t>
      </w:r>
      <w:r>
        <w:rPr>
          <w:snapToGrid w:val="0"/>
        </w:rPr>
        <w:tab/>
        <w:t xml:space="preserve">In addition to </w:t>
      </w:r>
      <w:r>
        <w:t>any fine imposed</w:t>
      </w:r>
      <w:r>
        <w:rPr>
          <w:snapToGrid w:val="0"/>
        </w:rPr>
        <w:t xml:space="preserve"> under paragraph (a), the Court may order any person convicted of an offence under these by</w:t>
      </w:r>
      <w:r>
        <w:rPr>
          <w:snapToGrid w:val="0"/>
        </w:rPr>
        <w:noBreakHyphen/>
        <w:t>laws to pay compensation not greater than $250 to the community or to any person, where, in the course of committing the offence, the person convicted has caused damage to property of the community or of that other person.</w:t>
      </w:r>
    </w:p>
    <w:p>
      <w:pPr>
        <w:pStyle w:val="Subsection"/>
        <w:rPr>
          <w:snapToGrid w:val="0"/>
        </w:rPr>
      </w:pPr>
      <w:r>
        <w:rPr>
          <w:snapToGrid w:val="0"/>
        </w:rPr>
        <w:tab/>
        <w:t>(c)</w:t>
      </w:r>
      <w:r>
        <w:rPr>
          <w:snapToGrid w:val="0"/>
        </w:rPr>
        <w:tab/>
        <w:t>In any prosecution for an offence under these by</w:t>
      </w:r>
      <w:r>
        <w:rPr>
          <w:snapToGrid w:val="0"/>
        </w:rPr>
        <w:noBreakHyphen/>
        <w:t>laws having as an element the possession or use of a prohibited substance a Court upon proceeding to conviction of the person charged may make such orders as it sees fit concerning the destruction, disposal or forfeiture of property seized pursuant to an exercise of the power contained in by</w:t>
      </w:r>
      <w:r>
        <w:rPr>
          <w:snapToGrid w:val="0"/>
        </w:rPr>
        <w:noBreakHyphen/>
        <w:t>law 16(d).</w:t>
      </w:r>
    </w:p>
    <w:p>
      <w:pPr>
        <w:pStyle w:val="Footnotesection"/>
      </w:pPr>
      <w:r>
        <w:tab/>
        <w:t>[By</w:t>
      </w:r>
      <w:r>
        <w:noBreakHyphen/>
        <w:t>law 18 amended: Gazette 14 May 2004 p. 1454.]</w:t>
      </w:r>
    </w:p>
    <w:p>
      <w:pPr>
        <w:pStyle w:val="Heading5"/>
        <w:rPr>
          <w:snapToGrid w:val="0"/>
        </w:rPr>
      </w:pPr>
      <w:bookmarkStart w:id="60" w:name="_Toc378930500"/>
      <w:bookmarkStart w:id="61" w:name="_Toc420504420"/>
      <w:r>
        <w:rPr>
          <w:rStyle w:val="CharSectno"/>
        </w:rPr>
        <w:t>19</w:t>
      </w:r>
      <w:r>
        <w:rPr>
          <w:snapToGrid w:val="0"/>
        </w:rPr>
        <w:t>.</w:t>
      </w:r>
      <w:r>
        <w:rPr>
          <w:snapToGrid w:val="0"/>
        </w:rPr>
        <w:tab/>
        <w:t>Defence of acting under custom</w:t>
      </w:r>
      <w:bookmarkEnd w:id="60"/>
      <w:bookmarkEnd w:id="61"/>
      <w:r>
        <w:rPr>
          <w:snapToGrid w:val="0"/>
        </w:rPr>
        <w:t xml:space="preserve"> </w:t>
      </w:r>
    </w:p>
    <w:p>
      <w:pPr>
        <w:pStyle w:val="Subsection"/>
        <w:rPr>
          <w:snapToGrid w:val="0"/>
        </w:rPr>
      </w:pPr>
      <w:r>
        <w:rPr>
          <w:snapToGrid w:val="0"/>
        </w:rPr>
        <w:tab/>
      </w:r>
      <w:r>
        <w:rPr>
          <w:snapToGrid w:val="0"/>
        </w:rPr>
        <w:tab/>
        <w:t>It is a defence to a complaint of an offence against these by</w:t>
      </w:r>
      <w:r>
        <w:rPr>
          <w:snapToGrid w:val="0"/>
        </w:rPr>
        <w:noBreakHyphen/>
        <w:t>laws to show that the defendant was acting under and excused by an custom of the community.</w:t>
      </w:r>
    </w:p>
    <w:p>
      <w:pPr>
        <w:pStyle w:val="Heading5"/>
        <w:rPr>
          <w:snapToGrid w:val="0"/>
        </w:rPr>
      </w:pPr>
      <w:bookmarkStart w:id="62" w:name="_Toc378930501"/>
      <w:bookmarkStart w:id="63" w:name="_Toc420504421"/>
      <w:r>
        <w:rPr>
          <w:rStyle w:val="CharSectno"/>
        </w:rPr>
        <w:t>20</w:t>
      </w:r>
      <w:r>
        <w:rPr>
          <w:snapToGrid w:val="0"/>
        </w:rPr>
        <w:t>.</w:t>
      </w:r>
      <w:r>
        <w:rPr>
          <w:snapToGrid w:val="0"/>
        </w:rPr>
        <w:tab/>
        <w:t>Council members</w:t>
      </w:r>
      <w:bookmarkEnd w:id="62"/>
      <w:bookmarkEnd w:id="63"/>
      <w:r>
        <w:rPr>
          <w:snapToGrid w:val="0"/>
        </w:rPr>
        <w:t xml:space="preserve"> </w:t>
      </w:r>
    </w:p>
    <w:p>
      <w:pPr>
        <w:pStyle w:val="Subsection"/>
        <w:rPr>
          <w:snapToGrid w:val="0"/>
        </w:rPr>
      </w:pPr>
      <w:r>
        <w:rPr>
          <w:snapToGrid w:val="0"/>
        </w:rPr>
        <w:tab/>
        <w:t>(a)</w:t>
      </w:r>
      <w:r>
        <w:rPr>
          <w:snapToGrid w:val="0"/>
        </w:rPr>
        <w:tab/>
        <w:t>Council member who is charged with an offence against by</w:t>
      </w:r>
      <w:r>
        <w:rPr>
          <w:snapToGrid w:val="0"/>
        </w:rPr>
        <w:noBreakHyphen/>
        <w:t>law 8 shall be deemed to have ceased to be effective Councillor.</w:t>
      </w:r>
    </w:p>
    <w:p>
      <w:pPr>
        <w:pStyle w:val="Subsection"/>
        <w:rPr>
          <w:rStyle w:val="CharDivText"/>
        </w:rPr>
      </w:pPr>
      <w:r>
        <w:rPr>
          <w:snapToGrid w:val="0"/>
        </w:rPr>
        <w:tab/>
        <w:t>(b)</w:t>
      </w:r>
      <w:r>
        <w:rPr>
          <w:snapToGrid w:val="0"/>
        </w:rPr>
        <w:tab/>
        <w:t>In the event that such charge against the Council member is withdrawn or is dismissed after trial then, by that occurrence he shall be restored to his former position.</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4" w:name="_Toc378930502"/>
      <w:bookmarkStart w:id="65" w:name="_Toc420504298"/>
      <w:bookmarkStart w:id="66" w:name="_Toc420504422"/>
      <w:r>
        <w:t>Notes</w:t>
      </w:r>
      <w:bookmarkEnd w:id="64"/>
      <w:bookmarkEnd w:id="65"/>
      <w:bookmarkEnd w:id="66"/>
    </w:p>
    <w:p>
      <w:pPr>
        <w:pStyle w:val="nSubsection"/>
        <w:rPr>
          <w:snapToGrid w:val="0"/>
        </w:rPr>
      </w:pPr>
      <w:r>
        <w:rPr>
          <w:snapToGrid w:val="0"/>
          <w:vertAlign w:val="superscript"/>
        </w:rPr>
        <w:t>1</w:t>
      </w:r>
      <w:r>
        <w:rPr>
          <w:snapToGrid w:val="0"/>
        </w:rPr>
        <w:tab/>
        <w:t xml:space="preserve">This reprint is a compilation as at 24 September 2004 of the </w:t>
      </w:r>
      <w:r>
        <w:rPr>
          <w:i/>
          <w:noProof/>
          <w:snapToGrid w:val="0"/>
        </w:rPr>
        <w:t>Jigalong Community Incorporated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378930503"/>
      <w:bookmarkStart w:id="68" w:name="_Toc420504423"/>
      <w:r>
        <w:rPr>
          <w:snapToGrid w:val="0"/>
        </w:rP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Jigalong Community Incorporated By</w:t>
            </w:r>
            <w:r>
              <w:rPr>
                <w:i/>
              </w:rPr>
              <w:noBreakHyphen/>
              <w:t>laws</w:t>
            </w:r>
          </w:p>
        </w:tc>
        <w:tc>
          <w:tcPr>
            <w:tcW w:w="1276" w:type="dxa"/>
            <w:tcBorders>
              <w:top w:val="single" w:sz="8" w:space="0" w:color="auto"/>
            </w:tcBorders>
          </w:tcPr>
          <w:p>
            <w:pPr>
              <w:pStyle w:val="nTable"/>
              <w:spacing w:after="40"/>
            </w:pPr>
            <w:r>
              <w:t>21 Jun 1991 p. 3008</w:t>
            </w:r>
            <w:r>
              <w:noBreakHyphen/>
              <w:t>11</w:t>
            </w:r>
          </w:p>
        </w:tc>
        <w:tc>
          <w:tcPr>
            <w:tcW w:w="2693" w:type="dxa"/>
            <w:tcBorders>
              <w:top w:val="single" w:sz="8" w:space="0" w:color="auto"/>
            </w:tcBorders>
          </w:tcPr>
          <w:p>
            <w:pPr>
              <w:pStyle w:val="nTable"/>
              <w:spacing w:after="40"/>
            </w:pPr>
            <w:r>
              <w:t>21 Jun 1991 (see bl. 2)</w:t>
            </w:r>
          </w:p>
        </w:tc>
      </w:tr>
      <w:tr>
        <w:tc>
          <w:tcPr>
            <w:tcW w:w="3119" w:type="dxa"/>
          </w:tcPr>
          <w:p>
            <w:pPr>
              <w:pStyle w:val="nTable"/>
              <w:spacing w:after="40"/>
              <w:rPr>
                <w:i/>
              </w:rPr>
            </w:pPr>
            <w:r>
              <w:rPr>
                <w:i/>
              </w:rPr>
              <w:t>Sentencing Legislation (Short Sentences </w:t>
            </w:r>
            <w:r>
              <w:rPr>
                <w:i/>
              </w:rPr>
              <w:noBreakHyphen/>
              <w:t> Aboriginal Community By</w:t>
            </w:r>
            <w:r>
              <w:rPr>
                <w:i/>
              </w:rPr>
              <w:noBreakHyphen/>
              <w:t>Laws) Amendment Regulations 2004</w:t>
            </w:r>
            <w:r>
              <w:t xml:space="preserve"> r. 8</w:t>
            </w:r>
          </w:p>
        </w:tc>
        <w:tc>
          <w:tcPr>
            <w:tcW w:w="1276" w:type="dxa"/>
          </w:tcPr>
          <w:p>
            <w:pPr>
              <w:pStyle w:val="nTable"/>
              <w:spacing w:after="40"/>
            </w:pPr>
            <w:r>
              <w:t>14 May 2004 p. 1451</w:t>
            </w:r>
            <w:r>
              <w:noBreakHyphen/>
              <w:t>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Jigalong Community Incorporated By</w:t>
            </w:r>
            <w:r>
              <w:rPr>
                <w:b/>
                <w:bCs/>
                <w:iCs/>
              </w:rPr>
              <w:noBreakHyphen/>
            </w:r>
            <w:r>
              <w:rPr>
                <w:b/>
                <w:bCs/>
                <w:i/>
              </w:rPr>
              <w:t>laws</w:t>
            </w:r>
            <w:r>
              <w:rPr>
                <w:b/>
                <w:bCs/>
                <w:iCs/>
              </w:rPr>
              <w:t xml:space="preserve"> as at 24 Sep 2004</w:t>
            </w:r>
            <w:r>
              <w:rPr>
                <w:iCs/>
              </w:rPr>
              <w:t xml:space="preserve"> (includes amendments listed above)</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0" w:name="_Toc420504424"/>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w:t>
      </w:r>
      <w:r>
        <w:noBreakHyphen/>
        <w:t>law</w:t>
      </w:r>
      <w:r>
        <w:tab/>
        <w:t>3</w:t>
      </w:r>
    </w:p>
    <w:p>
      <w:pPr>
        <w:pStyle w:val="DefinedTerms"/>
      </w:pPr>
      <w:r>
        <w:t>deleterious substance</w:t>
      </w:r>
      <w:r>
        <w:tab/>
        <w:t>3</w:t>
      </w:r>
    </w:p>
    <w:p>
      <w:pPr>
        <w:pStyle w:val="DefinedTerms"/>
      </w:pPr>
      <w:r>
        <w:t>liquor</w:t>
      </w:r>
      <w:r>
        <w:tab/>
        <w:t>3</w:t>
      </w:r>
    </w:p>
    <w:p>
      <w:pPr>
        <w:pStyle w:val="DefinedTerms"/>
      </w:pPr>
      <w:r>
        <w:t>members of the community</w:t>
      </w:r>
      <w:r>
        <w:tab/>
        <w:t>3</w:t>
      </w:r>
    </w:p>
    <w:p>
      <w:pPr>
        <w:pStyle w:val="DefinedTerms"/>
      </w:pPr>
      <w:r>
        <w:t>the Act</w:t>
      </w:r>
      <w:r>
        <w:tab/>
        <w:t>3</w:t>
      </w:r>
    </w:p>
    <w:p>
      <w:pPr>
        <w:pStyle w:val="DefinedTerms"/>
      </w:pPr>
      <w:r>
        <w:t>the community</w:t>
      </w:r>
      <w:r>
        <w:tab/>
        <w:t>3</w:t>
      </w:r>
    </w:p>
    <w:p>
      <w:pPr>
        <w:pStyle w:val="DefinedTerms"/>
      </w:pPr>
      <w:r>
        <w:t>the Council</w:t>
      </w:r>
      <w:r>
        <w:tab/>
        <w:t>3</w:t>
      </w:r>
    </w:p>
    <w:p>
      <w:pPr>
        <w:pStyle w:val="DefinedTerms"/>
      </w:pPr>
      <w:r>
        <w:t>vehicle</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Jigalong Community Incorporated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Jigalong Community Incorporated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Jigalong Community Incorporated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Jigalong Community Incorporated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Jigalong Community Incorporated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Jigalong Community Incorporated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Jigalong Community Incorporated By-laws</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Jigalong Community Incorporated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349"/>
    <w:docVar w:name="WAFER_20140130142221" w:val="RemoveTocBookmarks,RemoveUnusedBookmarks,RemoveLanguageTags,UsedStyles,ResetPageSize,UpdateArrangement"/>
    <w:docVar w:name="WAFER_20140130142221_GUID" w:val="6cb37b8f-46f7-4182-bee0-19eab5e40394"/>
    <w:docVar w:name="WAFER_20140130142225" w:val="RemoveTocBookmarks,RunningHeaders"/>
    <w:docVar w:name="WAFER_20140130142225_GUID" w:val="c054606d-73cf-43a6-8f63-45b33e540644"/>
    <w:docVar w:name="WAFER_20150527152351" w:val="ResetPageSize,UpdateArrangement,UpdateNTable"/>
    <w:docVar w:name="WAFER_20150527152351_GUID" w:val="8b9280ae-cdee-40c2-8e05-ad6b1f21fc9a"/>
    <w:docVar w:name="WAFER_20151106090349" w:val="UpdateStyles,UsedStyles"/>
    <w:docVar w:name="WAFER_20151106090349_GUID" w:val="4796d3d1-163e-4070-93a0-f10e3e27b0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2158</Words>
  <Characters>10598</Characters>
  <Application>Microsoft Office Word</Application>
  <DocSecurity>0</DocSecurity>
  <Lines>341</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12551</CharactersWithSpaces>
  <SharedDoc>false</SharedDoc>
  <HLinks>
    <vt:vector size="12" baseType="variant">
      <vt:variant>
        <vt:i4>65542</vt:i4>
      </vt:variant>
      <vt:variant>
        <vt:i4>2898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Jigalong Community Incorporated By-laws - 01-a0-09</dc:title>
  <dc:subject/>
  <dc:creator/>
  <cp:keywords/>
  <dc:description/>
  <cp:lastModifiedBy>svcMRProcess</cp:lastModifiedBy>
  <cp:revision>4</cp:revision>
  <cp:lastPrinted>2004-10-08T08:43:00Z</cp:lastPrinted>
  <dcterms:created xsi:type="dcterms:W3CDTF">2019-01-16T07:58:00Z</dcterms:created>
  <dcterms:modified xsi:type="dcterms:W3CDTF">2019-01-16T07:58:00Z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June 1991 pp.3008-11</vt:lpwstr>
  </property>
  <property fmtid="{D5CDD505-2E9C-101B-9397-08002B2CF9AE}" pid="3" name="CommencementDate">
    <vt:lpwstr>20040924</vt:lpwstr>
  </property>
  <property fmtid="{D5CDD505-2E9C-101B-9397-08002B2CF9AE}" pid="4" name="DocumentType">
    <vt:lpwstr>Reg</vt:lpwstr>
  </property>
  <property fmtid="{D5CDD505-2E9C-101B-9397-08002B2CF9AE}" pid="5" name="OwlsUID">
    <vt:i4>4534</vt:i4>
  </property>
  <property fmtid="{D5CDD505-2E9C-101B-9397-08002B2CF9AE}" pid="6" name="Formerly">
    <vt:lpwstr>Jigalong Community Incorporated By Laws</vt:lpwstr>
  </property>
  <property fmtid="{D5CDD505-2E9C-101B-9397-08002B2CF9AE}" pid="7" name="ReprintedAsAt">
    <vt:filetime>2004-09-23T16:00:00Z</vt:filetime>
  </property>
  <property fmtid="{D5CDD505-2E9C-101B-9397-08002B2CF9AE}" pid="8" name="ReprintNo">
    <vt:lpwstr/>
  </property>
  <property fmtid="{D5CDD505-2E9C-101B-9397-08002B2CF9AE}" pid="9" name="AsAtDate">
    <vt:lpwstr>24 Sep 2004</vt:lpwstr>
  </property>
  <property fmtid="{D5CDD505-2E9C-101B-9397-08002B2CF9AE}" pid="10" name="Suffix">
    <vt:lpwstr>01-a0-09</vt:lpwstr>
  </property>
</Properties>
</file>