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Junjuwa Community Incorporated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Junjuwa Community Incorporated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_Toc420505705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_Toc420505706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 and application</w:t>
      </w:r>
      <w:r>
        <w:tab/>
      </w:r>
      <w:r>
        <w:fldChar w:fldCharType="begin"/>
      </w:r>
      <w:r>
        <w:instrText xml:space="preserve"> PAGEREF _Toc420505707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_Toc420505709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Remaining on community lands</w:t>
      </w:r>
      <w:r>
        <w:tab/>
      </w:r>
      <w:r>
        <w:fldChar w:fldCharType="begin"/>
      </w:r>
      <w:r>
        <w:instrText xml:space="preserve"> PAGEREF _Toc420505710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_Toc420505711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_Toc420505712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_Toc420505714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_Toc420505715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_Toc420505716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_Toc420505718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_Toc420505719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_Toc420505721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_Toc420505722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_Toc420505723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_Toc420505725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_Toc420505726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tab/>
      </w:r>
      <w:r>
        <w:fldChar w:fldCharType="begin"/>
      </w:r>
      <w:r>
        <w:instrText xml:space="preserve"> PAGEREF _Toc420505727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19</w:t>
      </w:r>
      <w:r>
        <w:rPr>
          <w:snapToGrid w:val="0"/>
        </w:rPr>
        <w:t>.</w:t>
      </w:r>
      <w:r>
        <w:rPr>
          <w:snapToGrid w:val="0"/>
        </w:rPr>
        <w:tab/>
        <w:t>Penalties</w:t>
      </w:r>
      <w:r>
        <w:tab/>
      </w:r>
      <w:r>
        <w:fldChar w:fldCharType="begin"/>
      </w:r>
      <w:r>
        <w:instrText xml:space="preserve"> PAGEREF _Toc420505729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of acting under custom</w:t>
      </w:r>
      <w:r>
        <w:tab/>
      </w:r>
      <w:r>
        <w:fldChar w:fldCharType="begin"/>
      </w:r>
      <w:r>
        <w:instrText xml:space="preserve"> PAGEREF _Toc420505730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Council members</w:t>
      </w:r>
      <w:r>
        <w:tab/>
      </w:r>
      <w:r>
        <w:fldChar w:fldCharType="begin"/>
      </w:r>
      <w:r>
        <w:instrText xml:space="preserve"> PAGEREF _Toc420505731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_Toc420505733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2005</w:t>
            </w:r>
          </w:p>
        </w:tc>
      </w:tr>
    </w:tbl>
    <w:p>
      <w:pPr>
        <w:pStyle w:val="WA"/>
        <w:spacing w:before="12"/>
      </w:pPr>
      <w:r>
        <w:t>Western Australia</w:t>
      </w:r>
    </w:p>
    <w:p>
      <w:pPr>
        <w:pStyle w:val="PrincipalActReg"/>
        <w:rPr>
          <w:snapToGrid w:val="0"/>
        </w:rPr>
      </w:pPr>
      <w:r>
        <w:rPr>
          <w:snapToGrid w:val="0"/>
        </w:rPr>
        <w:t>Aboriginal Communities Act 1979</w:t>
      </w:r>
    </w:p>
    <w:p>
      <w:pPr>
        <w:pStyle w:val="NameofActReg"/>
      </w:pPr>
      <w:r>
        <w:t>Junjuwa Community Incorporated By</w:t>
      </w:r>
      <w:r>
        <w:noBreakHyphen/>
        <w:t>laws</w:t>
      </w:r>
    </w:p>
    <w:p>
      <w:pPr>
        <w:pStyle w:val="Heading2"/>
        <w:keepNext w:val="0"/>
        <w:pageBreakBefore w:val="0"/>
      </w:pPr>
      <w:bookmarkStart w:id="3" w:name="_Toc378930684"/>
      <w:bookmarkStart w:id="4" w:name="_Toc420505620"/>
      <w:bookmarkStart w:id="5" w:name="_Toc42050570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930685"/>
      <w:bookmarkStart w:id="7" w:name="_Toc420505705"/>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Junjuwa Community Incorporated By</w:t>
      </w:r>
      <w:r>
        <w:rPr>
          <w:i/>
          <w:snapToGrid w:val="0"/>
        </w:rPr>
        <w:noBreakHyphen/>
        <w:t>laws</w:t>
      </w:r>
      <w:r>
        <w:rPr>
          <w:snapToGrid w:val="0"/>
          <w:vertAlign w:val="superscript"/>
        </w:rPr>
        <w:t> 1</w:t>
      </w:r>
      <w:r>
        <w:rPr>
          <w:snapToGrid w:val="0"/>
        </w:rPr>
        <w:t>.</w:t>
      </w:r>
    </w:p>
    <w:p>
      <w:pPr>
        <w:pStyle w:val="Heading5"/>
        <w:rPr>
          <w:snapToGrid w:val="0"/>
        </w:rPr>
      </w:pPr>
      <w:bookmarkStart w:id="8" w:name="_Toc378930686"/>
      <w:bookmarkStart w:id="9" w:name="_Toc42050570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vertAlign w:val="superscript"/>
        </w:rPr>
        <w:t> 1</w:t>
      </w:r>
      <w:r>
        <w:rPr>
          <w:snapToGrid w:val="0"/>
        </w:rPr>
        <w:t>.</w:t>
      </w:r>
    </w:p>
    <w:p>
      <w:pPr>
        <w:pStyle w:val="Heading5"/>
        <w:rPr>
          <w:snapToGrid w:val="0"/>
        </w:rPr>
      </w:pPr>
      <w:bookmarkStart w:id="10" w:name="_Toc378930687"/>
      <w:bookmarkStart w:id="11" w:name="_Toc420505707"/>
      <w:r>
        <w:rPr>
          <w:rStyle w:val="CharSectno"/>
        </w:rPr>
        <w:t>3</w:t>
      </w:r>
      <w:r>
        <w:rPr>
          <w:snapToGrid w:val="0"/>
        </w:rPr>
        <w:t>.</w:t>
      </w:r>
      <w:r>
        <w:rPr>
          <w:snapToGrid w:val="0"/>
        </w:rPr>
        <w:tab/>
        <w:t>Definitions and application</w:t>
      </w:r>
      <w:bookmarkEnd w:id="10"/>
      <w:bookmarkEnd w:id="11"/>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by-law</w:t>
      </w:r>
      <w:r>
        <w:t xml:space="preserve"> means one of these by</w:t>
      </w:r>
      <w:r>
        <w:noBreakHyphen/>
        <w:t>laws;</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community</w:t>
      </w:r>
      <w:r>
        <w:t xml:space="preserve"> means (as the context requires) Junjuwa Community Incorporated and that collective group comprising the membership of Junjuwa Community Incorporated, their spouses and dependents (where not members in their own right) and </w:t>
      </w:r>
      <w:r>
        <w:rPr>
          <w:rStyle w:val="CharDefText"/>
        </w:rPr>
        <w:t>member of the community</w:t>
      </w:r>
      <w:r>
        <w:t xml:space="preserve"> has a correlative meaning;</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Defstart"/>
      </w:pPr>
      <w:r>
        <w:rPr>
          <w:b/>
        </w:rPr>
        <w:tab/>
      </w:r>
      <w:r>
        <w:rPr>
          <w:rStyle w:val="CharDefText"/>
        </w:rPr>
        <w:t>the Council</w:t>
      </w:r>
      <w:r>
        <w:t xml:space="preserve"> means the Council of Junjuwa Community Incorporated.</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2" w:name="_Toc378930688"/>
      <w:bookmarkStart w:id="13" w:name="_Toc420505624"/>
      <w:bookmarkStart w:id="14" w:name="_Toc420505708"/>
      <w:r>
        <w:rPr>
          <w:rStyle w:val="CharPartNo"/>
        </w:rPr>
        <w:t>Part 2</w:t>
      </w:r>
      <w:r>
        <w:t xml:space="preserve"> — </w:t>
      </w:r>
      <w:r>
        <w:rPr>
          <w:rStyle w:val="CharPartText"/>
        </w:rPr>
        <w:t>Community lands</w:t>
      </w:r>
      <w:bookmarkEnd w:id="12"/>
      <w:bookmarkEnd w:id="13"/>
      <w:bookmarkEnd w:id="14"/>
    </w:p>
    <w:p>
      <w:pPr>
        <w:pStyle w:val="Heading5"/>
        <w:rPr>
          <w:snapToGrid w:val="0"/>
        </w:rPr>
      </w:pPr>
      <w:bookmarkStart w:id="15" w:name="_Toc378930689"/>
      <w:bookmarkStart w:id="16" w:name="_Toc420505709"/>
      <w:r>
        <w:rPr>
          <w:rStyle w:val="CharSectno"/>
        </w:rPr>
        <w:t>4</w:t>
      </w:r>
      <w:r>
        <w:rPr>
          <w:snapToGrid w:val="0"/>
        </w:rPr>
        <w:t>.</w:t>
      </w:r>
      <w:r>
        <w:rPr>
          <w:snapToGrid w:val="0"/>
        </w:rPr>
        <w:tab/>
        <w:t>Permission required to enter community land</w:t>
      </w:r>
      <w:bookmarkEnd w:id="15"/>
      <w:bookmarkEnd w:id="16"/>
      <w:r>
        <w:rPr>
          <w:snapToGrid w:val="0"/>
        </w:rPr>
        <w:t xml:space="preserve"> </w:t>
      </w:r>
    </w:p>
    <w:p>
      <w:pPr>
        <w:pStyle w:val="Subsection"/>
        <w:rPr>
          <w:snapToGrid w:val="0"/>
        </w:rPr>
      </w:pPr>
      <w:r>
        <w:rPr>
          <w:snapToGrid w:val="0"/>
        </w:rPr>
        <w:tab/>
      </w:r>
      <w:r>
        <w:rPr>
          <w:snapToGrid w:val="0"/>
        </w:rPr>
        <w:tab/>
        <w:t>Save as otherwise provided by any law of the State or Commonwealth —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paragraph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7" w:name="_Toc378930690"/>
      <w:bookmarkStart w:id="18" w:name="_Toc420505710"/>
      <w:r>
        <w:rPr>
          <w:rStyle w:val="CharSectno"/>
        </w:rPr>
        <w:t>5</w:t>
      </w:r>
      <w:r>
        <w:rPr>
          <w:snapToGrid w:val="0"/>
        </w:rPr>
        <w:t>.</w:t>
      </w:r>
      <w:r>
        <w:rPr>
          <w:snapToGrid w:val="0"/>
        </w:rPr>
        <w:tab/>
        <w:t>Remaining on community lands</w:t>
      </w:r>
      <w:bookmarkEnd w:id="17"/>
      <w:bookmarkEnd w:id="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requiring permission under these by</w:t>
      </w:r>
      <w:r>
        <w:rPr>
          <w:snapToGrid w:val="0"/>
        </w:rPr>
        <w:noBreakHyphen/>
        <w:t>laws, enters or remains on community land without permission; or</w:t>
      </w:r>
    </w:p>
    <w:p>
      <w:pPr>
        <w:pStyle w:val="Indenta"/>
        <w:rPr>
          <w:snapToGrid w:val="0"/>
        </w:rPr>
      </w:pPr>
      <w:r>
        <w:rPr>
          <w:snapToGrid w:val="0"/>
        </w:rPr>
        <w:tab/>
        <w:t>(b)</w:t>
      </w:r>
      <w:r>
        <w:rPr>
          <w:snapToGrid w:val="0"/>
        </w:rPr>
        <w:tab/>
        <w:t>having permission under these by</w:t>
      </w:r>
      <w:r>
        <w:rPr>
          <w:snapToGrid w:val="0"/>
        </w:rPr>
        <w:noBreakHyphen/>
        <w:t>laws, contravenes any term or condition of his permission to be or remain on community land; or</w:t>
      </w:r>
    </w:p>
    <w:p>
      <w:pPr>
        <w:pStyle w:val="Indenta"/>
        <w:rPr>
          <w:snapToGrid w:val="0"/>
        </w:rPr>
      </w:pPr>
      <w:r>
        <w:rPr>
          <w:snapToGrid w:val="0"/>
        </w:rPr>
        <w:tab/>
        <w:t>(c)</w:t>
      </w:r>
      <w:r>
        <w:rPr>
          <w:snapToGrid w:val="0"/>
        </w:rPr>
        <w:tab/>
        <w:t>fails to comply with the terms of an order made pursuant to these by</w:t>
      </w:r>
      <w:r>
        <w:rPr>
          <w:snapToGrid w:val="0"/>
        </w:rPr>
        <w:noBreakHyphen/>
        <w:t xml:space="preserve">laws that he leave the community land, </w:t>
      </w:r>
    </w:p>
    <w:p>
      <w:pPr>
        <w:pStyle w:val="Subsection"/>
        <w:rPr>
          <w:snapToGrid w:val="0"/>
        </w:rPr>
      </w:pPr>
      <w:r>
        <w:tab/>
      </w:r>
      <w:r>
        <w:tab/>
        <w:t>commits an offence.</w:t>
      </w:r>
    </w:p>
    <w:p>
      <w:pPr>
        <w:pStyle w:val="Heading5"/>
        <w:rPr>
          <w:snapToGrid w:val="0"/>
        </w:rPr>
      </w:pPr>
      <w:bookmarkStart w:id="19" w:name="_Toc378930691"/>
      <w:bookmarkStart w:id="20" w:name="_Toc420505711"/>
      <w:r>
        <w:rPr>
          <w:rStyle w:val="CharSectno"/>
        </w:rPr>
        <w:t>6</w:t>
      </w:r>
      <w:r>
        <w:rPr>
          <w:snapToGrid w:val="0"/>
        </w:rPr>
        <w:t>.</w:t>
      </w:r>
      <w:r>
        <w:rPr>
          <w:snapToGrid w:val="0"/>
        </w:rPr>
        <w:tab/>
        <w:t>Restriction of entry into areas</w:t>
      </w:r>
      <w:bookmarkEnd w:id="19"/>
      <w:bookmarkEnd w:id="20"/>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an offence.</w:t>
      </w:r>
    </w:p>
    <w:p>
      <w:pPr>
        <w:pStyle w:val="Heading5"/>
        <w:rPr>
          <w:snapToGrid w:val="0"/>
        </w:rPr>
      </w:pPr>
      <w:bookmarkStart w:id="21" w:name="_Toc378930692"/>
      <w:bookmarkStart w:id="22" w:name="_Toc420505712"/>
      <w:r>
        <w:rPr>
          <w:rStyle w:val="CharSectno"/>
        </w:rPr>
        <w:t>7</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Any person who is told (by principal occupant or by the person then in charge thereof) to leave the house of another and who refuses to leave as directed commits an offence.</w:t>
      </w:r>
    </w:p>
    <w:p>
      <w:pPr>
        <w:pStyle w:val="Heading2"/>
      </w:pPr>
      <w:bookmarkStart w:id="23" w:name="_Toc378930693"/>
      <w:bookmarkStart w:id="24" w:name="_Toc420505629"/>
      <w:bookmarkStart w:id="25" w:name="_Toc420505713"/>
      <w:r>
        <w:rPr>
          <w:rStyle w:val="CharPartNo"/>
        </w:rPr>
        <w:t>Part 3</w:t>
      </w:r>
      <w:r>
        <w:rPr>
          <w:rStyle w:val="CharDivNo"/>
        </w:rPr>
        <w:t> </w:t>
      </w:r>
      <w:r>
        <w:t>—</w:t>
      </w:r>
      <w:r>
        <w:rPr>
          <w:rStyle w:val="CharDivText"/>
        </w:rPr>
        <w:t> </w:t>
      </w:r>
      <w:r>
        <w:rPr>
          <w:rStyle w:val="CharPartText"/>
        </w:rPr>
        <w:t>Liquor and deleterious substances</w:t>
      </w:r>
      <w:bookmarkEnd w:id="23"/>
      <w:bookmarkEnd w:id="24"/>
      <w:bookmarkEnd w:id="25"/>
      <w:r>
        <w:rPr>
          <w:rStyle w:val="CharPartText"/>
        </w:rPr>
        <w:t xml:space="preserve"> </w:t>
      </w:r>
    </w:p>
    <w:p>
      <w:pPr>
        <w:pStyle w:val="Heading5"/>
        <w:rPr>
          <w:snapToGrid w:val="0"/>
        </w:rPr>
      </w:pPr>
      <w:bookmarkStart w:id="26" w:name="_Toc378930694"/>
      <w:bookmarkStart w:id="27" w:name="_Toc420505714"/>
      <w:r>
        <w:rPr>
          <w:rStyle w:val="CharSectno"/>
        </w:rPr>
        <w:t>8</w:t>
      </w:r>
      <w:r>
        <w:rPr>
          <w:snapToGrid w:val="0"/>
        </w:rPr>
        <w:t>.</w:t>
      </w:r>
      <w:r>
        <w:rPr>
          <w:snapToGrid w:val="0"/>
        </w:rPr>
        <w:tab/>
        <w:t>Restriction of liquor</w:t>
      </w:r>
      <w:bookmarkEnd w:id="26"/>
      <w:bookmarkEnd w:id="27"/>
      <w:r>
        <w:rPr>
          <w:snapToGrid w:val="0"/>
        </w:rPr>
        <w:t xml:space="preserve"> </w:t>
      </w:r>
    </w:p>
    <w:p>
      <w:pPr>
        <w:pStyle w:val="Subsection"/>
        <w:rPr>
          <w:snapToGrid w:val="0"/>
        </w:rPr>
      </w:pPr>
      <w:r>
        <w:rPr>
          <w:snapToGrid w:val="0"/>
        </w:rPr>
        <w:tab/>
      </w:r>
      <w:r>
        <w:rPr>
          <w:snapToGrid w:val="0"/>
        </w:rPr>
        <w:tab/>
        <w:t>The Council may, in its discretion and subject to such terms, conditions and restrictions as it sees fit — </w:t>
      </w:r>
    </w:p>
    <w:p>
      <w:pPr>
        <w:pStyle w:val="Indenta"/>
        <w:rPr>
          <w:snapToGrid w:val="0"/>
        </w:rPr>
      </w:pPr>
      <w:r>
        <w:rPr>
          <w:snapToGrid w:val="0"/>
        </w:rPr>
        <w:tab/>
        <w:t>(a)</w:t>
      </w:r>
      <w:r>
        <w:rPr>
          <w:snapToGrid w:val="0"/>
        </w:rPr>
        <w:tab/>
        <w:t>permit any person to bring, possess, use or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28" w:name="_Toc378930695"/>
      <w:bookmarkStart w:id="29" w:name="_Toc420505715"/>
      <w:r>
        <w:rPr>
          <w:rStyle w:val="CharSectno"/>
        </w:rPr>
        <w:t>9</w:t>
      </w:r>
      <w:r>
        <w:rPr>
          <w:snapToGrid w:val="0"/>
        </w:rPr>
        <w:t>.</w:t>
      </w:r>
      <w:r>
        <w:rPr>
          <w:snapToGrid w:val="0"/>
        </w:rPr>
        <w:tab/>
        <w:t>Pharmaceutical</w:t>
      </w:r>
      <w:bookmarkEnd w:id="28"/>
      <w:bookmarkEnd w:id="29"/>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0" w:name="_Toc378930696"/>
      <w:bookmarkStart w:id="31" w:name="_Toc420505716"/>
      <w:r>
        <w:rPr>
          <w:rStyle w:val="CharSectno"/>
        </w:rPr>
        <w:t>10</w:t>
      </w:r>
      <w:r>
        <w:rPr>
          <w:snapToGrid w:val="0"/>
        </w:rPr>
        <w:t>.</w:t>
      </w:r>
      <w:r>
        <w:rPr>
          <w:snapToGrid w:val="0"/>
        </w:rPr>
        <w:tab/>
        <w:t>Deleterious substance or petrol</w:t>
      </w:r>
      <w:bookmarkEnd w:id="30"/>
      <w:bookmarkEnd w:id="31"/>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for the purpose of inhalation; or</w:t>
      </w:r>
    </w:p>
    <w:p>
      <w:pPr>
        <w:pStyle w:val="Indenta"/>
        <w:rPr>
          <w:snapToGrid w:val="0"/>
        </w:rPr>
      </w:pPr>
      <w:r>
        <w:rPr>
          <w:snapToGrid w:val="0"/>
        </w:rPr>
        <w:tab/>
        <w:t>(ii)</w:t>
      </w:r>
      <w:r>
        <w:rPr>
          <w:snapToGrid w:val="0"/>
        </w:rPr>
        <w:tab/>
        <w:t>intends to sell or supply the deleterious substance for the purpose of inhalation.</w:t>
      </w:r>
    </w:p>
    <w:p>
      <w:pPr>
        <w:pStyle w:val="Heading2"/>
      </w:pPr>
      <w:bookmarkStart w:id="32" w:name="_Toc378930697"/>
      <w:bookmarkStart w:id="33" w:name="_Toc420505633"/>
      <w:bookmarkStart w:id="34" w:name="_Toc420505717"/>
      <w:r>
        <w:rPr>
          <w:rStyle w:val="CharPartNo"/>
        </w:rPr>
        <w:t>Part 4</w:t>
      </w:r>
      <w:r>
        <w:rPr>
          <w:rStyle w:val="CharDivNo"/>
        </w:rPr>
        <w:t> </w:t>
      </w:r>
      <w:r>
        <w:t>—</w:t>
      </w:r>
      <w:r>
        <w:rPr>
          <w:rStyle w:val="CharDivText"/>
        </w:rPr>
        <w:t> </w:t>
      </w:r>
      <w:r>
        <w:rPr>
          <w:rStyle w:val="CharPartText"/>
        </w:rPr>
        <w:t>Traffic</w:t>
      </w:r>
      <w:bookmarkEnd w:id="32"/>
      <w:bookmarkEnd w:id="33"/>
      <w:bookmarkEnd w:id="34"/>
      <w:r>
        <w:rPr>
          <w:rStyle w:val="CharPartText"/>
        </w:rPr>
        <w:t xml:space="preserve"> </w:t>
      </w:r>
    </w:p>
    <w:p>
      <w:pPr>
        <w:pStyle w:val="Heading5"/>
        <w:rPr>
          <w:snapToGrid w:val="0"/>
        </w:rPr>
      </w:pPr>
      <w:bookmarkStart w:id="35" w:name="_Toc378930698"/>
      <w:bookmarkStart w:id="36" w:name="_Toc420505718"/>
      <w:r>
        <w:rPr>
          <w:rStyle w:val="CharSectno"/>
        </w:rPr>
        <w:t>11</w:t>
      </w:r>
      <w:r>
        <w:rPr>
          <w:snapToGrid w:val="0"/>
        </w:rPr>
        <w:t>.</w:t>
      </w:r>
      <w:r>
        <w:rPr>
          <w:snapToGrid w:val="0"/>
        </w:rPr>
        <w:tab/>
        <w:t>Traffic signs</w:t>
      </w:r>
      <w:bookmarkEnd w:id="35"/>
      <w:bookmarkEnd w:id="36"/>
    </w:p>
    <w:p>
      <w:pPr>
        <w:pStyle w:val="Subsection"/>
        <w:rPr>
          <w:snapToGrid w:val="0"/>
        </w:rPr>
      </w:pPr>
      <w:r>
        <w:rPr>
          <w:snapToGrid w:val="0"/>
        </w:rPr>
        <w:tab/>
        <w:t>(a)</w:t>
      </w:r>
      <w:r>
        <w:rPr>
          <w:snapToGrid w:val="0"/>
        </w:rPr>
        <w:tab/>
        <w:t>The Council may place signs (</w:t>
      </w:r>
      <w:r>
        <w:rPr>
          <w:b/>
          <w:bCs/>
          <w:snapToGrid w:val="0"/>
        </w:rPr>
        <w:t>‘</w:t>
      </w:r>
      <w:r>
        <w:rPr>
          <w:b/>
          <w:bCs/>
        </w:rPr>
        <w:t>traffic signs’</w:t>
      </w:r>
      <w:r>
        <w:rPr>
          <w:snapToGrid w:val="0"/>
        </w:rPr>
        <w:t>)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an offence.</w:t>
      </w:r>
    </w:p>
    <w:p>
      <w:pPr>
        <w:pStyle w:val="Heading5"/>
        <w:rPr>
          <w:snapToGrid w:val="0"/>
        </w:rPr>
      </w:pPr>
      <w:bookmarkStart w:id="37" w:name="_Toc378930699"/>
      <w:bookmarkStart w:id="38" w:name="_Toc420505719"/>
      <w:r>
        <w:rPr>
          <w:rStyle w:val="CharSectno"/>
        </w:rPr>
        <w:t>12</w:t>
      </w:r>
      <w:r>
        <w:rPr>
          <w:snapToGrid w:val="0"/>
        </w:rPr>
        <w:t>.</w:t>
      </w:r>
      <w:r>
        <w:rPr>
          <w:snapToGrid w:val="0"/>
        </w:rPr>
        <w:tab/>
        <w:t>Careless and dangerous driving</w:t>
      </w:r>
      <w:bookmarkEnd w:id="37"/>
      <w:bookmarkEnd w:id="38"/>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a prohibited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39" w:name="_Toc378930700"/>
      <w:bookmarkStart w:id="40" w:name="_Toc420505636"/>
      <w:bookmarkStart w:id="41" w:name="_Toc420505720"/>
      <w:r>
        <w:rPr>
          <w:rStyle w:val="CharPartNo"/>
        </w:rPr>
        <w:t>Part 5</w:t>
      </w:r>
      <w:r>
        <w:rPr>
          <w:rStyle w:val="CharDivNo"/>
        </w:rPr>
        <w:t> </w:t>
      </w:r>
      <w:r>
        <w:t>—</w:t>
      </w:r>
      <w:r>
        <w:rPr>
          <w:rStyle w:val="CharDivText"/>
        </w:rPr>
        <w:t> </w:t>
      </w:r>
      <w:r>
        <w:rPr>
          <w:rStyle w:val="CharPartText"/>
        </w:rPr>
        <w:t>The regulation of other matters</w:t>
      </w:r>
      <w:bookmarkEnd w:id="39"/>
      <w:bookmarkEnd w:id="40"/>
      <w:bookmarkEnd w:id="41"/>
      <w:r>
        <w:rPr>
          <w:rStyle w:val="CharPartText"/>
        </w:rPr>
        <w:t xml:space="preserve"> </w:t>
      </w:r>
    </w:p>
    <w:p>
      <w:pPr>
        <w:pStyle w:val="Heading5"/>
        <w:rPr>
          <w:snapToGrid w:val="0"/>
        </w:rPr>
      </w:pPr>
      <w:bookmarkStart w:id="42" w:name="_Toc378930701"/>
      <w:bookmarkStart w:id="43" w:name="_Toc420505721"/>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4" w:name="_Toc378930702"/>
      <w:bookmarkStart w:id="45" w:name="_Toc420505722"/>
      <w:r>
        <w:rPr>
          <w:rStyle w:val="CharSectno"/>
        </w:rPr>
        <w:t>14</w:t>
      </w:r>
      <w:r>
        <w:rPr>
          <w:snapToGrid w:val="0"/>
        </w:rPr>
        <w:t>.</w:t>
      </w:r>
      <w:r>
        <w:rPr>
          <w:snapToGrid w:val="0"/>
        </w:rPr>
        <w:tab/>
        <w:t>Wilful damage</w:t>
      </w:r>
      <w:bookmarkEnd w:id="44"/>
      <w:bookmarkEnd w:id="45"/>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46" w:name="_Toc378930703"/>
      <w:bookmarkStart w:id="47" w:name="_Toc420505723"/>
      <w:r>
        <w:rPr>
          <w:rStyle w:val="CharSectno"/>
        </w:rPr>
        <w:t>15</w:t>
      </w:r>
      <w:r>
        <w:rPr>
          <w:snapToGrid w:val="0"/>
        </w:rPr>
        <w:t>.</w:t>
      </w:r>
      <w:r>
        <w:rPr>
          <w:snapToGrid w:val="0"/>
        </w:rPr>
        <w:tab/>
        <w:t>Disruption of meetings</w:t>
      </w:r>
      <w:bookmarkEnd w:id="46"/>
      <w:bookmarkEnd w:id="47"/>
      <w:r>
        <w:rPr>
          <w:snapToGrid w:val="0"/>
        </w:rPr>
        <w:t xml:space="preserve"> </w:t>
      </w:r>
    </w:p>
    <w:p>
      <w:pPr>
        <w:pStyle w:val="Subsection"/>
        <w:rPr>
          <w:snapToGrid w:val="0"/>
        </w:rPr>
      </w:pPr>
      <w:r>
        <w:rPr>
          <w:snapToGrid w:val="0"/>
        </w:rPr>
        <w:tab/>
      </w:r>
      <w:r>
        <w:rPr>
          <w:snapToGrid w:val="0"/>
        </w:rPr>
        <w:tab/>
        <w:t>No person shall interrupt any meeting of the Council or of the community, or any customary meeting, by noise or any offensive or disorderly behaviour.</w:t>
      </w:r>
    </w:p>
    <w:p>
      <w:pPr>
        <w:pStyle w:val="Heading2"/>
      </w:pPr>
      <w:bookmarkStart w:id="48" w:name="_Toc378930704"/>
      <w:bookmarkStart w:id="49" w:name="_Toc420505640"/>
      <w:bookmarkStart w:id="50" w:name="_Toc420505724"/>
      <w:r>
        <w:rPr>
          <w:rStyle w:val="CharPartNo"/>
        </w:rPr>
        <w:t>Part 6</w:t>
      </w:r>
      <w:r>
        <w:rPr>
          <w:rStyle w:val="CharDivNo"/>
        </w:rPr>
        <w:t> </w:t>
      </w:r>
      <w:r>
        <w:t>—</w:t>
      </w:r>
      <w:r>
        <w:rPr>
          <w:rStyle w:val="CharDivText"/>
        </w:rPr>
        <w:t> </w:t>
      </w:r>
      <w:r>
        <w:rPr>
          <w:rStyle w:val="CharPartText"/>
        </w:rPr>
        <w:t>Enforcement and proceedings</w:t>
      </w:r>
      <w:bookmarkEnd w:id="48"/>
      <w:bookmarkEnd w:id="49"/>
      <w:bookmarkEnd w:id="50"/>
      <w:r>
        <w:rPr>
          <w:rStyle w:val="CharPartText"/>
        </w:rPr>
        <w:t xml:space="preserve"> </w:t>
      </w:r>
    </w:p>
    <w:p>
      <w:pPr>
        <w:pStyle w:val="Heading5"/>
        <w:rPr>
          <w:snapToGrid w:val="0"/>
        </w:rPr>
      </w:pPr>
      <w:bookmarkStart w:id="51" w:name="_Toc378930705"/>
      <w:bookmarkStart w:id="52" w:name="_Toc420505725"/>
      <w:r>
        <w:rPr>
          <w:rStyle w:val="CharSectno"/>
        </w:rPr>
        <w:t>16</w:t>
      </w:r>
      <w:r>
        <w:rPr>
          <w:snapToGrid w:val="0"/>
        </w:rPr>
        <w:t>.</w:t>
      </w:r>
      <w:r>
        <w:rPr>
          <w:snapToGrid w:val="0"/>
        </w:rPr>
        <w:tab/>
        <w:t>Powers of Police</w:t>
      </w:r>
      <w:bookmarkEnd w:id="51"/>
      <w:bookmarkEnd w:id="52"/>
      <w:r>
        <w:rPr>
          <w:snapToGrid w:val="0"/>
        </w:rPr>
        <w:t xml:space="preserve"> </w:t>
      </w:r>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request the name and address of any person who he believes on reasonable grounds — </w:t>
      </w:r>
    </w:p>
    <w:p>
      <w:pPr>
        <w:pStyle w:val="Indenti"/>
        <w:rPr>
          <w:snapToGrid w:val="0"/>
        </w:rPr>
      </w:pPr>
      <w:r>
        <w:rPr>
          <w:snapToGrid w:val="0"/>
        </w:rPr>
        <w:tab/>
        <w:t>(i)</w:t>
      </w:r>
      <w:r>
        <w:rPr>
          <w:snapToGrid w:val="0"/>
        </w:rPr>
        <w:tab/>
        <w:t>to be on community land, committed a breach of by</w:t>
      </w:r>
      <w:r>
        <w:rPr>
          <w:snapToGrid w:val="0"/>
        </w:rPr>
        <w:noBreakHyphen/>
        <w:t>law; or</w:t>
      </w:r>
    </w:p>
    <w:p>
      <w:pPr>
        <w:pStyle w:val="Indenti"/>
        <w:rPr>
          <w:snapToGrid w:val="0"/>
        </w:rPr>
      </w:pPr>
      <w:r>
        <w:rPr>
          <w:snapToGrid w:val="0"/>
        </w:rPr>
        <w:tab/>
        <w:t>(ii)</w:t>
      </w:r>
      <w:r>
        <w:rPr>
          <w:snapToGrid w:val="0"/>
        </w:rPr>
        <w:tab/>
        <w:t>to have, while on community land, committed a breach of by</w:t>
      </w:r>
      <w:r>
        <w:rPr>
          <w:snapToGrid w:val="0"/>
        </w:rPr>
        <w:noBreakHyphen/>
        <w:t>law;</w:t>
      </w:r>
    </w:p>
    <w:p>
      <w:pPr>
        <w:pStyle w:val="Indenta"/>
        <w:rPr>
          <w:snapToGrid w:val="0"/>
        </w:rPr>
      </w:pPr>
      <w:r>
        <w:rPr>
          <w:snapToGrid w:val="0"/>
        </w:rPr>
        <w:tab/>
        <w:t>(d)</w:t>
      </w:r>
      <w:r>
        <w:rPr>
          <w:snapToGrid w:val="0"/>
        </w:rPr>
        <w:tab/>
        <w:t>if he has reasonable cause to suspect that a prohibited substance is in any vehicle in contravention of these by</w:t>
      </w:r>
      <w:r>
        <w:rPr>
          <w:snapToGrid w:val="0"/>
        </w:rPr>
        <w:noBreakHyphen/>
        <w:t>laws, stop, detain and search such vehicle and seize any deleterious substance and any receptacle containing a deleterious substance which he may find in or on the vehicle and may retain in his custody or control any property so seized until dealt with according to these by</w:t>
      </w:r>
      <w:r>
        <w:rPr>
          <w:snapToGrid w:val="0"/>
        </w:rPr>
        <w:noBreakHyphen/>
        <w:t>laws;</w:t>
      </w:r>
    </w:p>
    <w:p>
      <w:pPr>
        <w:pStyle w:val="Indenta"/>
        <w:rPr>
          <w:snapToGrid w:val="0"/>
        </w:rPr>
      </w:pPr>
      <w:r>
        <w:rPr>
          <w:snapToGrid w:val="0"/>
        </w:rPr>
        <w:tab/>
        <w:t>(e)</w:t>
      </w:r>
      <w:r>
        <w:rPr>
          <w:snapToGrid w:val="0"/>
        </w:rPr>
        <w:tab/>
        <w:t>if a prohibited substance is found in a vehicle through the exercise of the power conferred by by</w:t>
      </w:r>
      <w:r>
        <w:rPr>
          <w:snapToGrid w:val="0"/>
        </w:rPr>
        <w:noBreakHyphen/>
        <w:t>law 17, seize the vehicle, search and detain it for up to maximum period of 14 days if such is considered necessary by the Police Officer, on reasonable grounds to prevent a repetition of the prescribed conduct.</w:t>
      </w:r>
    </w:p>
    <w:p>
      <w:pPr>
        <w:pStyle w:val="Heading5"/>
        <w:rPr>
          <w:snapToGrid w:val="0"/>
        </w:rPr>
      </w:pPr>
      <w:bookmarkStart w:id="53" w:name="_Toc378930706"/>
      <w:bookmarkStart w:id="54" w:name="_Toc420505726"/>
      <w:r>
        <w:rPr>
          <w:rStyle w:val="CharSectno"/>
        </w:rPr>
        <w:t>17</w:t>
      </w:r>
      <w:r>
        <w:rPr>
          <w:snapToGrid w:val="0"/>
        </w:rPr>
        <w:t>.</w:t>
      </w:r>
      <w:r>
        <w:rPr>
          <w:snapToGrid w:val="0"/>
        </w:rPr>
        <w:tab/>
        <w:t>Procedure</w:t>
      </w:r>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 xml:space="preserve">law shall be commenced by the way of complaint and summons under and in accordance with the </w:t>
      </w:r>
      <w:r>
        <w:rPr>
          <w:i/>
          <w:snapToGrid w:val="0"/>
        </w:rPr>
        <w:t>Justices Act 1902</w:t>
      </w:r>
      <w:r>
        <w:rPr>
          <w:snapToGrid w:val="0"/>
        </w:rPr>
        <w:t xml:space="preserve"> and shall be commenced within 6 months after the offence was committed.</w:t>
      </w:r>
    </w:p>
    <w:p>
      <w:pPr>
        <w:pStyle w:val="Heading5"/>
        <w:rPr>
          <w:snapToGrid w:val="0"/>
        </w:rPr>
      </w:pPr>
      <w:bookmarkStart w:id="55" w:name="_Toc378930707"/>
      <w:bookmarkStart w:id="56" w:name="_Toc420505727"/>
      <w:r>
        <w:rPr>
          <w:rStyle w:val="CharSectno"/>
        </w:rPr>
        <w:t>18</w:t>
      </w:r>
      <w:r>
        <w:rPr>
          <w:snapToGrid w:val="0"/>
        </w:rPr>
        <w:t>.</w:t>
      </w:r>
      <w:r>
        <w:rPr>
          <w:snapToGrid w:val="0"/>
        </w:rPr>
        <w:tab/>
        <w:t>Offences</w:t>
      </w:r>
      <w:bookmarkEnd w:id="55"/>
      <w:bookmarkEnd w:id="56"/>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4, 5, 6, 7, 8, 9, 10, 11, 12, 13, 14 and 15, commits an offence.</w:t>
      </w:r>
    </w:p>
    <w:p>
      <w:pPr>
        <w:pStyle w:val="Heading2"/>
      </w:pPr>
      <w:bookmarkStart w:id="57" w:name="_Toc378930708"/>
      <w:bookmarkStart w:id="58" w:name="_Toc420505644"/>
      <w:bookmarkStart w:id="59" w:name="_Toc420505728"/>
      <w:r>
        <w:rPr>
          <w:rStyle w:val="CharPartNo"/>
        </w:rPr>
        <w:t>Part 7</w:t>
      </w:r>
      <w:r>
        <w:rPr>
          <w:rStyle w:val="CharDivNo"/>
        </w:rPr>
        <w:t> </w:t>
      </w:r>
      <w:r>
        <w:t>—</w:t>
      </w:r>
      <w:r>
        <w:rPr>
          <w:rStyle w:val="CharDivText"/>
        </w:rPr>
        <w:t> </w:t>
      </w:r>
      <w:r>
        <w:rPr>
          <w:rStyle w:val="CharPartText"/>
        </w:rPr>
        <w:t>Penalties and orders of the Court</w:t>
      </w:r>
      <w:bookmarkEnd w:id="57"/>
      <w:bookmarkEnd w:id="58"/>
      <w:bookmarkEnd w:id="59"/>
      <w:r>
        <w:rPr>
          <w:rStyle w:val="CharPartText"/>
        </w:rPr>
        <w:t xml:space="preserve"> </w:t>
      </w:r>
    </w:p>
    <w:p>
      <w:pPr>
        <w:pStyle w:val="Heading5"/>
        <w:rPr>
          <w:snapToGrid w:val="0"/>
        </w:rPr>
      </w:pPr>
      <w:bookmarkStart w:id="60" w:name="_Toc378930709"/>
      <w:bookmarkStart w:id="61" w:name="_Toc420505729"/>
      <w:r>
        <w:rPr>
          <w:rStyle w:val="CharSectno"/>
        </w:rPr>
        <w:t>19</w:t>
      </w:r>
      <w:r>
        <w:rPr>
          <w:snapToGrid w:val="0"/>
        </w:rPr>
        <w:t>.</w:t>
      </w:r>
      <w:r>
        <w:rPr>
          <w:snapToGrid w:val="0"/>
        </w:rPr>
        <w:tab/>
        <w:t>Penalties</w:t>
      </w:r>
      <w:bookmarkEnd w:id="60"/>
      <w:bookmarkEnd w:id="61"/>
    </w:p>
    <w:p>
      <w:pPr>
        <w:pStyle w:val="Subsection"/>
      </w:pPr>
      <w:r>
        <w:tab/>
        <w:t>(a)</w:t>
      </w:r>
      <w:r>
        <w:tab/>
      </w:r>
      <w:r>
        <w:rPr>
          <w:snapToGrid w:val="0"/>
        </w:rPr>
        <w:t>Any</w:t>
      </w:r>
      <w:r>
        <w:t xml:space="preserve"> person who breaks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16(d).</w:t>
      </w:r>
    </w:p>
    <w:p>
      <w:pPr>
        <w:pStyle w:val="Footnotesection"/>
      </w:pPr>
      <w:r>
        <w:tab/>
        <w:t>[By</w:t>
      </w:r>
      <w:r>
        <w:noBreakHyphen/>
        <w:t>law 19 amended: Gazette 14 May 2004 p. 1454.]</w:t>
      </w:r>
    </w:p>
    <w:p>
      <w:pPr>
        <w:pStyle w:val="Heading5"/>
        <w:rPr>
          <w:snapToGrid w:val="0"/>
        </w:rPr>
      </w:pPr>
      <w:bookmarkStart w:id="62" w:name="_Toc378930710"/>
      <w:bookmarkStart w:id="63" w:name="_Toc420505730"/>
      <w:r>
        <w:rPr>
          <w:rStyle w:val="CharSectno"/>
        </w:rPr>
        <w:t>20</w:t>
      </w:r>
      <w:r>
        <w:rPr>
          <w:snapToGrid w:val="0"/>
        </w:rPr>
        <w:t>.</w:t>
      </w:r>
      <w:r>
        <w:rPr>
          <w:snapToGrid w:val="0"/>
        </w:rPr>
        <w:tab/>
        <w:t>Defence of acting under custom</w:t>
      </w:r>
      <w:bookmarkEnd w:id="62"/>
      <w:bookmarkEnd w:id="63"/>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any custom of the community.</w:t>
      </w:r>
    </w:p>
    <w:p>
      <w:pPr>
        <w:pStyle w:val="Heading5"/>
        <w:rPr>
          <w:snapToGrid w:val="0"/>
        </w:rPr>
      </w:pPr>
      <w:bookmarkStart w:id="64" w:name="_Toc378930711"/>
      <w:bookmarkStart w:id="65" w:name="_Toc420505731"/>
      <w:r>
        <w:rPr>
          <w:rStyle w:val="CharSectno"/>
        </w:rPr>
        <w:t>21</w:t>
      </w:r>
      <w:r>
        <w:rPr>
          <w:snapToGrid w:val="0"/>
        </w:rPr>
        <w:t>.</w:t>
      </w:r>
      <w:r>
        <w:rPr>
          <w:snapToGrid w:val="0"/>
        </w:rPr>
        <w:tab/>
        <w:t>Council members</w:t>
      </w:r>
      <w:bookmarkEnd w:id="64"/>
      <w:bookmarkEnd w:id="65"/>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snapToGrid w:val="0"/>
        </w:rPr>
      </w:pPr>
      <w:r>
        <w:rPr>
          <w:snapToGrid w:val="0"/>
        </w:rPr>
        <w:tab/>
        <w:t>(b)</w:t>
      </w:r>
      <w:r>
        <w:rPr>
          <w:snapToGrid w:val="0"/>
        </w:rPr>
        <w:tab/>
        <w:t>In the event that such charge against the Council member is withdrawn or is dismissed after trial then, by that occurrence he shall be restored to his former position.</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6" w:name="_Toc378930712"/>
      <w:bookmarkStart w:id="67" w:name="_Toc420505648"/>
      <w:bookmarkStart w:id="68" w:name="_Toc420505732"/>
      <w:r>
        <w:t>Notes</w:t>
      </w:r>
      <w:bookmarkEnd w:id="66"/>
      <w:bookmarkEnd w:id="67"/>
      <w:bookmarkEnd w:id="68"/>
    </w:p>
    <w:p>
      <w:pPr>
        <w:pStyle w:val="nSubsection"/>
        <w:rPr>
          <w:snapToGrid w:val="0"/>
        </w:rPr>
      </w:pPr>
      <w:r>
        <w:rPr>
          <w:snapToGrid w:val="0"/>
          <w:vertAlign w:val="superscript"/>
        </w:rPr>
        <w:t>1</w:t>
      </w:r>
      <w:r>
        <w:rPr>
          <w:snapToGrid w:val="0"/>
        </w:rPr>
        <w:tab/>
        <w:t xml:space="preserve">This reprint is a compilation as at 8 April 2005 of the </w:t>
      </w:r>
      <w:r>
        <w:rPr>
          <w:i/>
          <w:noProof/>
          <w:snapToGrid w:val="0"/>
        </w:rPr>
        <w:t>Junjuwa Community Incorporated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8930713"/>
      <w:bookmarkStart w:id="70" w:name="_Toc420505733"/>
      <w:r>
        <w:rPr>
          <w:snapToGrid w:val="0"/>
        </w:rP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Junjuwa Community Incorporated By</w:t>
            </w:r>
            <w:r>
              <w:rPr>
                <w:i/>
              </w:rPr>
              <w:noBreakHyphen/>
              <w:t>laws</w:t>
            </w:r>
          </w:p>
        </w:tc>
        <w:tc>
          <w:tcPr>
            <w:tcW w:w="1276" w:type="dxa"/>
            <w:tcBorders>
              <w:top w:val="single" w:sz="8" w:space="0" w:color="auto"/>
            </w:tcBorders>
          </w:tcPr>
          <w:p>
            <w:pPr>
              <w:pStyle w:val="nTable"/>
              <w:spacing w:after="40"/>
            </w:pPr>
            <w:r>
              <w:t>10 May 1991 p. 2357</w:t>
            </w:r>
            <w:r>
              <w:noBreakHyphen/>
              <w:t>9</w:t>
            </w:r>
          </w:p>
        </w:tc>
        <w:tc>
          <w:tcPr>
            <w:tcW w:w="2693" w:type="dxa"/>
            <w:tcBorders>
              <w:top w:val="single" w:sz="8" w:space="0" w:color="auto"/>
            </w:tcBorders>
          </w:tcPr>
          <w:p>
            <w:pPr>
              <w:pStyle w:val="nTable"/>
              <w:spacing w:after="40"/>
            </w:pPr>
            <w:r>
              <w:t>10 May 1991 (see bl. 2)</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9</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Junjuwa Community Incorporated By</w:t>
            </w:r>
            <w:r>
              <w:rPr>
                <w:b/>
                <w:bCs/>
                <w:i/>
              </w:rPr>
              <w:noBreakHyphen/>
              <w:t>laws</w:t>
            </w:r>
            <w:r>
              <w:rPr>
                <w:b/>
                <w:bCs/>
              </w:rPr>
              <w:t xml:space="preserve"> as at 8 Apr 2005</w:t>
            </w:r>
            <w:r>
              <w:rPr>
                <w:b/>
                <w:bCs/>
              </w:rPr>
              <w:br/>
            </w:r>
            <w:r>
              <w:t>(includes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2" w:name="_Toc420505734"/>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by-law</w:t>
      </w:r>
      <w:r>
        <w:tab/>
        <w:t>3</w:t>
      </w:r>
    </w:p>
    <w:p>
      <w:pPr>
        <w:pStyle w:val="DefinedTerms"/>
      </w:pPr>
      <w:r>
        <w:t>community land</w:t>
      </w:r>
      <w:r>
        <w:tab/>
        <w:t>3</w:t>
      </w:r>
    </w:p>
    <w:p>
      <w:pPr>
        <w:pStyle w:val="DefinedTerms"/>
      </w:pPr>
      <w:r>
        <w:t>deleterious substance</w:t>
      </w:r>
      <w:r>
        <w:tab/>
        <w:t>3</w:t>
      </w:r>
    </w:p>
    <w:p>
      <w:pPr>
        <w:pStyle w:val="DefinedTerms"/>
      </w:pPr>
      <w:r>
        <w:t>liquor</w:t>
      </w:r>
      <w:r>
        <w:tab/>
        <w:t>3</w:t>
      </w:r>
    </w:p>
    <w:p>
      <w:pPr>
        <w:pStyle w:val="DefinedTerms"/>
      </w:pPr>
      <w:r>
        <w:t>member of the community</w:t>
      </w:r>
      <w:r>
        <w:tab/>
        <w:t>3</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vehicle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Junjuwa Community Incorporated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94D9C0"/>
    <w:lvl w:ilvl="0">
      <w:start w:val="1"/>
      <w:numFmt w:val="decimal"/>
      <w:lvlText w:val="%1."/>
      <w:lvlJc w:val="left"/>
      <w:pPr>
        <w:tabs>
          <w:tab w:val="num" w:pos="1492"/>
        </w:tabs>
        <w:ind w:left="1492" w:hanging="360"/>
      </w:pPr>
    </w:lvl>
  </w:abstractNum>
  <w:abstractNum w:abstractNumId="1">
    <w:nsid w:val="FFFFFF7D"/>
    <w:multiLevelType w:val="singleLevel"/>
    <w:tmpl w:val="2F3ED362"/>
    <w:lvl w:ilvl="0">
      <w:start w:val="1"/>
      <w:numFmt w:val="decimal"/>
      <w:lvlText w:val="%1."/>
      <w:lvlJc w:val="left"/>
      <w:pPr>
        <w:tabs>
          <w:tab w:val="num" w:pos="1209"/>
        </w:tabs>
        <w:ind w:left="1209" w:hanging="360"/>
      </w:pPr>
    </w:lvl>
  </w:abstractNum>
  <w:abstractNum w:abstractNumId="2">
    <w:nsid w:val="FFFFFF7E"/>
    <w:multiLevelType w:val="singleLevel"/>
    <w:tmpl w:val="DD76B812"/>
    <w:lvl w:ilvl="0">
      <w:start w:val="1"/>
      <w:numFmt w:val="decimal"/>
      <w:lvlText w:val="%1."/>
      <w:lvlJc w:val="left"/>
      <w:pPr>
        <w:tabs>
          <w:tab w:val="num" w:pos="926"/>
        </w:tabs>
        <w:ind w:left="926" w:hanging="360"/>
      </w:pPr>
    </w:lvl>
  </w:abstractNum>
  <w:abstractNum w:abstractNumId="3">
    <w:nsid w:val="FFFFFF7F"/>
    <w:multiLevelType w:val="singleLevel"/>
    <w:tmpl w:val="F17A8000"/>
    <w:lvl w:ilvl="0">
      <w:start w:val="1"/>
      <w:numFmt w:val="decimal"/>
      <w:lvlText w:val="%1."/>
      <w:lvlJc w:val="left"/>
      <w:pPr>
        <w:tabs>
          <w:tab w:val="num" w:pos="643"/>
        </w:tabs>
        <w:ind w:left="643" w:hanging="360"/>
      </w:pPr>
    </w:lvl>
  </w:abstractNum>
  <w:abstractNum w:abstractNumId="4">
    <w:nsid w:val="FFFFFF80"/>
    <w:multiLevelType w:val="singleLevel"/>
    <w:tmpl w:val="38DA5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341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0BE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68D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167F08"/>
    <w:lvl w:ilvl="0">
      <w:start w:val="1"/>
      <w:numFmt w:val="decimal"/>
      <w:lvlText w:val="%1."/>
      <w:lvlJc w:val="left"/>
      <w:pPr>
        <w:tabs>
          <w:tab w:val="num" w:pos="360"/>
        </w:tabs>
        <w:ind w:left="360" w:hanging="360"/>
      </w:pPr>
    </w:lvl>
  </w:abstractNum>
  <w:abstractNum w:abstractNumId="9">
    <w:nsid w:val="FFFFFF89"/>
    <w:multiLevelType w:val="singleLevel"/>
    <w:tmpl w:val="6688E9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4EEC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257"/>
    <w:docVar w:name="WAFER_20140130142303" w:val="RemoveTocBookmarks,RemoveUnusedBookmarks,RemoveLanguageTags,UsedStyles,ResetPageSize,UpdateArrangement"/>
    <w:docVar w:name="WAFER_20140130142303_GUID" w:val="338d9ba9-71a5-48d2-bab5-cc1349d9691d"/>
    <w:docVar w:name="WAFER_20140130142308" w:val="RemoveTocBookmarks,RunningHeaders"/>
    <w:docVar w:name="WAFER_20140130142308_GUID" w:val="0abfe848-4072-4cfb-982c-349ebb654346"/>
    <w:docVar w:name="WAFER_20150527152449" w:val="ResetPageSize,UpdateArrangement,UpdateNTable"/>
    <w:docVar w:name="WAFER_20150527152449_GUID" w:val="dba5f1a7-a207-40ae-ba42-1b379706aad3"/>
    <w:docVar w:name="WAFER_20151106090357" w:val="UpdateStyles,UsedStyles"/>
    <w:docVar w:name="WAFER_20151106090357_GUID" w:val="c45b3741-0b01-4562-970b-8d49990046fa"/>
    <w:docVar w:name="WAFER_20151130162257" w:val="RemoveTrackChanges"/>
    <w:docVar w:name="WAFER_20151130162257_GUID" w:val="6d265e71-e492-45f8-8028-d878b7c9e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2193</Words>
  <Characters>10750</Characters>
  <Application>Microsoft Office Word</Application>
  <DocSecurity>0</DocSecurity>
  <Lines>346</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12728</CharactersWithSpaces>
  <SharedDoc>false</SharedDoc>
  <HLinks>
    <vt:vector size="12" baseType="variant">
      <vt:variant>
        <vt:i4>65542</vt:i4>
      </vt:variant>
      <vt:variant>
        <vt:i4>2973</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Junjuwa Community Incorporated By-laws - 01-a0-10</dc:title>
  <dc:subject/>
  <dc:creator/>
  <cp:keywords/>
  <dc:description/>
  <cp:lastModifiedBy>svcMRProcess</cp:lastModifiedBy>
  <cp:revision>4</cp:revision>
  <cp:lastPrinted>2005-04-11T07:45:00Z</cp:lastPrinted>
  <dcterms:created xsi:type="dcterms:W3CDTF">2019-01-16T07:58:00Z</dcterms:created>
  <dcterms:modified xsi:type="dcterms:W3CDTF">2019-01-16T07:58:00Z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May 1991 pp.2357-9</vt:lpwstr>
  </property>
  <property fmtid="{D5CDD505-2E9C-101B-9397-08002B2CF9AE}" pid="3" name="CommencementDate">
    <vt:lpwstr>20050408</vt:lpwstr>
  </property>
  <property fmtid="{D5CDD505-2E9C-101B-9397-08002B2CF9AE}" pid="4" name="DocumentType">
    <vt:lpwstr>Reg</vt:lpwstr>
  </property>
  <property fmtid="{D5CDD505-2E9C-101B-9397-08002B2CF9AE}" pid="5" name="OwlsUID">
    <vt:i4>4535</vt:i4>
  </property>
  <property fmtid="{D5CDD505-2E9C-101B-9397-08002B2CF9AE}" pid="6" name="Formerly">
    <vt:lpwstr>Junjuwa Community Incorporated By-Laws</vt:lpwstr>
  </property>
  <property fmtid="{D5CDD505-2E9C-101B-9397-08002B2CF9AE}" pid="7" name="ReprintedAsAt">
    <vt:filetime>2005-04-07T16:00:00Z</vt:filetime>
  </property>
  <property fmtid="{D5CDD505-2E9C-101B-9397-08002B2CF9AE}" pid="8" name="ReprintNo">
    <vt:lpwstr>1</vt:lpwstr>
  </property>
  <property fmtid="{D5CDD505-2E9C-101B-9397-08002B2CF9AE}" pid="9" name="AsAtDate">
    <vt:lpwstr>08 Apr 2005</vt:lpwstr>
  </property>
  <property fmtid="{D5CDD505-2E9C-101B-9397-08002B2CF9AE}" pid="10" name="Suffix">
    <vt:lpwstr>01-a0-10</vt:lpwstr>
  </property>
</Properties>
</file>