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Land Information Authority Act 2006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Information Authority (Policy Instruments) Regulations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Information Authority (Policy Instruments)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_Toc419815991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_Toc419815992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Content of strategic development plan</w:t>
      </w:r>
      <w:r>
        <w:tab/>
      </w:r>
      <w:r>
        <w:fldChar w:fldCharType="begin"/>
      </w:r>
      <w:r>
        <w:instrText xml:space="preserve"> PAGEREF _Toc419815993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Content of statement of corporate intent</w:t>
      </w:r>
      <w:r>
        <w:tab/>
      </w:r>
      <w:r>
        <w:fldChar w:fldCharType="begin"/>
      </w:r>
      <w:r>
        <w:instrText xml:space="preserve"> PAGEREF _Toc419815994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_Toc419815996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Land Information Authority Act 2006</w:t>
      </w:r>
    </w:p>
    <w:p>
      <w:pPr>
        <w:pStyle w:val="NameofActReg"/>
        <w:spacing w:before="0" w:after="0"/>
      </w:pPr>
      <w:r>
        <w:t>Land Information Authority (Policy Instruments) Regulations 2006</w:t>
      </w:r>
    </w:p>
    <w:p>
      <w:pPr>
        <w:pStyle w:val="Heading5"/>
      </w:pPr>
      <w:bookmarkStart w:id="3" w:name="_Toc378945270"/>
      <w:bookmarkStart w:id="4" w:name="_Toc41981599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Land Information Authority (Policy Instruments) Regulations 2006</w:t>
      </w:r>
      <w:r>
        <w:t>.</w:t>
      </w:r>
    </w:p>
    <w:p>
      <w:pPr>
        <w:pStyle w:val="Heading5"/>
        <w:rPr>
          <w:spacing w:val="-2"/>
        </w:rPr>
      </w:pPr>
      <w:bookmarkStart w:id="6" w:name="_Toc378945271"/>
      <w:bookmarkStart w:id="7" w:name="_Toc41981599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the Act, other than Part 1, comes into operation</w:t>
      </w:r>
      <w:r>
        <w:t>.</w:t>
      </w:r>
    </w:p>
    <w:p>
      <w:pPr>
        <w:pStyle w:val="Heading5"/>
      </w:pPr>
      <w:bookmarkStart w:id="8" w:name="_Toc378945272"/>
      <w:bookmarkStart w:id="9" w:name="_Toc419815993"/>
      <w:r>
        <w:rPr>
          <w:rStyle w:val="CharSectno"/>
        </w:rPr>
        <w:t>3</w:t>
      </w:r>
      <w:r>
        <w:t>.</w:t>
      </w:r>
      <w:r>
        <w:tab/>
        <w:t>Content of strategic development plan</w:t>
      </w:r>
      <w:bookmarkEnd w:id="8"/>
      <w:bookmarkEnd w:id="9"/>
    </w:p>
    <w:p>
      <w:pPr>
        <w:pStyle w:val="Subsection"/>
      </w:pPr>
      <w:r>
        <w:tab/>
      </w:r>
      <w:r>
        <w:tab/>
        <w:t xml:space="preserve">Section 53(2) of the Act requires the Authority’s strategic development plan to include each of the following matters — </w:t>
      </w:r>
    </w:p>
    <w:p>
      <w:pPr>
        <w:pStyle w:val="Indenta"/>
      </w:pPr>
      <w:r>
        <w:tab/>
        <w:t>(a)</w:t>
      </w:r>
      <w:r>
        <w:tab/>
        <w:t>strategic objectives to be achieved during the forecast period;</w:t>
      </w:r>
    </w:p>
    <w:p>
      <w:pPr>
        <w:pStyle w:val="Indenta"/>
      </w:pPr>
      <w:r>
        <w:tab/>
        <w:t>(b)</w:t>
      </w:r>
      <w:r>
        <w:tab/>
        <w:t>productivity levels;</w:t>
      </w:r>
    </w:p>
    <w:p>
      <w:pPr>
        <w:pStyle w:val="Indenta"/>
      </w:pPr>
      <w:r>
        <w:tab/>
        <w:t>(c)</w:t>
      </w:r>
      <w:r>
        <w:tab/>
        <w:t>service efficiency and effectiveness;</w:t>
      </w:r>
    </w:p>
    <w:p>
      <w:pPr>
        <w:pStyle w:val="Indenta"/>
      </w:pPr>
      <w:r>
        <w:tab/>
        <w:t>(d)</w:t>
      </w:r>
      <w:r>
        <w:tab/>
        <w:t>charging for goods and services, according to the kinds of recipients and uses referred to in section 16 of the Act;</w:t>
      </w:r>
    </w:p>
    <w:p>
      <w:pPr>
        <w:pStyle w:val="Indenta"/>
      </w:pPr>
      <w:r>
        <w:tab/>
        <w:t>(e)</w:t>
      </w:r>
      <w:r>
        <w:tab/>
        <w:t>investment strategy;</w:t>
      </w:r>
    </w:p>
    <w:p>
      <w:pPr>
        <w:pStyle w:val="Indenta"/>
      </w:pPr>
      <w:r>
        <w:tab/>
        <w:t>(f)</w:t>
      </w:r>
      <w:r>
        <w:tab/>
        <w:t>financial requirements;</w:t>
      </w:r>
    </w:p>
    <w:p>
      <w:pPr>
        <w:pStyle w:val="Indenta"/>
      </w:pPr>
      <w:r>
        <w:tab/>
        <w:t>(g)</w:t>
      </w:r>
      <w:r>
        <w:tab/>
        <w:t>personnel requirements;</w:t>
      </w:r>
    </w:p>
    <w:p>
      <w:pPr>
        <w:pStyle w:val="Indenta"/>
      </w:pPr>
      <w:r>
        <w:tab/>
        <w:t>(h)</w:t>
      </w:r>
      <w:r>
        <w:tab/>
        <w:t>capital expenditure;</w:t>
      </w:r>
    </w:p>
    <w:p>
      <w:pPr>
        <w:pStyle w:val="Indenta"/>
      </w:pPr>
      <w:r>
        <w:tab/>
        <w:t>(i)</w:t>
      </w:r>
      <w:r>
        <w:tab/>
        <w:t>strategies for asset management;</w:t>
      </w:r>
    </w:p>
    <w:p>
      <w:pPr>
        <w:pStyle w:val="Indenta"/>
      </w:pPr>
      <w:r>
        <w:tab/>
        <w:t>(j)</w:t>
      </w:r>
      <w:r>
        <w:tab/>
        <w:t>sales and revenue projections;</w:t>
      </w:r>
    </w:p>
    <w:p>
      <w:pPr>
        <w:pStyle w:val="Indenta"/>
      </w:pPr>
      <w:r>
        <w:tab/>
        <w:t>(k)</w:t>
      </w:r>
      <w:r>
        <w:tab/>
        <w:t>customer service arrangements;</w:t>
      </w:r>
    </w:p>
    <w:p>
      <w:pPr>
        <w:pStyle w:val="Indenta"/>
      </w:pPr>
      <w:r>
        <w:tab/>
        <w:t>(l)</w:t>
      </w:r>
      <w:r>
        <w:tab/>
        <w:t>the nature and extent of commercial and competitive strategies;</w:t>
      </w:r>
    </w:p>
    <w:p>
      <w:pPr>
        <w:pStyle w:val="Indenta"/>
      </w:pPr>
      <w:r>
        <w:tab/>
        <w:t>(m)</w:t>
      </w:r>
      <w:r>
        <w:tab/>
        <w:t>relevant government policy.</w:t>
      </w:r>
    </w:p>
    <w:p>
      <w:pPr>
        <w:pStyle w:val="Heading5"/>
      </w:pPr>
      <w:bookmarkStart w:id="10" w:name="_Toc378945273"/>
      <w:bookmarkStart w:id="11" w:name="_Toc419815994"/>
      <w:r>
        <w:rPr>
          <w:rStyle w:val="CharSectno"/>
        </w:rPr>
        <w:t>4</w:t>
      </w:r>
      <w:r>
        <w:t>.</w:t>
      </w:r>
      <w:r>
        <w:tab/>
        <w:t>Content of statement of corporate intent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Section 61(2) of the Act requires the Authority’s statement of corporate intent to include each of the following matters — </w:t>
      </w:r>
    </w:p>
    <w:p>
      <w:pPr>
        <w:pStyle w:val="Indenta"/>
      </w:pPr>
      <w:r>
        <w:tab/>
        <w:t>(a)</w:t>
      </w:r>
      <w:r>
        <w:tab/>
        <w:t>an outline of major initiatives for achieving strategic objectives;</w:t>
      </w:r>
    </w:p>
    <w:p>
      <w:pPr>
        <w:pStyle w:val="Indenta"/>
      </w:pPr>
      <w:r>
        <w:tab/>
        <w:t>(b)</w:t>
      </w:r>
      <w:r>
        <w:tab/>
        <w:t>proposed arrangements to facilitate achievement of objectives that do not involve making a profit;</w:t>
      </w:r>
    </w:p>
    <w:p>
      <w:pPr>
        <w:pStyle w:val="Indenta"/>
      </w:pPr>
      <w:r>
        <w:tab/>
        <w:t>(c)</w:t>
      </w:r>
      <w:r>
        <w:tab/>
        <w:t xml:space="preserve">how major initiatives might impact on — </w:t>
      </w:r>
    </w:p>
    <w:p>
      <w:pPr>
        <w:pStyle w:val="Indenti"/>
      </w:pPr>
      <w:r>
        <w:tab/>
        <w:t>(i)</w:t>
      </w:r>
      <w:r>
        <w:tab/>
        <w:t>the integrity of the registers and other records that the Authority or a member of its staff is required by law to keep about interests in land and the valuation of land; or</w:t>
      </w:r>
    </w:p>
    <w:p>
      <w:pPr>
        <w:pStyle w:val="Indenti"/>
      </w:pPr>
      <w:r>
        <w:tab/>
        <w:t>(ii)</w:t>
      </w:r>
      <w:r>
        <w:tab/>
        <w:t>the extent to which the land information needs of the State government can be satisfied; or</w:t>
      </w:r>
    </w:p>
    <w:p>
      <w:pPr>
        <w:pStyle w:val="Indenti"/>
      </w:pPr>
      <w:r>
        <w:tab/>
        <w:t>(iii)</w:t>
      </w:r>
      <w:r>
        <w:tab/>
        <w:t>the extent to which the requirements of participants in the land information industry within the State can be satisfied;</w:t>
      </w:r>
    </w:p>
    <w:p>
      <w:pPr>
        <w:pStyle w:val="Indenta"/>
      </w:pPr>
      <w:r>
        <w:tab/>
        <w:t>(d)</w:t>
      </w:r>
      <w:r>
        <w:tab/>
        <w:t>major achievements that are planned;</w:t>
      </w:r>
    </w:p>
    <w:p>
      <w:pPr>
        <w:pStyle w:val="Indenta"/>
      </w:pPr>
      <w:r>
        <w:tab/>
        <w:t>(e)</w:t>
      </w:r>
      <w:r>
        <w:tab/>
        <w:t>an outline of capital expenditure and borrowing requirements;</w:t>
      </w:r>
    </w:p>
    <w:p>
      <w:pPr>
        <w:pStyle w:val="Indenta"/>
      </w:pPr>
      <w:r>
        <w:tab/>
        <w:t>(f)</w:t>
      </w:r>
      <w:r>
        <w:tab/>
        <w:t>the nature and scope of functions that are to be performed;</w:t>
      </w:r>
    </w:p>
    <w:p>
      <w:pPr>
        <w:pStyle w:val="Indenta"/>
      </w:pPr>
      <w:r>
        <w:tab/>
        <w:t>(g)</w:t>
      </w:r>
      <w:r>
        <w:tab/>
        <w:t>performance targets and measures;</w:t>
      </w:r>
    </w:p>
    <w:p>
      <w:pPr>
        <w:pStyle w:val="Indenta"/>
      </w:pPr>
      <w:r>
        <w:tab/>
        <w:t>(h)</w:t>
      </w:r>
      <w:r>
        <w:tab/>
        <w:t>estimates of income and expenditure;</w:t>
      </w:r>
    </w:p>
    <w:p>
      <w:pPr>
        <w:pStyle w:val="Indenta"/>
      </w:pPr>
      <w:r>
        <w:tab/>
        <w:t>(i)</w:t>
      </w:r>
      <w:r>
        <w:tab/>
        <w:t>the dividend policy for the financial year or the provision proposed to be made for dividends;</w:t>
      </w:r>
    </w:p>
    <w:p>
      <w:pPr>
        <w:pStyle w:val="Indenta"/>
      </w:pPr>
      <w:r>
        <w:tab/>
        <w:t>(j)</w:t>
      </w:r>
      <w:r>
        <w:tab/>
        <w:t>the types of information that the Authority is to give to the Minister in an annual or half</w:t>
      </w:r>
      <w:r>
        <w:noBreakHyphen/>
        <w:t>yearly report or otherwise;</w:t>
      </w:r>
    </w:p>
    <w:p>
      <w:pPr>
        <w:pStyle w:val="Indenta"/>
      </w:pPr>
      <w:r>
        <w:tab/>
        <w:t>(k)</w:t>
      </w:r>
      <w:r>
        <w:tab/>
        <w:t>accounting policies that apply to the preparation of accounts;</w:t>
      </w:r>
    </w:p>
    <w:p>
      <w:pPr>
        <w:pStyle w:val="Indenta"/>
      </w:pPr>
      <w:r>
        <w:tab/>
        <w:t>(l)</w:t>
      </w:r>
      <w:r>
        <w:tab/>
        <w:t>the nature and extent of community service obligations that are to be performed;</w:t>
      </w:r>
    </w:p>
    <w:p>
      <w:pPr>
        <w:pStyle w:val="Indenta"/>
      </w:pPr>
      <w:r>
        <w:tab/>
        <w:t>(m)</w:t>
      </w:r>
      <w:r>
        <w:tab/>
        <w:t>how the performance of community service obligations is to be costed and funded, and arrangements to be made to make adjustments for the performance of those obligations;</w:t>
      </w:r>
    </w:p>
    <w:p>
      <w:pPr>
        <w:pStyle w:val="Indenta"/>
      </w:pPr>
      <w:r>
        <w:tab/>
        <w:t>(n)</w:t>
      </w:r>
      <w:r>
        <w:tab/>
        <w:t>the ways in which, and the extent to which, compensation will be made for performing community service obligations.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378945274"/>
      <w:bookmarkStart w:id="13" w:name="_Toc419815959"/>
      <w:bookmarkStart w:id="14" w:name="_Toc419815981"/>
      <w:bookmarkStart w:id="15" w:name="_Toc419815995"/>
      <w:r>
        <w:t>Notes</w:t>
      </w:r>
      <w:bookmarkEnd w:id="12"/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Land Information Authority (Policy Instruments) Regulations 2006.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16" w:name="_Toc378945275"/>
      <w:bookmarkStart w:id="17" w:name="_Toc419815996"/>
      <w:r>
        <w:t>Compilation table</w:t>
      </w:r>
      <w:bookmarkEnd w:id="16"/>
      <w:bookmarkEnd w:id="1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Land Information Authority (Policy Instruments)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2006 p. 5897-8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rPr>
                <w:iCs/>
              </w:rPr>
              <w:t xml:space="preserve"> 8 Dec 2006 p. 5369)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Information Authority (Policy Instruments)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Information Authority (Policy Instruments)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Information Authority (Policy Instruments)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Information Authority (Policy Instruments)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Information Authority (Policy Instruments)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Information Authority (Policy Instruments)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90501"/>
    <w:docVar w:name="WAFER_20140131151905" w:val="RemoveTocBookmarks,RemoveUnusedBookmarks,RemoveLanguageTags,UsedStyles,ResetPageSize,UpdateArrangement"/>
    <w:docVar w:name="WAFER_20140131151905_GUID" w:val="b2e5132e-f531-4609-9e4b-d28be8ad1fbc"/>
    <w:docVar w:name="WAFER_20140131151911" w:val="RemoveTocBookmarks,RunningHeaders"/>
    <w:docVar w:name="WAFER_20140131151911_GUID" w:val="0d03fde0-9d5d-43e6-9b91-ba1759ea0069"/>
    <w:docVar w:name="WAFER_20150519160803" w:val="ResetPageSize,UpdateArrangement,UpdateNTable"/>
    <w:docVar w:name="WAFER_20150519160803_GUID" w:val="07978586-416c-48f4-9a65-97efa6a2d97b"/>
    <w:docVar w:name="WAFER_20151106090501" w:val="UpdateStyles,UsedStyles"/>
    <w:docVar w:name="WAFER_20151106090501_GUID" w:val="3274b95e-5b45-4404-a641-18cd53fb865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  <w:rPr>
      <w:rFonts w:ascii="Times" w:hAnsi="Times"/>
    </w:r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pPr>
      <w:tabs>
        <w:tab w:val="clear" w:pos="605"/>
        <w:tab w:val="clear" w:pos="893"/>
        <w:tab w:val="right" w:pos="595"/>
        <w:tab w:val="left" w:pos="879"/>
      </w:tabs>
      <w:spacing w:before="160"/>
      <w:ind w:left="890" w:hanging="890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605"/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605"/>
        <w:tab w:val="clear" w:pos="893"/>
      </w:tabs>
      <w:ind w:left="0" w:firstLine="0"/>
      <w:outlineLvl w:val="4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  <w:rPr>
      <w:rFonts w:ascii="Times" w:hAnsi="Times"/>
    </w:r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pPr>
      <w:tabs>
        <w:tab w:val="clear" w:pos="605"/>
        <w:tab w:val="clear" w:pos="893"/>
        <w:tab w:val="right" w:pos="595"/>
        <w:tab w:val="left" w:pos="879"/>
      </w:tabs>
      <w:spacing w:before="160"/>
      <w:ind w:left="890" w:hanging="890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605"/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605"/>
        <w:tab w:val="clear" w:pos="893"/>
      </w:tabs>
      <w:ind w:left="0" w:firstLine="0"/>
      <w:outlineLvl w:val="4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626</Words>
  <Characters>3495</Characters>
  <Application>Microsoft Office Word</Application>
  <DocSecurity>0</DocSecurity>
  <Lines>124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Information Authority (Policy Instruments) Regulations 2006 - 00-a0-09</dc:title>
  <dc:subject/>
  <dc:creator/>
  <cp:keywords/>
  <dc:description/>
  <cp:lastModifiedBy>svcMRProcess</cp:lastModifiedBy>
  <cp:revision>4</cp:revision>
  <cp:lastPrinted>2006-12-06T04:25:00Z</cp:lastPrinted>
  <dcterms:created xsi:type="dcterms:W3CDTF">2019-01-17T02:37:00Z</dcterms:created>
  <dcterms:modified xsi:type="dcterms:W3CDTF">2019-01-17T02:37:00Z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Dec 2006 p 5897-8</vt:lpwstr>
  </property>
  <property fmtid="{D5CDD505-2E9C-101B-9397-08002B2CF9AE}" pid="3" name="CommencementDate">
    <vt:lpwstr>20070101</vt:lpwstr>
  </property>
  <property fmtid="{D5CDD505-2E9C-101B-9397-08002B2CF9AE}" pid="4" name="DocumentType">
    <vt:lpwstr>Reg</vt:lpwstr>
  </property>
  <property fmtid="{D5CDD505-2E9C-101B-9397-08002B2CF9AE}" pid="5" name="OwlsUID">
    <vt:i4>39318</vt:i4>
  </property>
  <property fmtid="{D5CDD505-2E9C-101B-9397-08002B2CF9AE}" pid="6" name="AsAtDate">
    <vt:lpwstr>01 Jan 2007</vt:lpwstr>
  </property>
  <property fmtid="{D5CDD505-2E9C-101B-9397-08002B2CF9AE}" pid="7" name="Suffix">
    <vt:lpwstr>00-a0-09</vt:lpwstr>
  </property>
</Properties>
</file>