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Contracts Regulations 2004</w:t>
      </w:r>
      <w:r>
        <w:rPr>
          <w:sz w:val="48"/>
        </w:rPr>
        <w:fldChar w:fldCharType="end"/>
      </w:r>
    </w:p>
    <w:p>
      <w:pPr>
        <w:pStyle w:val="ReprintNo"/>
      </w:pPr>
      <w:r>
        <w:t>Reprint 1:  The regulations as at 14 July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F4CC8" w:rsidRDefault="000F4CC8">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F4CC8" w:rsidRDefault="000F4CC8">
                        <w:pPr>
                          <w:rPr>
                            <w:sz w:val="18"/>
                            <w:szCs w:val="18"/>
                          </w:rPr>
                        </w:pPr>
                        <w:proofErr w:type="gramStart"/>
                        <w:r>
                          <w:rPr>
                            <w:sz w:val="18"/>
                            <w:szCs w:val="18"/>
                          </w:rPr>
                          <w:t>legislative</w:t>
                        </w:r>
                        <w:proofErr w:type="gramEnd"/>
                        <w:r>
                          <w:rPr>
                            <w:sz w:val="18"/>
                            <w:szCs w:val="18"/>
                          </w:rPr>
                          <w:t xml:space="preser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F4CC8" w:rsidRDefault="000F4CC8">
                        <w:pPr>
                          <w:rPr>
                            <w:i/>
                            <w:sz w:val="18"/>
                            <w:szCs w:val="18"/>
                          </w:rPr>
                        </w:pPr>
                        <w:proofErr w:type="gramStart"/>
                        <w:r>
                          <w:rPr>
                            <w:sz w:val="18"/>
                            <w:szCs w:val="18"/>
                          </w:rPr>
                          <w:t>changes</w:t>
                        </w:r>
                        <w:proofErr w:type="gramEnd"/>
                        <w:r>
                          <w:rPr>
                            <w:sz w:val="18"/>
                            <w:szCs w:val="18"/>
                          </w:rPr>
                          <w:t xml:space="preserve">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F4CC8" w:rsidRDefault="000F4CC8">
                        <w:pPr>
                          <w:rPr>
                            <w:sz w:val="18"/>
                            <w:szCs w:val="18"/>
                          </w:rPr>
                        </w:pPr>
                        <w:proofErr w:type="gramStart"/>
                        <w:r>
                          <w:rPr>
                            <w:sz w:val="18"/>
                            <w:szCs w:val="18"/>
                          </w:rPr>
                          <w:t>this</w:t>
                        </w:r>
                        <w:proofErr w:type="gramEnd"/>
                        <w:r>
                          <w:rPr>
                            <w:sz w:val="18"/>
                            <w:szCs w:val="18"/>
                          </w:rPr>
                          <w:t xml:space="preserve">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July 2017</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_Toc479769060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_Toc479769061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_Toc479769062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_Toc479769063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_Toc479769064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application for adjudication</w:t>
      </w:r>
      <w:r>
        <w:tab/>
      </w:r>
      <w:r>
        <w:fldChar w:fldCharType="begin"/>
      </w:r>
      <w:r>
        <w:instrText xml:space="preserve"> PAGEREF _Toc479769065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_Toc479769066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_Toc479769067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_Toc479769068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_Toc479769069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_Toc479769070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_Toc479769072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after="360"/>
      </w:pPr>
      <w:r>
        <w:t>Western Australia</w:t>
      </w:r>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3" w:name="_Toc479769060"/>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rPr>
          <w:vertAlign w:val="superscript"/>
        </w:rPr>
        <w:t> 1</w:t>
      </w:r>
      <w:r>
        <w:t>.</w:t>
      </w:r>
    </w:p>
    <w:p>
      <w:pPr>
        <w:pStyle w:val="Heading5"/>
        <w:rPr>
          <w:spacing w:val="-2"/>
        </w:rPr>
      </w:pPr>
      <w:bookmarkStart w:id="4" w:name="_Toc47976906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r>
        <w:rPr>
          <w:rFonts w:ascii="Times" w:hAnsi="Times"/>
          <w:vertAlign w:val="superscript"/>
        </w:rPr>
        <w:t> 1</w:t>
      </w:r>
      <w:r>
        <w:rPr>
          <w:rFonts w:ascii="Times" w:hAnsi="Times"/>
        </w:rPr>
        <w:t>.</w:t>
      </w:r>
    </w:p>
    <w:p>
      <w:pPr>
        <w:pStyle w:val="Heading5"/>
      </w:pPr>
      <w:bookmarkStart w:id="5" w:name="_Toc47976906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479769063"/>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479769064"/>
      <w:r>
        <w:rPr>
          <w:rStyle w:val="CharSectno"/>
        </w:rPr>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479769065"/>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479769066"/>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479769067"/>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479769068"/>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479769069"/>
      <w:r>
        <w:rPr>
          <w:rStyle w:val="CharSectno"/>
        </w:rPr>
        <w:t>10</w:t>
      </w:r>
      <w:r>
        <w:t>.</w:t>
      </w:r>
      <w:r>
        <w:tab/>
        <w:t>Adjudicator application fee</w:t>
      </w:r>
      <w:bookmarkEnd w:id="12"/>
    </w:p>
    <w:p>
      <w:pPr>
        <w:pStyle w:val="Subsection"/>
      </w:pPr>
      <w:r>
        <w:tab/>
      </w:r>
      <w:r>
        <w:tab/>
        <w:t>For the purposes of section 48(3) of the Act, a fee of $53.95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 3 Jun 2016 p. 1756; 23 Jun 2017 p. 3232</w:t>
      </w:r>
      <w:r>
        <w:t>.]</w:t>
      </w:r>
    </w:p>
    <w:p>
      <w:pPr>
        <w:pStyle w:val="Heading5"/>
      </w:pPr>
      <w:bookmarkStart w:id="13" w:name="_Toc479769070"/>
      <w:r>
        <w:rPr>
          <w:rStyle w:val="CharSectno"/>
        </w:rPr>
        <w:t>11</w:t>
      </w:r>
      <w:r>
        <w:t>.</w:t>
      </w:r>
      <w:r>
        <w:tab/>
        <w:t>Prescribed appointors</w:t>
      </w:r>
      <w:bookmarkEnd w:id="13"/>
    </w:p>
    <w:p>
      <w:pPr>
        <w:pStyle w:val="Subsection"/>
        <w:rPr>
          <w:szCs w:val="24"/>
        </w:rPr>
      </w:pPr>
      <w:r>
        <w:tab/>
      </w:r>
      <w:r>
        <w:tab/>
        <w:t>For the purposes of the definition of “prescribed appointor” in section 3 of the Act, the persons listed in the Table to this regulation are prescribed.</w:t>
      </w:r>
    </w:p>
    <w:p>
      <w:pPr>
        <w:pStyle w:val="MiscellaneousHeading"/>
        <w:rPr>
          <w:b/>
          <w:bCs/>
          <w:szCs w:val="24"/>
        </w:rPr>
      </w:pPr>
      <w:r>
        <w:rPr>
          <w:b/>
          <w:bCs/>
          <w:szCs w:val="24"/>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rPr>
                <w:sz w:val="24"/>
                <w:szCs w:val="24"/>
              </w:rPr>
            </w:pPr>
            <w:r>
              <w:rPr>
                <w:sz w:val="24"/>
                <w:szCs w:val="24"/>
              </w:rPr>
              <w:t>The Australian Institute of Building</w:t>
            </w:r>
          </w:p>
        </w:tc>
      </w:tr>
      <w:tr>
        <w:trPr>
          <w:cantSplit/>
        </w:trPr>
        <w:tc>
          <w:tcPr>
            <w:tcW w:w="5386" w:type="dxa"/>
          </w:tcPr>
          <w:p>
            <w:pPr>
              <w:pStyle w:val="Table"/>
              <w:rPr>
                <w:sz w:val="24"/>
                <w:szCs w:val="24"/>
              </w:rPr>
            </w:pPr>
            <w:r>
              <w:rPr>
                <w:sz w:val="24"/>
                <w:szCs w:val="24"/>
              </w:rPr>
              <w:t>Australian Institute of Project Management</w:t>
            </w:r>
          </w:p>
        </w:tc>
      </w:tr>
      <w:tr>
        <w:trPr>
          <w:cantSplit/>
        </w:trPr>
        <w:tc>
          <w:tcPr>
            <w:tcW w:w="5386" w:type="dxa"/>
          </w:tcPr>
          <w:p>
            <w:pPr>
              <w:pStyle w:val="Table"/>
              <w:rPr>
                <w:sz w:val="24"/>
                <w:szCs w:val="24"/>
              </w:rPr>
            </w:pPr>
            <w:r>
              <w:rPr>
                <w:sz w:val="24"/>
                <w:szCs w:val="24"/>
              </w:rPr>
              <w:t>The Australian Institute of Quantity Surveyors</w:t>
            </w:r>
          </w:p>
        </w:tc>
      </w:tr>
      <w:tr>
        <w:trPr>
          <w:cantSplit/>
        </w:trPr>
        <w:tc>
          <w:tcPr>
            <w:tcW w:w="5386" w:type="dxa"/>
          </w:tcPr>
          <w:p>
            <w:pPr>
              <w:pStyle w:val="Table"/>
              <w:rPr>
                <w:sz w:val="24"/>
                <w:szCs w:val="24"/>
              </w:rPr>
            </w:pPr>
            <w:r>
              <w:rPr>
                <w:sz w:val="24"/>
                <w:szCs w:val="24"/>
              </w:rPr>
              <w:t>Electrical and Communications Association of Western Australia (Union of Employers)</w:t>
            </w:r>
          </w:p>
        </w:tc>
      </w:tr>
      <w:tr>
        <w:trPr>
          <w:cantSplit/>
        </w:trPr>
        <w:tc>
          <w:tcPr>
            <w:tcW w:w="5386" w:type="dxa"/>
          </w:tcPr>
          <w:p>
            <w:pPr>
              <w:pStyle w:val="Table"/>
              <w:rPr>
                <w:sz w:val="24"/>
                <w:szCs w:val="24"/>
              </w:rPr>
            </w:pPr>
            <w:r>
              <w:rPr>
                <w:sz w:val="24"/>
                <w:szCs w:val="24"/>
              </w:rPr>
              <w:t>The Institute of Arbitrators and Mediators Australia</w:t>
            </w:r>
          </w:p>
        </w:tc>
      </w:tr>
      <w:tr>
        <w:trPr>
          <w:cantSplit/>
        </w:trPr>
        <w:tc>
          <w:tcPr>
            <w:tcW w:w="5386" w:type="dxa"/>
          </w:tcPr>
          <w:p>
            <w:pPr>
              <w:pStyle w:val="Table"/>
              <w:rPr>
                <w:sz w:val="24"/>
                <w:szCs w:val="24"/>
              </w:rPr>
            </w:pPr>
            <w:r>
              <w:rPr>
                <w:sz w:val="24"/>
                <w:szCs w:val="24"/>
              </w:rPr>
              <w:t>Master Builders Association of Western Australia (Union of Employers)</w:t>
            </w:r>
          </w:p>
        </w:tc>
      </w:tr>
      <w:tr>
        <w:trPr>
          <w:cantSplit/>
        </w:trPr>
        <w:tc>
          <w:tcPr>
            <w:tcW w:w="5386" w:type="dxa"/>
          </w:tcPr>
          <w:p>
            <w:pPr>
              <w:pStyle w:val="Table"/>
              <w:rPr>
                <w:sz w:val="24"/>
                <w:szCs w:val="24"/>
              </w:rPr>
            </w:pPr>
            <w:r>
              <w:rPr>
                <w:sz w:val="24"/>
                <w:szCs w:val="24"/>
              </w:rPr>
              <w:t>RICS Australasia Pty Ltd</w:t>
            </w:r>
          </w:p>
        </w:tc>
      </w:tr>
      <w:tr>
        <w:trPr>
          <w:cantSplit/>
        </w:trPr>
        <w:tc>
          <w:tcPr>
            <w:tcW w:w="5386" w:type="dxa"/>
          </w:tcPr>
          <w:p>
            <w:pPr>
              <w:pStyle w:val="Table"/>
              <w:rPr>
                <w:sz w:val="24"/>
                <w:szCs w:val="24"/>
              </w:rPr>
            </w:pPr>
            <w:r>
              <w:rPr>
                <w:sz w:val="24"/>
                <w:szCs w:val="24"/>
              </w:rPr>
              <w:t>The Royal Australian Institute of Architects</w:t>
            </w:r>
          </w:p>
        </w:tc>
      </w:tr>
    </w:tbl>
    <w:p>
      <w:pPr>
        <w:pStyle w:val="Footnotesection"/>
      </w:pPr>
      <w:r>
        <w:tab/>
        <w:t>[Regulation 11 inserted in Gazette 1 Apr 2005 p. 1064; amended in Gazette 12 Aug 2005 p. 3653.]</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79769071"/>
      <w:r>
        <w:t>Notes</w:t>
      </w:r>
      <w:bookmarkEnd w:id="14"/>
    </w:p>
    <w:p>
      <w:pPr>
        <w:pStyle w:val="nSubsection"/>
      </w:pPr>
      <w:r>
        <w:rPr>
          <w:vertAlign w:val="superscript"/>
        </w:rPr>
        <w:t>1</w:t>
      </w:r>
      <w:r>
        <w:tab/>
        <w:t xml:space="preserve">This reprint is a compilation as at 14 July 2017 of the </w:t>
      </w:r>
      <w:r>
        <w:rPr>
          <w:i/>
          <w:noProof/>
        </w:rPr>
        <w:t>Construction Contracts Regulations 2004</w:t>
      </w:r>
      <w:r>
        <w:t xml:space="preserve"> and includes the amendments made by the other written laws referred to in the following table.  The table also contains information about any reprint.</w:t>
      </w:r>
    </w:p>
    <w:p>
      <w:pPr>
        <w:pStyle w:val="nHeading3"/>
      </w:pPr>
      <w:bookmarkStart w:id="15" w:name="_Toc479769072"/>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 w:name="_Toc479769073"/>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dEd0E/UC&#10;AACBBgAADgAAAAAAAAAAAAAAAAAuAgAAZHJzL2Uyb0RvYy54bWxQSwECLQAUAAYACAAAACEAaCLE&#10;RNsAAAAEAQAADwAAAAAAAAAAAAAAAABPBQAAZHJzL2Rvd25yZXYueG1sUEsFBgAAAAAEAAQA8wAA&#10;AFcGAAAAAA==&#10;" stroked="f" strokeweight=".5pt">
                <v:textbox>
                  <w:txbxContent>
                    <w:p w:rsidR="00CF742D" w:rsidRDefault="00CF742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2135636"/>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1868</Words>
  <Characters>9678</Characters>
  <Application>Microsoft Office Word</Application>
  <DocSecurity>0</DocSecurity>
  <Lines>322</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2004 - 01-00-00</dc:title>
  <dc:subject/>
  <dc:creator/>
  <cp:keywords/>
  <dc:description/>
  <cp:lastModifiedBy>svcMRProcess</cp:lastModifiedBy>
  <cp:revision>4</cp:revision>
  <cp:lastPrinted>2017-07-19T04:53:00Z</cp:lastPrinted>
  <dcterms:created xsi:type="dcterms:W3CDTF">2017-07-24T05:24:00Z</dcterms:created>
  <dcterms:modified xsi:type="dcterms:W3CDTF">2017-07-24T05:24:00Z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AsAtDate">
    <vt:lpwstr>14 Jul 2017</vt:lpwstr>
  </property>
  <property fmtid="{D5CDD505-2E9C-101B-9397-08002B2CF9AE}" pid="6" name="Suffix">
    <vt:lpwstr>01-00-00</vt:lpwstr>
  </property>
  <property fmtid="{D5CDD505-2E9C-101B-9397-08002B2CF9AE}" pid="7" name="ReprintedAsAt">
    <vt:filetime>2017-07-13T16:00:00Z</vt:filetime>
  </property>
  <property fmtid="{D5CDD505-2E9C-101B-9397-08002B2CF9AE}" pid="8" name="ReprintNo">
    <vt:lpwstr>1</vt:lpwstr>
  </property>
  <property fmtid="{D5CDD505-2E9C-101B-9397-08002B2CF9AE}" pid="9" name="CommencementDate">
    <vt:lpwstr>20170714</vt:lpwstr>
  </property>
</Properties>
</file>