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ind w:left="1140" w:right="576"/>
        <w:outlineLvl w:val="0"/>
      </w:pPr>
      <w:r>
        <w:fldChar w:fldCharType="begin"/>
      </w:r>
      <w:r>
        <w:instrText xml:space="preserve"> STYLEREF "Name Of Act/Reg"</w:instrText>
      </w:r>
      <w:r>
        <w:fldChar w:fldCharType="separate"/>
      </w:r>
      <w:r>
        <w:rPr>
          <w:noProof/>
        </w:rPr>
        <w:t>Electricity (Network Safety)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(Network Safety)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_Toc489344360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_Toc489344361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_Toc489344362 \h </w:instrText>
      </w:r>
      <w:r>
        <w:fldChar w:fldCharType="separate"/>
      </w:r>
      <w:r>
        <w:t>1</w:t>
      </w:r>
      <w:r>
        <w:fldChar w:fldCharType="end"/>
      </w:r>
    </w:p>
    <w:p>
      <w:pPr>
        <w:pStyle w:val="TOC8"/>
        <w:rPr>
          <w:rFonts w:asciiTheme="minorHAnsi" w:eastAsiaTheme="minorEastAsia" w:hAnsiTheme="minorHAnsi" w:cstheme="minorBidi"/>
          <w:szCs w:val="22"/>
        </w:rPr>
      </w:pPr>
      <w:r>
        <w:t>4.</w:t>
      </w:r>
      <w:r>
        <w:tab/>
        <w:t>Network operators</w:t>
      </w:r>
      <w:r>
        <w:tab/>
      </w:r>
      <w:r>
        <w:fldChar w:fldCharType="begin"/>
      </w:r>
      <w:r>
        <w:instrText xml:space="preserve"> PAGEREF _Toc489344363 \h </w:instrText>
      </w:r>
      <w:r>
        <w:fldChar w:fldCharType="separate"/>
      </w:r>
      <w:r>
        <w:t>4</w:t>
      </w:r>
      <w:r>
        <w:fldChar w:fldCharType="end"/>
      </w:r>
    </w:p>
    <w:p>
      <w:pPr>
        <w:pStyle w:val="TOC8"/>
        <w:rPr>
          <w:rFonts w:asciiTheme="minorHAnsi" w:eastAsiaTheme="minorEastAsia" w:hAnsiTheme="minorHAnsi" w:cstheme="minorBidi"/>
          <w:szCs w:val="22"/>
        </w:rPr>
      </w:pPr>
      <w:r>
        <w:t>5.</w:t>
      </w:r>
      <w:r>
        <w:tab/>
        <w:t>Persons for whom a network operator or contractor is responsible</w:t>
      </w:r>
      <w:r>
        <w:tab/>
      </w:r>
      <w:r>
        <w:fldChar w:fldCharType="begin"/>
      </w:r>
      <w:r>
        <w:instrText xml:space="preserve"> PAGEREF _Toc489344364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Network safety</w:t>
      </w:r>
    </w:p>
    <w:p>
      <w:pPr>
        <w:pStyle w:val="TOC4"/>
        <w:tabs>
          <w:tab w:val="right" w:leader="dot" w:pos="7077"/>
        </w:tabs>
        <w:rPr>
          <w:rFonts w:asciiTheme="minorHAnsi" w:eastAsiaTheme="minorEastAsia" w:hAnsiTheme="minorHAnsi" w:cstheme="minorBidi"/>
          <w:b w:val="0"/>
          <w:szCs w:val="22"/>
        </w:rPr>
      </w:pPr>
      <w:r>
        <w:t>Division 1 — General safety requirements</w:t>
      </w:r>
    </w:p>
    <w:p>
      <w:pPr>
        <w:pStyle w:val="TOC8"/>
        <w:rPr>
          <w:rFonts w:asciiTheme="minorHAnsi" w:eastAsiaTheme="minorEastAsia" w:hAnsiTheme="minorHAnsi" w:cstheme="minorBidi"/>
          <w:szCs w:val="22"/>
        </w:rPr>
      </w:pPr>
      <w:r>
        <w:t>6.</w:t>
      </w:r>
      <w:r>
        <w:tab/>
        <w:t>Duty of network operator to manage prescribed activities</w:t>
      </w:r>
      <w:r>
        <w:tab/>
      </w:r>
      <w:r>
        <w:fldChar w:fldCharType="begin"/>
      </w:r>
      <w:r>
        <w:instrText xml:space="preserve"> PAGEREF _Toc489344367 \h </w:instrText>
      </w:r>
      <w:r>
        <w:fldChar w:fldCharType="separate"/>
      </w:r>
      <w:r>
        <w:t>7</w:t>
      </w:r>
      <w:r>
        <w:fldChar w:fldCharType="end"/>
      </w:r>
    </w:p>
    <w:p>
      <w:pPr>
        <w:pStyle w:val="TOC8"/>
        <w:rPr>
          <w:rFonts w:asciiTheme="minorHAnsi" w:eastAsiaTheme="minorEastAsia" w:hAnsiTheme="minorHAnsi" w:cstheme="minorBidi"/>
          <w:szCs w:val="22"/>
        </w:rPr>
      </w:pPr>
      <w:r>
        <w:t>7.</w:t>
      </w:r>
      <w:r>
        <w:tab/>
        <w:t>Duty of contractor to manage prescribed activities</w:t>
      </w:r>
      <w:r>
        <w:tab/>
      </w:r>
      <w:r>
        <w:fldChar w:fldCharType="begin"/>
      </w:r>
      <w:r>
        <w:instrText xml:space="preserve"> PAGEREF _Toc489344368 \h </w:instrText>
      </w:r>
      <w:r>
        <w:fldChar w:fldCharType="separate"/>
      </w:r>
      <w:r>
        <w:t>8</w:t>
      </w:r>
      <w:r>
        <w:fldChar w:fldCharType="end"/>
      </w:r>
    </w:p>
    <w:p>
      <w:pPr>
        <w:pStyle w:val="TOC8"/>
        <w:rPr>
          <w:rFonts w:asciiTheme="minorHAnsi" w:eastAsiaTheme="minorEastAsia" w:hAnsiTheme="minorHAnsi" w:cstheme="minorBidi"/>
          <w:szCs w:val="22"/>
        </w:rPr>
      </w:pPr>
      <w:r>
        <w:t>8.</w:t>
      </w:r>
      <w:r>
        <w:tab/>
        <w:t>Duty of persons carrying out prescribed activities</w:t>
      </w:r>
      <w:r>
        <w:tab/>
      </w:r>
      <w:r>
        <w:fldChar w:fldCharType="begin"/>
      </w:r>
      <w:r>
        <w:instrText xml:space="preserve"> PAGEREF _Toc489344369 \h </w:instrText>
      </w:r>
      <w:r>
        <w:fldChar w:fldCharType="separate"/>
      </w:r>
      <w:r>
        <w:t>9</w:t>
      </w:r>
      <w:r>
        <w:fldChar w:fldCharType="end"/>
      </w:r>
    </w:p>
    <w:p>
      <w:pPr>
        <w:pStyle w:val="TOC8"/>
        <w:rPr>
          <w:rFonts w:asciiTheme="minorHAnsi" w:eastAsiaTheme="minorEastAsia" w:hAnsiTheme="minorHAnsi" w:cstheme="minorBidi"/>
          <w:szCs w:val="22"/>
        </w:rPr>
      </w:pPr>
      <w:r>
        <w:t>9.</w:t>
      </w:r>
      <w:r>
        <w:tab/>
        <w:t>Duties relating to certain risks to safety</w:t>
      </w:r>
      <w:r>
        <w:tab/>
      </w:r>
      <w:r>
        <w:fldChar w:fldCharType="begin"/>
      </w:r>
      <w:r>
        <w:instrText xml:space="preserve"> PAGEREF _Toc489344370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Certain network operators required to have safety management systems</w:t>
      </w:r>
    </w:p>
    <w:p>
      <w:pPr>
        <w:pStyle w:val="TOC8"/>
        <w:rPr>
          <w:rFonts w:asciiTheme="minorHAnsi" w:eastAsiaTheme="minorEastAsia" w:hAnsiTheme="minorHAnsi" w:cstheme="minorBidi"/>
          <w:szCs w:val="22"/>
        </w:rPr>
      </w:pPr>
      <w:r>
        <w:t>10.</w:t>
      </w:r>
      <w:r>
        <w:tab/>
        <w:t>Network operators to whom this Division applies</w:t>
      </w:r>
      <w:r>
        <w:tab/>
      </w:r>
      <w:r>
        <w:fldChar w:fldCharType="begin"/>
      </w:r>
      <w:r>
        <w:instrText xml:space="preserve"> PAGEREF _Toc489344372 \h </w:instrText>
      </w:r>
      <w:r>
        <w:fldChar w:fldCharType="separate"/>
      </w:r>
      <w:r>
        <w:t>10</w:t>
      </w:r>
      <w:r>
        <w:fldChar w:fldCharType="end"/>
      </w:r>
    </w:p>
    <w:p>
      <w:pPr>
        <w:pStyle w:val="TOC8"/>
        <w:rPr>
          <w:rFonts w:asciiTheme="minorHAnsi" w:eastAsiaTheme="minorEastAsia" w:hAnsiTheme="minorHAnsi" w:cstheme="minorBidi"/>
          <w:szCs w:val="22"/>
        </w:rPr>
      </w:pPr>
      <w:r>
        <w:t>11.</w:t>
      </w:r>
      <w:r>
        <w:tab/>
        <w:t>When this Division commences to apply to a network operator</w:t>
      </w:r>
      <w:r>
        <w:tab/>
      </w:r>
      <w:r>
        <w:fldChar w:fldCharType="begin"/>
      </w:r>
      <w:r>
        <w:instrText xml:space="preserve"> PAGEREF _Toc489344373 \h </w:instrText>
      </w:r>
      <w:r>
        <w:fldChar w:fldCharType="separate"/>
      </w:r>
      <w:r>
        <w:t>11</w:t>
      </w:r>
      <w:r>
        <w:fldChar w:fldCharType="end"/>
      </w:r>
    </w:p>
    <w:p>
      <w:pPr>
        <w:pStyle w:val="TOC8"/>
        <w:rPr>
          <w:rFonts w:asciiTheme="minorHAnsi" w:eastAsiaTheme="minorEastAsia" w:hAnsiTheme="minorHAnsi" w:cstheme="minorBidi"/>
          <w:szCs w:val="22"/>
        </w:rPr>
      </w:pPr>
      <w:r>
        <w:t>12.</w:t>
      </w:r>
      <w:r>
        <w:tab/>
        <w:t>Transfer of operation of network</w:t>
      </w:r>
      <w:r>
        <w:tab/>
      </w:r>
      <w:r>
        <w:fldChar w:fldCharType="begin"/>
      </w:r>
      <w:r>
        <w:instrText xml:space="preserve"> PAGEREF _Toc489344374 \h </w:instrText>
      </w:r>
      <w:r>
        <w:fldChar w:fldCharType="separate"/>
      </w:r>
      <w:r>
        <w:t>12</w:t>
      </w:r>
      <w:r>
        <w:fldChar w:fldCharType="end"/>
      </w:r>
    </w:p>
    <w:p>
      <w:pPr>
        <w:pStyle w:val="TOC8"/>
        <w:rPr>
          <w:rFonts w:asciiTheme="minorHAnsi" w:eastAsiaTheme="minorEastAsia" w:hAnsiTheme="minorHAnsi" w:cstheme="minorBidi"/>
          <w:szCs w:val="22"/>
        </w:rPr>
      </w:pPr>
      <w:r>
        <w:t>13.</w:t>
      </w:r>
      <w:r>
        <w:tab/>
        <w:t>Requirement to have safety management system</w:t>
      </w:r>
      <w:r>
        <w:tab/>
      </w:r>
      <w:r>
        <w:fldChar w:fldCharType="begin"/>
      </w:r>
      <w:r>
        <w:instrText xml:space="preserve"> PAGEREF _Toc489344375 \h </w:instrText>
      </w:r>
      <w:r>
        <w:fldChar w:fldCharType="separate"/>
      </w:r>
      <w:r>
        <w:t>13</w:t>
      </w:r>
      <w:r>
        <w:fldChar w:fldCharType="end"/>
      </w:r>
    </w:p>
    <w:p>
      <w:pPr>
        <w:pStyle w:val="TOC8"/>
        <w:rPr>
          <w:rFonts w:asciiTheme="minorHAnsi" w:eastAsiaTheme="minorEastAsia" w:hAnsiTheme="minorHAnsi" w:cstheme="minorBidi"/>
          <w:szCs w:val="22"/>
        </w:rPr>
      </w:pPr>
      <w:r>
        <w:t>14.</w:t>
      </w:r>
      <w:r>
        <w:tab/>
        <w:t>Requirement to revise safety management system</w:t>
      </w:r>
      <w:r>
        <w:tab/>
      </w:r>
      <w:r>
        <w:fldChar w:fldCharType="begin"/>
      </w:r>
      <w:r>
        <w:instrText xml:space="preserve"> PAGEREF _Toc489344376 \h </w:instrText>
      </w:r>
      <w:r>
        <w:fldChar w:fldCharType="separate"/>
      </w:r>
      <w:r>
        <w:t>13</w:t>
      </w:r>
      <w:r>
        <w:fldChar w:fldCharType="end"/>
      </w:r>
    </w:p>
    <w:p>
      <w:pPr>
        <w:pStyle w:val="TOC8"/>
        <w:rPr>
          <w:rFonts w:asciiTheme="minorHAnsi" w:eastAsiaTheme="minorEastAsia" w:hAnsiTheme="minorHAnsi" w:cstheme="minorBidi"/>
          <w:szCs w:val="22"/>
        </w:rPr>
      </w:pPr>
      <w:r>
        <w:t>15.</w:t>
      </w:r>
      <w:r>
        <w:tab/>
        <w:t>Requirement to comply with safety management system</w:t>
      </w:r>
      <w:r>
        <w:tab/>
      </w:r>
      <w:r>
        <w:fldChar w:fldCharType="begin"/>
      </w:r>
      <w:r>
        <w:instrText xml:space="preserve"> PAGEREF _Toc489344377 \h </w:instrText>
      </w:r>
      <w:r>
        <w:fldChar w:fldCharType="separate"/>
      </w:r>
      <w:r>
        <w:t>14</w:t>
      </w:r>
      <w:r>
        <w:fldChar w:fldCharType="end"/>
      </w:r>
    </w:p>
    <w:p>
      <w:pPr>
        <w:pStyle w:val="TOC8"/>
        <w:rPr>
          <w:rFonts w:asciiTheme="minorHAnsi" w:eastAsiaTheme="minorEastAsia" w:hAnsiTheme="minorHAnsi" w:cstheme="minorBidi"/>
          <w:szCs w:val="22"/>
        </w:rPr>
      </w:pPr>
      <w:r>
        <w:t>16.</w:t>
      </w:r>
      <w:r>
        <w:tab/>
        <w:t>Compliance with safety management system evidence of compliance with regulation 6 or 7</w:t>
      </w:r>
      <w:r>
        <w:tab/>
      </w:r>
      <w:r>
        <w:fldChar w:fldCharType="begin"/>
      </w:r>
      <w:r>
        <w:instrText xml:space="preserve"> PAGEREF _Toc489344378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Requirements if network operator not required to have safety management system</w:t>
      </w:r>
    </w:p>
    <w:p>
      <w:pPr>
        <w:pStyle w:val="TOC8"/>
        <w:rPr>
          <w:rFonts w:asciiTheme="minorHAnsi" w:eastAsiaTheme="minorEastAsia" w:hAnsiTheme="minorHAnsi" w:cstheme="minorBidi"/>
          <w:szCs w:val="22"/>
        </w:rPr>
      </w:pPr>
      <w:r>
        <w:t>17.</w:t>
      </w:r>
      <w:r>
        <w:tab/>
        <w:t>Terms used and approval of certain standards and codes by Director</w:t>
      </w:r>
      <w:r>
        <w:tab/>
      </w:r>
      <w:r>
        <w:fldChar w:fldCharType="begin"/>
      </w:r>
      <w:r>
        <w:instrText xml:space="preserve"> PAGEREF _Toc489344380 \h </w:instrText>
      </w:r>
      <w:r>
        <w:fldChar w:fldCharType="separate"/>
      </w:r>
      <w:r>
        <w:t>15</w:t>
      </w:r>
      <w:r>
        <w:fldChar w:fldCharType="end"/>
      </w:r>
    </w:p>
    <w:p>
      <w:pPr>
        <w:pStyle w:val="TOC8"/>
        <w:rPr>
          <w:rFonts w:asciiTheme="minorHAnsi" w:eastAsiaTheme="minorEastAsia" w:hAnsiTheme="minorHAnsi" w:cstheme="minorBidi"/>
          <w:szCs w:val="22"/>
        </w:rPr>
      </w:pPr>
      <w:r>
        <w:t>18.</w:t>
      </w:r>
      <w:r>
        <w:tab/>
        <w:t>Network operators to whom this Division applies</w:t>
      </w:r>
      <w:r>
        <w:tab/>
      </w:r>
      <w:r>
        <w:fldChar w:fldCharType="begin"/>
      </w:r>
      <w:r>
        <w:instrText xml:space="preserve"> PAGEREF _Toc489344381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 to comply with obligatory provisions</w:t>
      </w:r>
      <w:r>
        <w:tab/>
      </w:r>
      <w:r>
        <w:fldChar w:fldCharType="begin"/>
      </w:r>
      <w:r>
        <w:instrText xml:space="preserve"> PAGEREF _Toc489344382 \h </w:instrText>
      </w:r>
      <w:r>
        <w:fldChar w:fldCharType="separate"/>
      </w:r>
      <w:r>
        <w:t>16</w:t>
      </w:r>
      <w:r>
        <w:fldChar w:fldCharType="end"/>
      </w:r>
    </w:p>
    <w:p>
      <w:pPr>
        <w:pStyle w:val="TOC8"/>
        <w:rPr>
          <w:rFonts w:asciiTheme="minorHAnsi" w:eastAsiaTheme="minorEastAsia" w:hAnsiTheme="minorHAnsi" w:cstheme="minorBidi"/>
          <w:szCs w:val="22"/>
        </w:rPr>
      </w:pPr>
      <w:r>
        <w:t>20.</w:t>
      </w:r>
      <w:r>
        <w:tab/>
        <w:t>Compliance with obligatory and evidentiary provisions evidence of compliance with regulation 6 or 7</w:t>
      </w:r>
      <w:r>
        <w:tab/>
      </w:r>
      <w:r>
        <w:fldChar w:fldCharType="begin"/>
      </w:r>
      <w:r>
        <w:instrText xml:space="preserve"> PAGEREF _Toc489344383 \h </w:instrText>
      </w:r>
      <w:r>
        <w:fldChar w:fldCharType="separate"/>
      </w:r>
      <w:r>
        <w:t>16</w:t>
      </w:r>
      <w:r>
        <w:fldChar w:fldCharType="end"/>
      </w:r>
    </w:p>
    <w:p>
      <w:pPr>
        <w:pStyle w:val="TOC8"/>
        <w:rPr>
          <w:rFonts w:asciiTheme="minorHAnsi" w:eastAsiaTheme="minorEastAsia" w:hAnsiTheme="minorHAnsi" w:cstheme="minorBidi"/>
          <w:szCs w:val="22"/>
        </w:rPr>
      </w:pPr>
      <w:r>
        <w:t>21.</w:t>
      </w:r>
      <w:r>
        <w:tab/>
        <w:t>Requirement to provide information and training</w:t>
      </w:r>
      <w:r>
        <w:tab/>
      </w:r>
      <w:r>
        <w:fldChar w:fldCharType="begin"/>
      </w:r>
      <w:r>
        <w:instrText xml:space="preserve"> PAGEREF _Toc489344384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investigation and reporting</w:t>
      </w:r>
    </w:p>
    <w:p>
      <w:pPr>
        <w:pStyle w:val="TOC4"/>
        <w:tabs>
          <w:tab w:val="right" w:leader="dot" w:pos="7077"/>
        </w:tabs>
        <w:rPr>
          <w:rFonts w:asciiTheme="minorHAnsi" w:eastAsiaTheme="minorEastAsia" w:hAnsiTheme="minorHAnsi" w:cstheme="minorBidi"/>
          <w:b w:val="0"/>
          <w:szCs w:val="22"/>
        </w:rPr>
      </w:pPr>
      <w:r>
        <w:t>Division 1 — Notifiable incidents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_Toc489344387 \h </w:instrText>
      </w:r>
      <w:r>
        <w:fldChar w:fldCharType="separate"/>
      </w:r>
      <w:r>
        <w:t>19</w:t>
      </w:r>
      <w:r>
        <w:fldChar w:fldCharType="end"/>
      </w:r>
    </w:p>
    <w:p>
      <w:pPr>
        <w:pStyle w:val="TOC8"/>
        <w:rPr>
          <w:rFonts w:asciiTheme="minorHAnsi" w:eastAsiaTheme="minorEastAsia" w:hAnsiTheme="minorHAnsi" w:cstheme="minorBidi"/>
          <w:szCs w:val="22"/>
        </w:rPr>
      </w:pPr>
      <w:r>
        <w:t>23.</w:t>
      </w:r>
      <w:r>
        <w:tab/>
        <w:t>Notification and investigation of suspected notifiable incidents</w:t>
      </w:r>
      <w:r>
        <w:tab/>
      </w:r>
      <w:r>
        <w:fldChar w:fldCharType="begin"/>
      </w:r>
      <w:r>
        <w:instrText xml:space="preserve"> PAGEREF _Toc489344388 \h </w:instrText>
      </w:r>
      <w:r>
        <w:fldChar w:fldCharType="separate"/>
      </w:r>
      <w:r>
        <w:t>20</w:t>
      </w:r>
      <w:r>
        <w:fldChar w:fldCharType="end"/>
      </w:r>
    </w:p>
    <w:p>
      <w:pPr>
        <w:pStyle w:val="TOC8"/>
        <w:rPr>
          <w:rFonts w:asciiTheme="minorHAnsi" w:eastAsiaTheme="minorEastAsia" w:hAnsiTheme="minorHAnsi" w:cstheme="minorBidi"/>
          <w:szCs w:val="22"/>
        </w:rPr>
      </w:pPr>
      <w:r>
        <w:t>24.</w:t>
      </w:r>
      <w:r>
        <w:tab/>
        <w:t>Reporting of notifiable incidents</w:t>
      </w:r>
      <w:r>
        <w:tab/>
      </w:r>
      <w:r>
        <w:fldChar w:fldCharType="begin"/>
      </w:r>
      <w:r>
        <w:instrText xml:space="preserve"> PAGEREF _Toc489344389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 not to disturb site of notifiable incident or physical evidence</w:t>
      </w:r>
      <w:r>
        <w:tab/>
      </w:r>
      <w:r>
        <w:fldChar w:fldCharType="begin"/>
      </w:r>
      <w:r>
        <w:instrText xml:space="preserve"> PAGEREF _Toc489344390 \h </w:instrText>
      </w:r>
      <w:r>
        <w:fldChar w:fldCharType="separate"/>
      </w:r>
      <w:r>
        <w:t>22</w:t>
      </w:r>
      <w:r>
        <w:fldChar w:fldCharType="end"/>
      </w:r>
    </w:p>
    <w:p>
      <w:pPr>
        <w:pStyle w:val="TOC8"/>
        <w:rPr>
          <w:rFonts w:asciiTheme="minorHAnsi" w:eastAsiaTheme="minorEastAsia" w:hAnsiTheme="minorHAnsi" w:cstheme="minorBidi"/>
          <w:szCs w:val="22"/>
        </w:rPr>
      </w:pPr>
      <w:r>
        <w:t>26.</w:t>
      </w:r>
      <w:r>
        <w:tab/>
        <w:t>Destructive testing of physical evidence</w:t>
      </w:r>
      <w:r>
        <w:tab/>
      </w:r>
      <w:r>
        <w:fldChar w:fldCharType="begin"/>
      </w:r>
      <w:r>
        <w:instrText xml:space="preserve"> PAGEREF _Toc489344391 \h </w:instrText>
      </w:r>
      <w:r>
        <w:fldChar w:fldCharType="separate"/>
      </w:r>
      <w:r>
        <w:t>23</w:t>
      </w:r>
      <w:r>
        <w:fldChar w:fldCharType="end"/>
      </w:r>
    </w:p>
    <w:p>
      <w:pPr>
        <w:pStyle w:val="TOC8"/>
        <w:rPr>
          <w:rFonts w:asciiTheme="minorHAnsi" w:eastAsiaTheme="minorEastAsia" w:hAnsiTheme="minorHAnsi" w:cstheme="minorBidi"/>
          <w:szCs w:val="22"/>
        </w:rPr>
      </w:pPr>
      <w:r>
        <w:t>27.</w:t>
      </w:r>
      <w:r>
        <w:tab/>
        <w:t>Statistical reporting</w:t>
      </w:r>
      <w:r>
        <w:tab/>
      </w:r>
      <w:r>
        <w:fldChar w:fldCharType="begin"/>
      </w:r>
      <w:r>
        <w:instrText xml:space="preserve"> PAGEREF _Toc489344392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Reporting on network safety performance</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_Toc489344394 \h </w:instrText>
      </w:r>
      <w:r>
        <w:fldChar w:fldCharType="separate"/>
      </w:r>
      <w:r>
        <w:t>24</w:t>
      </w:r>
      <w:r>
        <w:fldChar w:fldCharType="end"/>
      </w:r>
    </w:p>
    <w:p>
      <w:pPr>
        <w:pStyle w:val="TOC8"/>
        <w:rPr>
          <w:rFonts w:asciiTheme="minorHAnsi" w:eastAsiaTheme="minorEastAsia" w:hAnsiTheme="minorHAnsi" w:cstheme="minorBidi"/>
          <w:szCs w:val="22"/>
        </w:rPr>
      </w:pPr>
      <w:r>
        <w:t>29.</w:t>
      </w:r>
      <w:r>
        <w:tab/>
        <w:t>Network operators to whom this Division applies</w:t>
      </w:r>
      <w:r>
        <w:tab/>
      </w:r>
      <w:r>
        <w:fldChar w:fldCharType="begin"/>
      </w:r>
      <w:r>
        <w:instrText xml:space="preserve"> PAGEREF _Toc489344395 \h </w:instrText>
      </w:r>
      <w:r>
        <w:fldChar w:fldCharType="separate"/>
      </w:r>
      <w:r>
        <w:t>25</w:t>
      </w:r>
      <w:r>
        <w:fldChar w:fldCharType="end"/>
      </w:r>
    </w:p>
    <w:p>
      <w:pPr>
        <w:pStyle w:val="TOC8"/>
        <w:rPr>
          <w:rFonts w:asciiTheme="minorHAnsi" w:eastAsiaTheme="minorEastAsia" w:hAnsiTheme="minorHAnsi" w:cstheme="minorBidi"/>
          <w:szCs w:val="22"/>
        </w:rPr>
      </w:pPr>
      <w:r>
        <w:t>30.</w:t>
      </w:r>
      <w:r>
        <w:tab/>
        <w:t>Network safety performance incidents</w:t>
      </w:r>
      <w:r>
        <w:tab/>
      </w:r>
      <w:r>
        <w:fldChar w:fldCharType="begin"/>
      </w:r>
      <w:r>
        <w:instrText xml:space="preserve"> PAGEREF _Toc489344396 \h </w:instrText>
      </w:r>
      <w:r>
        <w:fldChar w:fldCharType="separate"/>
      </w:r>
      <w:r>
        <w:t>25</w:t>
      </w:r>
      <w:r>
        <w:fldChar w:fldCharType="end"/>
      </w:r>
    </w:p>
    <w:p>
      <w:pPr>
        <w:pStyle w:val="TOC8"/>
        <w:rPr>
          <w:rFonts w:asciiTheme="minorHAnsi" w:eastAsiaTheme="minorEastAsia" w:hAnsiTheme="minorHAnsi" w:cstheme="minorBidi"/>
          <w:szCs w:val="22"/>
        </w:rPr>
      </w:pPr>
      <w:r>
        <w:t>31.</w:t>
      </w:r>
      <w:r>
        <w:tab/>
        <w:t>Network operator to publish annual objectives</w:t>
      </w:r>
      <w:r>
        <w:tab/>
      </w:r>
      <w:r>
        <w:fldChar w:fldCharType="begin"/>
      </w:r>
      <w:r>
        <w:instrText xml:space="preserve"> PAGEREF _Toc489344397 \h </w:instrText>
      </w:r>
      <w:r>
        <w:fldChar w:fldCharType="separate"/>
      </w:r>
      <w:r>
        <w:t>27</w:t>
      </w:r>
      <w:r>
        <w:fldChar w:fldCharType="end"/>
      </w:r>
    </w:p>
    <w:p>
      <w:pPr>
        <w:pStyle w:val="TOC8"/>
        <w:rPr>
          <w:rFonts w:asciiTheme="minorHAnsi" w:eastAsiaTheme="minorEastAsia" w:hAnsiTheme="minorHAnsi" w:cstheme="minorBidi"/>
          <w:szCs w:val="22"/>
        </w:rPr>
      </w:pPr>
      <w:r>
        <w:t>32.</w:t>
      </w:r>
      <w:r>
        <w:tab/>
        <w:t>Network operator to publish quarterly outcomes</w:t>
      </w:r>
      <w:r>
        <w:tab/>
      </w:r>
      <w:r>
        <w:fldChar w:fldCharType="begin"/>
      </w:r>
      <w:r>
        <w:instrText xml:space="preserve"> PAGEREF _Toc489344398 \h </w:instrText>
      </w:r>
      <w:r>
        <w:fldChar w:fldCharType="separate"/>
      </w:r>
      <w:r>
        <w:t>28</w:t>
      </w:r>
      <w:r>
        <w:fldChar w:fldCharType="end"/>
      </w:r>
    </w:p>
    <w:p>
      <w:pPr>
        <w:pStyle w:val="TOC8"/>
        <w:rPr>
          <w:rFonts w:asciiTheme="minorHAnsi" w:eastAsiaTheme="minorEastAsia" w:hAnsiTheme="minorHAnsi" w:cstheme="minorBidi"/>
          <w:szCs w:val="22"/>
        </w:rPr>
      </w:pPr>
      <w:r>
        <w:t>33.</w:t>
      </w:r>
      <w:r>
        <w:tab/>
        <w:t>Director may publish and comment on objectives and outcomes</w:t>
      </w:r>
      <w:r>
        <w:tab/>
      </w:r>
      <w:r>
        <w:fldChar w:fldCharType="begin"/>
      </w:r>
      <w:r>
        <w:instrText xml:space="preserve"> PAGEREF _Toc489344399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Review of decisions</w:t>
      </w:r>
    </w:p>
    <w:p>
      <w:pPr>
        <w:pStyle w:val="TOC8"/>
        <w:rPr>
          <w:rFonts w:asciiTheme="minorHAnsi" w:eastAsiaTheme="minorEastAsia" w:hAnsiTheme="minorHAnsi" w:cstheme="minorBidi"/>
          <w:szCs w:val="22"/>
        </w:rPr>
      </w:pPr>
      <w:r>
        <w:t>34.</w:t>
      </w:r>
      <w:r>
        <w:tab/>
        <w:t>Decisions to which this Part applies</w:t>
      </w:r>
      <w:r>
        <w:tab/>
      </w:r>
      <w:r>
        <w:fldChar w:fldCharType="begin"/>
      </w:r>
      <w:r>
        <w:instrText xml:space="preserve"> PAGEREF _Toc489344401 \h </w:instrText>
      </w:r>
      <w:r>
        <w:fldChar w:fldCharType="separate"/>
      </w:r>
      <w:r>
        <w:t>30</w:t>
      </w:r>
      <w:r>
        <w:fldChar w:fldCharType="end"/>
      </w:r>
    </w:p>
    <w:p>
      <w:pPr>
        <w:pStyle w:val="TOC8"/>
        <w:rPr>
          <w:rFonts w:asciiTheme="minorHAnsi" w:eastAsiaTheme="minorEastAsia" w:hAnsiTheme="minorHAnsi" w:cstheme="minorBidi"/>
          <w:szCs w:val="22"/>
        </w:rPr>
      </w:pPr>
      <w:r>
        <w:t>35.</w:t>
      </w:r>
      <w:r>
        <w:tab/>
        <w:t>Application for review</w:t>
      </w:r>
      <w:r>
        <w:tab/>
      </w:r>
      <w:r>
        <w:fldChar w:fldCharType="begin"/>
      </w:r>
      <w:r>
        <w:instrText xml:space="preserve"> PAGEREF _Toc489344402 \h </w:instrText>
      </w:r>
      <w:r>
        <w:fldChar w:fldCharType="separate"/>
      </w:r>
      <w:r>
        <w:t>30</w:t>
      </w:r>
      <w:r>
        <w:fldChar w:fldCharType="end"/>
      </w:r>
    </w:p>
    <w:p>
      <w:pPr>
        <w:pStyle w:val="TOC8"/>
        <w:rPr>
          <w:rFonts w:asciiTheme="minorHAnsi" w:eastAsiaTheme="minorEastAsia" w:hAnsiTheme="minorHAnsi" w:cstheme="minorBidi"/>
          <w:szCs w:val="22"/>
        </w:rPr>
      </w:pPr>
      <w:r>
        <w:t>36.</w:t>
      </w:r>
      <w:r>
        <w:tab/>
        <w:t>Review of determinations of Director under regulation 35</w:t>
      </w:r>
      <w:r>
        <w:tab/>
      </w:r>
      <w:r>
        <w:fldChar w:fldCharType="begin"/>
      </w:r>
      <w:r>
        <w:instrText xml:space="preserve"> PAGEREF _Toc489344403 \h </w:instrText>
      </w:r>
      <w:r>
        <w:fldChar w:fldCharType="separate"/>
      </w:r>
      <w:r>
        <w:t>31</w:t>
      </w:r>
      <w:r>
        <w:fldChar w:fldCharType="end"/>
      </w:r>
    </w:p>
    <w:p>
      <w:pPr>
        <w:pStyle w:val="TOC8"/>
        <w:rPr>
          <w:rFonts w:asciiTheme="minorHAnsi" w:eastAsiaTheme="minorEastAsia" w:hAnsiTheme="minorHAnsi" w:cstheme="minorBidi"/>
          <w:szCs w:val="22"/>
        </w:rPr>
      </w:pPr>
      <w:r>
        <w:t>37.</w:t>
      </w:r>
      <w:r>
        <w:tab/>
        <w:t>Technical review panels: convening, remuneration and support</w:t>
      </w:r>
      <w:r>
        <w:tab/>
      </w:r>
      <w:r>
        <w:fldChar w:fldCharType="begin"/>
      </w:r>
      <w:r>
        <w:instrText xml:space="preserve"> PAGEREF _Toc489344404 \h </w:instrText>
      </w:r>
      <w:r>
        <w:fldChar w:fldCharType="separate"/>
      </w:r>
      <w:r>
        <w:t>33</w:t>
      </w:r>
      <w:r>
        <w:fldChar w:fldCharType="end"/>
      </w:r>
    </w:p>
    <w:p>
      <w:pPr>
        <w:pStyle w:val="TOC8"/>
        <w:rPr>
          <w:rFonts w:asciiTheme="minorHAnsi" w:eastAsiaTheme="minorEastAsia" w:hAnsiTheme="minorHAnsi" w:cstheme="minorBidi"/>
          <w:szCs w:val="22"/>
        </w:rPr>
      </w:pPr>
      <w:r>
        <w:t>38.</w:t>
      </w:r>
      <w:r>
        <w:tab/>
        <w:t>Technical review panels: procedure on review</w:t>
      </w:r>
      <w:r>
        <w:tab/>
      </w:r>
      <w:r>
        <w:fldChar w:fldCharType="begin"/>
      </w:r>
      <w:r>
        <w:instrText xml:space="preserve"> PAGEREF _Toc489344405 \h </w:instrText>
      </w:r>
      <w:r>
        <w:fldChar w:fldCharType="separate"/>
      </w:r>
      <w:r>
        <w:t>33</w:t>
      </w:r>
      <w:r>
        <w:fldChar w:fldCharType="end"/>
      </w:r>
    </w:p>
    <w:p>
      <w:pPr>
        <w:pStyle w:val="TOC8"/>
        <w:rPr>
          <w:rFonts w:asciiTheme="minorHAnsi" w:eastAsiaTheme="minorEastAsia" w:hAnsiTheme="minorHAnsi" w:cstheme="minorBidi"/>
          <w:szCs w:val="22"/>
        </w:rPr>
      </w:pPr>
      <w:r>
        <w:t>39.</w:t>
      </w:r>
      <w:r>
        <w:tab/>
        <w:t>Technical review panels: costs</w:t>
      </w:r>
      <w:r>
        <w:tab/>
      </w:r>
      <w:r>
        <w:fldChar w:fldCharType="begin"/>
      </w:r>
      <w:r>
        <w:instrText xml:space="preserve"> PAGEREF _Toc489344406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Defence for certain network operators</w:t>
      </w:r>
      <w:r>
        <w:tab/>
      </w:r>
      <w:r>
        <w:fldChar w:fldCharType="begin"/>
      </w:r>
      <w:r>
        <w:instrText xml:space="preserve"> PAGEREF _Toc489344408 \h </w:instrText>
      </w:r>
      <w:r>
        <w:fldChar w:fldCharType="separate"/>
      </w:r>
      <w:r>
        <w:t>35</w:t>
      </w:r>
      <w:r>
        <w:fldChar w:fldCharType="end"/>
      </w:r>
    </w:p>
    <w:p>
      <w:pPr>
        <w:pStyle w:val="TOC8"/>
        <w:rPr>
          <w:rFonts w:asciiTheme="minorHAnsi" w:eastAsiaTheme="minorEastAsia" w:hAnsiTheme="minorHAnsi" w:cstheme="minorBidi"/>
          <w:szCs w:val="22"/>
        </w:rPr>
      </w:pPr>
      <w:r>
        <w:t>41.</w:t>
      </w:r>
      <w:r>
        <w:tab/>
        <w:t>Contact details of network operators</w:t>
      </w:r>
      <w:r>
        <w:tab/>
      </w:r>
      <w:r>
        <w:fldChar w:fldCharType="begin"/>
      </w:r>
      <w:r>
        <w:instrText xml:space="preserve"> PAGEREF _Toc489344409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Repeal,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r>
      <w:r>
        <w:rPr>
          <w:i/>
        </w:rPr>
        <w:t>Electricity (Supply Standards and System Safety) Regulations 2001</w:t>
      </w:r>
      <w:r>
        <w:t xml:space="preserve"> repealed</w:t>
      </w:r>
      <w:r>
        <w:tab/>
      </w:r>
      <w:r>
        <w:fldChar w:fldCharType="begin"/>
      </w:r>
      <w:r>
        <w:instrText xml:space="preserve"> PAGEREF _Toc489344412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43.</w:t>
      </w:r>
      <w:r>
        <w:tab/>
      </w:r>
      <w:r>
        <w:rPr>
          <w:i/>
          <w:color w:val="000000" w:themeColor="text1"/>
        </w:rPr>
        <w:t>Electricity (Licensing) Regulations 1991</w:t>
      </w:r>
      <w:r>
        <w:rPr>
          <w:color w:val="000000" w:themeColor="text1"/>
        </w:rPr>
        <w:t xml:space="preserve"> </w:t>
      </w:r>
      <w:r>
        <w:t>amended</w:t>
      </w:r>
      <w:r>
        <w:tab/>
      </w:r>
      <w:r>
        <w:fldChar w:fldCharType="begin"/>
      </w:r>
      <w:r>
        <w:instrText xml:space="preserve"> PAGEREF _Toc489344414 \h </w:instrText>
      </w:r>
      <w:r>
        <w:fldChar w:fldCharType="separate"/>
      </w:r>
      <w:r>
        <w:t>38</w:t>
      </w:r>
      <w:r>
        <w:fldChar w:fldCharType="end"/>
      </w:r>
    </w:p>
    <w:p>
      <w:pPr>
        <w:pStyle w:val="TOC8"/>
        <w:rPr>
          <w:rFonts w:asciiTheme="minorHAnsi" w:eastAsiaTheme="minorEastAsia" w:hAnsiTheme="minorHAnsi" w:cstheme="minorBidi"/>
          <w:szCs w:val="22"/>
        </w:rPr>
      </w:pPr>
      <w:r>
        <w:t>44.</w:t>
      </w:r>
      <w:r>
        <w:tab/>
      </w:r>
      <w:r>
        <w:rPr>
          <w:i/>
        </w:rPr>
        <w:t>Electricity Regulations 1947</w:t>
      </w:r>
      <w:r>
        <w:t xml:space="preserve"> amended</w:t>
      </w:r>
      <w:r>
        <w:tab/>
      </w:r>
      <w:r>
        <w:fldChar w:fldCharType="begin"/>
      </w:r>
      <w:r>
        <w:instrText xml:space="preserve"> PAGEREF _Toc489344415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_Toc489344417 \h </w:instrText>
      </w:r>
      <w:r>
        <w:fldChar w:fldCharType="separate"/>
      </w:r>
      <w:r>
        <w:t>40</w:t>
      </w:r>
      <w:r>
        <w:fldChar w:fldCharType="end"/>
      </w:r>
    </w:p>
    <w:p>
      <w:pPr>
        <w:pStyle w:val="TOC8"/>
        <w:rPr>
          <w:rFonts w:asciiTheme="minorHAnsi" w:eastAsiaTheme="minorEastAsia" w:hAnsiTheme="minorHAnsi" w:cstheme="minorBidi"/>
          <w:szCs w:val="22"/>
        </w:rPr>
      </w:pPr>
      <w:r>
        <w:t>46.</w:t>
      </w:r>
      <w:r>
        <w:tab/>
        <w:t>Standards and codes</w:t>
      </w:r>
      <w:r>
        <w:tab/>
      </w:r>
      <w:r>
        <w:fldChar w:fldCharType="begin"/>
      </w:r>
      <w:r>
        <w:instrText xml:space="preserve"> PAGEREF _Toc489344418 \h </w:instrText>
      </w:r>
      <w:r>
        <w:fldChar w:fldCharType="separate"/>
      </w:r>
      <w:r>
        <w:t>41</w:t>
      </w:r>
      <w:r>
        <w:fldChar w:fldCharType="end"/>
      </w:r>
    </w:p>
    <w:p>
      <w:pPr>
        <w:pStyle w:val="TOC8"/>
        <w:rPr>
          <w:rFonts w:asciiTheme="minorHAnsi" w:eastAsiaTheme="minorEastAsia" w:hAnsiTheme="minorHAnsi" w:cstheme="minorBidi"/>
          <w:szCs w:val="22"/>
        </w:rPr>
      </w:pPr>
      <w:r>
        <w:t>47.</w:t>
      </w:r>
      <w:r>
        <w:tab/>
        <w:t>Notifiable incidents that occurred before commencement day</w:t>
      </w:r>
      <w:r>
        <w:tab/>
      </w:r>
      <w:r>
        <w:fldChar w:fldCharType="begin"/>
      </w:r>
      <w:r>
        <w:instrText xml:space="preserve"> PAGEREF _Toc489344419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Standards and codes containing evidentiary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Overhead lines</w:t>
      </w:r>
    </w:p>
    <w:p>
      <w:pPr>
        <w:pStyle w:val="TOC4"/>
        <w:tabs>
          <w:tab w:val="right" w:leader="dot" w:pos="7077"/>
        </w:tabs>
        <w:rPr>
          <w:rFonts w:asciiTheme="minorHAnsi" w:eastAsiaTheme="minorEastAsia" w:hAnsiTheme="minorHAnsi" w:cstheme="minorBidi"/>
          <w:b w:val="0"/>
          <w:szCs w:val="22"/>
        </w:rPr>
      </w:pPr>
      <w:r>
        <w:t>Division 3 — Switchyards, substations and power stations</w:t>
      </w:r>
    </w:p>
    <w:p>
      <w:pPr>
        <w:pStyle w:val="TOC4"/>
        <w:tabs>
          <w:tab w:val="right" w:leader="dot" w:pos="7077"/>
        </w:tabs>
        <w:rPr>
          <w:rFonts w:asciiTheme="minorHAnsi" w:eastAsiaTheme="minorEastAsia" w:hAnsiTheme="minorHAnsi" w:cstheme="minorBidi"/>
          <w:b w:val="0"/>
          <w:szCs w:val="22"/>
        </w:rPr>
      </w:pPr>
      <w:r>
        <w:t>Division 4 — Underground cables</w:t>
      </w:r>
    </w:p>
    <w:p>
      <w:pPr>
        <w:pStyle w:val="TOC4"/>
        <w:tabs>
          <w:tab w:val="right" w:leader="dot" w:pos="7077"/>
        </w:tabs>
        <w:rPr>
          <w:rFonts w:asciiTheme="minorHAnsi" w:eastAsiaTheme="minorEastAsia" w:hAnsiTheme="minorHAnsi" w:cstheme="minorBidi"/>
          <w:b w:val="0"/>
          <w:szCs w:val="22"/>
        </w:rPr>
      </w:pPr>
      <w:r>
        <w:t>Division 5 — Power coordination</w:t>
      </w:r>
    </w:p>
    <w:p>
      <w:pPr>
        <w:pStyle w:val="TOC2"/>
        <w:tabs>
          <w:tab w:val="right" w:leader="dot" w:pos="7077"/>
        </w:tabs>
        <w:rPr>
          <w:rFonts w:asciiTheme="minorHAnsi" w:eastAsiaTheme="minorEastAsia" w:hAnsiTheme="minorHAnsi" w:cstheme="minorBidi"/>
          <w:b w:val="0"/>
          <w:sz w:val="22"/>
          <w:szCs w:val="22"/>
        </w:rPr>
      </w:pPr>
      <w:r>
        <w:t>Schedule 2 — Standards and codes containing obligatory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Overhead lines</w:t>
      </w:r>
    </w:p>
    <w:p>
      <w:pPr>
        <w:pStyle w:val="TOC4"/>
        <w:tabs>
          <w:tab w:val="right" w:leader="dot" w:pos="7077"/>
        </w:tabs>
        <w:rPr>
          <w:rFonts w:asciiTheme="minorHAnsi" w:eastAsiaTheme="minorEastAsia" w:hAnsiTheme="minorHAnsi" w:cstheme="minorBidi"/>
          <w:b w:val="0"/>
          <w:szCs w:val="22"/>
        </w:rPr>
      </w:pPr>
      <w:r>
        <w:t>Division 3 — Underground cables</w:t>
      </w:r>
    </w:p>
    <w:p>
      <w:pPr>
        <w:pStyle w:val="TOC4"/>
        <w:tabs>
          <w:tab w:val="right" w:leader="dot" w:pos="7077"/>
        </w:tabs>
        <w:rPr>
          <w:rFonts w:asciiTheme="minorHAnsi" w:eastAsiaTheme="minorEastAsia" w:hAnsiTheme="minorHAnsi" w:cstheme="minorBidi"/>
          <w:b w:val="0"/>
          <w:szCs w:val="22"/>
        </w:rPr>
      </w:pPr>
      <w:r>
        <w:t>Division 4 — Switchgear and protection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_Toc489344432 \h </w:instrText>
      </w:r>
      <w:r>
        <w:fldChar w:fldCharType="separate"/>
      </w:r>
      <w:r>
        <w:t>50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_Toc489344433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Act 1945</w:t>
      </w:r>
    </w:p>
    <w:p>
      <w:pPr>
        <w:pStyle w:val="NameofActReg"/>
        <w:rPr>
          <w:b w:val="0"/>
        </w:rPr>
      </w:pPr>
      <w:r>
        <w:t>Electricity (Network Safety) Regulations 2015</w:t>
      </w:r>
    </w:p>
    <w:p>
      <w:pPr>
        <w:pStyle w:val="Heading2"/>
        <w:pageBreakBefore w:val="0"/>
        <w:spacing w:before="240"/>
      </w:pPr>
      <w:bookmarkStart w:id="3" w:name="_Toc421201039"/>
      <w:bookmarkStart w:id="4" w:name="_Toc421201111"/>
      <w:bookmarkStart w:id="5" w:name="_Toc421259979"/>
      <w:bookmarkStart w:id="6" w:name="_Toc421260117"/>
      <w:bookmarkStart w:id="7" w:name="_Toc421609774"/>
      <w:bookmarkStart w:id="8" w:name="_Toc421610143"/>
      <w:bookmarkStart w:id="9" w:name="_Toc421614412"/>
      <w:bookmarkStart w:id="10" w:name="_Toc421614485"/>
      <w:bookmarkStart w:id="11" w:name="_Toc421620128"/>
      <w:bookmarkStart w:id="12" w:name="_Toc421620226"/>
      <w:bookmarkStart w:id="13" w:name="_Toc421620298"/>
      <w:bookmarkStart w:id="14" w:name="_Toc421620692"/>
      <w:bookmarkStart w:id="15" w:name="_Toc422228891"/>
      <w:bookmarkStart w:id="16" w:name="_Toc422228964"/>
      <w:bookmarkStart w:id="17" w:name="_Toc426475211"/>
      <w:bookmarkStart w:id="18" w:name="_Toc426475413"/>
      <w:bookmarkStart w:id="19" w:name="_Toc426475488"/>
      <w:bookmarkStart w:id="20" w:name="_Toc426541529"/>
      <w:bookmarkStart w:id="21" w:name="_Toc489344123"/>
      <w:bookmarkStart w:id="22" w:name="_Toc4893443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2228965"/>
      <w:bookmarkStart w:id="24" w:name="_Toc489344360"/>
      <w:r>
        <w:rPr>
          <w:rStyle w:val="CharSectno"/>
        </w:rPr>
        <w:t>1</w:t>
      </w:r>
      <w:r>
        <w:t>.</w:t>
      </w:r>
      <w:r>
        <w:tab/>
        <w:t>Citation</w:t>
      </w:r>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26" w:name="_Toc422228966"/>
      <w:bookmarkStart w:id="27" w:name="_Toc489344361"/>
      <w:r>
        <w:rPr>
          <w:rStyle w:val="CharSectno"/>
        </w:rPr>
        <w:t>2</w:t>
      </w:r>
      <w:r>
        <w:rPr>
          <w:spacing w:val="-2"/>
        </w:rPr>
        <w:t>.</w:t>
      </w:r>
      <w:r>
        <w:rPr>
          <w:spacing w:val="-2"/>
        </w:rPr>
        <w:tab/>
        <w:t>Commencement</w:t>
      </w:r>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8" w:name="_Toc422228967"/>
      <w:bookmarkStart w:id="29" w:name="_Toc489344362"/>
      <w:r>
        <w:rPr>
          <w:rStyle w:val="CharSectno"/>
        </w:rPr>
        <w:t>3</w:t>
      </w:r>
      <w:r>
        <w:t>.</w:t>
      </w:r>
      <w:r>
        <w:tab/>
        <w:t>Terms used</w:t>
      </w:r>
      <w:bookmarkEnd w:id="28"/>
      <w:bookmarkEnd w:id="29"/>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the prescribed activity is carried out in the course of the construction, commissioning, maintenance or decommissioning of the network, the activity is not carried out in connection with the network unless it is carried out within 6 metres of the network.</w:t>
      </w:r>
    </w:p>
    <w:p>
      <w:pPr>
        <w:pStyle w:val="Heading5"/>
        <w:spacing w:before="120"/>
      </w:pPr>
      <w:bookmarkStart w:id="30" w:name="_Toc422228968"/>
      <w:bookmarkStart w:id="31" w:name="_Toc489344363"/>
      <w:r>
        <w:rPr>
          <w:rStyle w:val="CharSectno"/>
        </w:rPr>
        <w:t>4</w:t>
      </w:r>
      <w:r>
        <w:t>.</w:t>
      </w:r>
      <w:r>
        <w:tab/>
        <w:t>Network operators</w:t>
      </w:r>
      <w:bookmarkEnd w:id="30"/>
      <w:bookmarkEnd w:id="31"/>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the Rottnest Island Authority,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Heading5"/>
      </w:pPr>
      <w:bookmarkStart w:id="32" w:name="_Toc422228969"/>
      <w:bookmarkStart w:id="33" w:name="_Toc489344364"/>
      <w:r>
        <w:rPr>
          <w:rStyle w:val="CharSectno"/>
        </w:rPr>
        <w:t>5</w:t>
      </w:r>
      <w:r>
        <w:t>.</w:t>
      </w:r>
      <w:r>
        <w:tab/>
        <w:t>Persons for whom a network operator or contractor is responsible</w:t>
      </w:r>
      <w:bookmarkEnd w:id="32"/>
      <w:bookmarkEnd w:id="33"/>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34" w:name="_Toc421201045"/>
      <w:bookmarkStart w:id="35" w:name="_Toc421201117"/>
      <w:bookmarkStart w:id="36" w:name="_Toc421259985"/>
      <w:bookmarkStart w:id="37" w:name="_Toc421260123"/>
      <w:bookmarkStart w:id="38" w:name="_Toc421609780"/>
      <w:bookmarkStart w:id="39" w:name="_Toc421610149"/>
      <w:bookmarkStart w:id="40" w:name="_Toc421614418"/>
      <w:bookmarkStart w:id="41" w:name="_Toc421614491"/>
      <w:bookmarkStart w:id="42" w:name="_Toc421620134"/>
      <w:bookmarkStart w:id="43" w:name="_Toc421620232"/>
      <w:bookmarkStart w:id="44" w:name="_Toc421620304"/>
      <w:bookmarkStart w:id="45" w:name="_Toc421620698"/>
      <w:bookmarkStart w:id="46" w:name="_Toc422228897"/>
      <w:bookmarkStart w:id="47" w:name="_Toc422228970"/>
      <w:bookmarkStart w:id="48" w:name="_Toc426475217"/>
      <w:bookmarkStart w:id="49" w:name="_Toc426475419"/>
      <w:bookmarkStart w:id="50" w:name="_Toc426475494"/>
      <w:bookmarkStart w:id="51" w:name="_Toc426541535"/>
      <w:bookmarkStart w:id="52" w:name="_Toc489344129"/>
      <w:bookmarkStart w:id="53" w:name="_Toc489344365"/>
      <w:r>
        <w:rPr>
          <w:rStyle w:val="CharPartNo"/>
        </w:rPr>
        <w:t>Part 2</w:t>
      </w:r>
      <w:r>
        <w:t> — </w:t>
      </w:r>
      <w:r>
        <w:rPr>
          <w:rStyle w:val="CharPartText"/>
        </w:rPr>
        <w:t>Network safety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421201046"/>
      <w:bookmarkStart w:id="55" w:name="_Toc421201118"/>
      <w:bookmarkStart w:id="56" w:name="_Toc421259986"/>
      <w:bookmarkStart w:id="57" w:name="_Toc421260124"/>
      <w:bookmarkStart w:id="58" w:name="_Toc421609781"/>
      <w:bookmarkStart w:id="59" w:name="_Toc421610150"/>
      <w:bookmarkStart w:id="60" w:name="_Toc421614419"/>
      <w:bookmarkStart w:id="61" w:name="_Toc421614492"/>
      <w:bookmarkStart w:id="62" w:name="_Toc421620135"/>
      <w:bookmarkStart w:id="63" w:name="_Toc421620233"/>
      <w:bookmarkStart w:id="64" w:name="_Toc421620305"/>
      <w:bookmarkStart w:id="65" w:name="_Toc421620699"/>
      <w:bookmarkStart w:id="66" w:name="_Toc422228898"/>
      <w:bookmarkStart w:id="67" w:name="_Toc422228971"/>
      <w:bookmarkStart w:id="68" w:name="_Toc426475218"/>
      <w:bookmarkStart w:id="69" w:name="_Toc426475420"/>
      <w:bookmarkStart w:id="70" w:name="_Toc426475495"/>
      <w:bookmarkStart w:id="71" w:name="_Toc426541536"/>
      <w:bookmarkStart w:id="72" w:name="_Toc489344130"/>
      <w:bookmarkStart w:id="73" w:name="_Toc489344366"/>
      <w:r>
        <w:rPr>
          <w:rStyle w:val="CharDivNo"/>
        </w:rPr>
        <w:t>Division 1</w:t>
      </w:r>
      <w:r>
        <w:t xml:space="preserve"> — </w:t>
      </w:r>
      <w:r>
        <w:rPr>
          <w:rStyle w:val="CharDivText"/>
        </w:rPr>
        <w:t>General safety requirements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22228972"/>
      <w:bookmarkStart w:id="75" w:name="_Toc489344367"/>
      <w:r>
        <w:rPr>
          <w:rStyle w:val="CharSectno"/>
        </w:rPr>
        <w:t>6</w:t>
      </w:r>
      <w:r>
        <w:t>.</w:t>
      </w:r>
      <w:r>
        <w:tab/>
        <w:t>Duty of network operator to manage prescribed activities</w:t>
      </w:r>
      <w:bookmarkEnd w:id="74"/>
      <w:bookmarkEnd w:id="75"/>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76" w:name="_Toc422228973"/>
      <w:bookmarkStart w:id="77" w:name="_Toc489344368"/>
      <w:r>
        <w:rPr>
          <w:rStyle w:val="CharSectno"/>
        </w:rPr>
        <w:t>7</w:t>
      </w:r>
      <w:r>
        <w:t>.</w:t>
      </w:r>
      <w:r>
        <w:tab/>
        <w:t>Duty of contractor to manage prescribed activities</w:t>
      </w:r>
      <w:bookmarkEnd w:id="76"/>
      <w:bookmarkEnd w:id="77"/>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78" w:name="_Toc422228974"/>
      <w:bookmarkStart w:id="79" w:name="_Toc489344369"/>
      <w:r>
        <w:rPr>
          <w:rStyle w:val="CharSectno"/>
        </w:rPr>
        <w:t>8</w:t>
      </w:r>
      <w:r>
        <w:t>.</w:t>
      </w:r>
      <w:r>
        <w:tab/>
        <w:t>Duty of persons carrying out prescribed activities</w:t>
      </w:r>
      <w:bookmarkEnd w:id="78"/>
      <w:bookmarkEnd w:id="79"/>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80" w:name="_Toc422228975"/>
      <w:bookmarkStart w:id="81" w:name="_Toc489344370"/>
      <w:r>
        <w:rPr>
          <w:rStyle w:val="CharSectno"/>
        </w:rPr>
        <w:t>9</w:t>
      </w:r>
      <w:r>
        <w:t>.</w:t>
      </w:r>
      <w:r>
        <w:tab/>
        <w:t>Duties relating to certain risks to safety</w:t>
      </w:r>
      <w:bookmarkEnd w:id="80"/>
      <w:bookmarkEnd w:id="81"/>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82" w:name="_Toc421201051"/>
      <w:bookmarkStart w:id="83" w:name="_Toc421201123"/>
      <w:bookmarkStart w:id="84" w:name="_Toc421259991"/>
      <w:bookmarkStart w:id="85" w:name="_Toc421260129"/>
      <w:bookmarkStart w:id="86" w:name="_Toc421609786"/>
      <w:bookmarkStart w:id="87" w:name="_Toc421610155"/>
      <w:bookmarkStart w:id="88" w:name="_Toc421614424"/>
      <w:bookmarkStart w:id="89" w:name="_Toc421614497"/>
      <w:bookmarkStart w:id="90" w:name="_Toc421620140"/>
      <w:bookmarkStart w:id="91" w:name="_Toc421620238"/>
      <w:bookmarkStart w:id="92" w:name="_Toc421620310"/>
      <w:bookmarkStart w:id="93" w:name="_Toc421620704"/>
      <w:bookmarkStart w:id="94" w:name="_Toc422228903"/>
      <w:bookmarkStart w:id="95" w:name="_Toc422228976"/>
      <w:bookmarkStart w:id="96" w:name="_Toc426475223"/>
      <w:bookmarkStart w:id="97" w:name="_Toc426475425"/>
      <w:bookmarkStart w:id="98" w:name="_Toc426475500"/>
      <w:bookmarkStart w:id="99" w:name="_Toc426541541"/>
      <w:bookmarkStart w:id="100" w:name="_Toc489344135"/>
      <w:bookmarkStart w:id="101" w:name="_Toc489344371"/>
      <w:r>
        <w:rPr>
          <w:rStyle w:val="CharDivNo"/>
        </w:rPr>
        <w:t>Division 2</w:t>
      </w:r>
      <w:r>
        <w:t> — </w:t>
      </w:r>
      <w:r>
        <w:rPr>
          <w:rStyle w:val="CharDivText"/>
        </w:rPr>
        <w:t>Certain network operators required to have safety management systems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22228977"/>
      <w:bookmarkStart w:id="103" w:name="_Toc489344372"/>
      <w:r>
        <w:rPr>
          <w:rStyle w:val="CharSectno"/>
        </w:rPr>
        <w:t>10</w:t>
      </w:r>
      <w:r>
        <w:t>.</w:t>
      </w:r>
      <w:r>
        <w:tab/>
        <w:t>Network operators to whom this Division applies</w:t>
      </w:r>
      <w:bookmarkEnd w:id="102"/>
      <w:bookmarkEnd w:id="103"/>
    </w:p>
    <w:p>
      <w:pPr>
        <w:pStyle w:val="Subsection"/>
      </w:pPr>
      <w:r>
        <w:tab/>
      </w:r>
      <w:r>
        <w:tab/>
        <w:t>This Division applies to and in relation to a network operator referred to in regulation 4(1)(a), (b), (c), (d), (e), (f) or (g).</w:t>
      </w:r>
    </w:p>
    <w:p>
      <w:pPr>
        <w:pStyle w:val="Heading5"/>
      </w:pPr>
      <w:bookmarkStart w:id="104" w:name="_Toc422228978"/>
      <w:bookmarkStart w:id="105" w:name="_Toc489344373"/>
      <w:r>
        <w:rPr>
          <w:rStyle w:val="CharSectno"/>
        </w:rPr>
        <w:t>11</w:t>
      </w:r>
      <w:r>
        <w:t>.</w:t>
      </w:r>
      <w:r>
        <w:tab/>
        <w:t>When this Division commences to apply to a network operator</w:t>
      </w:r>
      <w:bookmarkEnd w:id="104"/>
      <w:bookmarkEnd w:id="105"/>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106" w:name="_Toc422228979"/>
      <w:bookmarkStart w:id="107" w:name="_Toc489344374"/>
      <w:r>
        <w:rPr>
          <w:rStyle w:val="CharSectno"/>
        </w:rPr>
        <w:t>12</w:t>
      </w:r>
      <w:r>
        <w:t>.</w:t>
      </w:r>
      <w:r>
        <w:tab/>
        <w:t>Transfer of operation of network</w:t>
      </w:r>
      <w:bookmarkEnd w:id="106"/>
      <w:bookmarkEnd w:id="107"/>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108" w:name="_Toc422228980"/>
      <w:bookmarkStart w:id="109" w:name="_Toc489344375"/>
      <w:r>
        <w:rPr>
          <w:rStyle w:val="CharSectno"/>
        </w:rPr>
        <w:t>13</w:t>
      </w:r>
      <w:r>
        <w:t>.</w:t>
      </w:r>
      <w:r>
        <w:tab/>
        <w:t>Requirement to have safety management system</w:t>
      </w:r>
      <w:bookmarkEnd w:id="108"/>
      <w:bookmarkEnd w:id="109"/>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110" w:name="_Toc422228981"/>
      <w:bookmarkStart w:id="111" w:name="_Toc489344376"/>
      <w:r>
        <w:rPr>
          <w:rStyle w:val="CharSectno"/>
        </w:rPr>
        <w:t>14</w:t>
      </w:r>
      <w:r>
        <w:t>.</w:t>
      </w:r>
      <w:r>
        <w:tab/>
        <w:t>Requirement to revise safety management system</w:t>
      </w:r>
      <w:bookmarkEnd w:id="110"/>
      <w:bookmarkEnd w:id="111"/>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112" w:name="_Toc422228982"/>
      <w:bookmarkStart w:id="113" w:name="_Toc489344377"/>
      <w:r>
        <w:rPr>
          <w:rStyle w:val="CharSectno"/>
        </w:rPr>
        <w:t>15</w:t>
      </w:r>
      <w:r>
        <w:t>.</w:t>
      </w:r>
      <w:r>
        <w:tab/>
        <w:t>Requirement to comply with safety management system</w:t>
      </w:r>
      <w:bookmarkEnd w:id="112"/>
      <w:bookmarkEnd w:id="113"/>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14" w:name="_Toc422228983"/>
      <w:bookmarkStart w:id="115" w:name="_Toc489344378"/>
      <w:r>
        <w:rPr>
          <w:rStyle w:val="CharSectno"/>
        </w:rPr>
        <w:t>16</w:t>
      </w:r>
      <w:r>
        <w:t>.</w:t>
      </w:r>
      <w:r>
        <w:tab/>
        <w:t>Compliance with safety management system evidence of compliance with regulation 6 or 7</w:t>
      </w:r>
      <w:bookmarkEnd w:id="114"/>
      <w:bookmarkEnd w:id="115"/>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116" w:name="_Toc421201059"/>
      <w:bookmarkStart w:id="117" w:name="_Toc421201131"/>
      <w:bookmarkStart w:id="118" w:name="_Toc421259999"/>
      <w:bookmarkStart w:id="119" w:name="_Toc421260137"/>
      <w:bookmarkStart w:id="120" w:name="_Toc421609794"/>
      <w:bookmarkStart w:id="121" w:name="_Toc421610163"/>
      <w:bookmarkStart w:id="122" w:name="_Toc421614432"/>
      <w:bookmarkStart w:id="123" w:name="_Toc421614505"/>
      <w:bookmarkStart w:id="124" w:name="_Toc421620148"/>
      <w:bookmarkStart w:id="125" w:name="_Toc421620246"/>
      <w:bookmarkStart w:id="126" w:name="_Toc421620318"/>
      <w:bookmarkStart w:id="127" w:name="_Toc421620712"/>
      <w:bookmarkStart w:id="128" w:name="_Toc422228911"/>
      <w:bookmarkStart w:id="129" w:name="_Toc422228984"/>
      <w:bookmarkStart w:id="130" w:name="_Toc426475231"/>
      <w:bookmarkStart w:id="131" w:name="_Toc426475433"/>
      <w:bookmarkStart w:id="132" w:name="_Toc426475508"/>
      <w:bookmarkStart w:id="133" w:name="_Toc426541549"/>
      <w:bookmarkStart w:id="134" w:name="_Toc489344143"/>
      <w:bookmarkStart w:id="135" w:name="_Toc489344379"/>
      <w:r>
        <w:rPr>
          <w:rStyle w:val="CharDivNo"/>
        </w:rPr>
        <w:t>Division 3</w:t>
      </w:r>
      <w:r>
        <w:t> — </w:t>
      </w:r>
      <w:r>
        <w:rPr>
          <w:rStyle w:val="CharDivText"/>
        </w:rPr>
        <w:t>Requirements if network operator not required to have safety management system</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22228985"/>
      <w:bookmarkStart w:id="137" w:name="_Toc489344380"/>
      <w:r>
        <w:rPr>
          <w:rStyle w:val="CharSectno"/>
        </w:rPr>
        <w:t>17</w:t>
      </w:r>
      <w:r>
        <w:t>.</w:t>
      </w:r>
      <w:r>
        <w:tab/>
        <w:t>Terms used and approval of certain standards and codes by Director</w:t>
      </w:r>
      <w:bookmarkEnd w:id="136"/>
      <w:bookmarkEnd w:id="137"/>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138" w:name="_Toc422228986"/>
      <w:bookmarkStart w:id="139" w:name="_Toc489344381"/>
      <w:r>
        <w:rPr>
          <w:rStyle w:val="CharSectno"/>
        </w:rPr>
        <w:t>18</w:t>
      </w:r>
      <w:r>
        <w:t>.</w:t>
      </w:r>
      <w:r>
        <w:tab/>
        <w:t>Network operators to whom this Division applies</w:t>
      </w:r>
      <w:bookmarkEnd w:id="138"/>
      <w:bookmarkEnd w:id="139"/>
    </w:p>
    <w:p>
      <w:pPr>
        <w:pStyle w:val="Subsection"/>
      </w:pPr>
      <w:r>
        <w:tab/>
      </w:r>
      <w:r>
        <w:tab/>
        <w:t>This Division applies to and in relation to a network operator if the network operator is not required to have a safety management system under Division 2.</w:t>
      </w:r>
    </w:p>
    <w:p>
      <w:pPr>
        <w:pStyle w:val="Heading5"/>
      </w:pPr>
      <w:bookmarkStart w:id="140" w:name="_Toc422228987"/>
      <w:bookmarkStart w:id="141" w:name="_Toc489344382"/>
      <w:r>
        <w:rPr>
          <w:rStyle w:val="CharSectno"/>
        </w:rPr>
        <w:t>19</w:t>
      </w:r>
      <w:r>
        <w:t>.</w:t>
      </w:r>
      <w:r>
        <w:tab/>
        <w:t>Requirement to comply with obligatory provisions</w:t>
      </w:r>
      <w:bookmarkEnd w:id="140"/>
      <w:bookmarkEnd w:id="141"/>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42" w:name="_Toc422228988"/>
      <w:bookmarkStart w:id="143" w:name="_Toc489344383"/>
      <w:r>
        <w:rPr>
          <w:rStyle w:val="CharSectno"/>
        </w:rPr>
        <w:t>20</w:t>
      </w:r>
      <w:r>
        <w:t>.</w:t>
      </w:r>
      <w:r>
        <w:tab/>
        <w:t>Compliance with obligatory and evidentiary provisions evidence of compliance with regulation 6 or 7</w:t>
      </w:r>
      <w:bookmarkEnd w:id="142"/>
      <w:bookmarkEnd w:id="143"/>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144" w:name="_Toc422228989"/>
      <w:bookmarkStart w:id="145" w:name="_Toc489344384"/>
      <w:r>
        <w:rPr>
          <w:rStyle w:val="CharSectno"/>
        </w:rPr>
        <w:t>21</w:t>
      </w:r>
      <w:r>
        <w:t>.</w:t>
      </w:r>
      <w:r>
        <w:tab/>
        <w:t>Requirement to provide information and training</w:t>
      </w:r>
      <w:bookmarkEnd w:id="144"/>
      <w:bookmarkEnd w:id="145"/>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146" w:name="_Toc421201065"/>
      <w:bookmarkStart w:id="147" w:name="_Toc421201137"/>
      <w:bookmarkStart w:id="148" w:name="_Toc421260005"/>
      <w:bookmarkStart w:id="149" w:name="_Toc421260143"/>
      <w:bookmarkStart w:id="150" w:name="_Toc421609800"/>
      <w:bookmarkStart w:id="151" w:name="_Toc421610169"/>
      <w:bookmarkStart w:id="152" w:name="_Toc421614438"/>
      <w:bookmarkStart w:id="153" w:name="_Toc421614511"/>
      <w:bookmarkStart w:id="154" w:name="_Toc421620154"/>
      <w:bookmarkStart w:id="155" w:name="_Toc421620252"/>
      <w:bookmarkStart w:id="156" w:name="_Toc421620324"/>
      <w:bookmarkStart w:id="157" w:name="_Toc421620718"/>
      <w:bookmarkStart w:id="158" w:name="_Toc422228917"/>
      <w:bookmarkStart w:id="159" w:name="_Toc422228990"/>
      <w:bookmarkStart w:id="160" w:name="_Toc426475237"/>
      <w:bookmarkStart w:id="161" w:name="_Toc426475439"/>
      <w:bookmarkStart w:id="162" w:name="_Toc426475514"/>
      <w:bookmarkStart w:id="163" w:name="_Toc426541555"/>
      <w:bookmarkStart w:id="164" w:name="_Toc489344149"/>
      <w:bookmarkStart w:id="165" w:name="_Toc489344385"/>
      <w:r>
        <w:rPr>
          <w:rStyle w:val="CharPartNo"/>
        </w:rPr>
        <w:t>Part 3</w:t>
      </w:r>
      <w:r>
        <w:t> — </w:t>
      </w:r>
      <w:r>
        <w:rPr>
          <w:rStyle w:val="CharPartText"/>
        </w:rPr>
        <w:t>Notification, investigation and reporting</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421201066"/>
      <w:bookmarkStart w:id="167" w:name="_Toc421201138"/>
      <w:bookmarkStart w:id="168" w:name="_Toc421260006"/>
      <w:bookmarkStart w:id="169" w:name="_Toc421260144"/>
      <w:bookmarkStart w:id="170" w:name="_Toc421609801"/>
      <w:bookmarkStart w:id="171" w:name="_Toc421610170"/>
      <w:bookmarkStart w:id="172" w:name="_Toc421614439"/>
      <w:bookmarkStart w:id="173" w:name="_Toc421614512"/>
      <w:bookmarkStart w:id="174" w:name="_Toc421620155"/>
      <w:bookmarkStart w:id="175" w:name="_Toc421620253"/>
      <w:bookmarkStart w:id="176" w:name="_Toc421620325"/>
      <w:bookmarkStart w:id="177" w:name="_Toc421620719"/>
      <w:bookmarkStart w:id="178" w:name="_Toc422228918"/>
      <w:bookmarkStart w:id="179" w:name="_Toc422228991"/>
      <w:bookmarkStart w:id="180" w:name="_Toc426475238"/>
      <w:bookmarkStart w:id="181" w:name="_Toc426475440"/>
      <w:bookmarkStart w:id="182" w:name="_Toc426475515"/>
      <w:bookmarkStart w:id="183" w:name="_Toc426541556"/>
      <w:bookmarkStart w:id="184" w:name="_Toc489344150"/>
      <w:bookmarkStart w:id="185" w:name="_Toc489344386"/>
      <w:r>
        <w:rPr>
          <w:rStyle w:val="CharDivNo"/>
        </w:rPr>
        <w:t>Division 1</w:t>
      </w:r>
      <w:r>
        <w:t> — </w:t>
      </w:r>
      <w:r>
        <w:rPr>
          <w:rStyle w:val="CharDivText"/>
        </w:rPr>
        <w:t>Notifiable incidents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22228992"/>
      <w:bookmarkStart w:id="187" w:name="_Toc489344387"/>
      <w:r>
        <w:rPr>
          <w:rStyle w:val="CharSectno"/>
        </w:rPr>
        <w:t>22</w:t>
      </w:r>
      <w:r>
        <w:t>.</w:t>
      </w:r>
      <w:r>
        <w:tab/>
        <w:t>Terms used</w:t>
      </w:r>
      <w:bookmarkEnd w:id="186"/>
      <w:bookmarkEnd w:id="187"/>
    </w:p>
    <w:p>
      <w:pPr>
        <w:pStyle w:val="Subsection"/>
      </w:pPr>
      <w:r>
        <w:tab/>
      </w:r>
      <w:r>
        <w:tab/>
        <w:t xml:space="preserve">In this Division — </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explosion or implosion in or on a part of the network, including a building or structure that is a part of the network, other than a wood pole;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Heading5"/>
      </w:pPr>
      <w:bookmarkStart w:id="188" w:name="_Toc422228993"/>
      <w:bookmarkStart w:id="189" w:name="_Toc489344388"/>
      <w:r>
        <w:rPr>
          <w:rStyle w:val="CharSectno"/>
        </w:rPr>
        <w:t>23</w:t>
      </w:r>
      <w:r>
        <w:t>.</w:t>
      </w:r>
      <w:r>
        <w:tab/>
        <w:t>Notification and investigation of suspected notifiable incidents</w:t>
      </w:r>
      <w:bookmarkEnd w:id="188"/>
      <w:bookmarkEnd w:id="189"/>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90" w:name="_Toc422228994"/>
      <w:bookmarkStart w:id="191" w:name="_Toc489344389"/>
      <w:r>
        <w:rPr>
          <w:rStyle w:val="CharSectno"/>
        </w:rPr>
        <w:t>24</w:t>
      </w:r>
      <w:r>
        <w:t>.</w:t>
      </w:r>
      <w:r>
        <w:tab/>
        <w:t>Reporting of notifiable incidents</w:t>
      </w:r>
      <w:bookmarkEnd w:id="190"/>
      <w:bookmarkEnd w:id="191"/>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192" w:name="_Toc422228995"/>
      <w:bookmarkStart w:id="193" w:name="_Toc489344390"/>
      <w:r>
        <w:rPr>
          <w:rStyle w:val="CharSectno"/>
        </w:rPr>
        <w:t>25</w:t>
      </w:r>
      <w:r>
        <w:t>.</w:t>
      </w:r>
      <w:r>
        <w:tab/>
        <w:t>Requirement not to disturb site of notifiable incident or physical evidence</w:t>
      </w:r>
      <w:bookmarkEnd w:id="192"/>
      <w:bookmarkEnd w:id="193"/>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194" w:name="_Toc422228996"/>
      <w:bookmarkStart w:id="195" w:name="_Toc489344391"/>
      <w:r>
        <w:rPr>
          <w:rStyle w:val="CharSectno"/>
        </w:rPr>
        <w:t>26</w:t>
      </w:r>
      <w:r>
        <w:t>.</w:t>
      </w:r>
      <w:r>
        <w:tab/>
        <w:t>Destructive testing of physical evidence</w:t>
      </w:r>
      <w:bookmarkEnd w:id="194"/>
      <w:bookmarkEnd w:id="195"/>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196" w:name="_Toc422228997"/>
      <w:bookmarkStart w:id="197" w:name="_Toc489344392"/>
      <w:r>
        <w:rPr>
          <w:rStyle w:val="CharSectno"/>
        </w:rPr>
        <w:t>27</w:t>
      </w:r>
      <w:r>
        <w:t>.</w:t>
      </w:r>
      <w:r>
        <w:tab/>
        <w:t>Statistical reporting</w:t>
      </w:r>
      <w:bookmarkEnd w:id="196"/>
      <w:bookmarkEnd w:id="197"/>
    </w:p>
    <w:p>
      <w:pPr>
        <w:pStyle w:val="Subsection"/>
      </w:pPr>
      <w:r>
        <w:tab/>
      </w:r>
      <w:r>
        <w:tab/>
        <w:t>The Director may, from time to time, publish statistical information derived from reports and notifications under this Division.</w:t>
      </w:r>
    </w:p>
    <w:p>
      <w:pPr>
        <w:pStyle w:val="Heading3"/>
      </w:pPr>
      <w:bookmarkStart w:id="198" w:name="_Toc421201073"/>
      <w:bookmarkStart w:id="199" w:name="_Toc421201145"/>
      <w:bookmarkStart w:id="200" w:name="_Toc421260013"/>
      <w:bookmarkStart w:id="201" w:name="_Toc421260151"/>
      <w:bookmarkStart w:id="202" w:name="_Toc421609808"/>
      <w:bookmarkStart w:id="203" w:name="_Toc421610177"/>
      <w:bookmarkStart w:id="204" w:name="_Toc421614446"/>
      <w:bookmarkStart w:id="205" w:name="_Toc421614519"/>
      <w:bookmarkStart w:id="206" w:name="_Toc421620162"/>
      <w:bookmarkStart w:id="207" w:name="_Toc421620260"/>
      <w:bookmarkStart w:id="208" w:name="_Toc421620332"/>
      <w:bookmarkStart w:id="209" w:name="_Toc421620726"/>
      <w:bookmarkStart w:id="210" w:name="_Toc422228925"/>
      <w:bookmarkStart w:id="211" w:name="_Toc422228998"/>
      <w:bookmarkStart w:id="212" w:name="_Toc426475245"/>
      <w:bookmarkStart w:id="213" w:name="_Toc426475447"/>
      <w:bookmarkStart w:id="214" w:name="_Toc426475522"/>
      <w:bookmarkStart w:id="215" w:name="_Toc426541563"/>
      <w:bookmarkStart w:id="216" w:name="_Toc489344157"/>
      <w:bookmarkStart w:id="217" w:name="_Toc489344393"/>
      <w:r>
        <w:rPr>
          <w:rStyle w:val="CharDivNo"/>
        </w:rPr>
        <w:t>Division 2</w:t>
      </w:r>
      <w:r>
        <w:t> — </w:t>
      </w:r>
      <w:r>
        <w:rPr>
          <w:rStyle w:val="CharDivText"/>
        </w:rPr>
        <w:t>Reporting on network safety performance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22228999"/>
      <w:bookmarkStart w:id="219" w:name="_Toc489344394"/>
      <w:r>
        <w:rPr>
          <w:rStyle w:val="CharSectno"/>
        </w:rPr>
        <w:t>28</w:t>
      </w:r>
      <w:r>
        <w:t>.</w:t>
      </w:r>
      <w:r>
        <w:tab/>
        <w:t>Terms used</w:t>
      </w:r>
      <w:bookmarkEnd w:id="218"/>
      <w:bookmarkEnd w:id="219"/>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AS/NZS 2067 or the equivalent standard or code applicable at the time the underground cable was installed;</w:t>
      </w:r>
    </w:p>
    <w:p>
      <w:pPr>
        <w:pStyle w:val="Defstart"/>
      </w:pPr>
      <w:r>
        <w:tab/>
      </w:r>
      <w:r>
        <w:rPr>
          <w:rStyle w:val="CharDefText"/>
        </w:rPr>
        <w:t>AS/NZS 2067</w:t>
      </w:r>
      <w:r>
        <w:t xml:space="preserve"> means AS/NZS 2067:2015 Substations and high voltage installations exceeding 1 kV a.c.;</w:t>
      </w:r>
    </w:p>
    <w:p>
      <w:pPr>
        <w:pStyle w:val="Defstart"/>
      </w:pPr>
      <w:r>
        <w:tab/>
      </w:r>
      <w:r>
        <w:rPr>
          <w:rStyle w:val="CharDefText"/>
        </w:rPr>
        <w:t>AS/NZS 3000</w:t>
      </w:r>
      <w:r>
        <w:t xml:space="preserve"> means AS/NZS 3000:2007 Electrical installations (Wiring Rules);</w:t>
      </w:r>
    </w:p>
    <w:p>
      <w:pPr>
        <w:pStyle w:val="Defstart"/>
      </w:pPr>
      <w:r>
        <w:tab/>
      </w:r>
      <w:r>
        <w:rPr>
          <w:rStyle w:val="CharDefText"/>
        </w:rPr>
        <w:t>AS/NZS 7000</w:t>
      </w:r>
      <w:r>
        <w:t xml:space="preserve"> means AS/NZS 7000:2010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Heading5"/>
      </w:pPr>
      <w:bookmarkStart w:id="220" w:name="_Toc422229000"/>
      <w:bookmarkStart w:id="221" w:name="_Toc489344395"/>
      <w:r>
        <w:rPr>
          <w:rStyle w:val="CharSectno"/>
        </w:rPr>
        <w:t>29</w:t>
      </w:r>
      <w:r>
        <w:t>.</w:t>
      </w:r>
      <w:r>
        <w:tab/>
        <w:t>Network operators to whom this Division applies</w:t>
      </w:r>
      <w:bookmarkEnd w:id="220"/>
      <w:bookmarkEnd w:id="221"/>
    </w:p>
    <w:p>
      <w:pPr>
        <w:pStyle w:val="Subsection"/>
      </w:pPr>
      <w:r>
        <w:tab/>
      </w:r>
      <w:r>
        <w:tab/>
        <w:t>This Division applies to and in relation to a network operator referred to in regulation 4(1)(a), (b), (c), (d), (e), (f) or (g).</w:t>
      </w:r>
    </w:p>
    <w:p>
      <w:pPr>
        <w:pStyle w:val="Heading5"/>
      </w:pPr>
      <w:bookmarkStart w:id="222" w:name="_Toc422229001"/>
      <w:bookmarkStart w:id="223" w:name="_Toc489344396"/>
      <w:r>
        <w:rPr>
          <w:rStyle w:val="CharSectno"/>
        </w:rPr>
        <w:t>30</w:t>
      </w:r>
      <w:r>
        <w:t>.</w:t>
      </w:r>
      <w:r>
        <w:tab/>
        <w:t>Network safety performance incidents</w:t>
      </w:r>
      <w:bookmarkEnd w:id="222"/>
      <w:bookmarkEnd w:id="223"/>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wood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wood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Heading5"/>
      </w:pPr>
      <w:bookmarkStart w:id="224" w:name="_Toc422229002"/>
      <w:bookmarkStart w:id="225" w:name="_Toc489344397"/>
      <w:r>
        <w:rPr>
          <w:rStyle w:val="CharSectno"/>
        </w:rPr>
        <w:t>31</w:t>
      </w:r>
      <w:r>
        <w:t>.</w:t>
      </w:r>
      <w:r>
        <w:tab/>
        <w:t>Network operator to publish annual objectives</w:t>
      </w:r>
      <w:bookmarkEnd w:id="224"/>
      <w:bookmarkEnd w:id="225"/>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226" w:name="_Toc422229003"/>
      <w:bookmarkStart w:id="227" w:name="_Toc489344398"/>
      <w:r>
        <w:rPr>
          <w:rStyle w:val="CharSectno"/>
        </w:rPr>
        <w:t>32</w:t>
      </w:r>
      <w:r>
        <w:t>.</w:t>
      </w:r>
      <w:r>
        <w:tab/>
        <w:t>Network operator to publish quarterly outcomes</w:t>
      </w:r>
      <w:bookmarkEnd w:id="226"/>
      <w:bookmarkEnd w:id="227"/>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228" w:name="_Toc422229004"/>
      <w:bookmarkStart w:id="229" w:name="_Toc489344399"/>
      <w:r>
        <w:rPr>
          <w:rStyle w:val="CharSectno"/>
        </w:rPr>
        <w:t>33</w:t>
      </w:r>
      <w:r>
        <w:t>.</w:t>
      </w:r>
      <w:r>
        <w:tab/>
        <w:t>Director may publish and comment on objectives and outcomes</w:t>
      </w:r>
      <w:bookmarkEnd w:id="228"/>
      <w:bookmarkEnd w:id="229"/>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230" w:name="_Toc421201080"/>
      <w:bookmarkStart w:id="231" w:name="_Toc421201152"/>
      <w:bookmarkStart w:id="232" w:name="_Toc421260020"/>
      <w:bookmarkStart w:id="233" w:name="_Toc421260158"/>
      <w:bookmarkStart w:id="234" w:name="_Toc421609815"/>
      <w:bookmarkStart w:id="235" w:name="_Toc421610184"/>
      <w:bookmarkStart w:id="236" w:name="_Toc421614453"/>
      <w:bookmarkStart w:id="237" w:name="_Toc421614526"/>
      <w:bookmarkStart w:id="238" w:name="_Toc421620169"/>
      <w:bookmarkStart w:id="239" w:name="_Toc421620267"/>
      <w:bookmarkStart w:id="240" w:name="_Toc421620339"/>
      <w:bookmarkStart w:id="241" w:name="_Toc421620733"/>
      <w:bookmarkStart w:id="242" w:name="_Toc422228932"/>
      <w:bookmarkStart w:id="243" w:name="_Toc422229005"/>
      <w:bookmarkStart w:id="244" w:name="_Toc426475252"/>
      <w:bookmarkStart w:id="245" w:name="_Toc426475454"/>
      <w:bookmarkStart w:id="246" w:name="_Toc426475529"/>
      <w:bookmarkStart w:id="247" w:name="_Toc426541570"/>
      <w:bookmarkStart w:id="248" w:name="_Toc489344164"/>
      <w:bookmarkStart w:id="249" w:name="_Toc489344400"/>
      <w:r>
        <w:rPr>
          <w:rStyle w:val="CharPartNo"/>
        </w:rPr>
        <w:t>Part 4</w:t>
      </w:r>
      <w:r>
        <w:rPr>
          <w:rStyle w:val="CharDivNo"/>
        </w:rPr>
        <w:t> </w:t>
      </w:r>
      <w:r>
        <w:t>—</w:t>
      </w:r>
      <w:r>
        <w:rPr>
          <w:rStyle w:val="CharDivText"/>
        </w:rPr>
        <w:t> </w:t>
      </w:r>
      <w:r>
        <w:rPr>
          <w:rStyle w:val="CharPartText"/>
        </w:rPr>
        <w:t>Review of decisions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22229006"/>
      <w:bookmarkStart w:id="251" w:name="_Toc489344401"/>
      <w:r>
        <w:rPr>
          <w:rStyle w:val="CharSectno"/>
        </w:rPr>
        <w:t>34</w:t>
      </w:r>
      <w:r>
        <w:t>.</w:t>
      </w:r>
      <w:r>
        <w:tab/>
        <w:t>Decisions to which this Part applies</w:t>
      </w:r>
      <w:bookmarkEnd w:id="250"/>
      <w:bookmarkEnd w:id="251"/>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252" w:name="_Toc422229007"/>
      <w:bookmarkStart w:id="253" w:name="_Toc489344402"/>
      <w:r>
        <w:rPr>
          <w:rStyle w:val="CharSectno"/>
        </w:rPr>
        <w:t>35</w:t>
      </w:r>
      <w:r>
        <w:t>.</w:t>
      </w:r>
      <w:r>
        <w:tab/>
        <w:t>Application for review</w:t>
      </w:r>
      <w:bookmarkEnd w:id="252"/>
      <w:bookmarkEnd w:id="253"/>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254" w:name="_Toc422229008"/>
      <w:bookmarkStart w:id="255" w:name="_Toc489344403"/>
      <w:r>
        <w:rPr>
          <w:rStyle w:val="CharSectno"/>
        </w:rPr>
        <w:t>36</w:t>
      </w:r>
      <w:r>
        <w:t>.</w:t>
      </w:r>
      <w:r>
        <w:tab/>
        <w:t>Review of determinations of Director under regulation 35</w:t>
      </w:r>
      <w:bookmarkEnd w:id="254"/>
      <w:bookmarkEnd w:id="255"/>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256" w:name="_Toc422229009"/>
      <w:bookmarkStart w:id="257" w:name="_Toc489344404"/>
      <w:r>
        <w:rPr>
          <w:rStyle w:val="CharSectno"/>
        </w:rPr>
        <w:t>37</w:t>
      </w:r>
      <w:r>
        <w:t>.</w:t>
      </w:r>
      <w:r>
        <w:tab/>
        <w:t>Technical review panels: convening, remuneration and support</w:t>
      </w:r>
      <w:bookmarkEnd w:id="256"/>
      <w:bookmarkEnd w:id="257"/>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258" w:name="_Toc422229010"/>
      <w:bookmarkStart w:id="259" w:name="_Toc489344405"/>
      <w:r>
        <w:rPr>
          <w:rStyle w:val="CharSectno"/>
        </w:rPr>
        <w:t>38</w:t>
      </w:r>
      <w:r>
        <w:t>.</w:t>
      </w:r>
      <w:r>
        <w:tab/>
        <w:t>Technical review panels: procedure on review</w:t>
      </w:r>
      <w:bookmarkEnd w:id="258"/>
      <w:bookmarkEnd w:id="259"/>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260" w:name="_Toc422229011"/>
      <w:bookmarkStart w:id="261" w:name="_Toc489344406"/>
      <w:r>
        <w:rPr>
          <w:rStyle w:val="CharSectno"/>
        </w:rPr>
        <w:t>39</w:t>
      </w:r>
      <w:r>
        <w:t>.</w:t>
      </w:r>
      <w:r>
        <w:tab/>
        <w:t>Technical review panels: costs</w:t>
      </w:r>
      <w:bookmarkEnd w:id="260"/>
      <w:bookmarkEnd w:id="261"/>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262" w:name="_Toc421201087"/>
      <w:bookmarkStart w:id="263" w:name="_Toc421201159"/>
      <w:bookmarkStart w:id="264" w:name="_Toc421260027"/>
      <w:bookmarkStart w:id="265" w:name="_Toc421260165"/>
      <w:bookmarkStart w:id="266" w:name="_Toc421609822"/>
      <w:bookmarkStart w:id="267" w:name="_Toc421610191"/>
      <w:bookmarkStart w:id="268" w:name="_Toc421614460"/>
      <w:bookmarkStart w:id="269" w:name="_Toc421614533"/>
      <w:bookmarkStart w:id="270" w:name="_Toc421620176"/>
      <w:bookmarkStart w:id="271" w:name="_Toc421620274"/>
      <w:bookmarkStart w:id="272" w:name="_Toc421620346"/>
      <w:bookmarkStart w:id="273" w:name="_Toc421620740"/>
      <w:bookmarkStart w:id="274" w:name="_Toc422228939"/>
      <w:bookmarkStart w:id="275" w:name="_Toc422229012"/>
      <w:bookmarkStart w:id="276" w:name="_Toc426475259"/>
      <w:bookmarkStart w:id="277" w:name="_Toc426475461"/>
      <w:bookmarkStart w:id="278" w:name="_Toc426475536"/>
      <w:bookmarkStart w:id="279" w:name="_Toc426541577"/>
      <w:bookmarkStart w:id="280" w:name="_Toc489344171"/>
      <w:bookmarkStart w:id="281" w:name="_Toc489344407"/>
      <w:r>
        <w:rPr>
          <w:rStyle w:val="CharPartNo"/>
        </w:rPr>
        <w:t>Part 5</w:t>
      </w:r>
      <w:r>
        <w:rPr>
          <w:rStyle w:val="CharDivNo"/>
        </w:rPr>
        <w:t> </w:t>
      </w:r>
      <w:r>
        <w:t>—</w:t>
      </w:r>
      <w:r>
        <w:rPr>
          <w:rStyle w:val="CharDivText"/>
        </w:rPr>
        <w:t> </w:t>
      </w:r>
      <w:r>
        <w:rPr>
          <w:rStyle w:val="CharPartText"/>
        </w:rPr>
        <w:t>Miscellaneous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22229013"/>
      <w:bookmarkStart w:id="283" w:name="_Toc489344408"/>
      <w:r>
        <w:rPr>
          <w:rStyle w:val="CharSectno"/>
        </w:rPr>
        <w:t>40</w:t>
      </w:r>
      <w:r>
        <w:t>.</w:t>
      </w:r>
      <w:r>
        <w:tab/>
        <w:t>Defence for certain network operators</w:t>
      </w:r>
      <w:bookmarkEnd w:id="282"/>
      <w:bookmarkEnd w:id="283"/>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284" w:name="_Toc422229014"/>
      <w:bookmarkStart w:id="285" w:name="_Toc489344409"/>
      <w:r>
        <w:rPr>
          <w:rStyle w:val="CharSectno"/>
        </w:rPr>
        <w:t>41</w:t>
      </w:r>
      <w:r>
        <w:t>.</w:t>
      </w:r>
      <w:r>
        <w:tab/>
        <w:t>Contact details of network operators</w:t>
      </w:r>
      <w:bookmarkEnd w:id="284"/>
      <w:bookmarkEnd w:id="285"/>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286" w:name="_Toc421201090"/>
      <w:bookmarkStart w:id="287" w:name="_Toc421201162"/>
      <w:bookmarkStart w:id="288" w:name="_Toc421260030"/>
      <w:bookmarkStart w:id="289" w:name="_Toc421260168"/>
      <w:bookmarkStart w:id="290" w:name="_Toc421609825"/>
      <w:bookmarkStart w:id="291" w:name="_Toc421610194"/>
      <w:bookmarkStart w:id="292" w:name="_Toc421614463"/>
      <w:bookmarkStart w:id="293" w:name="_Toc421614536"/>
      <w:bookmarkStart w:id="294" w:name="_Toc421620179"/>
      <w:bookmarkStart w:id="295" w:name="_Toc421620277"/>
      <w:bookmarkStart w:id="296" w:name="_Toc421620349"/>
      <w:bookmarkStart w:id="297" w:name="_Toc421620743"/>
      <w:bookmarkStart w:id="298" w:name="_Toc422228942"/>
      <w:bookmarkStart w:id="299" w:name="_Toc422229015"/>
      <w:bookmarkStart w:id="300" w:name="_Toc426475262"/>
      <w:bookmarkStart w:id="301" w:name="_Toc426475464"/>
      <w:bookmarkStart w:id="302" w:name="_Toc426475539"/>
      <w:bookmarkStart w:id="303" w:name="_Toc426541580"/>
      <w:bookmarkStart w:id="304" w:name="_Toc489344174"/>
      <w:bookmarkStart w:id="305" w:name="_Toc489344410"/>
      <w:r>
        <w:rPr>
          <w:rStyle w:val="CharPartNo"/>
        </w:rPr>
        <w:t>Part 6</w:t>
      </w:r>
      <w:r>
        <w:t> — </w:t>
      </w:r>
      <w:r>
        <w:rPr>
          <w:rStyle w:val="CharPartText"/>
        </w:rPr>
        <w:t>Repeal, consequential amendments and transitional provisions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421201091"/>
      <w:bookmarkStart w:id="307" w:name="_Toc421201163"/>
      <w:bookmarkStart w:id="308" w:name="_Toc421260031"/>
      <w:bookmarkStart w:id="309" w:name="_Toc421260169"/>
      <w:bookmarkStart w:id="310" w:name="_Toc421609826"/>
      <w:bookmarkStart w:id="311" w:name="_Toc421610195"/>
      <w:bookmarkStart w:id="312" w:name="_Toc421614464"/>
      <w:bookmarkStart w:id="313" w:name="_Toc421614537"/>
      <w:bookmarkStart w:id="314" w:name="_Toc421620180"/>
      <w:bookmarkStart w:id="315" w:name="_Toc421620278"/>
      <w:bookmarkStart w:id="316" w:name="_Toc421620350"/>
      <w:bookmarkStart w:id="317" w:name="_Toc421620744"/>
      <w:bookmarkStart w:id="318" w:name="_Toc422228943"/>
      <w:bookmarkStart w:id="319" w:name="_Toc422229016"/>
      <w:bookmarkStart w:id="320" w:name="_Toc426475263"/>
      <w:bookmarkStart w:id="321" w:name="_Toc426475465"/>
      <w:bookmarkStart w:id="322" w:name="_Toc426475540"/>
      <w:bookmarkStart w:id="323" w:name="_Toc426541581"/>
      <w:bookmarkStart w:id="324" w:name="_Toc489344175"/>
      <w:bookmarkStart w:id="325" w:name="_Toc489344411"/>
      <w:r>
        <w:rPr>
          <w:rStyle w:val="CharDivNo"/>
        </w:rPr>
        <w:t>Division 1</w:t>
      </w:r>
      <w:r>
        <w:t> — </w:t>
      </w:r>
      <w:r>
        <w:rPr>
          <w:rStyle w:val="CharDivText"/>
        </w:rPr>
        <w:t>Repeal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22229017"/>
      <w:bookmarkStart w:id="327" w:name="_Toc489344412"/>
      <w:r>
        <w:rPr>
          <w:rStyle w:val="CharSectno"/>
        </w:rPr>
        <w:t>42</w:t>
      </w:r>
      <w:r>
        <w:t>.</w:t>
      </w:r>
      <w:r>
        <w:tab/>
      </w:r>
      <w:r>
        <w:rPr>
          <w:i/>
        </w:rPr>
        <w:t>Electricity (Supply Standards and System Safety) Regulations 2001</w:t>
      </w:r>
      <w:r>
        <w:t xml:space="preserve"> repealed</w:t>
      </w:r>
      <w:bookmarkEnd w:id="326"/>
      <w:bookmarkEnd w:id="327"/>
    </w:p>
    <w:p>
      <w:pPr>
        <w:pStyle w:val="Subsection"/>
      </w:pPr>
      <w:r>
        <w:tab/>
      </w:r>
      <w:r>
        <w:tab/>
        <w:t xml:space="preserve">The </w:t>
      </w:r>
      <w:r>
        <w:rPr>
          <w:i/>
        </w:rPr>
        <w:t>Electricity (Supply Standards and System Safety) Regulations 2001</w:t>
      </w:r>
      <w:r>
        <w:t xml:space="preserve"> are repealed.</w:t>
      </w:r>
    </w:p>
    <w:p>
      <w:pPr>
        <w:pStyle w:val="Heading3"/>
      </w:pPr>
      <w:bookmarkStart w:id="328" w:name="_Toc421201093"/>
      <w:bookmarkStart w:id="329" w:name="_Toc421201165"/>
      <w:bookmarkStart w:id="330" w:name="_Toc421260033"/>
      <w:bookmarkStart w:id="331" w:name="_Toc421260171"/>
      <w:bookmarkStart w:id="332" w:name="_Toc421609828"/>
      <w:bookmarkStart w:id="333" w:name="_Toc421610197"/>
      <w:bookmarkStart w:id="334" w:name="_Toc421614466"/>
      <w:bookmarkStart w:id="335" w:name="_Toc421614539"/>
      <w:bookmarkStart w:id="336" w:name="_Toc421620182"/>
      <w:bookmarkStart w:id="337" w:name="_Toc421620280"/>
      <w:bookmarkStart w:id="338" w:name="_Toc421620352"/>
      <w:bookmarkStart w:id="339" w:name="_Toc421620746"/>
      <w:bookmarkStart w:id="340" w:name="_Toc422228945"/>
      <w:bookmarkStart w:id="341" w:name="_Toc422229018"/>
      <w:bookmarkStart w:id="342" w:name="_Toc426475265"/>
      <w:bookmarkStart w:id="343" w:name="_Toc426475467"/>
      <w:bookmarkStart w:id="344" w:name="_Toc426475542"/>
      <w:bookmarkStart w:id="345" w:name="_Toc426541583"/>
      <w:bookmarkStart w:id="346" w:name="_Toc489344177"/>
      <w:bookmarkStart w:id="347" w:name="_Toc489344413"/>
      <w:r>
        <w:rPr>
          <w:rStyle w:val="CharDivNo"/>
        </w:rPr>
        <w:t>Division 2</w:t>
      </w:r>
      <w:r>
        <w:t> — </w:t>
      </w:r>
      <w:r>
        <w:rPr>
          <w:rStyle w:val="CharDivText"/>
        </w:rPr>
        <w:t>Consequential amendments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22229019"/>
      <w:bookmarkStart w:id="349" w:name="_Toc489344414"/>
      <w:r>
        <w:rPr>
          <w:rStyle w:val="CharSectno"/>
        </w:rPr>
        <w:t>43</w:t>
      </w:r>
      <w:r>
        <w:t>.</w:t>
      </w:r>
      <w:r>
        <w:tab/>
      </w:r>
      <w:r>
        <w:rPr>
          <w:i/>
          <w:color w:val="000000" w:themeColor="text1"/>
        </w:rPr>
        <w:t>Electricity (Licensing) Regulations 1991</w:t>
      </w:r>
      <w:r>
        <w:rPr>
          <w:color w:val="000000" w:themeColor="text1"/>
        </w:rPr>
        <w:t xml:space="preserve"> </w:t>
      </w:r>
      <w:r>
        <w:t>amended</w:t>
      </w:r>
      <w:bookmarkEnd w:id="348"/>
      <w:bookmarkEnd w:id="349"/>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350" w:name="_Toc422229020"/>
      <w:bookmarkStart w:id="351" w:name="_Toc489344415"/>
      <w:r>
        <w:rPr>
          <w:rStyle w:val="CharSectno"/>
        </w:rPr>
        <w:t>44</w:t>
      </w:r>
      <w:r>
        <w:t>.</w:t>
      </w:r>
      <w:r>
        <w:tab/>
      </w:r>
      <w:r>
        <w:rPr>
          <w:i/>
        </w:rPr>
        <w:t>Electricity Regulations 1947</w:t>
      </w:r>
      <w:r>
        <w:t xml:space="preserve"> amended</w:t>
      </w:r>
      <w:bookmarkEnd w:id="350"/>
      <w:bookmarkEnd w:id="351"/>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352" w:name="_Toc421201096"/>
      <w:bookmarkStart w:id="353" w:name="_Toc421201168"/>
      <w:bookmarkStart w:id="354" w:name="_Toc421260036"/>
      <w:bookmarkStart w:id="355" w:name="_Toc421260174"/>
      <w:bookmarkStart w:id="356" w:name="_Toc421609831"/>
      <w:bookmarkStart w:id="357" w:name="_Toc421610200"/>
      <w:bookmarkStart w:id="358" w:name="_Toc421614469"/>
      <w:bookmarkStart w:id="359" w:name="_Toc421614542"/>
      <w:bookmarkStart w:id="360" w:name="_Toc421620185"/>
      <w:bookmarkStart w:id="361" w:name="_Toc421620283"/>
      <w:bookmarkStart w:id="362" w:name="_Toc421620355"/>
      <w:bookmarkStart w:id="363" w:name="_Toc421620749"/>
      <w:bookmarkStart w:id="364" w:name="_Toc422228948"/>
      <w:bookmarkStart w:id="365" w:name="_Toc422229021"/>
      <w:bookmarkStart w:id="366" w:name="_Toc426475268"/>
      <w:bookmarkStart w:id="367" w:name="_Toc426475470"/>
      <w:bookmarkStart w:id="368" w:name="_Toc426475545"/>
      <w:bookmarkStart w:id="369" w:name="_Toc426541586"/>
      <w:bookmarkStart w:id="370" w:name="_Toc489344180"/>
      <w:bookmarkStart w:id="371" w:name="_Toc489344416"/>
      <w:r>
        <w:rPr>
          <w:rStyle w:val="CharDivNo"/>
        </w:rPr>
        <w:t>Division 3</w:t>
      </w:r>
      <w:r>
        <w:t> — </w:t>
      </w:r>
      <w:r>
        <w:rPr>
          <w:rStyle w:val="CharDivText"/>
        </w:rPr>
        <w:t>Transitional provisions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22229022"/>
      <w:bookmarkStart w:id="373" w:name="_Toc489344417"/>
      <w:r>
        <w:rPr>
          <w:rStyle w:val="CharSectno"/>
        </w:rPr>
        <w:t>45</w:t>
      </w:r>
      <w:r>
        <w:t>.</w:t>
      </w:r>
      <w:r>
        <w:tab/>
        <w:t>Terms used</w:t>
      </w:r>
      <w:bookmarkEnd w:id="372"/>
      <w:bookmarkEnd w:id="373"/>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374" w:name="_Toc422229023"/>
      <w:bookmarkStart w:id="375" w:name="_Toc489344418"/>
      <w:r>
        <w:rPr>
          <w:rStyle w:val="CharSectno"/>
        </w:rPr>
        <w:t>46</w:t>
      </w:r>
      <w:r>
        <w:t>.</w:t>
      </w:r>
      <w:r>
        <w:tab/>
        <w:t>Standards and codes</w:t>
      </w:r>
      <w:bookmarkEnd w:id="374"/>
      <w:bookmarkEnd w:id="375"/>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376" w:name="_Toc422229024"/>
      <w:bookmarkStart w:id="377" w:name="_Toc489344419"/>
      <w:r>
        <w:rPr>
          <w:rStyle w:val="CharSectno"/>
        </w:rPr>
        <w:t>47</w:t>
      </w:r>
      <w:r>
        <w:t>.</w:t>
      </w:r>
      <w:r>
        <w:tab/>
        <w:t>Notifiable incidents that occurred before commencement day</w:t>
      </w:r>
      <w:bookmarkEnd w:id="376"/>
      <w:bookmarkEnd w:id="377"/>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78" w:name="_Toc421201100"/>
      <w:bookmarkStart w:id="379" w:name="_Toc421201172"/>
      <w:bookmarkStart w:id="380" w:name="_Toc421260040"/>
      <w:bookmarkStart w:id="381" w:name="_Toc421260178"/>
      <w:bookmarkStart w:id="382" w:name="_Toc421609835"/>
      <w:bookmarkStart w:id="383" w:name="_Toc421610204"/>
      <w:bookmarkStart w:id="384" w:name="_Toc421614473"/>
      <w:bookmarkStart w:id="385" w:name="_Toc421614546"/>
      <w:bookmarkStart w:id="386" w:name="_Toc421620189"/>
      <w:bookmarkStart w:id="387" w:name="_Toc421620287"/>
      <w:bookmarkStart w:id="388" w:name="_Toc421620359"/>
      <w:bookmarkStart w:id="389" w:name="_Toc421620753"/>
      <w:bookmarkStart w:id="390" w:name="_Toc422228952"/>
      <w:bookmarkStart w:id="391" w:name="_Toc422229025"/>
      <w:bookmarkStart w:id="392" w:name="_Toc426475272"/>
      <w:bookmarkStart w:id="393" w:name="_Toc426475474"/>
      <w:bookmarkStart w:id="394" w:name="_Toc426475549"/>
      <w:bookmarkStart w:id="395" w:name="_Toc426541590"/>
      <w:bookmarkStart w:id="396" w:name="_Toc489344184"/>
      <w:bookmarkStart w:id="397" w:name="_Toc489344420"/>
      <w:r>
        <w:rPr>
          <w:rStyle w:val="CharSchNo"/>
        </w:rPr>
        <w:t>Schedule 1</w:t>
      </w:r>
      <w:r>
        <w:t> — </w:t>
      </w:r>
      <w:r>
        <w:rPr>
          <w:rStyle w:val="CharSchText"/>
        </w:rPr>
        <w:t>Standards and codes containing evidentiary provisions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pPr>
      <w:r>
        <w:t>[r. 17]</w:t>
      </w:r>
    </w:p>
    <w:p>
      <w:pPr>
        <w:pStyle w:val="yHeading3"/>
      </w:pPr>
      <w:bookmarkStart w:id="398" w:name="_Toc421201101"/>
      <w:bookmarkStart w:id="399" w:name="_Toc421201173"/>
      <w:bookmarkStart w:id="400" w:name="_Toc421260041"/>
      <w:bookmarkStart w:id="401" w:name="_Toc421260179"/>
      <w:bookmarkStart w:id="402" w:name="_Toc421609836"/>
      <w:bookmarkStart w:id="403" w:name="_Toc421610205"/>
      <w:bookmarkStart w:id="404" w:name="_Toc421614474"/>
      <w:bookmarkStart w:id="405" w:name="_Toc421614547"/>
      <w:bookmarkStart w:id="406" w:name="_Toc421620190"/>
      <w:bookmarkStart w:id="407" w:name="_Toc421620288"/>
      <w:bookmarkStart w:id="408" w:name="_Toc421620360"/>
      <w:bookmarkStart w:id="409" w:name="_Toc421620754"/>
      <w:bookmarkStart w:id="410" w:name="_Toc422228953"/>
      <w:bookmarkStart w:id="411" w:name="_Toc422229026"/>
      <w:bookmarkStart w:id="412" w:name="_Toc426475273"/>
      <w:bookmarkStart w:id="413" w:name="_Toc426475475"/>
      <w:bookmarkStart w:id="414" w:name="_Toc426475550"/>
      <w:bookmarkStart w:id="415" w:name="_Toc426541591"/>
      <w:bookmarkStart w:id="416" w:name="_Toc489344185"/>
      <w:bookmarkStart w:id="417" w:name="_Toc489344421"/>
      <w:r>
        <w:rPr>
          <w:rStyle w:val="CharSDivNo"/>
        </w:rPr>
        <w:t>Division 1</w:t>
      </w:r>
      <w:r>
        <w:t> — </w:t>
      </w:r>
      <w:r>
        <w:rPr>
          <w:rStyle w:val="CharSDivText"/>
        </w:rPr>
        <w:t>General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3000:2007 Electrical installations (known as the Australia/New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Heading3"/>
      </w:pPr>
      <w:bookmarkStart w:id="418" w:name="_Toc421201102"/>
      <w:bookmarkStart w:id="419" w:name="_Toc421201174"/>
      <w:bookmarkStart w:id="420" w:name="_Toc421260042"/>
      <w:bookmarkStart w:id="421" w:name="_Toc421260180"/>
      <w:bookmarkStart w:id="422" w:name="_Toc421609837"/>
      <w:bookmarkStart w:id="423" w:name="_Toc421610206"/>
      <w:bookmarkStart w:id="424" w:name="_Toc421614475"/>
      <w:bookmarkStart w:id="425" w:name="_Toc421614548"/>
      <w:bookmarkStart w:id="426" w:name="_Toc421620191"/>
      <w:bookmarkStart w:id="427" w:name="_Toc421620289"/>
      <w:bookmarkStart w:id="428" w:name="_Toc421620361"/>
      <w:bookmarkStart w:id="429" w:name="_Toc421620755"/>
      <w:bookmarkStart w:id="430" w:name="_Toc422228954"/>
      <w:bookmarkStart w:id="431" w:name="_Toc422229027"/>
      <w:bookmarkStart w:id="432" w:name="_Toc426475274"/>
      <w:bookmarkStart w:id="433" w:name="_Toc426475476"/>
      <w:bookmarkStart w:id="434" w:name="_Toc426475551"/>
      <w:bookmarkStart w:id="435" w:name="_Toc426541592"/>
      <w:bookmarkStart w:id="436" w:name="_Toc489344186"/>
      <w:bookmarkStart w:id="437" w:name="_Toc489344422"/>
      <w:r>
        <w:rPr>
          <w:rStyle w:val="CharSDivNo"/>
        </w:rPr>
        <w:t>Division 2</w:t>
      </w:r>
      <w:r>
        <w:t> — </w:t>
      </w:r>
      <w:r>
        <w:rPr>
          <w:rStyle w:val="CharSDivText"/>
        </w:rPr>
        <w:t>Overhead lines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438" w:name="_Toc421201103"/>
      <w:bookmarkStart w:id="439" w:name="_Toc421201175"/>
      <w:bookmarkStart w:id="440" w:name="_Toc421260043"/>
      <w:bookmarkStart w:id="441" w:name="_Toc421260181"/>
      <w:bookmarkStart w:id="442" w:name="_Toc421609838"/>
      <w:bookmarkStart w:id="443" w:name="_Toc421610207"/>
      <w:bookmarkStart w:id="444" w:name="_Toc421614476"/>
      <w:bookmarkStart w:id="445" w:name="_Toc421614549"/>
      <w:bookmarkStart w:id="446" w:name="_Toc421620192"/>
      <w:bookmarkStart w:id="447" w:name="_Toc421620290"/>
      <w:bookmarkStart w:id="448" w:name="_Toc421620362"/>
      <w:bookmarkStart w:id="449" w:name="_Toc421620756"/>
      <w:bookmarkStart w:id="450" w:name="_Toc422228955"/>
      <w:bookmarkStart w:id="451" w:name="_Toc422229028"/>
      <w:bookmarkStart w:id="452" w:name="_Toc426475275"/>
      <w:bookmarkStart w:id="453" w:name="_Toc426475477"/>
      <w:bookmarkStart w:id="454" w:name="_Toc426475552"/>
      <w:bookmarkStart w:id="455" w:name="_Toc426541593"/>
      <w:bookmarkStart w:id="456" w:name="_Toc489344187"/>
      <w:bookmarkStart w:id="457" w:name="_Toc489344423"/>
      <w:r>
        <w:rPr>
          <w:rStyle w:val="CharSDivNo"/>
        </w:rPr>
        <w:t>Division 3</w:t>
      </w:r>
      <w:r>
        <w:t> — </w:t>
      </w:r>
      <w:r>
        <w:rPr>
          <w:rStyle w:val="CharSDivText"/>
        </w:rPr>
        <w:t>Switchyards, substations and power stations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458" w:name="_Toc421201104"/>
      <w:bookmarkStart w:id="459" w:name="_Toc421201176"/>
      <w:bookmarkStart w:id="460" w:name="_Toc421260044"/>
      <w:bookmarkStart w:id="461" w:name="_Toc421260182"/>
      <w:bookmarkStart w:id="462" w:name="_Toc421609839"/>
      <w:bookmarkStart w:id="463" w:name="_Toc421610208"/>
      <w:bookmarkStart w:id="464" w:name="_Toc421614477"/>
      <w:bookmarkStart w:id="465" w:name="_Toc421614550"/>
      <w:bookmarkStart w:id="466" w:name="_Toc421620193"/>
      <w:bookmarkStart w:id="467" w:name="_Toc421620291"/>
      <w:bookmarkStart w:id="468" w:name="_Toc421620363"/>
      <w:bookmarkStart w:id="469" w:name="_Toc421620757"/>
      <w:bookmarkStart w:id="470" w:name="_Toc422228956"/>
      <w:bookmarkStart w:id="471" w:name="_Toc422229029"/>
      <w:bookmarkStart w:id="472" w:name="_Toc426475276"/>
      <w:bookmarkStart w:id="473" w:name="_Toc426475478"/>
      <w:bookmarkStart w:id="474" w:name="_Toc426475553"/>
      <w:bookmarkStart w:id="475" w:name="_Toc426541594"/>
      <w:bookmarkStart w:id="476" w:name="_Toc489344188"/>
      <w:bookmarkStart w:id="477" w:name="_Toc489344424"/>
      <w:r>
        <w:rPr>
          <w:rStyle w:val="CharSDivNo"/>
        </w:rPr>
        <w:t>Division 4</w:t>
      </w:r>
      <w:r>
        <w:t> — </w:t>
      </w:r>
      <w:r>
        <w:rPr>
          <w:rStyle w:val="CharSDivText"/>
        </w:rPr>
        <w:t>Underground cables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478" w:name="_Toc421201105"/>
      <w:bookmarkStart w:id="479" w:name="_Toc421201177"/>
      <w:bookmarkStart w:id="480" w:name="_Toc421260045"/>
      <w:bookmarkStart w:id="481" w:name="_Toc421260183"/>
      <w:bookmarkStart w:id="482" w:name="_Toc421609840"/>
      <w:bookmarkStart w:id="483" w:name="_Toc421610209"/>
      <w:bookmarkStart w:id="484" w:name="_Toc421614478"/>
      <w:bookmarkStart w:id="485" w:name="_Toc421614551"/>
      <w:bookmarkStart w:id="486" w:name="_Toc421620194"/>
      <w:bookmarkStart w:id="487" w:name="_Toc421620292"/>
      <w:bookmarkStart w:id="488" w:name="_Toc421620364"/>
      <w:bookmarkStart w:id="489" w:name="_Toc421620758"/>
      <w:bookmarkStart w:id="490" w:name="_Toc422228957"/>
      <w:bookmarkStart w:id="491" w:name="_Toc422229030"/>
      <w:bookmarkStart w:id="492" w:name="_Toc426475277"/>
      <w:bookmarkStart w:id="493" w:name="_Toc426475479"/>
      <w:bookmarkStart w:id="494" w:name="_Toc426475554"/>
      <w:bookmarkStart w:id="495" w:name="_Toc426541595"/>
      <w:bookmarkStart w:id="496" w:name="_Toc489344189"/>
      <w:bookmarkStart w:id="497" w:name="_Toc489344425"/>
      <w:r>
        <w:rPr>
          <w:rStyle w:val="CharSDivNo"/>
        </w:rPr>
        <w:t>Division 5</w:t>
      </w:r>
      <w:r>
        <w:t> — </w:t>
      </w:r>
      <w:r>
        <w:rPr>
          <w:rStyle w:val="CharSDivText"/>
        </w:rPr>
        <w:t>Power coordination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498" w:name="_Toc421201106"/>
      <w:bookmarkStart w:id="499" w:name="_Toc421201178"/>
      <w:bookmarkStart w:id="500" w:name="_Toc421260046"/>
      <w:bookmarkStart w:id="501" w:name="_Toc421260184"/>
      <w:bookmarkStart w:id="502" w:name="_Toc421609841"/>
      <w:bookmarkStart w:id="503" w:name="_Toc421610210"/>
      <w:bookmarkStart w:id="504" w:name="_Toc421614479"/>
      <w:bookmarkStart w:id="505" w:name="_Toc421614552"/>
      <w:bookmarkStart w:id="506" w:name="_Toc421620195"/>
      <w:bookmarkStart w:id="507" w:name="_Toc421620293"/>
      <w:bookmarkStart w:id="508" w:name="_Toc421620365"/>
      <w:bookmarkStart w:id="509" w:name="_Toc421620759"/>
      <w:bookmarkStart w:id="510" w:name="_Toc422228958"/>
      <w:bookmarkStart w:id="511" w:name="_Toc422229031"/>
      <w:bookmarkStart w:id="512" w:name="_Toc426475278"/>
      <w:bookmarkStart w:id="513" w:name="_Toc426475480"/>
      <w:bookmarkStart w:id="514" w:name="_Toc426475555"/>
      <w:bookmarkStart w:id="515" w:name="_Toc426541596"/>
      <w:bookmarkStart w:id="516" w:name="_Toc489344190"/>
      <w:bookmarkStart w:id="517" w:name="_Toc489344426"/>
      <w:r>
        <w:rPr>
          <w:rStyle w:val="CharSchNo"/>
        </w:rPr>
        <w:t>Schedule 2</w:t>
      </w:r>
      <w:r>
        <w:t> — </w:t>
      </w:r>
      <w:r>
        <w:rPr>
          <w:rStyle w:val="CharSchText"/>
        </w:rPr>
        <w:t>Standards and codes containing obligatory provisions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pPr>
      <w:r>
        <w:t>[r. 17]</w:t>
      </w:r>
    </w:p>
    <w:p>
      <w:pPr>
        <w:pStyle w:val="yHeading3"/>
      </w:pPr>
      <w:bookmarkStart w:id="518" w:name="_Toc421201107"/>
      <w:bookmarkStart w:id="519" w:name="_Toc421201179"/>
      <w:bookmarkStart w:id="520" w:name="_Toc421260047"/>
      <w:bookmarkStart w:id="521" w:name="_Toc421260185"/>
      <w:bookmarkStart w:id="522" w:name="_Toc421609842"/>
      <w:bookmarkStart w:id="523" w:name="_Toc421610211"/>
      <w:bookmarkStart w:id="524" w:name="_Toc421614480"/>
      <w:bookmarkStart w:id="525" w:name="_Toc421614553"/>
      <w:bookmarkStart w:id="526" w:name="_Toc421620196"/>
      <w:bookmarkStart w:id="527" w:name="_Toc421620294"/>
      <w:bookmarkStart w:id="528" w:name="_Toc421620366"/>
      <w:bookmarkStart w:id="529" w:name="_Toc421620760"/>
      <w:bookmarkStart w:id="530" w:name="_Toc422228959"/>
      <w:bookmarkStart w:id="531" w:name="_Toc422229032"/>
      <w:bookmarkStart w:id="532" w:name="_Toc426475279"/>
      <w:bookmarkStart w:id="533" w:name="_Toc426475481"/>
      <w:bookmarkStart w:id="534" w:name="_Toc426475556"/>
      <w:bookmarkStart w:id="535" w:name="_Toc426541597"/>
      <w:bookmarkStart w:id="536" w:name="_Toc489344191"/>
      <w:bookmarkStart w:id="537" w:name="_Toc489344427"/>
      <w:r>
        <w:rPr>
          <w:rStyle w:val="CharSDivNo"/>
        </w:rPr>
        <w:t>Division 1</w:t>
      </w:r>
      <w:r>
        <w:t> — </w:t>
      </w:r>
      <w:r>
        <w:rPr>
          <w:rStyle w:val="CharSDivText"/>
        </w:rPr>
        <w:t>General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538" w:name="_Toc421201108"/>
      <w:bookmarkStart w:id="539" w:name="_Toc421201180"/>
      <w:bookmarkStart w:id="540" w:name="_Toc421260048"/>
      <w:bookmarkStart w:id="541" w:name="_Toc421260186"/>
      <w:bookmarkStart w:id="542" w:name="_Toc421609843"/>
      <w:bookmarkStart w:id="543" w:name="_Toc421610212"/>
      <w:bookmarkStart w:id="544" w:name="_Toc421614481"/>
      <w:bookmarkStart w:id="545" w:name="_Toc421614554"/>
      <w:bookmarkStart w:id="546" w:name="_Toc421620197"/>
      <w:bookmarkStart w:id="547" w:name="_Toc421620295"/>
      <w:bookmarkStart w:id="548" w:name="_Toc421620367"/>
      <w:bookmarkStart w:id="549" w:name="_Toc421620761"/>
      <w:bookmarkStart w:id="550" w:name="_Toc422228960"/>
      <w:bookmarkStart w:id="551" w:name="_Toc422229033"/>
      <w:bookmarkStart w:id="552" w:name="_Toc426475280"/>
      <w:bookmarkStart w:id="553" w:name="_Toc426475482"/>
      <w:bookmarkStart w:id="554" w:name="_Toc426475557"/>
      <w:bookmarkStart w:id="555" w:name="_Toc426541598"/>
      <w:bookmarkStart w:id="556" w:name="_Toc489344192"/>
      <w:bookmarkStart w:id="557" w:name="_Toc489344428"/>
      <w:r>
        <w:rPr>
          <w:rStyle w:val="CharSDivNo"/>
        </w:rPr>
        <w:t>Division 2</w:t>
      </w:r>
      <w:r>
        <w:t> — </w:t>
      </w:r>
      <w:r>
        <w:rPr>
          <w:rStyle w:val="CharSDivText"/>
        </w:rPr>
        <w:t>Overhead lines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558" w:name="_Toc421201109"/>
      <w:bookmarkStart w:id="559" w:name="_Toc421201181"/>
      <w:bookmarkStart w:id="560" w:name="_Toc421260049"/>
      <w:bookmarkStart w:id="561" w:name="_Toc421260187"/>
      <w:bookmarkStart w:id="562" w:name="_Toc421609844"/>
      <w:bookmarkStart w:id="563" w:name="_Toc421610213"/>
      <w:bookmarkStart w:id="564" w:name="_Toc421614482"/>
      <w:bookmarkStart w:id="565" w:name="_Toc421614555"/>
      <w:bookmarkStart w:id="566" w:name="_Toc421620198"/>
      <w:bookmarkStart w:id="567" w:name="_Toc421620296"/>
      <w:bookmarkStart w:id="568" w:name="_Toc421620368"/>
      <w:bookmarkStart w:id="569" w:name="_Toc421620762"/>
      <w:bookmarkStart w:id="570" w:name="_Toc422228961"/>
      <w:bookmarkStart w:id="571" w:name="_Toc422229034"/>
      <w:bookmarkStart w:id="572" w:name="_Toc426475281"/>
      <w:bookmarkStart w:id="573" w:name="_Toc426475483"/>
      <w:bookmarkStart w:id="574" w:name="_Toc426475558"/>
      <w:bookmarkStart w:id="575" w:name="_Toc426541599"/>
      <w:bookmarkStart w:id="576" w:name="_Toc489344193"/>
      <w:bookmarkStart w:id="577" w:name="_Toc489344429"/>
      <w:r>
        <w:rPr>
          <w:rStyle w:val="CharSDivNo"/>
        </w:rPr>
        <w:t>Division 3</w:t>
      </w:r>
      <w:r>
        <w:t> — </w:t>
      </w:r>
      <w:r>
        <w:rPr>
          <w:rStyle w:val="CharSDivText"/>
        </w:rPr>
        <w:t>Underground cables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578" w:name="_Toc421201110"/>
      <w:bookmarkStart w:id="579" w:name="_Toc421201182"/>
      <w:bookmarkStart w:id="580" w:name="_Toc421260050"/>
      <w:bookmarkStart w:id="581" w:name="_Toc421260188"/>
      <w:bookmarkStart w:id="582" w:name="_Toc421609845"/>
      <w:bookmarkStart w:id="583" w:name="_Toc421610214"/>
      <w:bookmarkStart w:id="584" w:name="_Toc421614483"/>
      <w:bookmarkStart w:id="585" w:name="_Toc421614556"/>
      <w:bookmarkStart w:id="586" w:name="_Toc421620199"/>
      <w:bookmarkStart w:id="587" w:name="_Toc421620297"/>
      <w:bookmarkStart w:id="588" w:name="_Toc421620369"/>
      <w:bookmarkStart w:id="589" w:name="_Toc421620763"/>
      <w:bookmarkStart w:id="590" w:name="_Toc422228962"/>
      <w:bookmarkStart w:id="591" w:name="_Toc422229035"/>
      <w:bookmarkStart w:id="592" w:name="_Toc426475282"/>
      <w:bookmarkStart w:id="593" w:name="_Toc426475484"/>
      <w:bookmarkStart w:id="594" w:name="_Toc426475559"/>
      <w:bookmarkStart w:id="595" w:name="_Toc426541600"/>
      <w:bookmarkStart w:id="596" w:name="_Toc489344194"/>
      <w:bookmarkStart w:id="597" w:name="_Toc489344430"/>
      <w:r>
        <w:rPr>
          <w:rStyle w:val="CharSDivNo"/>
        </w:rPr>
        <w:t>Division 4</w:t>
      </w:r>
      <w:r>
        <w:t> — </w:t>
      </w:r>
      <w:r>
        <w:rPr>
          <w:rStyle w:val="CharSDivText"/>
        </w:rPr>
        <w:t>Switchgear and protection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99" w:name="_Toc426475283"/>
      <w:bookmarkStart w:id="600" w:name="_Toc426475485"/>
      <w:bookmarkStart w:id="601" w:name="_Toc426475560"/>
      <w:bookmarkStart w:id="602" w:name="_Toc426541601"/>
      <w:bookmarkStart w:id="603" w:name="_Toc489344195"/>
      <w:bookmarkStart w:id="604" w:name="_Toc489344431"/>
      <w:r>
        <w:t>Notes</w:t>
      </w:r>
      <w:bookmarkEnd w:id="599"/>
      <w:bookmarkEnd w:id="600"/>
      <w:bookmarkEnd w:id="601"/>
      <w:bookmarkEnd w:id="602"/>
      <w:bookmarkEnd w:id="603"/>
      <w:bookmarkEnd w:id="604"/>
    </w:p>
    <w:p>
      <w:pPr>
        <w:pStyle w:val="nSubsection"/>
      </w:pPr>
      <w:r>
        <w:rPr>
          <w:vertAlign w:val="superscript"/>
        </w:rPr>
        <w:t>1</w:t>
      </w:r>
      <w:r>
        <w:tab/>
        <w:t xml:space="preserve">This is a compilation of the </w:t>
      </w:r>
      <w:r>
        <w:rPr>
          <w:i/>
          <w:noProof/>
        </w:rPr>
        <w:t>Electricity (Network Safety) Regulations 2015</w:t>
      </w:r>
      <w:r>
        <w:t>.  The following table contains information about those regulations </w:t>
      </w:r>
      <w:r>
        <w:rPr>
          <w:vertAlign w:val="superscript"/>
        </w:rPr>
        <w:t>1a</w:t>
      </w:r>
      <w:r>
        <w:t>.</w:t>
      </w:r>
    </w:p>
    <w:p>
      <w:pPr>
        <w:pStyle w:val="nHeading3"/>
      </w:pPr>
      <w:bookmarkStart w:id="605" w:name="_Toc489344432"/>
      <w:r>
        <w:t>Compilation table</w:t>
      </w:r>
      <w:bookmarkEnd w:id="6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Electricity (Network Safety) Regulations 2015</w:t>
            </w:r>
          </w:p>
        </w:tc>
        <w:tc>
          <w:tcPr>
            <w:tcW w:w="1276" w:type="dxa"/>
          </w:tcPr>
          <w:p>
            <w:pPr>
              <w:pStyle w:val="nTable"/>
              <w:spacing w:after="40"/>
            </w:pPr>
            <w:r>
              <w:t>5 Aug 2015 p. 3141</w:t>
            </w:r>
            <w:r>
              <w:noBreakHyphen/>
              <w:t>96</w:t>
            </w:r>
          </w:p>
        </w:tc>
        <w:tc>
          <w:tcPr>
            <w:tcW w:w="2693" w:type="dxa"/>
          </w:tcPr>
          <w:p>
            <w:pPr>
              <w:pStyle w:val="nTable"/>
              <w:spacing w:after="40"/>
            </w:pPr>
            <w:r>
              <w:rPr>
                <w:snapToGrid w:val="0"/>
              </w:rPr>
              <w:t>r. 1 and 2: 5 Aug 2015 (see r. 2(a));</w:t>
            </w:r>
            <w:r>
              <w:rPr>
                <w:snapToGrid w:val="0"/>
              </w:rPr>
              <w:br/>
              <w:t>Regulations other than r. 1 and 2: 6 Aug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6" w:name="_Toc489344433"/>
      <w:r>
        <w:t>Provisions that have not come into operation</w:t>
      </w:r>
      <w:bookmarkEnd w:id="6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(Network Safety) Amendment Regulations 2017</w:t>
            </w:r>
            <w:r>
              <w:t xml:space="preserve"> r. 3</w:t>
            </w:r>
            <w:r>
              <w:noBreakHyphen/>
              <w:t>8</w:t>
            </w:r>
            <w:r>
              <w:rPr>
                <w:vertAlign w:val="superscript"/>
              </w:rPr>
              <w:t> 2</w:t>
            </w:r>
          </w:p>
        </w:tc>
        <w:tc>
          <w:tcPr>
            <w:tcW w:w="1276" w:type="dxa"/>
          </w:tcPr>
          <w:p>
            <w:pPr>
              <w:pStyle w:val="nTable"/>
              <w:spacing w:after="40"/>
            </w:pPr>
            <w:r>
              <w:t>1 Aug 2017 p. 4110</w:t>
            </w:r>
            <w:r>
              <w:noBreakHyphen/>
              <w:t>12</w:t>
            </w:r>
          </w:p>
        </w:tc>
        <w:tc>
          <w:tcPr>
            <w:tcW w:w="2693" w:type="dxa"/>
          </w:tcPr>
          <w:p>
            <w:pPr>
              <w:pStyle w:val="nTable"/>
              <w:spacing w:after="40"/>
            </w:pPr>
            <w:r>
              <w:t>1 Nov 2017 (see r. 2(b))</w:t>
            </w:r>
          </w:p>
        </w:tc>
      </w:tr>
    </w:tbl>
    <w:p>
      <w:pPr>
        <w:pStyle w:val="nSubsection"/>
      </w:pPr>
      <w:r>
        <w:rPr>
          <w:vertAlign w:val="superscript"/>
        </w:rPr>
        <w:t>2</w:t>
      </w:r>
      <w:r>
        <w:tab/>
        <w:t xml:space="preserve">On the date as at which this compilation was prepared, the </w:t>
      </w:r>
      <w:r>
        <w:rPr>
          <w:i/>
        </w:rPr>
        <w:t>Electricity (Network Safety) Amendment Regulations 2017</w:t>
      </w:r>
      <w:r>
        <w:t xml:space="preserve"> r. 3</w:t>
      </w:r>
      <w:r>
        <w:noBreakHyphen/>
        <w:t>8 had not come into operation. They read as follows:</w:t>
      </w:r>
    </w:p>
    <w:p>
      <w:pPr>
        <w:pStyle w:val="BlankOpen"/>
      </w:pPr>
    </w:p>
    <w:p>
      <w:pPr>
        <w:pStyle w:val="nzHeading5"/>
      </w:pPr>
      <w:r>
        <w:rPr>
          <w:rStyle w:val="CharSectno"/>
        </w:rPr>
        <w:t>4</w:t>
      </w:r>
      <w:r>
        <w:t>.</w:t>
      </w:r>
      <w:r>
        <w:tab/>
        <w:t>Regulation 3 amended</w:t>
      </w:r>
    </w:p>
    <w:p>
      <w:pPr>
        <w:pStyle w:val="nzSubsection"/>
      </w:pPr>
      <w:r>
        <w:tab/>
      </w:r>
      <w:r>
        <w:tab/>
        <w:t>In regulation 3(4) delete “the prescribed” and insert:</w:t>
      </w:r>
    </w:p>
    <w:p>
      <w:pPr>
        <w:pStyle w:val="BlankOpen"/>
      </w:pPr>
    </w:p>
    <w:p>
      <w:pPr>
        <w:pStyle w:val="nzSubsection"/>
      </w:pPr>
      <w:r>
        <w:tab/>
      </w:r>
      <w:r>
        <w:tab/>
        <w:t>a prescribed</w:t>
      </w:r>
    </w:p>
    <w:p>
      <w:pPr>
        <w:pStyle w:val="BlankClose"/>
      </w:pPr>
    </w:p>
    <w:p>
      <w:pPr>
        <w:pStyle w:val="nzHeading5"/>
      </w:pPr>
      <w:r>
        <w:rPr>
          <w:rStyle w:val="CharSectno"/>
        </w:rPr>
        <w:t>5</w:t>
      </w:r>
      <w:r>
        <w:t>.</w:t>
      </w:r>
      <w:r>
        <w:tab/>
        <w:t>Regulation 4 amended</w:t>
      </w:r>
    </w:p>
    <w:p>
      <w:pPr>
        <w:pStyle w:val="nzSubsection"/>
      </w:pPr>
      <w:r>
        <w:tab/>
      </w:r>
      <w:r>
        <w:tab/>
        <w:t>In regulation 4(1)(h) delete “the Rottnest Island Authority,” and insert:</w:t>
      </w:r>
    </w:p>
    <w:p>
      <w:pPr>
        <w:pStyle w:val="BlankOpen"/>
        <w:keepLines w:val="0"/>
        <w:widowControl w:val="0"/>
      </w:pPr>
    </w:p>
    <w:p>
      <w:pPr>
        <w:pStyle w:val="nzSubsection"/>
      </w:pPr>
      <w:r>
        <w:tab/>
      </w:r>
      <w:r>
        <w:tab/>
        <w:t>a person referred to in paragraph (a), (b), (c), (d), (e), (f) or (g),</w:t>
      </w:r>
    </w:p>
    <w:p>
      <w:pPr>
        <w:pStyle w:val="BlankClose"/>
        <w:keepNext/>
      </w:pPr>
    </w:p>
    <w:p>
      <w:pPr>
        <w:pStyle w:val="nzHeading5"/>
      </w:pPr>
      <w:r>
        <w:rPr>
          <w:rStyle w:val="CharSectno"/>
        </w:rPr>
        <w:t>6</w:t>
      </w:r>
      <w:r>
        <w:t>.</w:t>
      </w:r>
      <w:r>
        <w:tab/>
        <w:t>Regulation 22 amended</w:t>
      </w:r>
    </w:p>
    <w:p>
      <w:pPr>
        <w:pStyle w:val="nzSubsection"/>
      </w:pPr>
      <w:r>
        <w:tab/>
        <w:t>(1)</w:t>
      </w:r>
      <w:r>
        <w:tab/>
        <w:t>In regulation 22 insert in alphabetical order:</w:t>
      </w:r>
    </w:p>
    <w:p>
      <w:pPr>
        <w:pStyle w:val="BlankOpen"/>
      </w:pPr>
    </w:p>
    <w:p>
      <w:pPr>
        <w:pStyle w:val="nzDefstart"/>
      </w:pPr>
      <w:r>
        <w:tab/>
      </w:r>
      <w:r>
        <w:rPr>
          <w:rStyle w:val="CharDefText"/>
        </w:rPr>
        <w:t>contact</w:t>
      </w:r>
      <w:r>
        <w:t xml:space="preserve">, in the definition of </w:t>
      </w:r>
      <w:r>
        <w:rPr>
          <w:b/>
          <w:i/>
        </w:rPr>
        <w:t>notifiable incident</w:t>
      </w:r>
      <w:r>
        <w:t>, includes being close enough for a discharge of electricity to occur;</w:t>
      </w:r>
    </w:p>
    <w:p>
      <w:pPr>
        <w:pStyle w:val="nzDefstart"/>
      </w:pPr>
      <w:r>
        <w:tab/>
      </w:r>
      <w:r>
        <w:rPr>
          <w:rStyle w:val="CharDefText"/>
        </w:rPr>
        <w:t>good work practice</w:t>
      </w:r>
      <w:r>
        <w:t xml:space="preserve"> means work practice that is accepted as appropriate by the electricity industry;</w:t>
      </w:r>
    </w:p>
    <w:p>
      <w:pPr>
        <w:pStyle w:val="nzDefstart"/>
      </w:pPr>
      <w:r>
        <w:tab/>
      </w:r>
      <w:r>
        <w:rPr>
          <w:rStyle w:val="CharDefText"/>
        </w:rPr>
        <w:t>third party</w:t>
      </w:r>
      <w:r>
        <w:t xml:space="preserve">, in relation to making contact with a part of a network, means a person other than — </w:t>
      </w:r>
    </w:p>
    <w:p>
      <w:pPr>
        <w:pStyle w:val="nzDefpara"/>
      </w:pPr>
      <w:r>
        <w:tab/>
        <w:t>(a)</w:t>
      </w:r>
      <w:r>
        <w:tab/>
        <w:t>the network operator; or</w:t>
      </w:r>
    </w:p>
    <w:p>
      <w:pPr>
        <w:pStyle w:val="nzDefpara"/>
      </w:pPr>
      <w:r>
        <w:tab/>
        <w:t>(b)</w:t>
      </w:r>
      <w:r>
        <w:tab/>
        <w:t>a person instructed or authorised by the network operator to do so.</w:t>
      </w:r>
    </w:p>
    <w:p>
      <w:pPr>
        <w:pStyle w:val="BlankClose"/>
      </w:pPr>
    </w:p>
    <w:p>
      <w:pPr>
        <w:pStyle w:val="nzSubsection"/>
      </w:pPr>
      <w:r>
        <w:tab/>
        <w:t>(2)</w:t>
      </w:r>
      <w:r>
        <w:tab/>
        <w:t xml:space="preserve">In regulation 22 in the definition of </w:t>
      </w:r>
      <w:r>
        <w:rPr>
          <w:b/>
          <w:i/>
        </w:rPr>
        <w:t>notifiable incident</w:t>
      </w:r>
      <w:r>
        <w:t xml:space="preserve"> delete paragraph (a)(iv) and insert:</w:t>
      </w:r>
    </w:p>
    <w:p>
      <w:pPr>
        <w:pStyle w:val="BlankOpen"/>
      </w:pPr>
    </w:p>
    <w:p>
      <w:pPr>
        <w:pStyle w:val="nzDefsubpara"/>
      </w:pPr>
      <w:r>
        <w:tab/>
        <w:t>(iv)</w:t>
      </w:r>
      <w:r>
        <w:tab/>
        <w:t>causes a fire in or on a part of the network, other than a fire on a pole; or</w:t>
      </w:r>
    </w:p>
    <w:p>
      <w:pPr>
        <w:pStyle w:val="nzDefsubpara"/>
      </w:pPr>
      <w:r>
        <w:tab/>
        <w:t>(v)</w:t>
      </w:r>
      <w:r>
        <w:tab/>
        <w:t>causes a part of the network to fail in a way that would expose persons in the vicinity to the risk of injury or death (whether or not there was anybody in the vicinity), for example, an explosion; or</w:t>
      </w:r>
    </w:p>
    <w:p>
      <w:pPr>
        <w:pStyle w:val="nz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nzDefsubpara"/>
      </w:pPr>
      <w:r>
        <w:tab/>
        <w:t>(vii)</w:t>
      </w:r>
      <w:r>
        <w:tab/>
        <w:t>was caused by a failure, while a prescribed activity was being carried out on the network, to follow or apply good work practice in relation to the activity; or</w:t>
      </w:r>
    </w:p>
    <w:p>
      <w:pPr>
        <w:pStyle w:val="nzDefsubpara"/>
      </w:pPr>
      <w:r>
        <w:tab/>
        <w:t>(viii)</w:t>
      </w:r>
      <w:r>
        <w:tab/>
        <w:t>was caused by contact with exposed metal parts of underground cables that were not insulated but should have been according to good work practice;</w:t>
      </w:r>
    </w:p>
    <w:p>
      <w:pPr>
        <w:pStyle w:val="BlankClose"/>
      </w:pPr>
    </w:p>
    <w:p>
      <w:pPr>
        <w:pStyle w:val="nzSubsection"/>
      </w:pPr>
      <w:r>
        <w:tab/>
        <w:t>(3)</w:t>
      </w:r>
      <w:r>
        <w:tab/>
        <w:t xml:space="preserve">In regulation 22 in the definition of </w:t>
      </w:r>
      <w:r>
        <w:rPr>
          <w:b/>
          <w:i/>
        </w:rPr>
        <w:t>protective device</w:t>
      </w:r>
      <w:r>
        <w:t xml:space="preserve"> delete “electricity.” and insert:</w:t>
      </w:r>
    </w:p>
    <w:p>
      <w:pPr>
        <w:pStyle w:val="BlankOpen"/>
      </w:pPr>
    </w:p>
    <w:p>
      <w:pPr>
        <w:pStyle w:val="nzSubsection"/>
      </w:pPr>
      <w:r>
        <w:tab/>
      </w:r>
      <w:r>
        <w:tab/>
        <w:t>electricity;</w:t>
      </w:r>
    </w:p>
    <w:p>
      <w:pPr>
        <w:pStyle w:val="BlankClose"/>
      </w:pPr>
    </w:p>
    <w:p>
      <w:pPr>
        <w:pStyle w:val="nzHeading5"/>
      </w:pPr>
      <w:r>
        <w:rPr>
          <w:rStyle w:val="CharSectno"/>
        </w:rPr>
        <w:t>7</w:t>
      </w:r>
      <w:r>
        <w:t>.</w:t>
      </w:r>
      <w:r>
        <w:tab/>
        <w:t>Regulation 28 amended</w:t>
      </w:r>
    </w:p>
    <w:p>
      <w:pPr>
        <w:pStyle w:val="nzSubsection"/>
      </w:pPr>
      <w:r>
        <w:tab/>
        <w:t>(1)</w:t>
      </w:r>
      <w:r>
        <w:tab/>
        <w:t xml:space="preserve">In regulation 28 delete the definition of </w:t>
      </w:r>
      <w:r>
        <w:rPr>
          <w:b/>
          <w:i/>
        </w:rPr>
        <w:t>AS/NZS 2067</w:t>
      </w:r>
      <w:r>
        <w:t>.</w:t>
      </w:r>
    </w:p>
    <w:p>
      <w:pPr>
        <w:pStyle w:val="nzSubsection"/>
      </w:pPr>
      <w:r>
        <w:tab/>
        <w:t>(2)</w:t>
      </w:r>
      <w:r>
        <w:tab/>
        <w:t>In regulation 28 insert in alphabetical order:</w:t>
      </w:r>
    </w:p>
    <w:p>
      <w:pPr>
        <w:pStyle w:val="BlankOpen"/>
      </w:pPr>
    </w:p>
    <w:p>
      <w:pPr>
        <w:pStyle w:val="nzDefstart"/>
      </w:pPr>
      <w:r>
        <w:tab/>
      </w:r>
      <w:r>
        <w:rPr>
          <w:rStyle w:val="CharDefText"/>
        </w:rPr>
        <w:t>AS 2067</w:t>
      </w:r>
      <w:r>
        <w:t xml:space="preserve"> means AS 2067:2016 Substations and high voltage installations exceeding 1 kV a.c.;</w:t>
      </w:r>
    </w:p>
    <w:p>
      <w:pPr>
        <w:pStyle w:val="BlankClose"/>
      </w:pPr>
    </w:p>
    <w:p>
      <w:pPr>
        <w:pStyle w:val="nzSubsection"/>
      </w:pPr>
      <w:r>
        <w:tab/>
        <w:t>(3)</w:t>
      </w:r>
      <w:r>
        <w:tab/>
        <w:t xml:space="preserve">In regulation 28 in the definition of </w:t>
      </w:r>
      <w:r>
        <w:rPr>
          <w:rStyle w:val="CharDefText"/>
        </w:rPr>
        <w:t>applicable standard</w:t>
      </w:r>
      <w:r>
        <w:t xml:space="preserve"> paragraph (c) delete “AS/NZS” and insert:</w:t>
      </w:r>
    </w:p>
    <w:p>
      <w:pPr>
        <w:pStyle w:val="BlankOpen"/>
        <w:keepLines w:val="0"/>
        <w:widowControl w:val="0"/>
      </w:pPr>
    </w:p>
    <w:p>
      <w:pPr>
        <w:pStyle w:val="nzSubsection"/>
      </w:pPr>
      <w:r>
        <w:tab/>
      </w:r>
      <w:r>
        <w:tab/>
        <w:t>AS</w:t>
      </w:r>
    </w:p>
    <w:p>
      <w:pPr>
        <w:pStyle w:val="BlankClose"/>
        <w:keepNext/>
      </w:pPr>
    </w:p>
    <w:p>
      <w:pPr>
        <w:pStyle w:val="nzSubsection"/>
      </w:pPr>
      <w:r>
        <w:tab/>
        <w:t>(4)</w:t>
      </w:r>
      <w:r>
        <w:tab/>
        <w:t xml:space="preserve">In regulation 28 in the definition of </w:t>
      </w:r>
      <w:r>
        <w:rPr>
          <w:b/>
          <w:i/>
        </w:rPr>
        <w:t>AS/NZS 7000</w:t>
      </w:r>
      <w:r>
        <w:t xml:space="preserve"> delete “7000:2010” and insert:</w:t>
      </w:r>
    </w:p>
    <w:p>
      <w:pPr>
        <w:pStyle w:val="BlankOpen"/>
      </w:pPr>
    </w:p>
    <w:p>
      <w:pPr>
        <w:pStyle w:val="nzSubsection"/>
      </w:pPr>
      <w:r>
        <w:tab/>
      </w:r>
      <w:r>
        <w:tab/>
        <w:t>7000:2016</w:t>
      </w:r>
    </w:p>
    <w:p>
      <w:pPr>
        <w:pStyle w:val="BlankClose"/>
      </w:pPr>
    </w:p>
    <w:p>
      <w:pPr>
        <w:pStyle w:val="nzHeading5"/>
      </w:pPr>
      <w:r>
        <w:rPr>
          <w:rStyle w:val="CharSectno"/>
        </w:rPr>
        <w:t>8</w:t>
      </w:r>
      <w:r>
        <w:t>.</w:t>
      </w:r>
      <w:r>
        <w:tab/>
        <w:t>Regulation 30 amended</w:t>
      </w:r>
    </w:p>
    <w:p>
      <w:pPr>
        <w:pStyle w:val="nzSubsection"/>
      </w:pPr>
      <w:r>
        <w:tab/>
      </w:r>
      <w:r>
        <w:tab/>
        <w:t>In regulation 30(1)(d) and (2)(b) delete “wood”.</w:t>
      </w: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608" w:name="_Toc426475487"/>
      <w:bookmarkStart w:id="609" w:name="_Toc426475562"/>
      <w:bookmarkStart w:id="610" w:name="_Toc426541603"/>
      <w:bookmarkStart w:id="611" w:name="_Toc489344198"/>
      <w:bookmarkStart w:id="612" w:name="_Toc489344434"/>
      <w:r>
        <w:rPr>
          <w:sz w:val="28"/>
        </w:rPr>
        <w:t>Defined terms</w:t>
      </w:r>
      <w:bookmarkEnd w:id="608"/>
      <w:bookmarkEnd w:id="609"/>
      <w:bookmarkEnd w:id="610"/>
      <w:bookmarkEnd w:id="611"/>
      <w:bookmarkEnd w:id="6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standard</w:t>
      </w:r>
      <w:r>
        <w:tab/>
        <w:t>28</w:t>
      </w:r>
    </w:p>
    <w:p>
      <w:pPr>
        <w:pStyle w:val="DefinedTerms"/>
      </w:pPr>
      <w:r>
        <w:t>AS</w:t>
      </w:r>
      <w:r>
        <w:tab/>
        <w:t>3(1)</w:t>
      </w:r>
    </w:p>
    <w:p>
      <w:pPr>
        <w:pStyle w:val="DefinedTerms"/>
      </w:pPr>
      <w:r>
        <w:t>AS 5577</w:t>
      </w:r>
      <w:r>
        <w:tab/>
        <w:t>3(1)</w:t>
      </w:r>
    </w:p>
    <w:p>
      <w:pPr>
        <w:pStyle w:val="DefinedTerms"/>
      </w:pPr>
      <w:r>
        <w:t>AS/NZS</w:t>
      </w:r>
      <w:r>
        <w:tab/>
        <w:t>3(1)</w:t>
      </w:r>
    </w:p>
    <w:p>
      <w:pPr>
        <w:pStyle w:val="DefinedTerms"/>
      </w:pPr>
      <w:r>
        <w:t>AS/NZS 2067</w:t>
      </w:r>
      <w:r>
        <w:tab/>
        <w:t>28</w:t>
      </w:r>
    </w:p>
    <w:p>
      <w:pPr>
        <w:pStyle w:val="DefinedTerms"/>
      </w:pPr>
      <w:r>
        <w:t>AS/NZS 3000</w:t>
      </w:r>
      <w:r>
        <w:tab/>
        <w:t>28</w:t>
      </w:r>
    </w:p>
    <w:p>
      <w:pPr>
        <w:pStyle w:val="DefinedTerms"/>
      </w:pPr>
      <w:r>
        <w:t>AS/NZS 7000</w:t>
      </w:r>
      <w:r>
        <w:tab/>
        <w:t>28</w:t>
      </w:r>
    </w:p>
    <w:p>
      <w:pPr>
        <w:pStyle w:val="DefinedTerms"/>
      </w:pPr>
      <w:r>
        <w:t>CEO</w:t>
      </w:r>
      <w:r>
        <w:tab/>
        <w:t>3(1)</w:t>
      </w:r>
    </w:p>
    <w:p>
      <w:pPr>
        <w:pStyle w:val="DefinedTerms"/>
      </w:pPr>
      <w:r>
        <w:t>commencement day</w:t>
      </w:r>
      <w:r>
        <w:tab/>
        <w:t>45</w:t>
      </w:r>
    </w:p>
    <w:p>
      <w:pPr>
        <w:pStyle w:val="DefinedTerms"/>
      </w:pPr>
      <w:r>
        <w:t>conductor</w:t>
      </w:r>
      <w:r>
        <w:tab/>
        <w:t>28</w:t>
      </w:r>
    </w:p>
    <w:p>
      <w:pPr>
        <w:pStyle w:val="DefinedTerms"/>
      </w:pPr>
      <w:r>
        <w:t>contact details</w:t>
      </w:r>
      <w:r>
        <w:tab/>
        <w:t>41(1)</w:t>
      </w:r>
    </w:p>
    <w:p>
      <w:pPr>
        <w:pStyle w:val="DefinedTerms"/>
      </w:pPr>
      <w:r>
        <w:t>contractor</w:t>
      </w:r>
      <w:r>
        <w:tab/>
        <w:t>3(1)</w:t>
      </w:r>
    </w:p>
    <w:p>
      <w:pPr>
        <w:pStyle w:val="DefinedTerms"/>
      </w:pPr>
      <w:r>
        <w:t>distribution licence</w:t>
      </w:r>
      <w:r>
        <w:tab/>
        <w:t>3(1)</w:t>
      </w:r>
    </w:p>
    <w:p>
      <w:pPr>
        <w:pStyle w:val="DefinedTerms"/>
      </w:pPr>
      <w:r>
        <w:t>electricity inspector</w:t>
      </w:r>
      <w:r>
        <w:tab/>
        <w:t>3(1)</w:t>
      </w:r>
    </w:p>
    <w:p>
      <w:pPr>
        <w:pStyle w:val="DefinedTerms"/>
      </w:pPr>
      <w:r>
        <w:t>employee</w:t>
      </w:r>
      <w:r>
        <w:tab/>
        <w:t>3(1)</w:t>
      </w:r>
    </w:p>
    <w:p>
      <w:pPr>
        <w:pStyle w:val="DefinedTerms"/>
      </w:pPr>
      <w:r>
        <w:t>ENA</w:t>
      </w:r>
      <w:r>
        <w:tab/>
        <w:t>3(1)</w:t>
      </w:r>
    </w:p>
    <w:p>
      <w:pPr>
        <w:pStyle w:val="DefinedTerms"/>
      </w:pPr>
      <w:r>
        <w:t>evidentiary provision</w:t>
      </w:r>
      <w:r>
        <w:tab/>
        <w:t>17(1)</w:t>
      </w:r>
    </w:p>
    <w:p>
      <w:pPr>
        <w:pStyle w:val="DefinedTerms"/>
      </w:pPr>
      <w:r>
        <w:t>HB</w:t>
      </w:r>
      <w:r>
        <w:tab/>
        <w:t>3(1)</w:t>
      </w:r>
    </w:p>
    <w:p>
      <w:pPr>
        <w:pStyle w:val="DefinedTerms"/>
      </w:pPr>
      <w:r>
        <w:t>implementation day, for a network operator,</w:t>
      </w:r>
      <w:r>
        <w:tab/>
        <w:t>3(1)</w:t>
      </w:r>
    </w:p>
    <w:p>
      <w:pPr>
        <w:pStyle w:val="DefinedTerms"/>
      </w:pPr>
      <w:r>
        <w:t>integrated regional licence</w:t>
      </w:r>
      <w:r>
        <w:tab/>
        <w:t>3(1)</w:t>
      </w:r>
    </w:p>
    <w:p>
      <w:pPr>
        <w:pStyle w:val="DefinedTerms"/>
      </w:pPr>
      <w:r>
        <w:t>investigate</w:t>
      </w:r>
      <w:r>
        <w:tab/>
        <w:t>9(1)</w:t>
      </w:r>
    </w:p>
    <w:p>
      <w:pPr>
        <w:pStyle w:val="DefinedTerms"/>
      </w:pPr>
      <w:r>
        <w:t>network</w:t>
      </w:r>
      <w:r>
        <w:tab/>
        <w:t>3(1)</w:t>
      </w:r>
    </w:p>
    <w:p>
      <w:pPr>
        <w:pStyle w:val="DefinedTerms"/>
      </w:pPr>
      <w:r>
        <w:t>network operator</w:t>
      </w:r>
      <w:r>
        <w:tab/>
        <w:t>3(1)</w:t>
      </w:r>
    </w:p>
    <w:p>
      <w:pPr>
        <w:pStyle w:val="DefinedTerms"/>
      </w:pPr>
      <w:r>
        <w:t>network safety performance incident</w:t>
      </w:r>
      <w:r>
        <w:tab/>
        <w:t>28, 30(1)</w:t>
      </w:r>
    </w:p>
    <w:p>
      <w:pPr>
        <w:pStyle w:val="DefinedTerms"/>
      </w:pPr>
      <w:r>
        <w:t>notifiable incident</w:t>
      </w:r>
      <w:r>
        <w:tab/>
        <w:t>22</w:t>
      </w:r>
    </w:p>
    <w:p>
      <w:pPr>
        <w:pStyle w:val="DefinedTerms"/>
      </w:pPr>
      <w:r>
        <w:t>obligatory provision</w:t>
      </w:r>
      <w:r>
        <w:tab/>
        <w:t>17(1)</w:t>
      </w:r>
    </w:p>
    <w:p>
      <w:pPr>
        <w:pStyle w:val="DefinedTerms"/>
      </w:pPr>
      <w:r>
        <w:t>pole</w:t>
      </w:r>
      <w:r>
        <w:tab/>
        <w:t>3(1)</w:t>
      </w:r>
    </w:p>
    <w:p>
      <w:pPr>
        <w:pStyle w:val="DefinedTerms"/>
      </w:pPr>
      <w:r>
        <w:t>prescribed activity</w:t>
      </w:r>
      <w:r>
        <w:tab/>
        <w:t>3(1)</w:t>
      </w:r>
    </w:p>
    <w:p>
      <w:pPr>
        <w:pStyle w:val="DefinedTerms"/>
      </w:pPr>
      <w:r>
        <w:t>prior network operator</w:t>
      </w:r>
      <w:r>
        <w:tab/>
        <w:t>12(1)</w:t>
      </w:r>
    </w:p>
    <w:p>
      <w:pPr>
        <w:pStyle w:val="DefinedTerms"/>
      </w:pPr>
      <w:r>
        <w:t xml:space="preserve">protective device </w:t>
      </w:r>
      <w:r>
        <w:tab/>
        <w:t>22</w:t>
      </w:r>
    </w:p>
    <w:p>
      <w:pPr>
        <w:pStyle w:val="DefinedTerms"/>
      </w:pPr>
      <w:r>
        <w:t>quarter</w:t>
      </w:r>
      <w:r>
        <w:tab/>
        <w:t>3(1)</w:t>
      </w:r>
    </w:p>
    <w:p>
      <w:pPr>
        <w:pStyle w:val="DefinedTerms"/>
      </w:pPr>
      <w:r>
        <w:t>repealed regulations</w:t>
      </w:r>
      <w:r>
        <w:tab/>
        <w:t>45</w:t>
      </w:r>
    </w:p>
    <w:p>
      <w:pPr>
        <w:pStyle w:val="DefinedTerms"/>
      </w:pPr>
      <w:r>
        <w:t>risk to safety</w:t>
      </w:r>
      <w:r>
        <w:tab/>
        <w:t>9(1)</w:t>
      </w:r>
    </w:p>
    <w:p>
      <w:pPr>
        <w:pStyle w:val="DefinedTerms"/>
      </w:pPr>
      <w:r>
        <w:t>safety</w:t>
      </w:r>
      <w:r>
        <w:tab/>
        <w:t>3(1)</w:t>
      </w:r>
    </w:p>
    <w:p>
      <w:pPr>
        <w:pStyle w:val="DefinedTerms"/>
      </w:pPr>
      <w:r>
        <w:t>safety management system</w:t>
      </w:r>
      <w:r>
        <w:tab/>
        <w:t>3(1)</w:t>
      </w:r>
    </w:p>
    <w:p>
      <w:pPr>
        <w:pStyle w:val="DefinedTerms"/>
      </w:pPr>
      <w:r>
        <w:t>subcontractor</w:t>
      </w:r>
      <w:r>
        <w:tab/>
        <w:t>3(1)</w:t>
      </w:r>
    </w:p>
    <w:p>
      <w:pPr>
        <w:pStyle w:val="DefinedTerms"/>
      </w:pPr>
      <w:r>
        <w:t>transmission licence</w:t>
      </w:r>
      <w:r>
        <w:tab/>
        <w:t>3(1)</w:t>
      </w:r>
    </w:p>
    <w:p>
      <w:pPr>
        <w:pStyle w:val="DefinedTerms"/>
      </w:pPr>
      <w:r>
        <w:t>unassisted failure</w:t>
      </w:r>
      <w:r>
        <w:tab/>
        <w:t>28</w:t>
      </w:r>
    </w:p>
    <w:p>
      <w:pPr>
        <w:pStyle w:val="DefinedTerms"/>
      </w:pPr>
      <w:r>
        <w:t>working day</w:t>
      </w:r>
      <w:r>
        <w:tab/>
        <w:t>3(1)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8" w:name="Schedule"/>
    <w:bookmarkEnd w:id="5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7" w:name="Compilation"/>
    <w:bookmarkEnd w:id="6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3" w:name="DefinedTerms"/>
    <w:bookmarkEnd w:id="61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4" w:name="Coversheet"/>
    <w:bookmarkEnd w:id="6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726"/>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442B-2209-40D9-861F-73740E34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11819</Words>
  <Characters>62528</Characters>
  <Application>Microsoft Office Word</Application>
  <DocSecurity>0</DocSecurity>
  <Lines>1736</Lines>
  <Paragraphs>1032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2015 - 00-b0-00</dc:title>
  <dc:subject/>
  <dc:creator/>
  <cp:keywords/>
  <dc:description/>
  <cp:lastModifiedBy>svcMRProcess</cp:lastModifiedBy>
  <cp:revision>4</cp:revision>
  <cp:lastPrinted>2015-06-16T06:41:00Z</cp:lastPrinted>
  <dcterms:created xsi:type="dcterms:W3CDTF">2018-09-19T17:40:00Z</dcterms:created>
  <dcterms:modified xsi:type="dcterms:W3CDTF">2018-09-19T17:40:00Z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AsAtDate">
    <vt:lpwstr>01 Aug 2017</vt:lpwstr>
  </property>
  <property fmtid="{D5CDD505-2E9C-101B-9397-08002B2CF9AE}" pid="5" name="Suffix">
    <vt:lpwstr>00-b0-00</vt:lpwstr>
  </property>
  <property fmtid="{D5CDD505-2E9C-101B-9397-08002B2CF9AE}" pid="6" name="CommencementDate">
    <vt:lpwstr>20170801</vt:lpwstr>
  </property>
</Properties>
</file>