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Owner-Drivers (Contracts and Disputes) Act 2007</w:t>
      </w:r>
      <w:r>
        <w:rPr>
          <w:sz w:val="48"/>
        </w:rPr>
        <w:fldChar w:fldCharType="end"/>
      </w:r>
    </w:p>
    <w:p>
      <w:pPr>
        <w:pStyle w:val="ReprintNo"/>
      </w:pPr>
      <w:r>
        <w:t>Reprint 1:  The Act as at 4 August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835EF2" w:rsidRDefault="00835EF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835EF2" w:rsidRDefault="00835EF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835EF2" w:rsidRDefault="00835EF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835EF2" w:rsidRDefault="00835EF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num" w:pos="1209"/>
        </w:tabs>
        <w:ind w:left="1200"/>
        <w:rPr>
          <w:sz w:val="20"/>
        </w:rPr>
      </w:pPr>
      <w:r>
        <w:rPr>
          <w:sz w:val="20"/>
        </w:rPr>
        <w:t>removed (because it was repealed or deleted from the law); or</w:t>
      </w:r>
    </w:p>
    <w:p>
      <w:pPr>
        <w:numPr>
          <w:ilvl w:val="0"/>
          <w:numId w:val="26"/>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August 2017</w:t>
            </w:r>
            <w:r>
              <w:rPr>
                <w:b/>
                <w:sz w:val="22"/>
              </w:rPr>
              <w:fldChar w:fldCharType="end"/>
            </w:r>
          </w:p>
        </w:tc>
      </w:tr>
    </w:tbl>
    <w:p>
      <w:pPr>
        <w:pStyle w:val="WA"/>
        <w:spacing w:before="12"/>
      </w:pPr>
      <w:r>
        <w:t>Western Australia</w:t>
      </w:r>
    </w:p>
    <w:p>
      <w:pPr>
        <w:pStyle w:val="NameofActRegPage1"/>
        <w:ind w:left="567" w:right="566"/>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_Toc491767416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_Toc491767417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_Toc491767418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owner-driver</w:t>
      </w:r>
      <w:r>
        <w:tab/>
      </w:r>
      <w:r>
        <w:fldChar w:fldCharType="begin"/>
      </w:r>
      <w:r>
        <w:instrText xml:space="preserve"> PAGEREF _Toc491767419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owner</w:t>
      </w:r>
      <w:r>
        <w:noBreakHyphen/>
        <w:t>driver contract</w:t>
      </w:r>
      <w:r>
        <w:tab/>
      </w:r>
      <w:r>
        <w:fldChar w:fldCharType="begin"/>
      </w:r>
      <w:r>
        <w:instrText xml:space="preserve"> PAGEREF _Toc491767420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_Toc491767421 \h </w:instrText>
      </w:r>
      <w:r>
        <w:fldChar w:fldCharType="separate"/>
      </w:r>
      <w:r>
        <w:t>4</w:t>
      </w:r>
      <w:r>
        <w:fldChar w:fldCharType="end"/>
      </w:r>
    </w:p>
    <w:p>
      <w:pPr>
        <w:pStyle w:val="TOC8"/>
        <w:rPr>
          <w:rFonts w:asciiTheme="minorHAnsi" w:eastAsiaTheme="minorEastAsia" w:hAnsiTheme="minorHAnsi" w:cstheme="minorBidi"/>
          <w:szCs w:val="22"/>
        </w:rPr>
      </w:pPr>
      <w:r>
        <w:t>7.</w:t>
      </w:r>
      <w:r>
        <w:tab/>
        <w:t>Act prevails over owner</w:t>
      </w:r>
      <w:r>
        <w:noBreakHyphen/>
        <w:t>driver contracts</w:t>
      </w:r>
      <w:r>
        <w:tab/>
      </w:r>
      <w:r>
        <w:fldChar w:fldCharType="begin"/>
      </w:r>
      <w:r>
        <w:instrText xml:space="preserve"> PAGEREF _Toc491767422 \h </w:instrText>
      </w:r>
      <w:r>
        <w:fldChar w:fldCharType="separate"/>
      </w:r>
      <w:r>
        <w:t>5</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_Toc491767423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owner</w:t>
      </w:r>
      <w:r>
        <w:noBreakHyphen/>
        <w:t>driver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_Toc491767426 \h </w:instrText>
      </w:r>
      <w:r>
        <w:fldChar w:fldCharType="separate"/>
      </w:r>
      <w:r>
        <w:t>7</w:t>
      </w:r>
      <w:r>
        <w:fldChar w:fldCharType="end"/>
      </w:r>
    </w:p>
    <w:p>
      <w:pPr>
        <w:pStyle w:val="TOC8"/>
        <w:rPr>
          <w:rFonts w:asciiTheme="minorHAnsi" w:eastAsiaTheme="minorEastAsia" w:hAnsiTheme="minorHAnsi" w:cstheme="minorBidi"/>
          <w:szCs w:val="22"/>
        </w:rPr>
      </w:pPr>
      <w:r>
        <w:t>10.</w:t>
      </w:r>
      <w:r>
        <w:tab/>
        <w:t>Prohibited: provisions requiring payment to be made after 30 days</w:t>
      </w:r>
      <w:r>
        <w:tab/>
      </w:r>
      <w:r>
        <w:fldChar w:fldCharType="begin"/>
      </w:r>
      <w:r>
        <w:instrText xml:space="preserve"> PAGEREF _Toc491767427 \h </w:instrText>
      </w:r>
      <w:r>
        <w:fldChar w:fldCharType="separate"/>
      </w:r>
      <w:r>
        <w:t>7</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_Toc491767428 \h </w:instrText>
      </w:r>
      <w:r>
        <w:fldChar w:fldCharType="separate"/>
      </w:r>
      <w:r>
        <w:t>7</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_Toc491767429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Time for payment</w:t>
      </w:r>
      <w:r>
        <w:tab/>
      </w:r>
      <w:r>
        <w:fldChar w:fldCharType="begin"/>
      </w:r>
      <w:r>
        <w:instrText xml:space="preserve"> PAGEREF _Toc491767431 \h </w:instrText>
      </w:r>
      <w:r>
        <w:fldChar w:fldCharType="separate"/>
      </w:r>
      <w:r>
        <w:t>8</w:t>
      </w:r>
      <w:r>
        <w:fldChar w:fldCharType="end"/>
      </w:r>
    </w:p>
    <w:p>
      <w:pPr>
        <w:pStyle w:val="TOC8"/>
        <w:rPr>
          <w:rFonts w:asciiTheme="minorHAnsi" w:eastAsiaTheme="minorEastAsia" w:hAnsiTheme="minorHAnsi" w:cstheme="minorBidi"/>
          <w:szCs w:val="22"/>
        </w:rPr>
      </w:pPr>
      <w:r>
        <w:t>14.</w:t>
      </w:r>
      <w:r>
        <w:tab/>
        <w:t>Interest on overdue payments</w:t>
      </w:r>
      <w:r>
        <w:tab/>
      </w:r>
      <w:r>
        <w:fldChar w:fldCharType="begin"/>
      </w:r>
      <w:r>
        <w:instrText xml:space="preserve"> PAGEREF _Toc491767432 \h </w:instrText>
      </w:r>
      <w:r>
        <w:fldChar w:fldCharType="separate"/>
      </w:r>
      <w:r>
        <w:t>8</w:t>
      </w:r>
      <w:r>
        <w:fldChar w:fldCharType="end"/>
      </w:r>
    </w:p>
    <w:p>
      <w:pPr>
        <w:pStyle w:val="TOC8"/>
        <w:rPr>
          <w:rFonts w:asciiTheme="minorHAnsi" w:eastAsiaTheme="minorEastAsia" w:hAnsiTheme="minorHAnsi" w:cstheme="minorBidi"/>
          <w:szCs w:val="22"/>
        </w:rPr>
      </w:pPr>
      <w:r>
        <w:t>15.</w:t>
      </w:r>
      <w:r>
        <w:tab/>
        <w:t>Making payment claims</w:t>
      </w:r>
      <w:r>
        <w:tab/>
      </w:r>
      <w:r>
        <w:fldChar w:fldCharType="begin"/>
      </w:r>
      <w:r>
        <w:instrText xml:space="preserve"> PAGEREF _Toc491767433 \h </w:instrText>
      </w:r>
      <w:r>
        <w:fldChar w:fldCharType="separate"/>
      </w:r>
      <w:r>
        <w:t>8</w:t>
      </w:r>
      <w:r>
        <w:fldChar w:fldCharType="end"/>
      </w:r>
    </w:p>
    <w:p>
      <w:pPr>
        <w:pStyle w:val="TOC8"/>
        <w:rPr>
          <w:rFonts w:asciiTheme="minorHAnsi" w:eastAsiaTheme="minorEastAsia" w:hAnsiTheme="minorHAnsi" w:cstheme="minorBidi"/>
          <w:szCs w:val="22"/>
        </w:rPr>
      </w:pPr>
      <w:r>
        <w:t>16.</w:t>
      </w:r>
      <w:r>
        <w:tab/>
        <w:t>Interpretation of implied provisions</w:t>
      </w:r>
      <w:r>
        <w:tab/>
      </w:r>
      <w:r>
        <w:fldChar w:fldCharType="begin"/>
      </w:r>
      <w:r>
        <w:instrText xml:space="preserve"> PAGEREF _Toc491767434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Road Freight Transport Industry Council</w:t>
      </w:r>
    </w:p>
    <w:p>
      <w:pPr>
        <w:pStyle w:val="TOC8"/>
        <w:rPr>
          <w:rFonts w:asciiTheme="minorHAnsi" w:eastAsiaTheme="minorEastAsia" w:hAnsiTheme="minorHAnsi" w:cstheme="minorBidi"/>
          <w:szCs w:val="22"/>
        </w:rPr>
      </w:pPr>
      <w:r>
        <w:t>17.</w:t>
      </w:r>
      <w:r>
        <w:tab/>
        <w:t>Road Freight Transport Industry Council established</w:t>
      </w:r>
      <w:r>
        <w:tab/>
      </w:r>
      <w:r>
        <w:fldChar w:fldCharType="begin"/>
      </w:r>
      <w:r>
        <w:instrText xml:space="preserve"> PAGEREF _Toc491767436 \h </w:instrText>
      </w:r>
      <w:r>
        <w:fldChar w:fldCharType="separate"/>
      </w:r>
      <w:r>
        <w:t>9</w:t>
      </w:r>
      <w:r>
        <w:fldChar w:fldCharType="end"/>
      </w:r>
    </w:p>
    <w:p>
      <w:pPr>
        <w:pStyle w:val="TOC8"/>
        <w:rPr>
          <w:rFonts w:asciiTheme="minorHAnsi" w:eastAsiaTheme="minorEastAsia" w:hAnsiTheme="minorHAnsi" w:cstheme="minorBidi"/>
          <w:szCs w:val="22"/>
        </w:rPr>
      </w:pPr>
      <w:r>
        <w:t>18.</w:t>
      </w:r>
      <w:r>
        <w:tab/>
        <w:t>Membership of Council</w:t>
      </w:r>
      <w:r>
        <w:tab/>
      </w:r>
      <w:r>
        <w:fldChar w:fldCharType="begin"/>
      </w:r>
      <w:r>
        <w:instrText xml:space="preserve"> PAGEREF _Toc491767437 \h </w:instrText>
      </w:r>
      <w:r>
        <w:fldChar w:fldCharType="separate"/>
      </w:r>
      <w:r>
        <w:t>9</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_Toc491767438 \h </w:instrText>
      </w:r>
      <w:r>
        <w:fldChar w:fldCharType="separate"/>
      </w:r>
      <w:r>
        <w:t>10</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_Toc491767439 \h </w:instrText>
      </w:r>
      <w:r>
        <w:fldChar w:fldCharType="separate"/>
      </w:r>
      <w:r>
        <w:t>10</w:t>
      </w:r>
      <w:r>
        <w:fldChar w:fldCharType="end"/>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_Toc491767440 \h </w:instrText>
      </w:r>
      <w:r>
        <w:fldChar w:fldCharType="separate"/>
      </w:r>
      <w:r>
        <w:t>10</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_Toc491767441 \h </w:instrText>
      </w:r>
      <w:r>
        <w:fldChar w:fldCharType="separate"/>
      </w:r>
      <w:r>
        <w:t>11</w:t>
      </w:r>
      <w:r>
        <w:fldChar w:fldCharType="end"/>
      </w:r>
    </w:p>
    <w:p>
      <w:pPr>
        <w:pStyle w:val="TOC8"/>
        <w:rPr>
          <w:rFonts w:asciiTheme="minorHAnsi" w:eastAsiaTheme="minorEastAsia" w:hAnsiTheme="minorHAnsi" w:cstheme="minorBidi"/>
          <w:szCs w:val="22"/>
        </w:rPr>
      </w:pPr>
      <w:r>
        <w:t>23.</w:t>
      </w:r>
      <w:r>
        <w:tab/>
        <w:t>Constitution and proceedings of Council</w:t>
      </w:r>
      <w:r>
        <w:tab/>
      </w:r>
      <w:r>
        <w:fldChar w:fldCharType="begin"/>
      </w:r>
      <w:r>
        <w:instrText xml:space="preserve"> PAGEREF _Toc491767442 \h </w:instrText>
      </w:r>
      <w:r>
        <w:fldChar w:fldCharType="separate"/>
      </w:r>
      <w:r>
        <w:t>11</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_Toc491767443 \h </w:instrText>
      </w:r>
      <w:r>
        <w:fldChar w:fldCharType="separate"/>
      </w:r>
      <w:r>
        <w:t>11</w:t>
      </w:r>
      <w:r>
        <w:fldChar w:fldCharType="end"/>
      </w:r>
    </w:p>
    <w:p>
      <w:pPr>
        <w:pStyle w:val="TOC8"/>
        <w:rPr>
          <w:rFonts w:asciiTheme="minorHAnsi" w:eastAsiaTheme="minorEastAsia" w:hAnsiTheme="minorHAnsi" w:cstheme="minorBidi"/>
          <w:szCs w:val="22"/>
        </w:rPr>
      </w:pPr>
      <w:r>
        <w:t>25.</w:t>
      </w:r>
      <w:r>
        <w:tab/>
        <w:t>Department to provide support services to Council</w:t>
      </w:r>
      <w:r>
        <w:tab/>
      </w:r>
      <w:r>
        <w:fldChar w:fldCharType="begin"/>
      </w:r>
      <w:r>
        <w:instrText xml:space="preserve"> PAGEREF _Toc491767444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Code of conduct</w:t>
      </w:r>
    </w:p>
    <w:p>
      <w:pPr>
        <w:pStyle w:val="TOC8"/>
        <w:rPr>
          <w:rFonts w:asciiTheme="minorHAnsi" w:eastAsiaTheme="minorEastAsia" w:hAnsiTheme="minorHAnsi" w:cstheme="minorBidi"/>
          <w:szCs w:val="22"/>
        </w:rPr>
      </w:pPr>
      <w:r>
        <w:t>26.</w:t>
      </w:r>
      <w:r>
        <w:tab/>
        <w:t>Regulations may prescribe code of conduct</w:t>
      </w:r>
      <w:r>
        <w:tab/>
      </w:r>
      <w:r>
        <w:fldChar w:fldCharType="begin"/>
      </w:r>
      <w:r>
        <w:instrText xml:space="preserve"> PAGEREF _Toc491767446 \h </w:instrText>
      </w:r>
      <w:r>
        <w:fldChar w:fldCharType="separate"/>
      </w:r>
      <w:r>
        <w:t>13</w:t>
      </w:r>
      <w:r>
        <w:fldChar w:fldCharType="end"/>
      </w:r>
    </w:p>
    <w:p>
      <w:pPr>
        <w:pStyle w:val="TOC8"/>
        <w:rPr>
          <w:rFonts w:asciiTheme="minorHAnsi" w:eastAsiaTheme="minorEastAsia" w:hAnsiTheme="minorHAnsi" w:cstheme="minorBidi"/>
          <w:szCs w:val="22"/>
        </w:rPr>
      </w:pPr>
      <w:r>
        <w:t>27.</w:t>
      </w:r>
      <w:r>
        <w:tab/>
        <w:t>Content of code of conduct</w:t>
      </w:r>
      <w:r>
        <w:tab/>
      </w:r>
      <w:r>
        <w:fldChar w:fldCharType="begin"/>
      </w:r>
      <w:r>
        <w:instrText xml:space="preserve"> PAGEREF _Toc491767447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Negotiations for owner</w:t>
      </w:r>
      <w:r>
        <w:noBreakHyphen/>
        <w:t>driver contracts</w:t>
      </w:r>
    </w:p>
    <w:p>
      <w:pPr>
        <w:pStyle w:val="TOC8"/>
        <w:rPr>
          <w:rFonts w:asciiTheme="minorHAnsi" w:eastAsiaTheme="minorEastAsia" w:hAnsiTheme="minorHAnsi" w:cstheme="minorBidi"/>
          <w:szCs w:val="22"/>
        </w:rPr>
      </w:pPr>
      <w:r>
        <w:t>28.</w:t>
      </w:r>
      <w:r>
        <w:tab/>
        <w:t>Negotiating agents for owner</w:t>
      </w:r>
      <w:r>
        <w:noBreakHyphen/>
        <w:t>drivers</w:t>
      </w:r>
      <w:r>
        <w:tab/>
      </w:r>
      <w:r>
        <w:fldChar w:fldCharType="begin"/>
      </w:r>
      <w:r>
        <w:instrText xml:space="preserve"> PAGEREF _Toc491767449 \h </w:instrText>
      </w:r>
      <w:r>
        <w:fldChar w:fldCharType="separate"/>
      </w:r>
      <w:r>
        <w:t>16</w:t>
      </w:r>
      <w:r>
        <w:fldChar w:fldCharType="end"/>
      </w:r>
    </w:p>
    <w:p>
      <w:pPr>
        <w:pStyle w:val="TOC8"/>
        <w:rPr>
          <w:rFonts w:asciiTheme="minorHAnsi" w:eastAsiaTheme="minorEastAsia" w:hAnsiTheme="minorHAnsi" w:cstheme="minorBidi"/>
          <w:szCs w:val="22"/>
        </w:rPr>
      </w:pPr>
      <w:r>
        <w:t>29.</w:t>
      </w:r>
      <w:r>
        <w:tab/>
        <w:t>Negotiating agents for hirers</w:t>
      </w:r>
      <w:r>
        <w:tab/>
      </w:r>
      <w:r>
        <w:fldChar w:fldCharType="begin"/>
      </w:r>
      <w:r>
        <w:instrText xml:space="preserve"> PAGEREF _Toc491767450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Unconscionable conduct</w:t>
      </w:r>
    </w:p>
    <w:p>
      <w:pPr>
        <w:pStyle w:val="TOC8"/>
        <w:rPr>
          <w:rFonts w:asciiTheme="minorHAnsi" w:eastAsiaTheme="minorEastAsia" w:hAnsiTheme="minorHAnsi" w:cstheme="minorBidi"/>
          <w:szCs w:val="22"/>
        </w:rPr>
      </w:pPr>
      <w:r>
        <w:t>30.</w:t>
      </w:r>
      <w:r>
        <w:tab/>
        <w:t>Unconscionable conduct by hirers</w:t>
      </w:r>
      <w:r>
        <w:tab/>
      </w:r>
      <w:r>
        <w:fldChar w:fldCharType="begin"/>
      </w:r>
      <w:r>
        <w:instrText xml:space="preserve"> PAGEREF _Toc491767452 \h </w:instrText>
      </w:r>
      <w:r>
        <w:fldChar w:fldCharType="separate"/>
      </w:r>
      <w:r>
        <w:t>18</w:t>
      </w:r>
      <w:r>
        <w:fldChar w:fldCharType="end"/>
      </w:r>
    </w:p>
    <w:p>
      <w:pPr>
        <w:pStyle w:val="TOC8"/>
        <w:rPr>
          <w:rFonts w:asciiTheme="minorHAnsi" w:eastAsiaTheme="minorEastAsia" w:hAnsiTheme="minorHAnsi" w:cstheme="minorBidi"/>
          <w:szCs w:val="22"/>
        </w:rPr>
      </w:pPr>
      <w:r>
        <w:t>31.</w:t>
      </w:r>
      <w:r>
        <w:tab/>
        <w:t>Unconscionable conduct by owner</w:t>
      </w:r>
      <w:r>
        <w:noBreakHyphen/>
        <w:t>drivers</w:t>
      </w:r>
      <w:r>
        <w:tab/>
      </w:r>
      <w:r>
        <w:fldChar w:fldCharType="begin"/>
      </w:r>
      <w:r>
        <w:instrText xml:space="preserve"> PAGEREF _Toc491767453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32.</w:t>
      </w:r>
      <w:r>
        <w:tab/>
        <w:t>Functions of inspectors</w:t>
      </w:r>
      <w:r>
        <w:tab/>
      </w:r>
      <w:r>
        <w:fldChar w:fldCharType="begin"/>
      </w:r>
      <w:r>
        <w:instrText xml:space="preserve"> PAGEREF _Toc491767455 \h </w:instrText>
      </w:r>
      <w:r>
        <w:fldChar w:fldCharType="separate"/>
      </w:r>
      <w:r>
        <w:t>22</w:t>
      </w:r>
      <w:r>
        <w:fldChar w:fldCharType="end"/>
      </w:r>
    </w:p>
    <w:p>
      <w:pPr>
        <w:pStyle w:val="TOC8"/>
        <w:rPr>
          <w:rFonts w:asciiTheme="minorHAnsi" w:eastAsiaTheme="minorEastAsia" w:hAnsiTheme="minorHAnsi" w:cstheme="minorBidi"/>
          <w:szCs w:val="22"/>
        </w:rPr>
      </w:pPr>
      <w:r>
        <w:t>33.</w:t>
      </w:r>
      <w:r>
        <w:tab/>
        <w:t>Obstructing or hindering inspector</w:t>
      </w:r>
      <w:r>
        <w:tab/>
      </w:r>
      <w:r>
        <w:fldChar w:fldCharType="begin"/>
      </w:r>
      <w:r>
        <w:instrText xml:space="preserve"> PAGEREF _Toc491767456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Rights of entry, inspection and access to records</w:t>
      </w:r>
    </w:p>
    <w:p>
      <w:pPr>
        <w:pStyle w:val="TOC8"/>
        <w:rPr>
          <w:rFonts w:asciiTheme="minorHAnsi" w:eastAsiaTheme="minorEastAsia" w:hAnsiTheme="minorHAnsi" w:cstheme="minorBidi"/>
          <w:szCs w:val="22"/>
        </w:rPr>
      </w:pPr>
      <w:r>
        <w:t>34.</w:t>
      </w:r>
      <w:r>
        <w:tab/>
        <w:t>Access to records</w:t>
      </w:r>
      <w:r>
        <w:tab/>
      </w:r>
      <w:r>
        <w:fldChar w:fldCharType="begin"/>
      </w:r>
      <w:r>
        <w:instrText xml:space="preserve"> PAGEREF _Toc491767458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9 — Road Freight Transport Industry Tribunal</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_Toc491767460 \h </w:instrText>
      </w:r>
      <w:r>
        <w:fldChar w:fldCharType="separate"/>
      </w:r>
      <w:r>
        <w:t>25</w:t>
      </w:r>
      <w:r>
        <w:fldChar w:fldCharType="end"/>
      </w:r>
    </w:p>
    <w:p>
      <w:pPr>
        <w:pStyle w:val="TOC8"/>
        <w:rPr>
          <w:rFonts w:asciiTheme="minorHAnsi" w:eastAsiaTheme="minorEastAsia" w:hAnsiTheme="minorHAnsi" w:cstheme="minorBidi"/>
          <w:szCs w:val="22"/>
        </w:rPr>
      </w:pPr>
      <w:r>
        <w:t>38.</w:t>
      </w:r>
      <w:r>
        <w:tab/>
        <w:t>Industrial Relations Commission sitting as the Road Freight Transport Industry Tribunal</w:t>
      </w:r>
      <w:r>
        <w:tab/>
      </w:r>
      <w:r>
        <w:fldChar w:fldCharType="begin"/>
      </w:r>
      <w:r>
        <w:instrText xml:space="preserve"> PAGEREF _Toc491767461 \h </w:instrText>
      </w:r>
      <w:r>
        <w:fldChar w:fldCharType="separate"/>
      </w:r>
      <w:r>
        <w:t>25</w:t>
      </w:r>
      <w:r>
        <w:fldChar w:fldCharType="end"/>
      </w:r>
    </w:p>
    <w:p>
      <w:pPr>
        <w:pStyle w:val="TOC8"/>
        <w:rPr>
          <w:rFonts w:asciiTheme="minorHAnsi" w:eastAsiaTheme="minorEastAsia" w:hAnsiTheme="minorHAnsi" w:cstheme="minorBidi"/>
          <w:szCs w:val="22"/>
        </w:rPr>
      </w:pPr>
      <w:r>
        <w:t>39.</w:t>
      </w:r>
      <w:r>
        <w:tab/>
        <w:t>Jurisdiction to be exercised by Commissioner with necessary qualifications</w:t>
      </w:r>
      <w:r>
        <w:tab/>
      </w:r>
      <w:r>
        <w:fldChar w:fldCharType="begin"/>
      </w:r>
      <w:r>
        <w:instrText xml:space="preserve"> PAGEREF _Toc491767462 \h </w:instrText>
      </w:r>
      <w:r>
        <w:fldChar w:fldCharType="separate"/>
      </w:r>
      <w:r>
        <w:t>26</w:t>
      </w:r>
      <w:r>
        <w:fldChar w:fldCharType="end"/>
      </w:r>
    </w:p>
    <w:p>
      <w:pPr>
        <w:pStyle w:val="TOC8"/>
        <w:rPr>
          <w:rFonts w:asciiTheme="minorHAnsi" w:eastAsiaTheme="minorEastAsia" w:hAnsiTheme="minorHAnsi" w:cstheme="minorBidi"/>
          <w:szCs w:val="22"/>
        </w:rPr>
      </w:pPr>
      <w:r>
        <w:t>40.</w:t>
      </w:r>
      <w:r>
        <w:tab/>
        <w:t>Persons who may refer disputes and matters to the Tribunal</w:t>
      </w:r>
      <w:r>
        <w:tab/>
      </w:r>
      <w:r>
        <w:fldChar w:fldCharType="begin"/>
      </w:r>
      <w:r>
        <w:instrText xml:space="preserve"> PAGEREF _Toc491767463 \h </w:instrText>
      </w:r>
      <w:r>
        <w:fldChar w:fldCharType="separate"/>
      </w:r>
      <w:r>
        <w:t>26</w:t>
      </w:r>
      <w:r>
        <w:fldChar w:fldCharType="end"/>
      </w:r>
    </w:p>
    <w:p>
      <w:pPr>
        <w:pStyle w:val="TOC8"/>
        <w:rPr>
          <w:rFonts w:asciiTheme="minorHAnsi" w:eastAsiaTheme="minorEastAsia" w:hAnsiTheme="minorHAnsi" w:cstheme="minorBidi"/>
          <w:szCs w:val="22"/>
        </w:rPr>
      </w:pPr>
      <w:r>
        <w:t>41.</w:t>
      </w:r>
      <w:r>
        <w:tab/>
        <w:t>Intervention in proceeding</w:t>
      </w:r>
      <w:r>
        <w:tab/>
      </w:r>
      <w:r>
        <w:fldChar w:fldCharType="begin"/>
      </w:r>
      <w:r>
        <w:instrText xml:space="preserve"> PAGEREF _Toc491767464 \h </w:instrText>
      </w:r>
      <w:r>
        <w:fldChar w:fldCharType="separate"/>
      </w:r>
      <w:r>
        <w:t>27</w:t>
      </w:r>
      <w:r>
        <w:fldChar w:fldCharType="end"/>
      </w:r>
    </w:p>
    <w:p>
      <w:pPr>
        <w:pStyle w:val="TOC8"/>
        <w:rPr>
          <w:rFonts w:asciiTheme="minorHAnsi" w:eastAsiaTheme="minorEastAsia" w:hAnsiTheme="minorHAnsi" w:cstheme="minorBidi"/>
          <w:szCs w:val="22"/>
        </w:rPr>
      </w:pPr>
      <w:r>
        <w:t>42.</w:t>
      </w:r>
      <w:r>
        <w:tab/>
        <w:t>Representation</w:t>
      </w:r>
      <w:r>
        <w:tab/>
      </w:r>
      <w:r>
        <w:fldChar w:fldCharType="begin"/>
      </w:r>
      <w:r>
        <w:instrText xml:space="preserve"> PAGEREF _Toc491767465 \h </w:instrText>
      </w:r>
      <w:r>
        <w:fldChar w:fldCharType="separate"/>
      </w:r>
      <w:r>
        <w:t>27</w:t>
      </w:r>
      <w:r>
        <w:fldChar w:fldCharType="end"/>
      </w:r>
    </w:p>
    <w:p>
      <w:pPr>
        <w:pStyle w:val="TOC8"/>
        <w:rPr>
          <w:rFonts w:asciiTheme="minorHAnsi" w:eastAsiaTheme="minorEastAsia" w:hAnsiTheme="minorHAnsi" w:cstheme="minorBidi"/>
          <w:szCs w:val="22"/>
        </w:rPr>
      </w:pPr>
      <w:r>
        <w:t>43.</w:t>
      </w:r>
      <w:r>
        <w:tab/>
        <w:t>Applied provisions: practice, procedure and appeals</w:t>
      </w:r>
      <w:r>
        <w:tab/>
      </w:r>
      <w:r>
        <w:fldChar w:fldCharType="begin"/>
      </w:r>
      <w:r>
        <w:instrText xml:space="preserve"> PAGEREF _Toc491767466 \h </w:instrText>
      </w:r>
      <w:r>
        <w:fldChar w:fldCharType="separate"/>
      </w:r>
      <w:r>
        <w:t>27</w:t>
      </w:r>
      <w:r>
        <w:fldChar w:fldCharType="end"/>
      </w:r>
    </w:p>
    <w:p>
      <w:pPr>
        <w:pStyle w:val="TOC8"/>
        <w:rPr>
          <w:rFonts w:asciiTheme="minorHAnsi" w:eastAsiaTheme="minorEastAsia" w:hAnsiTheme="minorHAnsi" w:cstheme="minorBidi"/>
          <w:szCs w:val="22"/>
        </w:rPr>
      </w:pPr>
      <w:r>
        <w:t>44.</w:t>
      </w:r>
      <w:r>
        <w:tab/>
        <w:t>Conciliation</w:t>
      </w:r>
      <w:r>
        <w:tab/>
      </w:r>
      <w:r>
        <w:fldChar w:fldCharType="begin"/>
      </w:r>
      <w:r>
        <w:instrText xml:space="preserve"> PAGEREF _Toc491767467 \h </w:instrText>
      </w:r>
      <w:r>
        <w:fldChar w:fldCharType="separate"/>
      </w:r>
      <w:r>
        <w:t>28</w:t>
      </w:r>
      <w:r>
        <w:fldChar w:fldCharType="end"/>
      </w:r>
    </w:p>
    <w:p>
      <w:pPr>
        <w:pStyle w:val="TOC8"/>
        <w:rPr>
          <w:rFonts w:asciiTheme="minorHAnsi" w:eastAsiaTheme="minorEastAsia" w:hAnsiTheme="minorHAnsi" w:cstheme="minorBidi"/>
          <w:szCs w:val="22"/>
        </w:rPr>
      </w:pPr>
      <w:r>
        <w:t>45.</w:t>
      </w:r>
      <w:r>
        <w:tab/>
        <w:t>Compulsory attendance at conciliation</w:t>
      </w:r>
      <w:r>
        <w:tab/>
      </w:r>
      <w:r>
        <w:fldChar w:fldCharType="begin"/>
      </w:r>
      <w:r>
        <w:instrText xml:space="preserve"> PAGEREF _Toc491767468 \h </w:instrText>
      </w:r>
      <w:r>
        <w:fldChar w:fldCharType="separate"/>
      </w:r>
      <w:r>
        <w:t>30</w:t>
      </w:r>
      <w:r>
        <w:fldChar w:fldCharType="end"/>
      </w:r>
    </w:p>
    <w:p>
      <w:pPr>
        <w:pStyle w:val="TOC8"/>
        <w:rPr>
          <w:rFonts w:asciiTheme="minorHAnsi" w:eastAsiaTheme="minorEastAsia" w:hAnsiTheme="minorHAnsi" w:cstheme="minorBidi"/>
          <w:szCs w:val="22"/>
        </w:rPr>
      </w:pPr>
      <w:r>
        <w:t>46.</w:t>
      </w:r>
      <w:r>
        <w:tab/>
        <w:t>Enforcement for the purposes of sections 44 and 45</w:t>
      </w:r>
      <w:r>
        <w:tab/>
      </w:r>
      <w:r>
        <w:fldChar w:fldCharType="begin"/>
      </w:r>
      <w:r>
        <w:instrText xml:space="preserve"> PAGEREF _Toc491767469 \h </w:instrText>
      </w:r>
      <w:r>
        <w:fldChar w:fldCharType="separate"/>
      </w:r>
      <w:r>
        <w:t>30</w:t>
      </w:r>
      <w:r>
        <w:fldChar w:fldCharType="end"/>
      </w:r>
    </w:p>
    <w:p>
      <w:pPr>
        <w:pStyle w:val="TOC8"/>
        <w:rPr>
          <w:rFonts w:asciiTheme="minorHAnsi" w:eastAsiaTheme="minorEastAsia" w:hAnsiTheme="minorHAnsi" w:cstheme="minorBidi"/>
          <w:szCs w:val="22"/>
        </w:rPr>
      </w:pPr>
      <w:r>
        <w:t>47.</w:t>
      </w:r>
      <w:r>
        <w:tab/>
        <w:t>Determination of dispute where no resolution by conciliation</w:t>
      </w:r>
      <w:r>
        <w:tab/>
      </w:r>
      <w:r>
        <w:fldChar w:fldCharType="begin"/>
      </w:r>
      <w:r>
        <w:instrText xml:space="preserve"> PAGEREF _Toc491767470 \h </w:instrText>
      </w:r>
      <w:r>
        <w:fldChar w:fldCharType="separate"/>
      </w:r>
      <w:r>
        <w:t>31</w:t>
      </w:r>
      <w:r>
        <w:fldChar w:fldCharType="end"/>
      </w:r>
    </w:p>
    <w:p>
      <w:pPr>
        <w:pStyle w:val="TOC8"/>
        <w:rPr>
          <w:rFonts w:asciiTheme="minorHAnsi" w:eastAsiaTheme="minorEastAsia" w:hAnsiTheme="minorHAnsi" w:cstheme="minorBidi"/>
          <w:szCs w:val="22"/>
        </w:rPr>
      </w:pPr>
      <w:r>
        <w:t>48.</w:t>
      </w:r>
      <w:r>
        <w:tab/>
        <w:t>Order to prevent entering into of owner</w:t>
      </w:r>
      <w:r>
        <w:noBreakHyphen/>
        <w:t>driver contracts</w:t>
      </w:r>
      <w:r>
        <w:tab/>
      </w:r>
      <w:r>
        <w:fldChar w:fldCharType="begin"/>
      </w:r>
      <w:r>
        <w:instrText xml:space="preserve"> PAGEREF _Toc491767471 \h </w:instrText>
      </w:r>
      <w:r>
        <w:fldChar w:fldCharType="separate"/>
      </w:r>
      <w:r>
        <w:t>32</w:t>
      </w:r>
      <w:r>
        <w:fldChar w:fldCharType="end"/>
      </w:r>
    </w:p>
    <w:p>
      <w:pPr>
        <w:pStyle w:val="TOC8"/>
        <w:rPr>
          <w:rFonts w:asciiTheme="minorHAnsi" w:eastAsiaTheme="minorEastAsia" w:hAnsiTheme="minorHAnsi" w:cstheme="minorBidi"/>
          <w:szCs w:val="22"/>
        </w:rPr>
      </w:pPr>
      <w:r>
        <w:t>49.</w:t>
      </w:r>
      <w:r>
        <w:tab/>
        <w:t>Other jurisdictions</w:t>
      </w:r>
      <w:r>
        <w:tab/>
      </w:r>
      <w:r>
        <w:fldChar w:fldCharType="begin"/>
      </w:r>
      <w:r>
        <w:instrText xml:space="preserve"> PAGEREF _Toc491767472 \h </w:instrText>
      </w:r>
      <w:r>
        <w:fldChar w:fldCharType="separate"/>
      </w:r>
      <w:r>
        <w:t>33</w:t>
      </w:r>
      <w:r>
        <w:fldChar w:fldCharType="end"/>
      </w:r>
    </w:p>
    <w:p>
      <w:pPr>
        <w:pStyle w:val="TOC8"/>
        <w:rPr>
          <w:rFonts w:asciiTheme="minorHAnsi" w:eastAsiaTheme="minorEastAsia" w:hAnsiTheme="minorHAnsi" w:cstheme="minorBidi"/>
          <w:szCs w:val="22"/>
        </w:rPr>
      </w:pPr>
      <w:r>
        <w:t>50.</w:t>
      </w:r>
      <w:r>
        <w:tab/>
        <w:t>Enforcement of monetary order</w:t>
      </w:r>
      <w:r>
        <w:tab/>
      </w:r>
      <w:r>
        <w:fldChar w:fldCharType="begin"/>
      </w:r>
      <w:r>
        <w:instrText xml:space="preserve"> PAGEREF _Toc491767473 \h </w:instrText>
      </w:r>
      <w:r>
        <w:fldChar w:fldCharType="separate"/>
      </w:r>
      <w:r>
        <w:t>34</w:t>
      </w:r>
      <w:r>
        <w:fldChar w:fldCharType="end"/>
      </w:r>
    </w:p>
    <w:p>
      <w:pPr>
        <w:pStyle w:val="TOC8"/>
        <w:rPr>
          <w:rFonts w:asciiTheme="minorHAnsi" w:eastAsiaTheme="minorEastAsia" w:hAnsiTheme="minorHAnsi" w:cstheme="minorBidi"/>
          <w:szCs w:val="22"/>
        </w:rPr>
      </w:pPr>
      <w:r>
        <w:t>51.</w:t>
      </w:r>
      <w:r>
        <w:tab/>
        <w:t>Enforcement of order other than conciliation or monetary order</w:t>
      </w:r>
      <w:r>
        <w:tab/>
      </w:r>
      <w:r>
        <w:fldChar w:fldCharType="begin"/>
      </w:r>
      <w:r>
        <w:instrText xml:space="preserve"> PAGEREF _Toc491767474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52.</w:t>
      </w:r>
      <w:r>
        <w:tab/>
        <w:t>Trade Practices Act</w:t>
      </w:r>
      <w:r>
        <w:rPr>
          <w:vertAlign w:val="superscript"/>
        </w:rPr>
        <w:t> 2</w:t>
      </w:r>
      <w:r>
        <w:t xml:space="preserve"> and Competition Code</w:t>
      </w:r>
      <w:r>
        <w:tab/>
      </w:r>
      <w:r>
        <w:fldChar w:fldCharType="begin"/>
      </w:r>
      <w:r>
        <w:instrText xml:space="preserve"> PAGEREF _Toc491767476 \h </w:instrText>
      </w:r>
      <w:r>
        <w:fldChar w:fldCharType="separate"/>
      </w:r>
      <w:r>
        <w:t>36</w:t>
      </w:r>
      <w:r>
        <w:fldChar w:fldCharType="end"/>
      </w:r>
    </w:p>
    <w:p>
      <w:pPr>
        <w:pStyle w:val="TOC8"/>
        <w:rPr>
          <w:rFonts w:asciiTheme="minorHAnsi" w:eastAsiaTheme="minorEastAsia" w:hAnsiTheme="minorHAnsi" w:cstheme="minorBidi"/>
          <w:szCs w:val="22"/>
        </w:rPr>
      </w:pPr>
      <w:r>
        <w:t>53.</w:t>
      </w:r>
      <w:r>
        <w:tab/>
        <w:t>Confidentiality</w:t>
      </w:r>
      <w:r>
        <w:tab/>
      </w:r>
      <w:r>
        <w:fldChar w:fldCharType="begin"/>
      </w:r>
      <w:r>
        <w:instrText xml:space="preserve"> PAGEREF _Toc491767477 \h </w:instrText>
      </w:r>
      <w:r>
        <w:fldChar w:fldCharType="separate"/>
      </w:r>
      <w:r>
        <w:t>37</w:t>
      </w:r>
      <w:r>
        <w:fldChar w:fldCharType="end"/>
      </w:r>
    </w:p>
    <w:p>
      <w:pPr>
        <w:pStyle w:val="TOC8"/>
        <w:rPr>
          <w:rFonts w:asciiTheme="minorHAnsi" w:eastAsiaTheme="minorEastAsia" w:hAnsiTheme="minorHAnsi" w:cstheme="minorBidi"/>
          <w:szCs w:val="22"/>
        </w:rPr>
      </w:pPr>
      <w:r>
        <w:t>54.</w:t>
      </w:r>
      <w:r>
        <w:tab/>
        <w:t>Laying documents before Parliament</w:t>
      </w:r>
      <w:r>
        <w:tab/>
      </w:r>
      <w:r>
        <w:fldChar w:fldCharType="begin"/>
      </w:r>
      <w:r>
        <w:instrText xml:space="preserve"> PAGEREF _Toc491767478 \h </w:instrText>
      </w:r>
      <w:r>
        <w:fldChar w:fldCharType="separate"/>
      </w:r>
      <w:r>
        <w:t>37</w:t>
      </w:r>
      <w:r>
        <w:fldChar w:fldCharType="end"/>
      </w:r>
    </w:p>
    <w:p>
      <w:pPr>
        <w:pStyle w:val="TOC8"/>
        <w:rPr>
          <w:rFonts w:asciiTheme="minorHAnsi" w:eastAsiaTheme="minorEastAsia" w:hAnsiTheme="minorHAnsi" w:cstheme="minorBidi"/>
          <w:szCs w:val="22"/>
        </w:rPr>
      </w:pPr>
      <w:r>
        <w:t>55.</w:t>
      </w:r>
      <w:r>
        <w:tab/>
        <w:t>Protection from liability</w:t>
      </w:r>
      <w:r>
        <w:tab/>
      </w:r>
      <w:r>
        <w:fldChar w:fldCharType="begin"/>
      </w:r>
      <w:r>
        <w:instrText xml:space="preserve"> PAGEREF _Toc491767479 \h </w:instrText>
      </w:r>
      <w:r>
        <w:fldChar w:fldCharType="separate"/>
      </w:r>
      <w:r>
        <w:t>38</w:t>
      </w:r>
      <w:r>
        <w:fldChar w:fldCharType="end"/>
      </w:r>
    </w:p>
    <w:p>
      <w:pPr>
        <w:pStyle w:val="TOC8"/>
        <w:rPr>
          <w:rFonts w:asciiTheme="minorHAnsi" w:eastAsiaTheme="minorEastAsia" w:hAnsiTheme="minorHAnsi" w:cstheme="minorBidi"/>
          <w:szCs w:val="22"/>
        </w:rPr>
      </w:pPr>
      <w:r>
        <w:t>56.</w:t>
      </w:r>
      <w:r>
        <w:tab/>
        <w:t>Protection for compliance with this Act</w:t>
      </w:r>
      <w:r>
        <w:tab/>
      </w:r>
      <w:r>
        <w:fldChar w:fldCharType="begin"/>
      </w:r>
      <w:r>
        <w:instrText xml:space="preserve"> PAGEREF _Toc491767480 \h </w:instrText>
      </w:r>
      <w:r>
        <w:fldChar w:fldCharType="separate"/>
      </w:r>
      <w:r>
        <w:t>38</w:t>
      </w:r>
      <w:r>
        <w:fldChar w:fldCharType="end"/>
      </w:r>
    </w:p>
    <w:p>
      <w:pPr>
        <w:pStyle w:val="TOC8"/>
        <w:rPr>
          <w:rFonts w:asciiTheme="minorHAnsi" w:eastAsiaTheme="minorEastAsia" w:hAnsiTheme="minorHAnsi" w:cstheme="minorBidi"/>
          <w:szCs w:val="22"/>
        </w:rPr>
      </w:pPr>
      <w:r>
        <w:t>57.</w:t>
      </w:r>
      <w:r>
        <w:tab/>
        <w:t>Regulations</w:t>
      </w:r>
      <w:r>
        <w:tab/>
      </w:r>
      <w:r>
        <w:fldChar w:fldCharType="begin"/>
      </w:r>
      <w:r>
        <w:instrText xml:space="preserve"> PAGEREF _Toc491767481 \h </w:instrText>
      </w:r>
      <w:r>
        <w:fldChar w:fldCharType="separate"/>
      </w:r>
      <w:r>
        <w:t>38</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_Toc491767482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 — Responding to claims for payment</w:t>
      </w:r>
    </w:p>
    <w:p>
      <w:pPr>
        <w:pStyle w:val="TOC8"/>
        <w:rPr>
          <w:rFonts w:asciiTheme="minorHAnsi" w:eastAsiaTheme="minorEastAsia" w:hAnsiTheme="minorHAnsi" w:cstheme="minorBidi"/>
          <w:szCs w:val="22"/>
        </w:rPr>
      </w:pPr>
      <w:r>
        <w:t>1.</w:t>
      </w:r>
      <w:r>
        <w:tab/>
        <w:t>Responding to a payment claim</w:t>
      </w:r>
      <w:r>
        <w:tab/>
      </w:r>
      <w:r>
        <w:fldChar w:fldCharType="begin"/>
      </w:r>
      <w:r>
        <w:instrText xml:space="preserve"> PAGEREF _Toc491767485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Interest on overdue amounts</w:t>
      </w:r>
    </w:p>
    <w:p>
      <w:pPr>
        <w:pStyle w:val="TOC8"/>
        <w:rPr>
          <w:rFonts w:asciiTheme="minorHAnsi" w:eastAsiaTheme="minorEastAsia" w:hAnsiTheme="minorHAnsi" w:cstheme="minorBidi"/>
          <w:szCs w:val="22"/>
        </w:rPr>
      </w:pPr>
      <w:r>
        <w:t>2.</w:t>
      </w:r>
      <w:r>
        <w:tab/>
        <w:t>Interest payable on overdue amounts</w:t>
      </w:r>
      <w:r>
        <w:tab/>
      </w:r>
      <w:r>
        <w:fldChar w:fldCharType="begin"/>
      </w:r>
      <w:r>
        <w:instrText xml:space="preserve"> PAGEREF _Toc491767487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Making claims for payment</w:t>
      </w:r>
    </w:p>
    <w:p>
      <w:pPr>
        <w:pStyle w:val="TOC8"/>
        <w:rPr>
          <w:rFonts w:asciiTheme="minorHAnsi" w:eastAsiaTheme="minorEastAsia" w:hAnsiTheme="minorHAnsi" w:cstheme="minorBidi"/>
          <w:szCs w:val="22"/>
        </w:rPr>
      </w:pPr>
      <w:r>
        <w:t>3.</w:t>
      </w:r>
      <w:r>
        <w:tab/>
        <w:t>Content of claim for payment</w:t>
      </w:r>
      <w:r>
        <w:tab/>
      </w:r>
      <w:r>
        <w:fldChar w:fldCharType="begin"/>
      </w:r>
      <w:r>
        <w:instrText xml:space="preserve"> PAGEREF _Toc491767489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 of Council</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_Toc491767492 \h </w:instrText>
      </w:r>
      <w:r>
        <w:fldChar w:fldCharType="separate"/>
      </w:r>
      <w:r>
        <w:t>42</w:t>
      </w:r>
      <w:r>
        <w:fldChar w:fldCharType="end"/>
      </w:r>
    </w:p>
    <w:p>
      <w:pPr>
        <w:pStyle w:val="TOC8"/>
        <w:rPr>
          <w:rFonts w:asciiTheme="minorHAnsi" w:eastAsiaTheme="minorEastAsia" w:hAnsiTheme="minorHAnsi" w:cstheme="minorBidi"/>
          <w:szCs w:val="22"/>
        </w:rPr>
      </w:pPr>
      <w:r>
        <w:t>2.</w:t>
      </w:r>
      <w:r>
        <w:tab/>
        <w:t>Chairman and deputy chairman</w:t>
      </w:r>
      <w:r>
        <w:tab/>
      </w:r>
      <w:r>
        <w:fldChar w:fldCharType="begin"/>
      </w:r>
      <w:r>
        <w:instrText xml:space="preserve"> PAGEREF _Toc491767493 \h </w:instrText>
      </w:r>
      <w:r>
        <w:fldChar w:fldCharType="separate"/>
      </w:r>
      <w:r>
        <w:t>42</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_Toc491767494 \h </w:instrText>
      </w:r>
      <w:r>
        <w:fldChar w:fldCharType="separate"/>
      </w:r>
      <w:r>
        <w:t>42</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_Toc491767495 \h </w:instrText>
      </w:r>
      <w:r>
        <w:fldChar w:fldCharType="separate"/>
      </w:r>
      <w:r>
        <w:t>43</w:t>
      </w:r>
      <w:r>
        <w:fldChar w:fldCharType="end"/>
      </w:r>
    </w:p>
    <w:p>
      <w:pPr>
        <w:pStyle w:val="TOC8"/>
        <w:rPr>
          <w:rFonts w:asciiTheme="minorHAnsi" w:eastAsiaTheme="minorEastAsia" w:hAnsiTheme="minorHAnsi" w:cstheme="minorBidi"/>
          <w:szCs w:val="22"/>
        </w:rPr>
      </w:pPr>
      <w:r>
        <w:t>5.</w:t>
      </w:r>
      <w:r>
        <w:tab/>
        <w:t>Council member unable to act</w:t>
      </w:r>
      <w:r>
        <w:tab/>
      </w:r>
      <w:r>
        <w:fldChar w:fldCharType="begin"/>
      </w:r>
      <w:r>
        <w:instrText xml:space="preserve"> PAGEREF _Toc491767496 \h </w:instrText>
      </w:r>
      <w:r>
        <w:fldChar w:fldCharType="separate"/>
      </w:r>
      <w:r>
        <w:t>43</w:t>
      </w:r>
      <w:r>
        <w:fldChar w:fldCharType="end"/>
      </w:r>
    </w:p>
    <w:p>
      <w:pPr>
        <w:pStyle w:val="TOC8"/>
        <w:rPr>
          <w:rFonts w:asciiTheme="minorHAnsi" w:eastAsiaTheme="minorEastAsia" w:hAnsiTheme="minorHAnsi" w:cstheme="minorBidi"/>
          <w:szCs w:val="22"/>
        </w:rPr>
      </w:pPr>
      <w:r>
        <w:t>6.</w:t>
      </w:r>
      <w:r>
        <w:tab/>
        <w:t>Savings</w:t>
      </w:r>
      <w:r>
        <w:tab/>
      </w:r>
      <w:r>
        <w:fldChar w:fldCharType="begin"/>
      </w:r>
      <w:r>
        <w:instrText xml:space="preserve"> PAGEREF _Toc491767497 \h </w:instrText>
      </w:r>
      <w:r>
        <w:fldChar w:fldCharType="separate"/>
      </w:r>
      <w:r>
        <w:t>43</w:t>
      </w:r>
      <w:r>
        <w:fldChar w:fldCharType="end"/>
      </w:r>
    </w:p>
    <w:p>
      <w:pPr>
        <w:pStyle w:val="TOC8"/>
        <w:rPr>
          <w:rFonts w:asciiTheme="minorHAnsi" w:eastAsiaTheme="minorEastAsia" w:hAnsiTheme="minorHAnsi" w:cstheme="minorBidi"/>
          <w:szCs w:val="22"/>
        </w:rPr>
      </w:pPr>
      <w:r>
        <w:t>7.</w:t>
      </w:r>
      <w:r>
        <w:tab/>
        <w:t>Calling of meetings</w:t>
      </w:r>
      <w:r>
        <w:tab/>
      </w:r>
      <w:r>
        <w:fldChar w:fldCharType="begin"/>
      </w:r>
      <w:r>
        <w:instrText xml:space="preserve"> PAGEREF _Toc491767498 \h </w:instrText>
      </w:r>
      <w:r>
        <w:fldChar w:fldCharType="separate"/>
      </w:r>
      <w:r>
        <w:t>43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_Toc491767499 \h </w:instrText>
      </w:r>
      <w:r>
        <w:fldChar w:fldCharType="separate"/>
      </w:r>
      <w:r>
        <w:t>43</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_Toc491767500 \h </w:instrText>
      </w:r>
      <w:r>
        <w:fldChar w:fldCharType="separate"/>
      </w:r>
      <w:r>
        <w:t>44</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_Toc491767501 \h </w:instrText>
      </w:r>
      <w:r>
        <w:fldChar w:fldCharType="separate"/>
      </w:r>
      <w:r>
        <w:t>44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_Toc491767502 \h </w:instrText>
      </w:r>
      <w:r>
        <w:fldChar w:fldCharType="separate"/>
      </w:r>
      <w:r>
        <w:t>44</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_Toc491767503 \h </w:instrText>
      </w:r>
      <w:r>
        <w:fldChar w:fldCharType="separate"/>
      </w:r>
      <w:r>
        <w:t>44</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_Toc491767504 \h </w:instrText>
      </w:r>
      <w:r>
        <w:fldChar w:fldCharType="separate"/>
      </w:r>
      <w:r>
        <w:t>44</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_Toc491767505 \h </w:instrText>
      </w:r>
      <w:r>
        <w:fldChar w:fldCharType="separate"/>
      </w:r>
      <w:r>
        <w:t>44</w:t>
      </w:r>
      <w:r>
        <w:fldChar w:fldCharType="end"/>
      </w:r>
    </w:p>
    <w:p>
      <w:pPr>
        <w:pStyle w:val="TOC8"/>
        <w:rPr>
          <w:rFonts w:asciiTheme="minorHAnsi" w:eastAsiaTheme="minorEastAsia" w:hAnsiTheme="minorHAnsi" w:cstheme="minorBidi"/>
          <w:szCs w:val="22"/>
        </w:rPr>
      </w:pPr>
      <w:r>
        <w:t>15.</w:t>
      </w:r>
      <w:r>
        <w:tab/>
        <w:t>Council to determine own procedures</w:t>
      </w:r>
      <w:r>
        <w:tab/>
      </w:r>
      <w:r>
        <w:fldChar w:fldCharType="begin"/>
      </w:r>
      <w:r>
        <w:instrText xml:space="preserve"> PAGEREF _Toc491767506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 of interests</w:t>
      </w:r>
      <w:r>
        <w:tab/>
      </w:r>
      <w:r>
        <w:fldChar w:fldCharType="begin"/>
      </w:r>
      <w:r>
        <w:instrText xml:space="preserve"> PAGEREF _Toc491767508 \h </w:instrText>
      </w:r>
      <w:r>
        <w:fldChar w:fldCharType="separate"/>
      </w:r>
      <w:r>
        <w:t>45</w:t>
      </w:r>
      <w:r>
        <w:fldChar w:fldCharType="end"/>
      </w:r>
    </w:p>
    <w:p>
      <w:pPr>
        <w:pStyle w:val="TOC8"/>
        <w:rPr>
          <w:rFonts w:asciiTheme="minorHAnsi" w:eastAsiaTheme="minorEastAsia" w:hAnsiTheme="minorHAnsi" w:cstheme="minorBidi"/>
          <w:szCs w:val="22"/>
        </w:rPr>
      </w:pPr>
      <w:r>
        <w:t>17.</w:t>
      </w:r>
      <w:r>
        <w:tab/>
        <w:t>Voting by interested members</w:t>
      </w:r>
      <w:r>
        <w:tab/>
      </w:r>
      <w:r>
        <w:fldChar w:fldCharType="begin"/>
      </w:r>
      <w:r>
        <w:instrText xml:space="preserve"> PAGEREF _Toc491767509 \h </w:instrText>
      </w:r>
      <w:r>
        <w:fldChar w:fldCharType="separate"/>
      </w:r>
      <w:r>
        <w:t>45</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_Toc491767510 \h </w:instrText>
      </w:r>
      <w:r>
        <w:fldChar w:fldCharType="separate"/>
      </w:r>
      <w:r>
        <w:t>46</w:t>
      </w:r>
      <w:r>
        <w:fldChar w:fldCharType="end"/>
      </w:r>
    </w:p>
    <w:p>
      <w:pPr>
        <w:pStyle w:val="TOC8"/>
        <w:rPr>
          <w:rFonts w:asciiTheme="minorHAnsi" w:eastAsiaTheme="minorEastAsia" w:hAnsiTheme="minorHAnsi" w:cstheme="minorBidi"/>
          <w:szCs w:val="22"/>
        </w:rPr>
      </w:pPr>
      <w:r>
        <w:t>19.</w:t>
      </w:r>
      <w:r>
        <w:tab/>
        <w:t>Quorum where clause 17 applies</w:t>
      </w:r>
      <w:r>
        <w:tab/>
      </w:r>
      <w:r>
        <w:fldChar w:fldCharType="begin"/>
      </w:r>
      <w:r>
        <w:instrText xml:space="preserve"> PAGEREF _Toc491767511 \h </w:instrText>
      </w:r>
      <w:r>
        <w:fldChar w:fldCharType="separate"/>
      </w:r>
      <w:r>
        <w:t>46</w:t>
      </w:r>
      <w:r>
        <w:fldChar w:fldCharType="end"/>
      </w:r>
    </w:p>
    <w:p>
      <w:pPr>
        <w:pStyle w:val="TOC8"/>
        <w:rPr>
          <w:rFonts w:asciiTheme="minorHAnsi" w:eastAsiaTheme="minorEastAsia" w:hAnsiTheme="minorHAnsi" w:cstheme="minorBidi"/>
          <w:szCs w:val="22"/>
        </w:rPr>
      </w:pPr>
      <w:r>
        <w:t>20.</w:t>
      </w:r>
      <w:r>
        <w:tab/>
        <w:t>Minister may declare clauses 17 and 19 inapplicable</w:t>
      </w:r>
      <w:r>
        <w:tab/>
      </w:r>
      <w:r>
        <w:fldChar w:fldCharType="begin"/>
      </w:r>
      <w:r>
        <w:instrText xml:space="preserve"> PAGEREF _Toc491767512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_Toc491767514 \h </w:instrText>
      </w:r>
      <w:r>
        <w:fldChar w:fldCharType="separate"/>
      </w:r>
      <w:r>
        <w:t>47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_Toc491767515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August 2017</w:t>
            </w:r>
            <w:r>
              <w:rPr>
                <w:b/>
                <w:sz w:val="22"/>
              </w:rPr>
              <w:fldChar w:fldCharType="end"/>
            </w:r>
          </w:p>
        </w:tc>
      </w:tr>
    </w:tbl>
    <w:p>
      <w:pPr>
        <w:pStyle w:val="WA"/>
        <w:spacing w:before="12"/>
      </w:pPr>
      <w:r>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Heading2"/>
      </w:pPr>
      <w:bookmarkStart w:id="3" w:name="_Toc488846381"/>
      <w:bookmarkStart w:id="4" w:name="_Toc488846622"/>
      <w:bookmarkStart w:id="5" w:name="_Toc488847935"/>
      <w:bookmarkStart w:id="6" w:name="_Toc490838800"/>
      <w:bookmarkStart w:id="7" w:name="_Toc4917674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91767416"/>
      <w:r>
        <w:rPr>
          <w:rStyle w:val="CharSectno"/>
        </w:rPr>
        <w:t>1</w:t>
      </w:r>
      <w:r>
        <w:t>.</w:t>
      </w:r>
      <w:r>
        <w:tab/>
      </w:r>
      <w:r>
        <w:rPr>
          <w:snapToGrid w:val="0"/>
        </w:rPr>
        <w:t>Short title</w:t>
      </w:r>
      <w:bookmarkEnd w:id="8"/>
    </w:p>
    <w:p>
      <w:pPr>
        <w:pStyle w:val="Subsection"/>
        <w:rPr>
          <w:snapToGrid w:val="0"/>
        </w:rPr>
      </w:pPr>
      <w:r>
        <w:tab/>
      </w:r>
      <w:r>
        <w:tab/>
        <w:t>This</w:t>
      </w:r>
      <w:r>
        <w:rPr>
          <w:snapToGrid w:val="0"/>
        </w:rPr>
        <w:t xml:space="preserve"> is the</w:t>
      </w:r>
      <w:r>
        <w:rPr>
          <w:i/>
          <w:snapToGrid w:val="0"/>
        </w:rPr>
        <w:t xml:space="preserve"> Owner-Drivers (Contracts and Disputes) Act 2007</w:t>
      </w:r>
      <w:r>
        <w:rPr>
          <w:i/>
          <w:snapToGrid w:val="0"/>
          <w:vertAlign w:val="superscript"/>
        </w:rPr>
        <w:t> </w:t>
      </w:r>
      <w:r>
        <w:rPr>
          <w:snapToGrid w:val="0"/>
          <w:vertAlign w:val="superscript"/>
        </w:rPr>
        <w:t>1</w:t>
      </w:r>
      <w:r>
        <w:rPr>
          <w:snapToGrid w:val="0"/>
        </w:rPr>
        <w:t>.</w:t>
      </w:r>
    </w:p>
    <w:p>
      <w:pPr>
        <w:pStyle w:val="Heading5"/>
      </w:pPr>
      <w:bookmarkStart w:id="9" w:name="_Toc491767417"/>
      <w:r>
        <w:rPr>
          <w:rStyle w:val="CharSectno"/>
        </w:rPr>
        <w:t>2</w:t>
      </w:r>
      <w:r>
        <w:rPr>
          <w:snapToGrid w:val="0"/>
        </w:rPr>
        <w:t>.</w:t>
      </w:r>
      <w:r>
        <w:rPr>
          <w:snapToGrid w:val="0"/>
        </w:rPr>
        <w:tab/>
      </w:r>
      <w:r>
        <w:t>Commencement</w:t>
      </w:r>
      <w:bookmarkEnd w:id="9"/>
    </w:p>
    <w:p>
      <w:pPr>
        <w:pStyle w:val="Subsection"/>
        <w:rPr>
          <w:rFonts w:ascii="Times" w:hAnsi="Times"/>
        </w:rPr>
      </w:pPr>
      <w:r>
        <w:tab/>
        <w:t>(1)</w:t>
      </w:r>
      <w:r>
        <w:tab/>
        <w:t xml:space="preserve">This Act </w:t>
      </w:r>
      <w:r>
        <w:rPr>
          <w:spacing w:val="-2"/>
        </w:rPr>
        <w:t>comes into operation on a day fixed by proclamation</w:t>
      </w:r>
      <w:r>
        <w:rPr>
          <w:i/>
          <w:snapToGrid w:val="0"/>
          <w:vertAlign w:val="superscript"/>
        </w:rPr>
        <w:t> </w:t>
      </w:r>
      <w:r>
        <w:rPr>
          <w:snapToGrid w:val="0"/>
          <w:vertAlign w:val="superscript"/>
        </w:rPr>
        <w:t>1</w:t>
      </w:r>
      <w:r>
        <w:rPr>
          <w:rFonts w:ascii="Times" w:hAnsi="Times"/>
        </w:rPr>
        <w:t>.</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 xml:space="preserve">Under section 22 of the </w:t>
      </w:r>
      <w:r>
        <w:rPr>
          <w:i/>
        </w:rPr>
        <w:t>Interpretation Act 1984</w:t>
      </w:r>
      <w:r>
        <w:t>, this section and section 1 come into operation on the day on which this Act receives the Royal Assent.</w:t>
      </w:r>
    </w:p>
    <w:p>
      <w:pPr>
        <w:pStyle w:val="Heading5"/>
      </w:pPr>
      <w:bookmarkStart w:id="10" w:name="_Toc491767418"/>
      <w:r>
        <w:rPr>
          <w:rStyle w:val="CharSectno"/>
        </w:rPr>
        <w:t>3</w:t>
      </w:r>
      <w:r>
        <w:t>.</w:t>
      </w:r>
      <w:r>
        <w:tab/>
        <w:t>Terms used</w:t>
      </w:r>
      <w:bookmarkEnd w:id="10"/>
      <w:r>
        <w:t xml:space="preserve"> </w:t>
      </w:r>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has the meaning given in the </w:t>
      </w:r>
      <w:r>
        <w:rPr>
          <w:i/>
          <w:iCs/>
        </w:rPr>
        <w:t>Road Traffic (Vehicles) Act 2012</w:t>
      </w:r>
      <w:r>
        <w:t xml:space="preserve"> section 3(1);</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27; No. 8 of 2012 s. 151; No. 17 of 2014 s. 30.]</w:t>
      </w:r>
    </w:p>
    <w:p>
      <w:pPr>
        <w:pStyle w:val="Heading5"/>
      </w:pPr>
      <w:bookmarkStart w:id="11" w:name="_Toc491767419"/>
      <w:r>
        <w:rPr>
          <w:rStyle w:val="CharSectno"/>
        </w:rPr>
        <w:t>4</w:t>
      </w:r>
      <w:r>
        <w:t>.</w:t>
      </w:r>
      <w:r>
        <w:tab/>
        <w:t>Term used: owner-driver</w:t>
      </w:r>
      <w:bookmarkEnd w:id="11"/>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2" w:name="_Toc491767420"/>
      <w:r>
        <w:rPr>
          <w:rStyle w:val="CharSectno"/>
        </w:rPr>
        <w:t>5</w:t>
      </w:r>
      <w:r>
        <w:t>.</w:t>
      </w:r>
      <w:r>
        <w:tab/>
        <w:t>Term used: owner</w:t>
      </w:r>
      <w:r>
        <w:noBreakHyphen/>
        <w:t>driver contract</w:t>
      </w:r>
      <w:bookmarkEnd w:id="12"/>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3" w:name="_Toc491767421"/>
      <w:r>
        <w:rPr>
          <w:rStyle w:val="CharSectno"/>
        </w:rPr>
        <w:t>6</w:t>
      </w:r>
      <w:r>
        <w:t>.</w:t>
      </w:r>
      <w:r>
        <w:tab/>
        <w:t>Application of Act</w:t>
      </w:r>
      <w:bookmarkEnd w:id="13"/>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14" w:name="_Toc491767422"/>
      <w:r>
        <w:rPr>
          <w:rStyle w:val="CharSectno"/>
        </w:rPr>
        <w:t>7</w:t>
      </w:r>
      <w:r>
        <w:t>.</w:t>
      </w:r>
      <w:r>
        <w:tab/>
        <w:t>Act prevails over owner</w:t>
      </w:r>
      <w:r>
        <w:noBreakHyphen/>
        <w:t>driver contracts</w:t>
      </w:r>
      <w:bookmarkEnd w:id="14"/>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5" w:name="_Toc491767423"/>
      <w:r>
        <w:rPr>
          <w:rStyle w:val="CharSectno"/>
        </w:rPr>
        <w:t>8</w:t>
      </w:r>
      <w:r>
        <w:t>.</w:t>
      </w:r>
      <w:r>
        <w:tab/>
        <w:t>Act binds Crown</w:t>
      </w:r>
      <w:bookmarkEnd w:id="15"/>
    </w:p>
    <w:p>
      <w:pPr>
        <w:pStyle w:val="Subsection"/>
      </w:pPr>
      <w:r>
        <w:tab/>
      </w:r>
      <w:r>
        <w:tab/>
        <w:t>This Act binds the Crown in right of the State and, so far as the legislative power of Parliament permits, in all its other capacities.</w:t>
      </w:r>
    </w:p>
    <w:p>
      <w:pPr>
        <w:pStyle w:val="Heading2"/>
      </w:pPr>
      <w:bookmarkStart w:id="16" w:name="_Toc488846390"/>
      <w:bookmarkStart w:id="17" w:name="_Toc488846631"/>
      <w:bookmarkStart w:id="18" w:name="_Toc488847944"/>
      <w:bookmarkStart w:id="19" w:name="_Toc490838809"/>
      <w:bookmarkStart w:id="20" w:name="_Toc491767424"/>
      <w:r>
        <w:rPr>
          <w:rStyle w:val="CharPartNo"/>
        </w:rPr>
        <w:t>Part 2</w:t>
      </w:r>
      <w:r>
        <w:t> — </w:t>
      </w:r>
      <w:r>
        <w:rPr>
          <w:rStyle w:val="CharPartText"/>
        </w:rPr>
        <w:t>Content of owner</w:t>
      </w:r>
      <w:r>
        <w:rPr>
          <w:rStyle w:val="CharPartText"/>
        </w:rPr>
        <w:noBreakHyphen/>
        <w:t>driver contracts</w:t>
      </w:r>
      <w:bookmarkEnd w:id="16"/>
      <w:bookmarkEnd w:id="17"/>
      <w:bookmarkEnd w:id="18"/>
      <w:bookmarkEnd w:id="19"/>
      <w:bookmarkEnd w:id="20"/>
    </w:p>
    <w:p>
      <w:pPr>
        <w:pStyle w:val="Heading3"/>
      </w:pPr>
      <w:bookmarkStart w:id="21" w:name="_Toc488846391"/>
      <w:bookmarkStart w:id="22" w:name="_Toc488846632"/>
      <w:bookmarkStart w:id="23" w:name="_Toc488847945"/>
      <w:bookmarkStart w:id="24" w:name="_Toc490838810"/>
      <w:bookmarkStart w:id="25" w:name="_Toc491767425"/>
      <w:r>
        <w:rPr>
          <w:rStyle w:val="CharDivNo"/>
        </w:rPr>
        <w:t>Division 1</w:t>
      </w:r>
      <w:r>
        <w:t> — </w:t>
      </w:r>
      <w:r>
        <w:rPr>
          <w:rStyle w:val="CharDivText"/>
        </w:rPr>
        <w:t>Prohibited provisions</w:t>
      </w:r>
      <w:bookmarkEnd w:id="21"/>
      <w:bookmarkEnd w:id="22"/>
      <w:bookmarkEnd w:id="23"/>
      <w:bookmarkEnd w:id="24"/>
      <w:bookmarkEnd w:id="25"/>
    </w:p>
    <w:p>
      <w:pPr>
        <w:pStyle w:val="Heading5"/>
      </w:pPr>
      <w:bookmarkStart w:id="26" w:name="_Toc491767426"/>
      <w:r>
        <w:rPr>
          <w:rStyle w:val="CharSectno"/>
        </w:rPr>
        <w:t>9</w:t>
      </w:r>
      <w:r>
        <w:t>.</w:t>
      </w:r>
      <w:r>
        <w:tab/>
        <w:t>Prohibited: pay if paid/when paid provisions</w:t>
      </w:r>
      <w:bookmarkEnd w:id="26"/>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7" w:name="_Toc491767427"/>
      <w:r>
        <w:rPr>
          <w:rStyle w:val="CharSectno"/>
        </w:rPr>
        <w:t>10</w:t>
      </w:r>
      <w:r>
        <w:t>.</w:t>
      </w:r>
      <w:r>
        <w:tab/>
        <w:t>Prohibited: provisions requiring payment to be made after 30 days</w:t>
      </w:r>
      <w:bookmarkEnd w:id="27"/>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28" w:name="_Toc491767428"/>
      <w:r>
        <w:rPr>
          <w:rStyle w:val="CharSectno"/>
        </w:rPr>
        <w:t>11</w:t>
      </w:r>
      <w:r>
        <w:t>.</w:t>
      </w:r>
      <w:r>
        <w:tab/>
        <w:t>Prohibited: prescribed provisions</w:t>
      </w:r>
      <w:bookmarkEnd w:id="28"/>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29" w:name="_Toc491767429"/>
      <w:r>
        <w:rPr>
          <w:rStyle w:val="CharSectno"/>
        </w:rPr>
        <w:t>12</w:t>
      </w:r>
      <w:r>
        <w:t>.</w:t>
      </w:r>
      <w:r>
        <w:tab/>
        <w:t>Other provisions of contract not affected</w:t>
      </w:r>
      <w:bookmarkEnd w:id="29"/>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30" w:name="_Toc488846396"/>
      <w:bookmarkStart w:id="31" w:name="_Toc488846637"/>
      <w:bookmarkStart w:id="32" w:name="_Toc488847950"/>
      <w:bookmarkStart w:id="33" w:name="_Toc490838815"/>
      <w:bookmarkStart w:id="34" w:name="_Toc491767430"/>
      <w:r>
        <w:rPr>
          <w:rStyle w:val="CharDivNo"/>
        </w:rPr>
        <w:t>Division 2</w:t>
      </w:r>
      <w:r>
        <w:t> — </w:t>
      </w:r>
      <w:r>
        <w:rPr>
          <w:rStyle w:val="CharDivText"/>
        </w:rPr>
        <w:t>Implied provisions</w:t>
      </w:r>
      <w:bookmarkEnd w:id="30"/>
      <w:bookmarkEnd w:id="31"/>
      <w:bookmarkEnd w:id="32"/>
      <w:bookmarkEnd w:id="33"/>
      <w:bookmarkEnd w:id="34"/>
    </w:p>
    <w:p>
      <w:pPr>
        <w:pStyle w:val="Heading5"/>
      </w:pPr>
      <w:bookmarkStart w:id="35" w:name="_Toc491767431"/>
      <w:r>
        <w:rPr>
          <w:rStyle w:val="CharSectno"/>
        </w:rPr>
        <w:t>13</w:t>
      </w:r>
      <w:r>
        <w:t>.</w:t>
      </w:r>
      <w:r>
        <w:tab/>
        <w:t>Time for payment</w:t>
      </w:r>
      <w:bookmarkEnd w:id="35"/>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36" w:name="_Toc491767432"/>
      <w:r>
        <w:rPr>
          <w:rStyle w:val="CharSectno"/>
        </w:rPr>
        <w:t>14</w:t>
      </w:r>
      <w:r>
        <w:t>.</w:t>
      </w:r>
      <w:r>
        <w:tab/>
        <w:t>Interest on overdue payments</w:t>
      </w:r>
      <w:bookmarkEnd w:id="36"/>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37" w:name="_Toc491767433"/>
      <w:r>
        <w:rPr>
          <w:rStyle w:val="CharSectno"/>
        </w:rPr>
        <w:t>15</w:t>
      </w:r>
      <w:r>
        <w:t>.</w:t>
      </w:r>
      <w:r>
        <w:tab/>
        <w:t>Making payment claims</w:t>
      </w:r>
      <w:bookmarkEnd w:id="37"/>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38" w:name="_Toc491767434"/>
      <w:r>
        <w:rPr>
          <w:rStyle w:val="CharSectno"/>
        </w:rPr>
        <w:t>16</w:t>
      </w:r>
      <w:r>
        <w:t>.</w:t>
      </w:r>
      <w:r>
        <w:tab/>
        <w:t>Interpretation of implied provisions</w:t>
      </w:r>
      <w:bookmarkEnd w:id="38"/>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39" w:name="_Toc488846401"/>
      <w:bookmarkStart w:id="40" w:name="_Toc488846642"/>
      <w:bookmarkStart w:id="41" w:name="_Toc488847955"/>
      <w:bookmarkStart w:id="42" w:name="_Toc490838820"/>
      <w:bookmarkStart w:id="43" w:name="_Toc491767435"/>
      <w:r>
        <w:rPr>
          <w:rStyle w:val="CharPartNo"/>
        </w:rPr>
        <w:t>Part 3</w:t>
      </w:r>
      <w:r>
        <w:rPr>
          <w:rStyle w:val="CharDivNo"/>
        </w:rPr>
        <w:t> </w:t>
      </w:r>
      <w:r>
        <w:t>—</w:t>
      </w:r>
      <w:r>
        <w:rPr>
          <w:rStyle w:val="CharDivText"/>
        </w:rPr>
        <w:t> </w:t>
      </w:r>
      <w:r>
        <w:rPr>
          <w:rStyle w:val="CharPartText"/>
        </w:rPr>
        <w:t>Road Freight Transport Industry Council</w:t>
      </w:r>
      <w:bookmarkEnd w:id="39"/>
      <w:bookmarkEnd w:id="40"/>
      <w:bookmarkEnd w:id="41"/>
      <w:bookmarkEnd w:id="42"/>
      <w:bookmarkEnd w:id="43"/>
    </w:p>
    <w:p>
      <w:pPr>
        <w:pStyle w:val="Heading5"/>
      </w:pPr>
      <w:bookmarkStart w:id="44" w:name="_Toc491767436"/>
      <w:r>
        <w:rPr>
          <w:rStyle w:val="CharSectno"/>
        </w:rPr>
        <w:t>17</w:t>
      </w:r>
      <w:r>
        <w:t>.</w:t>
      </w:r>
      <w:r>
        <w:tab/>
        <w:t>Road Freight Transport Industry Council established</w:t>
      </w:r>
      <w:bookmarkEnd w:id="44"/>
    </w:p>
    <w:p>
      <w:pPr>
        <w:pStyle w:val="Subsection"/>
      </w:pPr>
      <w:r>
        <w:tab/>
      </w:r>
      <w:r>
        <w:tab/>
        <w:t>A body called the Road Freight Transport Industry Council is established.</w:t>
      </w:r>
    </w:p>
    <w:p>
      <w:pPr>
        <w:pStyle w:val="Heading5"/>
      </w:pPr>
      <w:bookmarkStart w:id="45" w:name="_Toc491767437"/>
      <w:r>
        <w:rPr>
          <w:rStyle w:val="CharSectno"/>
        </w:rPr>
        <w:t>18</w:t>
      </w:r>
      <w:r>
        <w:t>.</w:t>
      </w:r>
      <w:r>
        <w:tab/>
        <w:t>Membership of Council</w:t>
      </w:r>
      <w:bookmarkEnd w:id="45"/>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46" w:name="_Toc491767438"/>
      <w:r>
        <w:rPr>
          <w:rStyle w:val="CharSectno"/>
        </w:rPr>
        <w:t>19</w:t>
      </w:r>
      <w:r>
        <w:t>.</w:t>
      </w:r>
      <w:r>
        <w:tab/>
        <w:t>Functions</w:t>
      </w:r>
      <w:bookmarkEnd w:id="46"/>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47" w:name="_Toc491767439"/>
      <w:r>
        <w:rPr>
          <w:rStyle w:val="CharSectno"/>
        </w:rPr>
        <w:t>20</w:t>
      </w:r>
      <w:r>
        <w:t>.</w:t>
      </w:r>
      <w:r>
        <w:tab/>
        <w:t>Powers</w:t>
      </w:r>
      <w:bookmarkEnd w:id="47"/>
    </w:p>
    <w:p>
      <w:pPr>
        <w:pStyle w:val="Subsection"/>
      </w:pPr>
      <w:r>
        <w:tab/>
      </w:r>
      <w:r>
        <w:tab/>
        <w:t>The Council has all the powers it needs to perform its functions.</w:t>
      </w:r>
    </w:p>
    <w:p>
      <w:pPr>
        <w:pStyle w:val="Heading5"/>
      </w:pPr>
      <w:bookmarkStart w:id="48" w:name="_Toc491767440"/>
      <w:r>
        <w:rPr>
          <w:rStyle w:val="CharSectno"/>
        </w:rPr>
        <w:t>21</w:t>
      </w:r>
      <w:r>
        <w:t>.</w:t>
      </w:r>
      <w:r>
        <w:tab/>
        <w:t>Minister may give directions</w:t>
      </w:r>
      <w:bookmarkEnd w:id="48"/>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49" w:name="_Toc491767441"/>
      <w:r>
        <w:rPr>
          <w:rStyle w:val="CharSectno"/>
        </w:rPr>
        <w:t>22</w:t>
      </w:r>
      <w:r>
        <w:t>.</w:t>
      </w:r>
      <w:r>
        <w:tab/>
        <w:t>Minister to have access to information</w:t>
      </w:r>
      <w:bookmarkEnd w:id="49"/>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50" w:name="_Toc491767442"/>
      <w:r>
        <w:rPr>
          <w:rStyle w:val="CharSectno"/>
        </w:rPr>
        <w:t>23</w:t>
      </w:r>
      <w:r>
        <w:t>.</w:t>
      </w:r>
      <w:r>
        <w:tab/>
        <w:t>Constitution and proceedings of Council</w:t>
      </w:r>
      <w:bookmarkEnd w:id="50"/>
    </w:p>
    <w:p>
      <w:pPr>
        <w:pStyle w:val="Subsection"/>
      </w:pPr>
      <w:r>
        <w:tab/>
      </w:r>
      <w:r>
        <w:tab/>
        <w:t>Schedule 2 sets out provisions as to the constitution and proceedings of the Council.</w:t>
      </w:r>
    </w:p>
    <w:p>
      <w:pPr>
        <w:pStyle w:val="Heading5"/>
      </w:pPr>
      <w:bookmarkStart w:id="51" w:name="_Toc491767443"/>
      <w:r>
        <w:rPr>
          <w:rStyle w:val="CharSectno"/>
        </w:rPr>
        <w:t>24</w:t>
      </w:r>
      <w:r>
        <w:t>.</w:t>
      </w:r>
      <w:r>
        <w:tab/>
        <w:t>Remuneration and allowances</w:t>
      </w:r>
      <w:bookmarkEnd w:id="51"/>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52" w:name="_Toc491767444"/>
      <w:r>
        <w:rPr>
          <w:rStyle w:val="CharSectno"/>
        </w:rPr>
        <w:t>25</w:t>
      </w:r>
      <w:r>
        <w:t>.</w:t>
      </w:r>
      <w:r>
        <w:tab/>
        <w:t>Department to provide support services to Council</w:t>
      </w:r>
      <w:bookmarkEnd w:id="52"/>
    </w:p>
    <w:p>
      <w:pPr>
        <w:pStyle w:val="Subsection"/>
      </w:pPr>
      <w:r>
        <w:tab/>
      </w:r>
      <w:r>
        <w:tab/>
        <w:t>The Department must provide the Council with any support services that the Council reasonably requires.</w:t>
      </w:r>
    </w:p>
    <w:p>
      <w:pPr>
        <w:pStyle w:val="Heading2"/>
      </w:pPr>
      <w:bookmarkStart w:id="53" w:name="_Toc488846411"/>
      <w:bookmarkStart w:id="54" w:name="_Toc488846652"/>
      <w:bookmarkStart w:id="55" w:name="_Toc488847965"/>
      <w:bookmarkStart w:id="56" w:name="_Toc490838830"/>
      <w:bookmarkStart w:id="57" w:name="_Toc491767445"/>
      <w:r>
        <w:rPr>
          <w:rStyle w:val="CharPartNo"/>
        </w:rPr>
        <w:t>Part 4</w:t>
      </w:r>
      <w:r>
        <w:rPr>
          <w:rStyle w:val="CharDivNo"/>
        </w:rPr>
        <w:t> </w:t>
      </w:r>
      <w:r>
        <w:t>—</w:t>
      </w:r>
      <w:r>
        <w:rPr>
          <w:rStyle w:val="CharDivText"/>
        </w:rPr>
        <w:t> </w:t>
      </w:r>
      <w:r>
        <w:rPr>
          <w:rStyle w:val="CharPartText"/>
        </w:rPr>
        <w:t>Code of conduct</w:t>
      </w:r>
      <w:bookmarkEnd w:id="53"/>
      <w:bookmarkEnd w:id="54"/>
      <w:bookmarkEnd w:id="55"/>
      <w:bookmarkEnd w:id="56"/>
      <w:bookmarkEnd w:id="57"/>
    </w:p>
    <w:p>
      <w:pPr>
        <w:pStyle w:val="Heading5"/>
      </w:pPr>
      <w:bookmarkStart w:id="58" w:name="_Toc491767446"/>
      <w:r>
        <w:rPr>
          <w:rStyle w:val="CharSectno"/>
        </w:rPr>
        <w:t>26</w:t>
      </w:r>
      <w:r>
        <w:t>.</w:t>
      </w:r>
      <w:r>
        <w:tab/>
        <w:t>Regulations may prescribe code of conduct</w:t>
      </w:r>
      <w:bookmarkEnd w:id="58"/>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59" w:name="_Toc491767447"/>
      <w:r>
        <w:rPr>
          <w:rStyle w:val="CharSectno"/>
        </w:rPr>
        <w:t>27</w:t>
      </w:r>
      <w:r>
        <w:t>.</w:t>
      </w:r>
      <w:r>
        <w:tab/>
        <w:t>Content of code of conduct</w:t>
      </w:r>
      <w:bookmarkEnd w:id="59"/>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60" w:name="_Toc488846414"/>
      <w:bookmarkStart w:id="61" w:name="_Toc488846655"/>
      <w:bookmarkStart w:id="62" w:name="_Toc488847968"/>
      <w:bookmarkStart w:id="63" w:name="_Toc490838833"/>
      <w:bookmarkStart w:id="64" w:name="_Toc491767448"/>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60"/>
      <w:bookmarkEnd w:id="61"/>
      <w:bookmarkEnd w:id="62"/>
      <w:bookmarkEnd w:id="63"/>
      <w:bookmarkEnd w:id="64"/>
    </w:p>
    <w:p>
      <w:pPr>
        <w:pStyle w:val="Heading5"/>
      </w:pPr>
      <w:bookmarkStart w:id="65" w:name="_Toc491767449"/>
      <w:r>
        <w:rPr>
          <w:rStyle w:val="CharSectno"/>
        </w:rPr>
        <w:t>28</w:t>
      </w:r>
      <w:r>
        <w:t>.</w:t>
      </w:r>
      <w:r>
        <w:tab/>
        <w:t>Negotiating agents for owner</w:t>
      </w:r>
      <w:r>
        <w:noBreakHyphen/>
        <w:t>drivers</w:t>
      </w:r>
      <w:bookmarkEnd w:id="65"/>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66" w:name="_Toc491767450"/>
      <w:r>
        <w:rPr>
          <w:rStyle w:val="CharSectno"/>
        </w:rPr>
        <w:t>29</w:t>
      </w:r>
      <w:r>
        <w:t>.</w:t>
      </w:r>
      <w:r>
        <w:tab/>
        <w:t>Negotiating agents for hirers</w:t>
      </w:r>
      <w:bookmarkEnd w:id="66"/>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67" w:name="_Toc488846417"/>
      <w:bookmarkStart w:id="68" w:name="_Toc488846658"/>
      <w:bookmarkStart w:id="69" w:name="_Toc488847971"/>
      <w:bookmarkStart w:id="70" w:name="_Toc490838836"/>
      <w:bookmarkStart w:id="71" w:name="_Toc491767451"/>
      <w:r>
        <w:rPr>
          <w:rStyle w:val="CharPartNo"/>
        </w:rPr>
        <w:t>Part 6</w:t>
      </w:r>
      <w:r>
        <w:rPr>
          <w:rStyle w:val="CharDivNo"/>
        </w:rPr>
        <w:t> </w:t>
      </w:r>
      <w:r>
        <w:t>—</w:t>
      </w:r>
      <w:r>
        <w:rPr>
          <w:rStyle w:val="CharDivText"/>
        </w:rPr>
        <w:t> </w:t>
      </w:r>
      <w:r>
        <w:rPr>
          <w:rStyle w:val="CharPartText"/>
        </w:rPr>
        <w:t>Unconscionable conduct</w:t>
      </w:r>
      <w:bookmarkEnd w:id="67"/>
      <w:bookmarkEnd w:id="68"/>
      <w:bookmarkEnd w:id="69"/>
      <w:bookmarkEnd w:id="70"/>
      <w:bookmarkEnd w:id="71"/>
    </w:p>
    <w:p>
      <w:pPr>
        <w:pStyle w:val="Heading5"/>
      </w:pPr>
      <w:bookmarkStart w:id="72" w:name="_Toc491767452"/>
      <w:r>
        <w:rPr>
          <w:rStyle w:val="CharSectno"/>
        </w:rPr>
        <w:t>30</w:t>
      </w:r>
      <w:r>
        <w:t>.</w:t>
      </w:r>
      <w:r>
        <w:tab/>
        <w:t>Unconscionable conduct by hirers</w:t>
      </w:r>
      <w:bookmarkEnd w:id="72"/>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73" w:name="_Toc491767453"/>
      <w:r>
        <w:rPr>
          <w:rStyle w:val="CharSectno"/>
        </w:rPr>
        <w:t>31</w:t>
      </w:r>
      <w:r>
        <w:t>.</w:t>
      </w:r>
      <w:r>
        <w:tab/>
        <w:t>Unconscionable conduct by owner</w:t>
      </w:r>
      <w:r>
        <w:noBreakHyphen/>
        <w:t>drivers</w:t>
      </w:r>
      <w:bookmarkEnd w:id="73"/>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74" w:name="_Toc488846420"/>
      <w:bookmarkStart w:id="75" w:name="_Toc488846661"/>
      <w:bookmarkStart w:id="76" w:name="_Toc488847974"/>
      <w:bookmarkStart w:id="77" w:name="_Toc490838839"/>
      <w:bookmarkStart w:id="78" w:name="_Toc491767454"/>
      <w:r>
        <w:rPr>
          <w:rStyle w:val="CharPartNo"/>
        </w:rPr>
        <w:t>Part 7</w:t>
      </w:r>
      <w:r>
        <w:rPr>
          <w:rStyle w:val="CharDivNo"/>
        </w:rPr>
        <w:t> </w:t>
      </w:r>
      <w:r>
        <w:t>—</w:t>
      </w:r>
      <w:r>
        <w:rPr>
          <w:rStyle w:val="CharDivText"/>
        </w:rPr>
        <w:t> </w:t>
      </w:r>
      <w:r>
        <w:rPr>
          <w:rStyle w:val="CharPartText"/>
        </w:rPr>
        <w:t>Inspectors</w:t>
      </w:r>
      <w:bookmarkEnd w:id="74"/>
      <w:bookmarkEnd w:id="75"/>
      <w:bookmarkEnd w:id="76"/>
      <w:bookmarkEnd w:id="77"/>
      <w:bookmarkEnd w:id="78"/>
    </w:p>
    <w:p>
      <w:pPr>
        <w:pStyle w:val="Heading5"/>
      </w:pPr>
      <w:bookmarkStart w:id="79" w:name="_Toc491767455"/>
      <w:r>
        <w:rPr>
          <w:rStyle w:val="CharSectno"/>
        </w:rPr>
        <w:t>32</w:t>
      </w:r>
      <w:r>
        <w:t>.</w:t>
      </w:r>
      <w:r>
        <w:tab/>
        <w:t>Functions of inspectors</w:t>
      </w:r>
      <w:bookmarkEnd w:id="79"/>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80" w:name="_Toc491767456"/>
      <w:r>
        <w:rPr>
          <w:rStyle w:val="CharSectno"/>
        </w:rPr>
        <w:t>33</w:t>
      </w:r>
      <w:r>
        <w:t>.</w:t>
      </w:r>
      <w:r>
        <w:tab/>
        <w:t>Obstructing or hindering inspector</w:t>
      </w:r>
      <w:bookmarkEnd w:id="80"/>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81" w:name="_Toc488846423"/>
      <w:bookmarkStart w:id="82" w:name="_Toc488846664"/>
      <w:bookmarkStart w:id="83" w:name="_Toc488847977"/>
      <w:bookmarkStart w:id="84" w:name="_Toc490838842"/>
      <w:bookmarkStart w:id="85" w:name="_Toc491767457"/>
      <w:r>
        <w:rPr>
          <w:rStyle w:val="CharPartNo"/>
        </w:rPr>
        <w:t>Part 8</w:t>
      </w:r>
      <w:r>
        <w:rPr>
          <w:rStyle w:val="CharDivNo"/>
        </w:rPr>
        <w:t> </w:t>
      </w:r>
      <w:r>
        <w:t>—</w:t>
      </w:r>
      <w:r>
        <w:rPr>
          <w:rStyle w:val="CharDivText"/>
        </w:rPr>
        <w:t> </w:t>
      </w:r>
      <w:r>
        <w:rPr>
          <w:rStyle w:val="CharPartText"/>
        </w:rPr>
        <w:t>Rights of entry, inspection and access to records</w:t>
      </w:r>
      <w:bookmarkEnd w:id="81"/>
      <w:bookmarkEnd w:id="82"/>
      <w:bookmarkEnd w:id="83"/>
      <w:bookmarkEnd w:id="84"/>
      <w:bookmarkEnd w:id="85"/>
    </w:p>
    <w:p>
      <w:pPr>
        <w:pStyle w:val="Heading5"/>
      </w:pPr>
      <w:bookmarkStart w:id="86" w:name="_Toc491767458"/>
      <w:r>
        <w:rPr>
          <w:rStyle w:val="CharSectno"/>
        </w:rPr>
        <w:t>34</w:t>
      </w:r>
      <w:r>
        <w:t>.</w:t>
      </w:r>
      <w:r>
        <w:tab/>
        <w:t>Access to records</w:t>
      </w:r>
      <w:bookmarkEnd w:id="86"/>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w:t>
      </w:r>
      <w:r>
        <w:rPr>
          <w:vertAlign w:val="superscript"/>
        </w:rPr>
        <w:t> </w:t>
      </w:r>
      <w:r>
        <w:rPr>
          <w:i w:val="0"/>
          <w:vertAlign w:val="superscript"/>
        </w:rPr>
        <w:t>3</w:t>
      </w:r>
      <w:r>
        <w:t>.]</w:t>
      </w:r>
    </w:p>
    <w:p>
      <w:pPr>
        <w:pStyle w:val="Heading2"/>
      </w:pPr>
      <w:bookmarkStart w:id="87" w:name="_Toc488846425"/>
      <w:bookmarkStart w:id="88" w:name="_Toc488846666"/>
      <w:bookmarkStart w:id="89" w:name="_Toc488847979"/>
      <w:bookmarkStart w:id="90" w:name="_Toc490838844"/>
      <w:bookmarkStart w:id="91" w:name="_Toc491767459"/>
      <w:r>
        <w:rPr>
          <w:rStyle w:val="CharPartNo"/>
        </w:rPr>
        <w:t>Part 9</w:t>
      </w:r>
      <w:r>
        <w:rPr>
          <w:rStyle w:val="CharDivNo"/>
        </w:rPr>
        <w:t> </w:t>
      </w:r>
      <w:r>
        <w:t>—</w:t>
      </w:r>
      <w:r>
        <w:rPr>
          <w:rStyle w:val="CharDivText"/>
        </w:rPr>
        <w:t> </w:t>
      </w:r>
      <w:r>
        <w:rPr>
          <w:rStyle w:val="CharPartText"/>
        </w:rPr>
        <w:t>Road Freight Transport Industry Tribunal</w:t>
      </w:r>
      <w:bookmarkEnd w:id="87"/>
      <w:bookmarkEnd w:id="88"/>
      <w:bookmarkEnd w:id="89"/>
      <w:bookmarkEnd w:id="90"/>
      <w:bookmarkEnd w:id="91"/>
    </w:p>
    <w:p>
      <w:pPr>
        <w:pStyle w:val="Heading5"/>
      </w:pPr>
      <w:bookmarkStart w:id="92" w:name="_Toc491767460"/>
      <w:r>
        <w:rPr>
          <w:rStyle w:val="CharSectno"/>
        </w:rPr>
        <w:t>37</w:t>
      </w:r>
      <w:r>
        <w:t>.</w:t>
      </w:r>
      <w:r>
        <w:tab/>
        <w:t>Terms used</w:t>
      </w:r>
      <w:bookmarkEnd w:id="92"/>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93" w:name="_Toc491767461"/>
      <w:r>
        <w:rPr>
          <w:rStyle w:val="CharSectno"/>
        </w:rPr>
        <w:t>38</w:t>
      </w:r>
      <w:r>
        <w:t>.</w:t>
      </w:r>
      <w:r>
        <w:tab/>
        <w:t>Industrial Relations Commission sitting as the Road Freight Transport Industry Tribunal</w:t>
      </w:r>
      <w:bookmarkEnd w:id="93"/>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94" w:name="_Toc491767462"/>
      <w:r>
        <w:rPr>
          <w:rStyle w:val="CharSectno"/>
        </w:rPr>
        <w:t>39</w:t>
      </w:r>
      <w:r>
        <w:t>.</w:t>
      </w:r>
      <w:r>
        <w:tab/>
        <w:t>Jurisdiction to be exercised by Commissioner with necessary qualifications</w:t>
      </w:r>
      <w:bookmarkEnd w:id="94"/>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95" w:name="_Toc491767463"/>
      <w:r>
        <w:rPr>
          <w:rStyle w:val="CharSectno"/>
        </w:rPr>
        <w:t>40</w:t>
      </w:r>
      <w:r>
        <w:t>.</w:t>
      </w:r>
      <w:r>
        <w:tab/>
        <w:t>Persons who may refer disputes and matters to the Tribunal</w:t>
      </w:r>
      <w:bookmarkEnd w:id="95"/>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96" w:name="_Toc491767464"/>
      <w:r>
        <w:rPr>
          <w:rStyle w:val="CharSectno"/>
        </w:rPr>
        <w:t>41</w:t>
      </w:r>
      <w:r>
        <w:t>.</w:t>
      </w:r>
      <w:r>
        <w:tab/>
        <w:t>Intervention in proceeding</w:t>
      </w:r>
      <w:bookmarkEnd w:id="96"/>
    </w:p>
    <w:p>
      <w:pPr>
        <w:pStyle w:val="Subsection"/>
      </w:pPr>
      <w:r>
        <w:tab/>
      </w:r>
      <w:r>
        <w:tab/>
        <w:t>The Minister may, on behalf of the State and by leave of the Tribunal, intervene in a proceeding of the Tribunal in which the State has an interest.</w:t>
      </w:r>
    </w:p>
    <w:p>
      <w:pPr>
        <w:pStyle w:val="Heading5"/>
      </w:pPr>
      <w:bookmarkStart w:id="97" w:name="_Toc491767465"/>
      <w:r>
        <w:rPr>
          <w:rStyle w:val="CharSectno"/>
        </w:rPr>
        <w:t>42</w:t>
      </w:r>
      <w:r>
        <w:t>.</w:t>
      </w:r>
      <w:r>
        <w:tab/>
        <w:t>Representation</w:t>
      </w:r>
      <w:bookmarkEnd w:id="97"/>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98" w:name="_Toc491767466"/>
      <w:r>
        <w:rPr>
          <w:rStyle w:val="CharSectno"/>
        </w:rPr>
        <w:t>43</w:t>
      </w:r>
      <w:r>
        <w:t>.</w:t>
      </w:r>
      <w:r>
        <w:tab/>
        <w:t>Applied provisions: practice, procedure and appeals</w:t>
      </w:r>
      <w:bookmarkEnd w:id="98"/>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99" w:name="_Toc491767467"/>
      <w:r>
        <w:rPr>
          <w:rStyle w:val="CharSectno"/>
        </w:rPr>
        <w:t>44</w:t>
      </w:r>
      <w:r>
        <w:t>.</w:t>
      </w:r>
      <w:r>
        <w:tab/>
        <w:t>Conciliation</w:t>
      </w:r>
      <w:bookmarkEnd w:id="99"/>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00" w:name="_Toc491767468"/>
      <w:r>
        <w:rPr>
          <w:rStyle w:val="CharSectno"/>
        </w:rPr>
        <w:t>45</w:t>
      </w:r>
      <w:r>
        <w:t>.</w:t>
      </w:r>
      <w:r>
        <w:tab/>
        <w:t>Compulsory attendance at conciliation</w:t>
      </w:r>
      <w:bookmarkEnd w:id="100"/>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01" w:name="_Toc491767469"/>
      <w:r>
        <w:rPr>
          <w:rStyle w:val="CharSectno"/>
        </w:rPr>
        <w:t>46</w:t>
      </w:r>
      <w:r>
        <w:t>.</w:t>
      </w:r>
      <w:r>
        <w:tab/>
        <w:t>Enforcement for the purposes of sections 44 and 45</w:t>
      </w:r>
      <w:bookmarkEnd w:id="101"/>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02" w:name="_Toc491767470"/>
      <w:r>
        <w:rPr>
          <w:rStyle w:val="CharSectno"/>
        </w:rPr>
        <w:t>47</w:t>
      </w:r>
      <w:r>
        <w:t>.</w:t>
      </w:r>
      <w:r>
        <w:tab/>
        <w:t>Determination of dispute where no resolution by conciliation</w:t>
      </w:r>
      <w:bookmarkEnd w:id="102"/>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103" w:name="_Toc491767471"/>
      <w:r>
        <w:rPr>
          <w:rStyle w:val="CharSectno"/>
        </w:rPr>
        <w:t>48</w:t>
      </w:r>
      <w:r>
        <w:t>.</w:t>
      </w:r>
      <w:r>
        <w:tab/>
        <w:t>Order to prevent entering into of owner</w:t>
      </w:r>
      <w:r>
        <w:noBreakHyphen/>
        <w:t>driver contracts</w:t>
      </w:r>
      <w:bookmarkEnd w:id="103"/>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104" w:name="_Toc491767472"/>
      <w:r>
        <w:rPr>
          <w:rStyle w:val="CharSectno"/>
        </w:rPr>
        <w:t>49</w:t>
      </w:r>
      <w:r>
        <w:t>.</w:t>
      </w:r>
      <w:r>
        <w:tab/>
        <w:t>Other jurisdictions</w:t>
      </w:r>
      <w:bookmarkEnd w:id="104"/>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05" w:name="_Toc491767473"/>
      <w:r>
        <w:rPr>
          <w:rStyle w:val="CharSectno"/>
        </w:rPr>
        <w:t>50</w:t>
      </w:r>
      <w:r>
        <w:t>.</w:t>
      </w:r>
      <w:r>
        <w:tab/>
        <w:t>Enforcement of monetary order</w:t>
      </w:r>
      <w:bookmarkEnd w:id="105"/>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06" w:name="_Toc491767474"/>
      <w:r>
        <w:rPr>
          <w:rStyle w:val="CharSectno"/>
        </w:rPr>
        <w:t>51</w:t>
      </w:r>
      <w:r>
        <w:t>.</w:t>
      </w:r>
      <w:r>
        <w:tab/>
        <w:t>Enforcement of order other than conciliation or monetary order</w:t>
      </w:r>
      <w:bookmarkEnd w:id="106"/>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Cs/>
        </w:rPr>
        <w:t xml:space="preserve"> </w:t>
      </w:r>
      <w:r>
        <w:t>section 92.</w:t>
      </w:r>
    </w:p>
    <w:p>
      <w:pPr>
        <w:pStyle w:val="Heading2"/>
      </w:pPr>
      <w:bookmarkStart w:id="107" w:name="_Toc488846441"/>
      <w:bookmarkStart w:id="108" w:name="_Toc488846682"/>
      <w:bookmarkStart w:id="109" w:name="_Toc488847995"/>
      <w:bookmarkStart w:id="110" w:name="_Toc490838860"/>
      <w:bookmarkStart w:id="111" w:name="_Toc491767475"/>
      <w:r>
        <w:rPr>
          <w:rStyle w:val="CharPartNo"/>
        </w:rPr>
        <w:t>Part 10</w:t>
      </w:r>
      <w:r>
        <w:rPr>
          <w:rStyle w:val="CharDivNo"/>
        </w:rPr>
        <w:t> </w:t>
      </w:r>
      <w:r>
        <w:t>—</w:t>
      </w:r>
      <w:r>
        <w:rPr>
          <w:rStyle w:val="CharDivText"/>
        </w:rPr>
        <w:t> </w:t>
      </w:r>
      <w:r>
        <w:rPr>
          <w:rStyle w:val="CharPartText"/>
        </w:rPr>
        <w:t>Miscellaneous</w:t>
      </w:r>
      <w:bookmarkEnd w:id="107"/>
      <w:bookmarkEnd w:id="108"/>
      <w:bookmarkEnd w:id="109"/>
      <w:bookmarkEnd w:id="110"/>
      <w:bookmarkEnd w:id="111"/>
    </w:p>
    <w:p>
      <w:pPr>
        <w:pStyle w:val="Heading5"/>
      </w:pPr>
      <w:bookmarkStart w:id="112" w:name="_Toc491767476"/>
      <w:r>
        <w:rPr>
          <w:rStyle w:val="CharSectno"/>
        </w:rPr>
        <w:t>52</w:t>
      </w:r>
      <w:r>
        <w:t>.</w:t>
      </w:r>
      <w:r>
        <w:tab/>
        <w:t>Trade Practices Act</w:t>
      </w:r>
      <w:r>
        <w:rPr>
          <w:b w:val="0"/>
          <w:vertAlign w:val="superscript"/>
        </w:rPr>
        <w:t> 2</w:t>
      </w:r>
      <w:r>
        <w:t xml:space="preserve"> and Competition Code</w:t>
      </w:r>
      <w:bookmarkEnd w:id="112"/>
    </w:p>
    <w:p>
      <w:pPr>
        <w:pStyle w:val="Subsection"/>
      </w:pPr>
      <w:r>
        <w:tab/>
        <w:t>(1)</w:t>
      </w:r>
      <w:r>
        <w:tab/>
        <w:t xml:space="preserve">For the purposes of the </w:t>
      </w:r>
      <w:r>
        <w:rPr>
          <w:i/>
          <w:iCs/>
        </w:rPr>
        <w:t>Trade Practices Act 1974</w:t>
      </w:r>
      <w:r>
        <w:rPr>
          <w:i/>
          <w:iCs/>
          <w:vertAlign w:val="superscript"/>
        </w:rPr>
        <w:t> </w:t>
      </w:r>
      <w:r>
        <w:rPr>
          <w:iCs/>
          <w:vertAlign w:val="superscript"/>
        </w:rPr>
        <w:t>2</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113" w:name="_Toc491767477"/>
      <w:r>
        <w:rPr>
          <w:rStyle w:val="CharSectno"/>
        </w:rPr>
        <w:t>53</w:t>
      </w:r>
      <w:r>
        <w:t>.</w:t>
      </w:r>
      <w:r>
        <w:tab/>
        <w:t>Confidentiality</w:t>
      </w:r>
      <w:bookmarkEnd w:id="113"/>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114" w:name="_Toc491767478"/>
      <w:r>
        <w:rPr>
          <w:rStyle w:val="CharSectno"/>
        </w:rPr>
        <w:t>54</w:t>
      </w:r>
      <w:r>
        <w:t>.</w:t>
      </w:r>
      <w:r>
        <w:tab/>
        <w:t>Laying documents before Parliament</w:t>
      </w:r>
      <w:bookmarkEnd w:id="114"/>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115" w:name="_Toc491767479"/>
      <w:r>
        <w:rPr>
          <w:rStyle w:val="CharSectno"/>
        </w:rPr>
        <w:t>55</w:t>
      </w:r>
      <w:r>
        <w:t>.</w:t>
      </w:r>
      <w:r>
        <w:tab/>
        <w:t>Protection from liability</w:t>
      </w:r>
      <w:bookmarkEnd w:id="11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16" w:name="_Toc491767480"/>
      <w:r>
        <w:rPr>
          <w:rStyle w:val="CharSectno"/>
        </w:rPr>
        <w:t>56</w:t>
      </w:r>
      <w:r>
        <w:t>.</w:t>
      </w:r>
      <w:r>
        <w:tab/>
        <w:t>Protection for compliance with this Act</w:t>
      </w:r>
      <w:bookmarkEnd w:id="11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17" w:name="_Toc491767481"/>
      <w:r>
        <w:rPr>
          <w:rStyle w:val="CharSectno"/>
        </w:rPr>
        <w:t>57</w:t>
      </w:r>
      <w:r>
        <w:t>.</w:t>
      </w:r>
      <w:r>
        <w:tab/>
        <w:t>Regulations</w:t>
      </w:r>
      <w:bookmarkEnd w:id="1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Ednotesection"/>
      </w:pPr>
      <w:r>
        <w:t>[</w:t>
      </w:r>
      <w:r>
        <w:rPr>
          <w:b/>
        </w:rPr>
        <w:t>58.</w:t>
      </w:r>
      <w:r>
        <w:tab/>
        <w:t>Omitted under the Reprints Act 1984 s. 7(4)(e).]</w:t>
      </w:r>
    </w:p>
    <w:p>
      <w:pPr>
        <w:pStyle w:val="Heading5"/>
      </w:pPr>
      <w:bookmarkStart w:id="118" w:name="_Toc491767482"/>
      <w:r>
        <w:rPr>
          <w:rStyle w:val="CharSectno"/>
        </w:rPr>
        <w:t>59</w:t>
      </w:r>
      <w:r>
        <w:t>.</w:t>
      </w:r>
      <w:r>
        <w:tab/>
        <w:t>Review of Act</w:t>
      </w:r>
      <w:bookmarkEnd w:id="118"/>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19" w:name="_Toc488846450"/>
      <w:bookmarkStart w:id="120" w:name="_Toc488846691"/>
      <w:bookmarkStart w:id="121" w:name="_Toc488848003"/>
      <w:bookmarkStart w:id="122" w:name="_Toc490838868"/>
      <w:bookmarkStart w:id="123" w:name="_Toc491767483"/>
      <w:r>
        <w:rPr>
          <w:rStyle w:val="CharSchNo"/>
        </w:rPr>
        <w:t>Schedule 1</w:t>
      </w:r>
      <w:r>
        <w:t> — </w:t>
      </w:r>
      <w:r>
        <w:rPr>
          <w:rStyle w:val="CharSchText"/>
        </w:rPr>
        <w:t>Implied provisions</w:t>
      </w:r>
      <w:bookmarkEnd w:id="119"/>
      <w:bookmarkEnd w:id="120"/>
      <w:bookmarkEnd w:id="121"/>
      <w:bookmarkEnd w:id="122"/>
      <w:bookmarkEnd w:id="123"/>
    </w:p>
    <w:p>
      <w:pPr>
        <w:pStyle w:val="yShoulderClause"/>
      </w:pPr>
      <w:r>
        <w:t>[s. 13, 14, 15, 16]</w:t>
      </w:r>
    </w:p>
    <w:p>
      <w:pPr>
        <w:pStyle w:val="yHeading3"/>
      </w:pPr>
      <w:bookmarkStart w:id="124" w:name="_Toc488846451"/>
      <w:bookmarkStart w:id="125" w:name="_Toc488846692"/>
      <w:bookmarkStart w:id="126" w:name="_Toc488848004"/>
      <w:bookmarkStart w:id="127" w:name="_Toc490838869"/>
      <w:bookmarkStart w:id="128" w:name="_Toc491767484"/>
      <w:r>
        <w:rPr>
          <w:rStyle w:val="CharSDivNo"/>
        </w:rPr>
        <w:t>Division 1</w:t>
      </w:r>
      <w:r>
        <w:t> — </w:t>
      </w:r>
      <w:r>
        <w:rPr>
          <w:rStyle w:val="CharSDivText"/>
        </w:rPr>
        <w:t>Responding to claims for payment</w:t>
      </w:r>
      <w:bookmarkEnd w:id="124"/>
      <w:bookmarkEnd w:id="125"/>
      <w:bookmarkEnd w:id="126"/>
      <w:bookmarkEnd w:id="127"/>
      <w:bookmarkEnd w:id="128"/>
    </w:p>
    <w:p>
      <w:pPr>
        <w:pStyle w:val="yHeading5"/>
      </w:pPr>
      <w:bookmarkStart w:id="129" w:name="_Toc491767485"/>
      <w:r>
        <w:rPr>
          <w:rStyle w:val="CharSClsNo"/>
        </w:rPr>
        <w:t>1</w:t>
      </w:r>
      <w:r>
        <w:t>.</w:t>
      </w:r>
      <w:r>
        <w:tab/>
        <w:t>Responding to a payment claim</w:t>
      </w:r>
      <w:bookmarkEnd w:id="129"/>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130" w:name="_Toc488846453"/>
      <w:bookmarkStart w:id="131" w:name="_Toc488846694"/>
      <w:bookmarkStart w:id="132" w:name="_Toc488848006"/>
      <w:bookmarkStart w:id="133" w:name="_Toc490838871"/>
      <w:bookmarkStart w:id="134" w:name="_Toc491767486"/>
      <w:r>
        <w:rPr>
          <w:rStyle w:val="CharSDivNo"/>
        </w:rPr>
        <w:t>Division 2</w:t>
      </w:r>
      <w:r>
        <w:t> — </w:t>
      </w:r>
      <w:r>
        <w:rPr>
          <w:rStyle w:val="CharSDivText"/>
        </w:rPr>
        <w:t>Interest on overdue amounts</w:t>
      </w:r>
      <w:bookmarkEnd w:id="130"/>
      <w:bookmarkEnd w:id="131"/>
      <w:bookmarkEnd w:id="132"/>
      <w:bookmarkEnd w:id="133"/>
      <w:bookmarkEnd w:id="134"/>
    </w:p>
    <w:p>
      <w:pPr>
        <w:pStyle w:val="yHeading5"/>
      </w:pPr>
      <w:bookmarkStart w:id="135" w:name="_Toc491767487"/>
      <w:r>
        <w:rPr>
          <w:rStyle w:val="CharSClsNo"/>
        </w:rPr>
        <w:t>2</w:t>
      </w:r>
      <w:r>
        <w:t>.</w:t>
      </w:r>
      <w:r>
        <w:tab/>
        <w:t>Interest payable on overdue amounts</w:t>
      </w:r>
      <w:bookmarkEnd w:id="135"/>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136" w:name="_Toc488846455"/>
      <w:bookmarkStart w:id="137" w:name="_Toc488846696"/>
      <w:bookmarkStart w:id="138" w:name="_Toc488848008"/>
      <w:bookmarkStart w:id="139" w:name="_Toc490838873"/>
      <w:bookmarkStart w:id="140" w:name="_Toc491767488"/>
      <w:r>
        <w:rPr>
          <w:rStyle w:val="CharSDivNo"/>
        </w:rPr>
        <w:t>Division 3</w:t>
      </w:r>
      <w:r>
        <w:t> — </w:t>
      </w:r>
      <w:r>
        <w:rPr>
          <w:rStyle w:val="CharSDivText"/>
        </w:rPr>
        <w:t>Making claims for payment</w:t>
      </w:r>
      <w:bookmarkEnd w:id="136"/>
      <w:bookmarkEnd w:id="137"/>
      <w:bookmarkEnd w:id="138"/>
      <w:bookmarkEnd w:id="139"/>
      <w:bookmarkEnd w:id="140"/>
    </w:p>
    <w:p>
      <w:pPr>
        <w:pStyle w:val="yHeading5"/>
      </w:pPr>
      <w:bookmarkStart w:id="141" w:name="_Toc491767489"/>
      <w:r>
        <w:rPr>
          <w:rStyle w:val="CharSClsNo"/>
        </w:rPr>
        <w:t>3</w:t>
      </w:r>
      <w:r>
        <w:t>.</w:t>
      </w:r>
      <w:r>
        <w:tab/>
        <w:t>Content of claim for payment</w:t>
      </w:r>
      <w:bookmarkEnd w:id="141"/>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142" w:name="_Toc488846457"/>
      <w:bookmarkStart w:id="143" w:name="_Toc488846698"/>
      <w:bookmarkStart w:id="144" w:name="_Toc488848010"/>
      <w:bookmarkStart w:id="145" w:name="_Toc490838875"/>
      <w:bookmarkStart w:id="146" w:name="_Toc491767490"/>
      <w:r>
        <w:rPr>
          <w:rStyle w:val="CharSchNo"/>
        </w:rPr>
        <w:t>Schedule 2</w:t>
      </w:r>
      <w:r>
        <w:t> — </w:t>
      </w:r>
      <w:r>
        <w:rPr>
          <w:rStyle w:val="CharSchText"/>
        </w:rPr>
        <w:t>Constitution and proceedings of Council</w:t>
      </w:r>
      <w:bookmarkEnd w:id="142"/>
      <w:bookmarkEnd w:id="143"/>
      <w:bookmarkEnd w:id="144"/>
      <w:bookmarkEnd w:id="145"/>
      <w:bookmarkEnd w:id="146"/>
    </w:p>
    <w:p>
      <w:pPr>
        <w:pStyle w:val="yShoulderClause"/>
      </w:pPr>
      <w:r>
        <w:t>[s. 23]</w:t>
      </w:r>
    </w:p>
    <w:p>
      <w:pPr>
        <w:pStyle w:val="yHeading3"/>
      </w:pPr>
      <w:bookmarkStart w:id="147" w:name="_Toc488846458"/>
      <w:bookmarkStart w:id="148" w:name="_Toc488846699"/>
      <w:bookmarkStart w:id="149" w:name="_Toc488848011"/>
      <w:bookmarkStart w:id="150" w:name="_Toc490838876"/>
      <w:bookmarkStart w:id="151" w:name="_Toc491767491"/>
      <w:r>
        <w:rPr>
          <w:rStyle w:val="CharSDivNo"/>
        </w:rPr>
        <w:t>Division 1</w:t>
      </w:r>
      <w:r>
        <w:t> — </w:t>
      </w:r>
      <w:r>
        <w:rPr>
          <w:rStyle w:val="CharSDivText"/>
        </w:rPr>
        <w:t>General provisions</w:t>
      </w:r>
      <w:bookmarkEnd w:id="147"/>
      <w:bookmarkEnd w:id="148"/>
      <w:bookmarkEnd w:id="149"/>
      <w:bookmarkEnd w:id="150"/>
      <w:bookmarkEnd w:id="151"/>
    </w:p>
    <w:p>
      <w:pPr>
        <w:pStyle w:val="yHeading5"/>
      </w:pPr>
      <w:bookmarkStart w:id="152" w:name="_Toc491767492"/>
      <w:r>
        <w:rPr>
          <w:rStyle w:val="CharSClsNo"/>
        </w:rPr>
        <w:t>1</w:t>
      </w:r>
      <w:r>
        <w:t>.</w:t>
      </w:r>
      <w:r>
        <w:tab/>
        <w:t>Term of office</w:t>
      </w:r>
      <w:bookmarkEnd w:id="152"/>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153" w:name="_Toc491767493"/>
      <w:r>
        <w:rPr>
          <w:rStyle w:val="CharSClsNo"/>
        </w:rPr>
        <w:t>2</w:t>
      </w:r>
      <w:r>
        <w:t>.</w:t>
      </w:r>
      <w:r>
        <w:tab/>
        <w:t>Chairman and deputy chairman</w:t>
      </w:r>
      <w:bookmarkEnd w:id="153"/>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154" w:name="_Toc491767494"/>
      <w:r>
        <w:rPr>
          <w:rStyle w:val="CharSClsNo"/>
        </w:rPr>
        <w:t>3</w:t>
      </w:r>
      <w:r>
        <w:t>.</w:t>
      </w:r>
      <w:r>
        <w:tab/>
        <w:t>Resignation, removal, etc.</w:t>
      </w:r>
      <w:bookmarkEnd w:id="154"/>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155" w:name="_Toc491767495"/>
      <w:r>
        <w:rPr>
          <w:rStyle w:val="CharSClsNo"/>
        </w:rPr>
        <w:t>4</w:t>
      </w:r>
      <w:r>
        <w:t>.</w:t>
      </w:r>
      <w:r>
        <w:tab/>
        <w:t>Leave of absence</w:t>
      </w:r>
      <w:bookmarkEnd w:id="155"/>
    </w:p>
    <w:p>
      <w:pPr>
        <w:pStyle w:val="ySubsection"/>
      </w:pPr>
      <w:r>
        <w:tab/>
      </w:r>
      <w:r>
        <w:tab/>
        <w:t>The Council may grant leave of absence to a Council member on the terms and conditions that it thinks fit.</w:t>
      </w:r>
    </w:p>
    <w:p>
      <w:pPr>
        <w:pStyle w:val="yHeading5"/>
      </w:pPr>
      <w:bookmarkStart w:id="156" w:name="_Toc491767496"/>
      <w:r>
        <w:rPr>
          <w:rStyle w:val="CharSClsNo"/>
        </w:rPr>
        <w:t>5</w:t>
      </w:r>
      <w:r>
        <w:t>.</w:t>
      </w:r>
      <w:r>
        <w:tab/>
        <w:t>Council member unable to act</w:t>
      </w:r>
      <w:bookmarkEnd w:id="156"/>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157" w:name="_Toc491767497"/>
      <w:r>
        <w:rPr>
          <w:rStyle w:val="CharSClsNo"/>
        </w:rPr>
        <w:t>6</w:t>
      </w:r>
      <w:r>
        <w:t>.</w:t>
      </w:r>
      <w:r>
        <w:tab/>
        <w:t>Savings</w:t>
      </w:r>
      <w:bookmarkEnd w:id="157"/>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158" w:name="_Toc491767498"/>
      <w:r>
        <w:rPr>
          <w:rStyle w:val="CharSClsNo"/>
        </w:rPr>
        <w:t>7</w:t>
      </w:r>
      <w:r>
        <w:t>.</w:t>
      </w:r>
      <w:r>
        <w:tab/>
        <w:t>Calling of meetings</w:t>
      </w:r>
      <w:bookmarkEnd w:id="158"/>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159" w:name="_Toc491767499"/>
      <w:r>
        <w:rPr>
          <w:rStyle w:val="CharSClsNo"/>
        </w:rPr>
        <w:t>8</w:t>
      </w:r>
      <w:r>
        <w:t>.</w:t>
      </w:r>
      <w:r>
        <w:tab/>
        <w:t>Presiding officer</w:t>
      </w:r>
      <w:bookmarkEnd w:id="159"/>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160" w:name="_Toc491767500"/>
      <w:r>
        <w:rPr>
          <w:rStyle w:val="CharSClsNo"/>
        </w:rPr>
        <w:t>9</w:t>
      </w:r>
      <w:r>
        <w:t>.</w:t>
      </w:r>
      <w:r>
        <w:tab/>
        <w:t>Quorum</w:t>
      </w:r>
      <w:bookmarkEnd w:id="160"/>
    </w:p>
    <w:p>
      <w:pPr>
        <w:pStyle w:val="ySubsection"/>
      </w:pPr>
      <w:r>
        <w:tab/>
      </w:r>
      <w:r>
        <w:tab/>
        <w:t>A quorum for a meeting of the Council is at least one half of the number of Council members.</w:t>
      </w:r>
    </w:p>
    <w:p>
      <w:pPr>
        <w:pStyle w:val="yHeading5"/>
      </w:pPr>
      <w:bookmarkStart w:id="161" w:name="_Toc491767501"/>
      <w:r>
        <w:rPr>
          <w:rStyle w:val="CharSClsNo"/>
        </w:rPr>
        <w:t>10</w:t>
      </w:r>
      <w:r>
        <w:t>.</w:t>
      </w:r>
      <w:r>
        <w:tab/>
        <w:t>Voting</w:t>
      </w:r>
      <w:bookmarkEnd w:id="161"/>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162" w:name="_Toc491767502"/>
      <w:r>
        <w:rPr>
          <w:rStyle w:val="CharSClsNo"/>
        </w:rPr>
        <w:t>11</w:t>
      </w:r>
      <w:r>
        <w:t>.</w:t>
      </w:r>
      <w:r>
        <w:tab/>
        <w:t>Minutes</w:t>
      </w:r>
      <w:bookmarkEnd w:id="162"/>
    </w:p>
    <w:p>
      <w:pPr>
        <w:pStyle w:val="ySubsection"/>
      </w:pPr>
      <w:r>
        <w:tab/>
      </w:r>
      <w:r>
        <w:tab/>
        <w:t>The Council is to cause accurate minutes to be kept of the proceedings at its meetings.</w:t>
      </w:r>
    </w:p>
    <w:p>
      <w:pPr>
        <w:pStyle w:val="yHeading5"/>
      </w:pPr>
      <w:bookmarkStart w:id="163" w:name="_Toc491767503"/>
      <w:r>
        <w:rPr>
          <w:rStyle w:val="CharSClsNo"/>
        </w:rPr>
        <w:t>12</w:t>
      </w:r>
      <w:r>
        <w:t>.</w:t>
      </w:r>
      <w:r>
        <w:tab/>
        <w:t>Resolution without meeting</w:t>
      </w:r>
      <w:bookmarkEnd w:id="163"/>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164" w:name="_Toc491767504"/>
      <w:r>
        <w:rPr>
          <w:rStyle w:val="CharSClsNo"/>
        </w:rPr>
        <w:t>13</w:t>
      </w:r>
      <w:r>
        <w:t>.</w:t>
      </w:r>
      <w:r>
        <w:tab/>
        <w:t>Holding meetings remotely</w:t>
      </w:r>
      <w:bookmarkEnd w:id="164"/>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165" w:name="_Toc491767505"/>
      <w:r>
        <w:rPr>
          <w:rStyle w:val="CharSClsNo"/>
        </w:rPr>
        <w:t>14</w:t>
      </w:r>
      <w:r>
        <w:t>.</w:t>
      </w:r>
      <w:r>
        <w:tab/>
        <w:t>Committees</w:t>
      </w:r>
      <w:bookmarkEnd w:id="165"/>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166" w:name="_Toc491767506"/>
      <w:r>
        <w:rPr>
          <w:rStyle w:val="CharSClsNo"/>
        </w:rPr>
        <w:t>15</w:t>
      </w:r>
      <w:r>
        <w:t>.</w:t>
      </w:r>
      <w:r>
        <w:tab/>
        <w:t>Council to determine own procedures</w:t>
      </w:r>
      <w:bookmarkEnd w:id="166"/>
    </w:p>
    <w:p>
      <w:pPr>
        <w:pStyle w:val="ySubsection"/>
      </w:pPr>
      <w:r>
        <w:tab/>
      </w:r>
      <w:r>
        <w:tab/>
        <w:t>Subject to this Act, the Council is to determine its own procedures.</w:t>
      </w:r>
    </w:p>
    <w:p>
      <w:pPr>
        <w:pStyle w:val="yHeading3"/>
      </w:pPr>
      <w:bookmarkStart w:id="167" w:name="_Toc488846474"/>
      <w:bookmarkStart w:id="168" w:name="_Toc488846715"/>
      <w:bookmarkStart w:id="169" w:name="_Toc488848027"/>
      <w:bookmarkStart w:id="170" w:name="_Toc490838892"/>
      <w:bookmarkStart w:id="171" w:name="_Toc491767507"/>
      <w:r>
        <w:rPr>
          <w:rStyle w:val="CharSDivNo"/>
        </w:rPr>
        <w:t>Division 2</w:t>
      </w:r>
      <w:r>
        <w:t> — </w:t>
      </w:r>
      <w:r>
        <w:rPr>
          <w:rStyle w:val="CharSDivText"/>
        </w:rPr>
        <w:t>Disclosure of interests etc.</w:t>
      </w:r>
      <w:bookmarkEnd w:id="167"/>
      <w:bookmarkEnd w:id="168"/>
      <w:bookmarkEnd w:id="169"/>
      <w:bookmarkEnd w:id="170"/>
      <w:bookmarkEnd w:id="171"/>
    </w:p>
    <w:p>
      <w:pPr>
        <w:pStyle w:val="yHeading5"/>
      </w:pPr>
      <w:bookmarkStart w:id="172" w:name="_Toc491767508"/>
      <w:r>
        <w:rPr>
          <w:rStyle w:val="CharSClsNo"/>
        </w:rPr>
        <w:t>16</w:t>
      </w:r>
      <w:r>
        <w:t>.</w:t>
      </w:r>
      <w:r>
        <w:tab/>
        <w:t>Disclosure of interests</w:t>
      </w:r>
      <w:bookmarkEnd w:id="172"/>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173" w:name="_Toc491767509"/>
      <w:r>
        <w:rPr>
          <w:rStyle w:val="CharSClsNo"/>
        </w:rPr>
        <w:t>17</w:t>
      </w:r>
      <w:r>
        <w:t>.</w:t>
      </w:r>
      <w:r>
        <w:tab/>
        <w:t>Voting by interested members</w:t>
      </w:r>
      <w:bookmarkEnd w:id="173"/>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74" w:name="_Toc491767510"/>
      <w:r>
        <w:rPr>
          <w:rStyle w:val="CharSClsNo"/>
        </w:rPr>
        <w:t>18</w:t>
      </w:r>
      <w:r>
        <w:t>.</w:t>
      </w:r>
      <w:r>
        <w:tab/>
        <w:t>Clause 17 may be declared inapplicable</w:t>
      </w:r>
      <w:bookmarkEnd w:id="174"/>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175" w:name="_Toc491767511"/>
      <w:r>
        <w:rPr>
          <w:rStyle w:val="CharSClsNo"/>
        </w:rPr>
        <w:t>19</w:t>
      </w:r>
      <w:r>
        <w:t>.</w:t>
      </w:r>
      <w:r>
        <w:tab/>
        <w:t>Quorum where clause 17 applies</w:t>
      </w:r>
      <w:bookmarkEnd w:id="175"/>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176" w:name="_Toc491767512"/>
      <w:r>
        <w:rPr>
          <w:rStyle w:val="CharSClsNo"/>
        </w:rPr>
        <w:t>20</w:t>
      </w:r>
      <w:r>
        <w:t>.</w:t>
      </w:r>
      <w:r>
        <w:tab/>
        <w:t>Minister may declare clauses 17 and 19 inapplicable</w:t>
      </w:r>
      <w:bookmarkEnd w:id="176"/>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Ednoteschedule"/>
      </w:pPr>
      <w:r>
        <w:t>[Schedule 3 omitted under the Reprints Act 1984 s. 7(4)(e).]</w:t>
      </w:r>
    </w:p>
    <w:p>
      <w:pPr>
        <w:pStyle w:val="yEdnoteschedule"/>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78" w:name="_Toc488846480"/>
      <w:bookmarkStart w:id="179" w:name="_Toc488846721"/>
      <w:bookmarkStart w:id="180" w:name="_Toc488848033"/>
      <w:bookmarkStart w:id="181" w:name="_Toc490838898"/>
      <w:bookmarkStart w:id="182" w:name="_Toc491767513"/>
      <w:r>
        <w:t>Notes</w:t>
      </w:r>
      <w:bookmarkEnd w:id="178"/>
      <w:bookmarkEnd w:id="179"/>
      <w:bookmarkEnd w:id="180"/>
      <w:bookmarkEnd w:id="181"/>
      <w:bookmarkEnd w:id="182"/>
    </w:p>
    <w:p>
      <w:pPr>
        <w:pStyle w:val="nSubsection"/>
      </w:pPr>
      <w:r>
        <w:rPr>
          <w:vertAlign w:val="superscript"/>
        </w:rPr>
        <w:t>1</w:t>
      </w:r>
      <w:r>
        <w:tab/>
        <w:t xml:space="preserve">This reprint is a compilation as at 4 August 2017 of the </w:t>
      </w:r>
      <w:r>
        <w:rPr>
          <w:i/>
          <w:noProof/>
        </w:rPr>
        <w:t>Owner-Drivers (Contracts and Disputes)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83" w:name="_Toc491767514"/>
      <w:r>
        <w:rPr>
          <w:snapToGrid w:val="0"/>
        </w:rPr>
        <w:t>Compilation table</w:t>
      </w:r>
      <w:bookmarkEnd w:id="1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Owner-Drivers (Contracts and Disputes) Act 2007</w:t>
            </w:r>
            <w:r>
              <w:t xml:space="preserve"> </w:t>
            </w:r>
          </w:p>
        </w:tc>
        <w:tc>
          <w:tcPr>
            <w:tcW w:w="1134" w:type="dxa"/>
            <w:tcBorders>
              <w:top w:val="single" w:sz="8" w:space="0" w:color="auto"/>
              <w:bottom w:val="nil"/>
            </w:tcBorders>
          </w:tcPr>
          <w:p>
            <w:pPr>
              <w:pStyle w:val="nTable"/>
              <w:spacing w:after="40"/>
            </w:pPr>
            <w:r>
              <w:t>7 of 2007</w:t>
            </w:r>
          </w:p>
        </w:tc>
        <w:tc>
          <w:tcPr>
            <w:tcW w:w="1134" w:type="dxa"/>
            <w:tcBorders>
              <w:top w:val="single" w:sz="8" w:space="0" w:color="auto"/>
              <w:bottom w:val="nil"/>
            </w:tcBorders>
          </w:tcPr>
          <w:p>
            <w:pPr>
              <w:pStyle w:val="nTable"/>
              <w:spacing w:after="40"/>
            </w:pPr>
            <w:r>
              <w:t>6 Jun 2007</w:t>
            </w:r>
          </w:p>
        </w:tc>
        <w:tc>
          <w:tcPr>
            <w:tcW w:w="2551" w:type="dxa"/>
            <w:tcBorders>
              <w:top w:val="single" w:sz="8" w:space="0" w:color="auto"/>
              <w:bottom w:val="nil"/>
            </w:tcBorders>
          </w:tcPr>
          <w:p>
            <w:pPr>
              <w:pStyle w:val="nTable"/>
              <w:spacing w:after="40"/>
            </w:pPr>
            <w:r>
              <w:t>s. 1 and 2: 6 Jun 2007;</w:t>
            </w:r>
            <w:r>
              <w:br/>
              <w:t>Act other than s. 1, 2, 35 and 36: 1 Aug 2008</w:t>
            </w:r>
            <w:r>
              <w:rPr>
                <w:snapToGrid w:val="0"/>
              </w:rPr>
              <w:t xml:space="preserve"> (see s. 2 and  </w:t>
            </w:r>
            <w:r>
              <w:rPr>
                <w:i/>
                <w:snapToGrid w:val="0"/>
              </w:rPr>
              <w:t xml:space="preserve">Gazette </w:t>
            </w:r>
            <w:r>
              <w:rPr>
                <w:iCs/>
                <w:snapToGrid w:val="0"/>
              </w:rPr>
              <w:t>18 Jul 2008 p. 3329)</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1"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13 and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1"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37</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iCs/>
                <w:snapToGrid w:val="0"/>
                <w:spacing w:val="-2"/>
              </w:rPr>
              <w:t xml:space="preserve">27 Apr 2015 (see s. 2(d) and </w:t>
            </w:r>
            <w:r>
              <w:rPr>
                <w:i/>
                <w:iCs/>
                <w:snapToGrid w:val="0"/>
                <w:spacing w:val="-2"/>
              </w:rPr>
              <w:t>Gazette</w:t>
            </w:r>
            <w:r>
              <w:rPr>
                <w:iCs/>
                <w:snapToGrid w:val="0"/>
                <w:spacing w:val="-2"/>
              </w:rPr>
              <w:t xml:space="preserve"> 17 Apr 2015 p. 1371)</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2014</w:t>
            </w:r>
            <w:r>
              <w:rPr>
                <w:iCs/>
                <w:snapToGrid w:val="0"/>
              </w:rPr>
              <w:t xml:space="preserve"> s. 30</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rPr>
                <w:snapToGrid w:val="0"/>
              </w:rPr>
              <w:t>2 Jul 2014</w:t>
            </w:r>
          </w:p>
        </w:tc>
        <w:tc>
          <w:tcPr>
            <w:tcW w:w="2551"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Owner-Drivers (Contracts and Disputes) Act 2007</w:t>
            </w:r>
            <w:r>
              <w:rPr>
                <w:b/>
                <w:snapToGrid w:val="0"/>
              </w:rPr>
              <w:t xml:space="preserve"> as at 4 Aug 2017</w:t>
            </w:r>
            <w:r>
              <w:rPr>
                <w:snapToGrid w:val="0"/>
              </w:rPr>
              <w:t xml:space="preserve"> (includes amendments listed above)</w:t>
            </w:r>
          </w:p>
        </w:tc>
      </w:tr>
    </w:tbl>
    <w:p>
      <w:pPr>
        <w:pStyle w:val="nSubsection"/>
        <w:spacing w:before="300"/>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84" w:name="_Toc491767515"/>
      <w:r>
        <w:rPr>
          <w:snapToGrid w:val="0"/>
        </w:rPr>
        <w:t>Provisions that have not come into operation</w:t>
      </w:r>
      <w:bookmarkEnd w:id="184"/>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Owner-Drivers (Contracts and Disputes) Act 2007</w:t>
            </w:r>
            <w:r>
              <w:t xml:space="preserve"> s. 35 and 36</w:t>
            </w:r>
            <w:r>
              <w:rPr>
                <w:vertAlign w:val="superscript"/>
              </w:rPr>
              <w:t> 3</w:t>
            </w:r>
          </w:p>
        </w:tc>
        <w:tc>
          <w:tcPr>
            <w:tcW w:w="1134" w:type="dxa"/>
            <w:tcBorders>
              <w:top w:val="single" w:sz="8" w:space="0" w:color="auto"/>
              <w:bottom w:val="single" w:sz="8" w:space="0" w:color="auto"/>
            </w:tcBorders>
            <w:shd w:val="clear" w:color="auto" w:fill="auto"/>
          </w:tcPr>
          <w:p>
            <w:pPr>
              <w:pStyle w:val="nTable"/>
              <w:keepNext/>
              <w:spacing w:after="40"/>
            </w:pPr>
            <w:r>
              <w:t>7 of 2007</w:t>
            </w:r>
          </w:p>
        </w:tc>
        <w:tc>
          <w:tcPr>
            <w:tcW w:w="1134" w:type="dxa"/>
            <w:tcBorders>
              <w:top w:val="single" w:sz="8" w:space="0" w:color="auto"/>
              <w:bottom w:val="single" w:sz="8" w:space="0" w:color="auto"/>
            </w:tcBorders>
            <w:shd w:val="clear" w:color="auto" w:fill="auto"/>
          </w:tcPr>
          <w:p>
            <w:pPr>
              <w:pStyle w:val="nTable"/>
              <w:keepNext/>
              <w:spacing w:after="40"/>
            </w:pPr>
            <w:r>
              <w:t>6 Jun 2007</w:t>
            </w:r>
          </w:p>
        </w:tc>
        <w:tc>
          <w:tcPr>
            <w:tcW w:w="2551" w:type="dxa"/>
            <w:tcBorders>
              <w:top w:val="single" w:sz="8" w:space="0" w:color="auto"/>
              <w:bottom w:val="single" w:sz="8" w:space="0" w:color="auto"/>
            </w:tcBorders>
            <w:shd w:val="clear" w:color="auto" w:fill="auto"/>
          </w:tcPr>
          <w:p>
            <w:pPr>
              <w:pStyle w:val="nTable"/>
              <w:keepNext/>
              <w:spacing w:after="40"/>
              <w:rPr>
                <w:snapToGrid w:val="0"/>
              </w:rPr>
            </w:pPr>
            <w:r>
              <w:rPr>
                <w:iCs/>
                <w:snapToGrid w:val="0"/>
              </w:rPr>
              <w:t>To</w:t>
            </w:r>
            <w:r>
              <w:rPr>
                <w:snapToGrid w:val="0"/>
              </w:rPr>
              <w:t xml:space="preserve"> be proclaimed (see s. 2)</w:t>
            </w:r>
          </w:p>
        </w:tc>
      </w:tr>
    </w:tbl>
    <w:p>
      <w:pPr>
        <w:pStyle w:val="nSubsection"/>
        <w:rPr>
          <w:snapToGrid w:val="0"/>
        </w:rPr>
      </w:pPr>
      <w:r>
        <w:rPr>
          <w:snapToGrid w:val="0"/>
          <w:vertAlign w:val="superscript"/>
        </w:rPr>
        <w:t>2</w:t>
      </w:r>
      <w:r>
        <w:rPr>
          <w:snapToGrid w:val="0"/>
        </w:rPr>
        <w:tab/>
        <w:t xml:space="preserve">Now known as the </w:t>
      </w:r>
      <w:r>
        <w:rPr>
          <w:i/>
          <w:snapToGrid w:val="0"/>
        </w:rPr>
        <w:t>Competition and Consumer Act 2010</w:t>
      </w:r>
      <w:r>
        <w:rPr>
          <w:snapToGrid w:val="0"/>
        </w:rPr>
        <w:t xml:space="preserve"> (Cwlth). The short title was changed by the </w:t>
      </w:r>
      <w:r>
        <w:rPr>
          <w:i/>
        </w:rPr>
        <w:t>Trade Practices Amendment (Australian Consumer Law) Act (No. 2) (2010)</w:t>
      </w:r>
      <w:r>
        <w:t xml:space="preserve"> (Cwlth) </w:t>
      </w:r>
      <w:r>
        <w:rPr>
          <w:snapToGrid w:val="0"/>
        </w:rPr>
        <w:t>Sch. 5 cl. 2.</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BlankOpen"/>
        <w:rPr>
          <w:snapToGrid w:val="0"/>
        </w:rPr>
      </w:pPr>
    </w:p>
    <w:p>
      <w:pPr>
        <w:pStyle w:val="nzHeading5"/>
      </w:pPr>
      <w:r>
        <w:rPr>
          <w:rStyle w:val="CharSectno"/>
        </w:rPr>
        <w:t>35</w:t>
      </w:r>
      <w:r>
        <w:t>.</w:t>
      </w:r>
      <w:r>
        <w:tab/>
        <w:t>Right of entry by representative to investigate breaches</w:t>
      </w:r>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r>
        <w:rPr>
          <w:rStyle w:val="CharSectno"/>
        </w:rPr>
        <w:t>36</w:t>
      </w:r>
      <w:r>
        <w:t>.</w:t>
      </w:r>
      <w:r>
        <w:tab/>
        <w:t>Enforcement of section 35</w:t>
      </w:r>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keepNext/>
      </w:pPr>
      <w:r>
        <w:tab/>
        <w:t>(3)</w:t>
      </w:r>
      <w:r>
        <w:tab/>
        <w:t>A contravention of subsection (1) or (2) is not an offence but those subsections are civil penalty provisions for the purposes of the IR Act section 83E.</w:t>
      </w:r>
    </w:p>
    <w:p>
      <w:pPr>
        <w:pStyle w:val="BlankClose"/>
      </w:pPr>
    </w:p>
    <w:p>
      <w:pPr>
        <w:rPr>
          <w:snapToGrid w:val="0"/>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86" w:name="_Toc488846724"/>
      <w:bookmarkStart w:id="187" w:name="_Toc488848036"/>
      <w:bookmarkStart w:id="188" w:name="_Toc490838901"/>
      <w:bookmarkStart w:id="189" w:name="_Toc491767516"/>
      <w:r>
        <w:rPr>
          <w:sz w:val="28"/>
        </w:rPr>
        <w:t>Defined terms</w:t>
      </w:r>
      <w:bookmarkEnd w:id="186"/>
      <w:bookmarkEnd w:id="187"/>
      <w:bookmarkEnd w:id="188"/>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Registrar</w:t>
      </w:r>
      <w:r>
        <w:tab/>
        <w:t>3</w:t>
      </w:r>
    </w:p>
    <w:p>
      <w:pPr>
        <w:pStyle w:val="DefinedTerms"/>
      </w:pPr>
      <w:r>
        <w:t>relevant person</w:t>
      </w:r>
      <w:r>
        <w:tab/>
        <w:t>34(1), 48(3)</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835EF2" w:rsidRDefault="00835EF2">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6152440"/>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 w:name="WAFER_20170615093852" w:val="RemoveTocBookmarks,RemoveUnusedBookmarks,RemoveLanguageTags,UsedStyles,ResetPageSize,RemoveCustomizations"/>
    <w:docVar w:name="WAFER_20170615093852_GUID" w:val="ac39ab28-544f-4c64-9aa7-708e26868460"/>
    <w:docVar w:name="WAFER_20170726152417" w:val="RemoveTocBookmarks,RemoveUnusedBookmarks,RemoveLanguageTags,UsedStyles,RemoveTrackChanges"/>
    <w:docVar w:name="WAFER_20170726152417_GUID" w:val="0722fc49-0ab1-4a87-bc1c-4fe34b3d7e2b"/>
    <w:docVar w:name="WAFER_20170726152440" w:val="RemoveTocBookmarks,RemoveLanguageTags,RemoveTrackChanges,RunningHeaders"/>
    <w:docVar w:name="WAFER_20170726152440_GUID" w:val="aac8d861-c527-4311-a7fc-af643b47c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11870</Words>
  <Characters>57571</Characters>
  <Application>Microsoft Office Word</Application>
  <DocSecurity>0</DocSecurity>
  <Lines>1599</Lines>
  <Paragraphs>992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68449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2007 - 01-00-01</dc:title>
  <dc:subject/>
  <dc:creator/>
  <cp:keywords/>
  <dc:description/>
  <cp:lastModifiedBy>svcMRProcess</cp:lastModifiedBy>
  <cp:revision>4</cp:revision>
  <cp:lastPrinted>2017-07-26T02:36:00Z</cp:lastPrinted>
  <dcterms:created xsi:type="dcterms:W3CDTF">2018-09-22T07:10:00Z</dcterms:created>
  <dcterms:modified xsi:type="dcterms:W3CDTF">2018-09-22T07:10:00Z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OwlsUID">
    <vt:i4>146614</vt:i4>
  </property>
  <property fmtid="{D5CDD505-2E9C-101B-9397-08002B2CF9AE}" pid="4" name="DocumentType">
    <vt:lpwstr>Act</vt:lpwstr>
  </property>
  <property fmtid="{D5CDD505-2E9C-101B-9397-08002B2CF9AE}" pid="5" name="AsAtDate">
    <vt:lpwstr>04 Aug 2017</vt:lpwstr>
  </property>
  <property fmtid="{D5CDD505-2E9C-101B-9397-08002B2CF9AE}" pid="6" name="Suffix">
    <vt:lpwstr>01-00-01</vt:lpwstr>
  </property>
  <property fmtid="{D5CDD505-2E9C-101B-9397-08002B2CF9AE}" pid="7" name="ReprintedAsAt">
    <vt:filetime>2017-08-03T16:00:00Z</vt:filetime>
  </property>
  <property fmtid="{D5CDD505-2E9C-101B-9397-08002B2CF9AE}" pid="8" name="ReprintNo">
    <vt:lpwstr>1</vt:lpwstr>
  </property>
  <property fmtid="{D5CDD505-2E9C-101B-9397-08002B2CF9AE}" pid="9" name="CommencementDate">
    <vt:lpwstr>20170804</vt:lpwstr>
  </property>
</Properties>
</file>