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EC2" w:rsidRDefault="009F4E51">
      <w:pPr>
        <w:pStyle w:val="WA"/>
      </w:pPr>
      <w:bookmarkStart w:id="0" w:name="_GoBack"/>
      <w:bookmarkEnd w:id="0"/>
      <w:r>
        <w:t>Western Australia</w:t>
      </w:r>
    </w:p>
    <w:p w:rsidR="00E86EC2" w:rsidRDefault="009F4E51">
      <w:pPr>
        <w:pStyle w:val="NameofActRegPage1"/>
        <w:spacing w:before="3760" w:after="4200"/>
      </w:pPr>
      <w:r>
        <w:fldChar w:fldCharType="begin"/>
      </w:r>
      <w:r>
        <w:instrText xml:space="preserve"> STYLEREF "Name Of Act/Reg"</w:instrText>
      </w:r>
      <w:r>
        <w:fldChar w:fldCharType="separate"/>
      </w:r>
      <w:r w:rsidR="001E0E24">
        <w:rPr>
          <w:noProof/>
        </w:rPr>
        <w:t>Liquor Licensing Court Rules 2005</w:t>
      </w:r>
      <w:r>
        <w:fldChar w:fldCharType="end"/>
      </w:r>
    </w:p>
    <w:p w:rsidR="00E86EC2" w:rsidRDefault="00E86EC2">
      <w:pPr>
        <w:jc w:val="center"/>
        <w:rPr>
          <w:b/>
        </w:rPr>
        <w:sectPr w:rsidR="00E86EC2">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E86EC2" w:rsidRDefault="009F4E51">
      <w:pPr>
        <w:pStyle w:val="WA"/>
      </w:pPr>
      <w:r>
        <w:lastRenderedPageBreak/>
        <w:t>Western Australia</w:t>
      </w:r>
    </w:p>
    <w:p w:rsidR="00E86EC2" w:rsidRDefault="009F4E51">
      <w:pPr>
        <w:pStyle w:val="NameofActRegPage1"/>
      </w:pPr>
      <w:r>
        <w:fldChar w:fldCharType="begin"/>
      </w:r>
      <w:r>
        <w:instrText xml:space="preserve"> STYLEREF "Name Of Act/Reg"</w:instrText>
      </w:r>
      <w:r>
        <w:fldChar w:fldCharType="separate"/>
      </w:r>
      <w:r w:rsidR="001E0E24">
        <w:rPr>
          <w:noProof/>
        </w:rPr>
        <w:t>Liquor Licensing Court Rules 2005</w:t>
      </w:r>
      <w:r>
        <w:fldChar w:fldCharType="end"/>
      </w:r>
    </w:p>
    <w:p w:rsidR="00E86EC2" w:rsidRDefault="009F4E51">
      <w:pPr>
        <w:pStyle w:val="Arrangement"/>
      </w:pPr>
      <w:r>
        <w:t>CONTENTS</w:t>
      </w:r>
    </w:p>
    <w:p w:rsidR="00E86EC2" w:rsidRDefault="009F4E51">
      <w:pPr>
        <w:pStyle w:val="TOC2"/>
        <w:tabs>
          <w:tab w:val="right" w:leader="dot" w:pos="7086"/>
        </w:tabs>
        <w:rPr>
          <w:b w:val="0"/>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rsidR="00E86EC2" w:rsidRDefault="009F4E51">
      <w:pPr>
        <w:pStyle w:val="TOC4"/>
        <w:rPr>
          <w:noProof/>
          <w:sz w:val="24"/>
          <w:szCs w:val="24"/>
        </w:rPr>
      </w:pP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_Toc104790192 \h </w:instrText>
      </w:r>
      <w:r>
        <w:rPr>
          <w:noProof/>
        </w:rPr>
      </w:r>
      <w:r>
        <w:rPr>
          <w:noProof/>
        </w:rPr>
        <w:fldChar w:fldCharType="separate"/>
      </w:r>
      <w:r w:rsidR="001E0E24">
        <w:rPr>
          <w:noProof/>
        </w:rPr>
        <w:t>1</w:t>
      </w:r>
      <w:r>
        <w:rPr>
          <w:noProof/>
        </w:rPr>
        <w:fldChar w:fldCharType="end"/>
      </w:r>
    </w:p>
    <w:p w:rsidR="00E86EC2" w:rsidRDefault="009F4E51">
      <w:pPr>
        <w:pStyle w:val="TOC4"/>
        <w:rPr>
          <w:noProof/>
          <w:sz w:val="24"/>
          <w:szCs w:val="24"/>
        </w:rPr>
      </w:pPr>
      <w:r>
        <w:rPr>
          <w:noProof/>
          <w:szCs w:val="24"/>
        </w:rPr>
        <w:t>2.</w:t>
      </w:r>
      <w:r>
        <w:rPr>
          <w:noProof/>
          <w:sz w:val="24"/>
          <w:szCs w:val="24"/>
        </w:rPr>
        <w:tab/>
      </w:r>
      <w:r>
        <w:rPr>
          <w:noProof/>
          <w:szCs w:val="24"/>
        </w:rPr>
        <w:t>Terms used in these rules</w:t>
      </w:r>
      <w:r>
        <w:rPr>
          <w:noProof/>
        </w:rPr>
        <w:tab/>
      </w:r>
      <w:r>
        <w:rPr>
          <w:noProof/>
        </w:rPr>
        <w:fldChar w:fldCharType="begin"/>
      </w:r>
      <w:r>
        <w:rPr>
          <w:noProof/>
        </w:rPr>
        <w:instrText xml:space="preserve"> PAGEREF _Toc104790193 \h </w:instrText>
      </w:r>
      <w:r>
        <w:rPr>
          <w:noProof/>
        </w:rPr>
      </w:r>
      <w:r>
        <w:rPr>
          <w:noProof/>
        </w:rPr>
        <w:fldChar w:fldCharType="separate"/>
      </w:r>
      <w:r w:rsidR="001E0E24">
        <w:rPr>
          <w:noProof/>
        </w:rPr>
        <w:t>1</w:t>
      </w:r>
      <w:r>
        <w:rPr>
          <w:noProof/>
        </w:rPr>
        <w:fldChar w:fldCharType="end"/>
      </w:r>
    </w:p>
    <w:p w:rsidR="00E86EC2" w:rsidRDefault="009F4E51">
      <w:pPr>
        <w:pStyle w:val="TOC4"/>
        <w:rPr>
          <w:noProof/>
          <w:sz w:val="24"/>
          <w:szCs w:val="24"/>
        </w:rPr>
      </w:pPr>
      <w:r>
        <w:rPr>
          <w:noProof/>
          <w:szCs w:val="24"/>
        </w:rPr>
        <w:t>3.</w:t>
      </w:r>
      <w:r>
        <w:rPr>
          <w:noProof/>
          <w:sz w:val="24"/>
          <w:szCs w:val="24"/>
        </w:rPr>
        <w:tab/>
      </w:r>
      <w:r>
        <w:rPr>
          <w:noProof/>
          <w:szCs w:val="24"/>
        </w:rPr>
        <w:t>Application of these rules</w:t>
      </w:r>
      <w:r>
        <w:rPr>
          <w:noProof/>
        </w:rPr>
        <w:tab/>
      </w:r>
      <w:r>
        <w:rPr>
          <w:noProof/>
        </w:rPr>
        <w:fldChar w:fldCharType="begin"/>
      </w:r>
      <w:r>
        <w:rPr>
          <w:noProof/>
        </w:rPr>
        <w:instrText xml:space="preserve"> PAGEREF _Toc104790194 \h </w:instrText>
      </w:r>
      <w:r>
        <w:rPr>
          <w:noProof/>
        </w:rPr>
      </w:r>
      <w:r>
        <w:rPr>
          <w:noProof/>
        </w:rPr>
        <w:fldChar w:fldCharType="separate"/>
      </w:r>
      <w:r w:rsidR="001E0E24">
        <w:rPr>
          <w:noProof/>
        </w:rPr>
        <w:t>2</w:t>
      </w:r>
      <w:r>
        <w:rPr>
          <w:noProof/>
        </w:rPr>
        <w:fldChar w:fldCharType="end"/>
      </w:r>
    </w:p>
    <w:p w:rsidR="00E86EC2" w:rsidRDefault="009F4E51">
      <w:pPr>
        <w:pStyle w:val="TOC2"/>
        <w:tabs>
          <w:tab w:val="right" w:leader="dot" w:pos="7086"/>
        </w:tabs>
        <w:rPr>
          <w:b w:val="0"/>
          <w:noProof/>
          <w:sz w:val="24"/>
          <w:szCs w:val="24"/>
        </w:rPr>
      </w:pPr>
      <w:r>
        <w:rPr>
          <w:noProof/>
          <w:szCs w:val="30"/>
        </w:rPr>
        <w:t>Part 2 — Practice and procedure</w:t>
      </w:r>
    </w:p>
    <w:p w:rsidR="00E86EC2" w:rsidRDefault="009F4E51">
      <w:pPr>
        <w:pStyle w:val="TOC4"/>
        <w:rPr>
          <w:noProof/>
          <w:sz w:val="24"/>
          <w:szCs w:val="24"/>
        </w:rPr>
      </w:pPr>
      <w:r>
        <w:rPr>
          <w:noProof/>
          <w:szCs w:val="24"/>
        </w:rPr>
        <w:t>4.</w:t>
      </w:r>
      <w:r>
        <w:rPr>
          <w:noProof/>
          <w:sz w:val="24"/>
          <w:szCs w:val="24"/>
        </w:rPr>
        <w:tab/>
      </w:r>
      <w:r>
        <w:rPr>
          <w:noProof/>
          <w:szCs w:val="24"/>
        </w:rPr>
        <w:t>Applications for review of a decision by the Director (Act s. 25)</w:t>
      </w:r>
      <w:r>
        <w:rPr>
          <w:noProof/>
        </w:rPr>
        <w:tab/>
      </w:r>
      <w:r>
        <w:rPr>
          <w:noProof/>
        </w:rPr>
        <w:fldChar w:fldCharType="begin"/>
      </w:r>
      <w:r>
        <w:rPr>
          <w:noProof/>
        </w:rPr>
        <w:instrText xml:space="preserve"> PAGEREF _Toc104790196 \h </w:instrText>
      </w:r>
      <w:r>
        <w:rPr>
          <w:noProof/>
        </w:rPr>
      </w:r>
      <w:r>
        <w:rPr>
          <w:noProof/>
        </w:rPr>
        <w:fldChar w:fldCharType="separate"/>
      </w:r>
      <w:r w:rsidR="001E0E24">
        <w:rPr>
          <w:noProof/>
        </w:rPr>
        <w:t>3</w:t>
      </w:r>
      <w:r>
        <w:rPr>
          <w:noProof/>
        </w:rPr>
        <w:fldChar w:fldCharType="end"/>
      </w:r>
    </w:p>
    <w:p w:rsidR="00E86EC2" w:rsidRDefault="009F4E51">
      <w:pPr>
        <w:pStyle w:val="TOC4"/>
        <w:rPr>
          <w:noProof/>
          <w:sz w:val="24"/>
          <w:szCs w:val="24"/>
        </w:rPr>
      </w:pPr>
      <w:r>
        <w:rPr>
          <w:noProof/>
          <w:szCs w:val="24"/>
        </w:rPr>
        <w:t>5.</w:t>
      </w:r>
      <w:r>
        <w:rPr>
          <w:noProof/>
          <w:sz w:val="24"/>
          <w:szCs w:val="24"/>
        </w:rPr>
        <w:tab/>
      </w:r>
      <w:r>
        <w:rPr>
          <w:noProof/>
          <w:szCs w:val="24"/>
        </w:rPr>
        <w:t>Separate proceedings determined simultaneously</w:t>
      </w:r>
      <w:r>
        <w:rPr>
          <w:noProof/>
        </w:rPr>
        <w:tab/>
      </w:r>
      <w:r>
        <w:rPr>
          <w:noProof/>
        </w:rPr>
        <w:fldChar w:fldCharType="begin"/>
      </w:r>
      <w:r>
        <w:rPr>
          <w:noProof/>
        </w:rPr>
        <w:instrText xml:space="preserve"> PAGEREF _Toc104790197 \h </w:instrText>
      </w:r>
      <w:r>
        <w:rPr>
          <w:noProof/>
        </w:rPr>
      </w:r>
      <w:r>
        <w:rPr>
          <w:noProof/>
        </w:rPr>
        <w:fldChar w:fldCharType="separate"/>
      </w:r>
      <w:r w:rsidR="001E0E24">
        <w:rPr>
          <w:noProof/>
        </w:rPr>
        <w:t>4</w:t>
      </w:r>
      <w:r>
        <w:rPr>
          <w:noProof/>
        </w:rPr>
        <w:fldChar w:fldCharType="end"/>
      </w:r>
    </w:p>
    <w:p w:rsidR="00E86EC2" w:rsidRDefault="009F4E51">
      <w:pPr>
        <w:pStyle w:val="TOC4"/>
        <w:rPr>
          <w:noProof/>
          <w:sz w:val="24"/>
          <w:szCs w:val="24"/>
        </w:rPr>
      </w:pPr>
      <w:r>
        <w:rPr>
          <w:noProof/>
          <w:szCs w:val="24"/>
        </w:rPr>
        <w:t>6.</w:t>
      </w:r>
      <w:r>
        <w:rPr>
          <w:noProof/>
          <w:sz w:val="24"/>
          <w:szCs w:val="24"/>
        </w:rPr>
        <w:tab/>
      </w:r>
      <w:r>
        <w:rPr>
          <w:noProof/>
          <w:szCs w:val="24"/>
        </w:rPr>
        <w:t>Separate proceedings heard together</w:t>
      </w:r>
      <w:r>
        <w:rPr>
          <w:noProof/>
        </w:rPr>
        <w:tab/>
      </w:r>
      <w:r>
        <w:rPr>
          <w:noProof/>
        </w:rPr>
        <w:fldChar w:fldCharType="begin"/>
      </w:r>
      <w:r>
        <w:rPr>
          <w:noProof/>
        </w:rPr>
        <w:instrText xml:space="preserve"> PAGEREF _Toc104790198 \h </w:instrText>
      </w:r>
      <w:r>
        <w:rPr>
          <w:noProof/>
        </w:rPr>
      </w:r>
      <w:r>
        <w:rPr>
          <w:noProof/>
        </w:rPr>
        <w:fldChar w:fldCharType="separate"/>
      </w:r>
      <w:r w:rsidR="001E0E24">
        <w:rPr>
          <w:noProof/>
        </w:rPr>
        <w:t>4</w:t>
      </w:r>
      <w:r>
        <w:rPr>
          <w:noProof/>
        </w:rPr>
        <w:fldChar w:fldCharType="end"/>
      </w:r>
    </w:p>
    <w:p w:rsidR="00E86EC2" w:rsidRDefault="009F4E51">
      <w:pPr>
        <w:pStyle w:val="TOC4"/>
        <w:rPr>
          <w:noProof/>
          <w:sz w:val="24"/>
          <w:szCs w:val="24"/>
        </w:rPr>
      </w:pPr>
      <w:r>
        <w:rPr>
          <w:noProof/>
          <w:szCs w:val="24"/>
        </w:rPr>
        <w:t>7.</w:t>
      </w:r>
      <w:r>
        <w:rPr>
          <w:noProof/>
          <w:sz w:val="24"/>
          <w:szCs w:val="24"/>
        </w:rPr>
        <w:tab/>
      </w:r>
      <w:r>
        <w:rPr>
          <w:noProof/>
          <w:szCs w:val="24"/>
        </w:rPr>
        <w:t>Withdrawal</w:t>
      </w:r>
      <w:r>
        <w:rPr>
          <w:noProof/>
        </w:rPr>
        <w:tab/>
      </w:r>
      <w:r>
        <w:rPr>
          <w:noProof/>
        </w:rPr>
        <w:fldChar w:fldCharType="begin"/>
      </w:r>
      <w:r>
        <w:rPr>
          <w:noProof/>
        </w:rPr>
        <w:instrText xml:space="preserve"> PAGEREF _Toc104790199 \h </w:instrText>
      </w:r>
      <w:r>
        <w:rPr>
          <w:noProof/>
        </w:rPr>
      </w:r>
      <w:r>
        <w:rPr>
          <w:noProof/>
        </w:rPr>
        <w:fldChar w:fldCharType="separate"/>
      </w:r>
      <w:r w:rsidR="001E0E24">
        <w:rPr>
          <w:noProof/>
        </w:rPr>
        <w:t>4</w:t>
      </w:r>
      <w:r>
        <w:rPr>
          <w:noProof/>
        </w:rPr>
        <w:fldChar w:fldCharType="end"/>
      </w:r>
    </w:p>
    <w:p w:rsidR="00E86EC2" w:rsidRDefault="009F4E51">
      <w:pPr>
        <w:pStyle w:val="TOC4"/>
        <w:rPr>
          <w:noProof/>
          <w:sz w:val="24"/>
          <w:szCs w:val="24"/>
        </w:rPr>
      </w:pPr>
      <w:r>
        <w:rPr>
          <w:noProof/>
          <w:szCs w:val="24"/>
        </w:rPr>
        <w:t>8.</w:t>
      </w:r>
      <w:r>
        <w:rPr>
          <w:noProof/>
          <w:sz w:val="24"/>
          <w:szCs w:val="24"/>
        </w:rPr>
        <w:tab/>
      </w:r>
      <w:r>
        <w:rPr>
          <w:noProof/>
          <w:szCs w:val="24"/>
        </w:rPr>
        <w:t>Callover</w:t>
      </w:r>
      <w:r>
        <w:rPr>
          <w:noProof/>
        </w:rPr>
        <w:tab/>
      </w:r>
      <w:r>
        <w:rPr>
          <w:noProof/>
        </w:rPr>
        <w:fldChar w:fldCharType="begin"/>
      </w:r>
      <w:r>
        <w:rPr>
          <w:noProof/>
        </w:rPr>
        <w:instrText xml:space="preserve"> PAGEREF _Toc104790200 \h </w:instrText>
      </w:r>
      <w:r>
        <w:rPr>
          <w:noProof/>
        </w:rPr>
      </w:r>
      <w:r>
        <w:rPr>
          <w:noProof/>
        </w:rPr>
        <w:fldChar w:fldCharType="separate"/>
      </w:r>
      <w:r w:rsidR="001E0E24">
        <w:rPr>
          <w:noProof/>
        </w:rPr>
        <w:t>4</w:t>
      </w:r>
      <w:r>
        <w:rPr>
          <w:noProof/>
        </w:rPr>
        <w:fldChar w:fldCharType="end"/>
      </w:r>
    </w:p>
    <w:p w:rsidR="00E86EC2" w:rsidRDefault="009F4E51">
      <w:pPr>
        <w:pStyle w:val="TOC4"/>
        <w:rPr>
          <w:noProof/>
          <w:sz w:val="24"/>
          <w:szCs w:val="24"/>
        </w:rPr>
      </w:pPr>
      <w:r>
        <w:rPr>
          <w:noProof/>
          <w:szCs w:val="24"/>
        </w:rPr>
        <w:t>9.</w:t>
      </w:r>
      <w:r>
        <w:rPr>
          <w:noProof/>
          <w:sz w:val="24"/>
          <w:szCs w:val="24"/>
        </w:rPr>
        <w:tab/>
      </w:r>
      <w:r>
        <w:rPr>
          <w:noProof/>
          <w:szCs w:val="24"/>
        </w:rPr>
        <w:t>Costs</w:t>
      </w:r>
      <w:r>
        <w:rPr>
          <w:noProof/>
        </w:rPr>
        <w:tab/>
      </w:r>
      <w:r>
        <w:rPr>
          <w:noProof/>
        </w:rPr>
        <w:fldChar w:fldCharType="begin"/>
      </w:r>
      <w:r>
        <w:rPr>
          <w:noProof/>
        </w:rPr>
        <w:instrText xml:space="preserve"> PAGEREF _Toc104790201 \h </w:instrText>
      </w:r>
      <w:r>
        <w:rPr>
          <w:noProof/>
        </w:rPr>
      </w:r>
      <w:r>
        <w:rPr>
          <w:noProof/>
        </w:rPr>
        <w:fldChar w:fldCharType="separate"/>
      </w:r>
      <w:r w:rsidR="001E0E24">
        <w:rPr>
          <w:noProof/>
        </w:rPr>
        <w:t>5</w:t>
      </w:r>
      <w:r>
        <w:rPr>
          <w:noProof/>
        </w:rPr>
        <w:fldChar w:fldCharType="end"/>
      </w:r>
    </w:p>
    <w:p w:rsidR="00E86EC2" w:rsidRDefault="009F4E51">
      <w:pPr>
        <w:pStyle w:val="TOC4"/>
        <w:rPr>
          <w:noProof/>
          <w:sz w:val="24"/>
          <w:szCs w:val="24"/>
        </w:rPr>
      </w:pPr>
      <w:r>
        <w:rPr>
          <w:noProof/>
          <w:szCs w:val="24"/>
        </w:rPr>
        <w:t>10.</w:t>
      </w:r>
      <w:r>
        <w:rPr>
          <w:noProof/>
          <w:sz w:val="24"/>
          <w:szCs w:val="24"/>
        </w:rPr>
        <w:tab/>
      </w:r>
      <w:r>
        <w:rPr>
          <w:noProof/>
          <w:szCs w:val="24"/>
        </w:rPr>
        <w:t>Applications for orders relating to practice or procedure</w:t>
      </w:r>
      <w:r>
        <w:rPr>
          <w:noProof/>
        </w:rPr>
        <w:tab/>
      </w:r>
      <w:r>
        <w:rPr>
          <w:noProof/>
        </w:rPr>
        <w:fldChar w:fldCharType="begin"/>
      </w:r>
      <w:r>
        <w:rPr>
          <w:noProof/>
        </w:rPr>
        <w:instrText xml:space="preserve"> PAGEREF _Toc104790202 \h </w:instrText>
      </w:r>
      <w:r>
        <w:rPr>
          <w:noProof/>
        </w:rPr>
      </w:r>
      <w:r>
        <w:rPr>
          <w:noProof/>
        </w:rPr>
        <w:fldChar w:fldCharType="separate"/>
      </w:r>
      <w:r w:rsidR="001E0E24">
        <w:rPr>
          <w:noProof/>
        </w:rPr>
        <w:t>5</w:t>
      </w:r>
      <w:r>
        <w:rPr>
          <w:noProof/>
        </w:rPr>
        <w:fldChar w:fldCharType="end"/>
      </w:r>
    </w:p>
    <w:p w:rsidR="00E86EC2" w:rsidRDefault="009F4E51">
      <w:pPr>
        <w:pStyle w:val="TOC4"/>
        <w:rPr>
          <w:noProof/>
          <w:sz w:val="24"/>
          <w:szCs w:val="24"/>
        </w:rPr>
      </w:pPr>
      <w:r>
        <w:rPr>
          <w:noProof/>
          <w:szCs w:val="24"/>
        </w:rPr>
        <w:t>11.</w:t>
      </w:r>
      <w:r>
        <w:rPr>
          <w:noProof/>
          <w:sz w:val="24"/>
          <w:szCs w:val="24"/>
        </w:rPr>
        <w:tab/>
      </w:r>
      <w:r>
        <w:rPr>
          <w:noProof/>
          <w:szCs w:val="24"/>
        </w:rPr>
        <w:t>Application of the Supreme Court’s rules</w:t>
      </w:r>
      <w:r>
        <w:rPr>
          <w:noProof/>
        </w:rPr>
        <w:tab/>
      </w:r>
      <w:r>
        <w:rPr>
          <w:noProof/>
        </w:rPr>
        <w:fldChar w:fldCharType="begin"/>
      </w:r>
      <w:r>
        <w:rPr>
          <w:noProof/>
        </w:rPr>
        <w:instrText xml:space="preserve"> PAGEREF _Toc104790203 \h </w:instrText>
      </w:r>
      <w:r>
        <w:rPr>
          <w:noProof/>
        </w:rPr>
      </w:r>
      <w:r>
        <w:rPr>
          <w:noProof/>
        </w:rPr>
        <w:fldChar w:fldCharType="separate"/>
      </w:r>
      <w:r w:rsidR="001E0E24">
        <w:rPr>
          <w:noProof/>
        </w:rPr>
        <w:t>5</w:t>
      </w:r>
      <w:r>
        <w:rPr>
          <w:noProof/>
        </w:rPr>
        <w:fldChar w:fldCharType="end"/>
      </w:r>
    </w:p>
    <w:p w:rsidR="00E86EC2" w:rsidRDefault="009F4E51">
      <w:pPr>
        <w:pStyle w:val="TOC2"/>
        <w:tabs>
          <w:tab w:val="right" w:leader="dot" w:pos="7086"/>
        </w:tabs>
        <w:rPr>
          <w:b w:val="0"/>
          <w:noProof/>
          <w:sz w:val="24"/>
          <w:szCs w:val="24"/>
        </w:rPr>
      </w:pPr>
      <w:r>
        <w:rPr>
          <w:noProof/>
          <w:szCs w:val="30"/>
        </w:rPr>
        <w:t>Part 3 — Miscellaneous</w:t>
      </w:r>
    </w:p>
    <w:p w:rsidR="00E86EC2" w:rsidRDefault="009F4E51">
      <w:pPr>
        <w:pStyle w:val="TOC4"/>
        <w:rPr>
          <w:noProof/>
          <w:sz w:val="24"/>
          <w:szCs w:val="24"/>
        </w:rPr>
      </w:pPr>
      <w:r>
        <w:rPr>
          <w:noProof/>
          <w:szCs w:val="24"/>
        </w:rPr>
        <w:t>12.</w:t>
      </w:r>
      <w:r>
        <w:rPr>
          <w:noProof/>
          <w:sz w:val="24"/>
          <w:szCs w:val="24"/>
        </w:rPr>
        <w:tab/>
      </w:r>
      <w:r>
        <w:rPr>
          <w:noProof/>
          <w:szCs w:val="24"/>
        </w:rPr>
        <w:t>Registry hours</w:t>
      </w:r>
      <w:r>
        <w:rPr>
          <w:noProof/>
        </w:rPr>
        <w:tab/>
      </w:r>
      <w:r>
        <w:rPr>
          <w:noProof/>
        </w:rPr>
        <w:fldChar w:fldCharType="begin"/>
      </w:r>
      <w:r>
        <w:rPr>
          <w:noProof/>
        </w:rPr>
        <w:instrText xml:space="preserve"> PAGEREF _Toc104790205 \h </w:instrText>
      </w:r>
      <w:r>
        <w:rPr>
          <w:noProof/>
        </w:rPr>
      </w:r>
      <w:r>
        <w:rPr>
          <w:noProof/>
        </w:rPr>
        <w:fldChar w:fldCharType="separate"/>
      </w:r>
      <w:r w:rsidR="001E0E24">
        <w:rPr>
          <w:noProof/>
        </w:rPr>
        <w:t>7</w:t>
      </w:r>
      <w:r>
        <w:rPr>
          <w:noProof/>
        </w:rPr>
        <w:fldChar w:fldCharType="end"/>
      </w:r>
    </w:p>
    <w:p w:rsidR="00E86EC2" w:rsidRDefault="009F4E51">
      <w:pPr>
        <w:pStyle w:val="TOC4"/>
        <w:rPr>
          <w:noProof/>
          <w:sz w:val="24"/>
          <w:szCs w:val="24"/>
        </w:rPr>
      </w:pPr>
      <w:r>
        <w:rPr>
          <w:noProof/>
          <w:szCs w:val="24"/>
        </w:rPr>
        <w:t>13.</w:t>
      </w:r>
      <w:r>
        <w:rPr>
          <w:noProof/>
          <w:sz w:val="24"/>
          <w:szCs w:val="24"/>
        </w:rPr>
        <w:tab/>
      </w:r>
      <w:r>
        <w:rPr>
          <w:noProof/>
          <w:szCs w:val="24"/>
        </w:rPr>
        <w:t>Court’s records, access to</w:t>
      </w:r>
      <w:r>
        <w:rPr>
          <w:noProof/>
        </w:rPr>
        <w:tab/>
      </w:r>
      <w:r>
        <w:rPr>
          <w:noProof/>
        </w:rPr>
        <w:fldChar w:fldCharType="begin"/>
      </w:r>
      <w:r>
        <w:rPr>
          <w:noProof/>
        </w:rPr>
        <w:instrText xml:space="preserve"> PAGEREF _Toc104790206 \h </w:instrText>
      </w:r>
      <w:r>
        <w:rPr>
          <w:noProof/>
        </w:rPr>
      </w:r>
      <w:r>
        <w:rPr>
          <w:noProof/>
        </w:rPr>
        <w:fldChar w:fldCharType="separate"/>
      </w:r>
      <w:r w:rsidR="001E0E24">
        <w:rPr>
          <w:noProof/>
        </w:rPr>
        <w:t>7</w:t>
      </w:r>
      <w:r>
        <w:rPr>
          <w:noProof/>
        </w:rPr>
        <w:fldChar w:fldCharType="end"/>
      </w:r>
    </w:p>
    <w:p w:rsidR="00E86EC2" w:rsidRDefault="009F4E51">
      <w:pPr>
        <w:pStyle w:val="TOC4"/>
        <w:rPr>
          <w:noProof/>
          <w:sz w:val="24"/>
          <w:szCs w:val="24"/>
        </w:rPr>
      </w:pPr>
      <w:r>
        <w:rPr>
          <w:noProof/>
          <w:szCs w:val="24"/>
        </w:rPr>
        <w:t>14.</w:t>
      </w:r>
      <w:r>
        <w:rPr>
          <w:noProof/>
          <w:sz w:val="24"/>
          <w:szCs w:val="24"/>
        </w:rPr>
        <w:tab/>
      </w:r>
      <w:r>
        <w:rPr>
          <w:noProof/>
          <w:szCs w:val="24"/>
        </w:rPr>
        <w:t>Availability of approved forms</w:t>
      </w:r>
      <w:r>
        <w:rPr>
          <w:noProof/>
        </w:rPr>
        <w:tab/>
      </w:r>
      <w:r>
        <w:rPr>
          <w:noProof/>
        </w:rPr>
        <w:fldChar w:fldCharType="begin"/>
      </w:r>
      <w:r>
        <w:rPr>
          <w:noProof/>
        </w:rPr>
        <w:instrText xml:space="preserve"> PAGEREF _Toc104790207 \h </w:instrText>
      </w:r>
      <w:r>
        <w:rPr>
          <w:noProof/>
        </w:rPr>
      </w:r>
      <w:r>
        <w:rPr>
          <w:noProof/>
        </w:rPr>
        <w:fldChar w:fldCharType="separate"/>
      </w:r>
      <w:r w:rsidR="001E0E24">
        <w:rPr>
          <w:noProof/>
        </w:rPr>
        <w:t>8</w:t>
      </w:r>
      <w:r>
        <w:rPr>
          <w:noProof/>
        </w:rPr>
        <w:fldChar w:fldCharType="end"/>
      </w:r>
    </w:p>
    <w:p w:rsidR="00E86EC2" w:rsidRDefault="009F4E51">
      <w:pPr>
        <w:pStyle w:val="TOC4"/>
        <w:rPr>
          <w:noProof/>
          <w:sz w:val="24"/>
          <w:szCs w:val="24"/>
        </w:rPr>
      </w:pPr>
      <w:r>
        <w:rPr>
          <w:noProof/>
          <w:szCs w:val="24"/>
        </w:rPr>
        <w:t>15.</w:t>
      </w:r>
      <w:r>
        <w:rPr>
          <w:noProof/>
          <w:sz w:val="24"/>
          <w:szCs w:val="24"/>
        </w:rPr>
        <w:tab/>
      </w:r>
      <w:r>
        <w:rPr>
          <w:noProof/>
          <w:szCs w:val="24"/>
        </w:rPr>
        <w:t>Repeal and savings</w:t>
      </w:r>
      <w:r>
        <w:rPr>
          <w:noProof/>
        </w:rPr>
        <w:tab/>
      </w:r>
      <w:r>
        <w:rPr>
          <w:noProof/>
        </w:rPr>
        <w:fldChar w:fldCharType="begin"/>
      </w:r>
      <w:r>
        <w:rPr>
          <w:noProof/>
        </w:rPr>
        <w:instrText xml:space="preserve"> PAGEREF _Toc104790208 \h </w:instrText>
      </w:r>
      <w:r>
        <w:rPr>
          <w:noProof/>
        </w:rPr>
      </w:r>
      <w:r>
        <w:rPr>
          <w:noProof/>
        </w:rPr>
        <w:fldChar w:fldCharType="separate"/>
      </w:r>
      <w:r w:rsidR="001E0E24">
        <w:rPr>
          <w:noProof/>
        </w:rPr>
        <w:t>8</w:t>
      </w:r>
      <w:r>
        <w:rPr>
          <w:noProof/>
        </w:rPr>
        <w:fldChar w:fldCharType="end"/>
      </w:r>
    </w:p>
    <w:p w:rsidR="00E86EC2" w:rsidRDefault="009F4E51">
      <w:pPr>
        <w:pStyle w:val="TOC5"/>
        <w:rPr>
          <w:b w:val="0"/>
          <w:sz w:val="24"/>
          <w:szCs w:val="24"/>
        </w:rPr>
      </w:pPr>
      <w:r>
        <w:t>Schedule 1</w:t>
      </w:r>
      <w:r>
        <w:rPr>
          <w:sz w:val="24"/>
        </w:rPr>
        <w:t> </w:t>
      </w:r>
      <w:r>
        <w:t>—</w:t>
      </w:r>
      <w:r>
        <w:rPr>
          <w:sz w:val="24"/>
        </w:rPr>
        <w:t> </w:t>
      </w:r>
      <w:r>
        <w:t>Forms</w:t>
      </w:r>
      <w:r>
        <w:tab/>
      </w:r>
      <w:r>
        <w:rPr>
          <w:b w:val="0"/>
          <w:sz w:val="22"/>
        </w:rPr>
        <w:fldChar w:fldCharType="begin"/>
      </w:r>
      <w:r>
        <w:rPr>
          <w:b w:val="0"/>
          <w:sz w:val="22"/>
        </w:rPr>
        <w:instrText xml:space="preserve"> PAGEREF _Toc104790209 \h </w:instrText>
      </w:r>
      <w:r>
        <w:rPr>
          <w:b w:val="0"/>
          <w:sz w:val="22"/>
        </w:rPr>
      </w:r>
      <w:r>
        <w:rPr>
          <w:b w:val="0"/>
          <w:sz w:val="22"/>
        </w:rPr>
        <w:fldChar w:fldCharType="separate"/>
      </w:r>
      <w:r w:rsidR="001E0E24">
        <w:rPr>
          <w:b w:val="0"/>
          <w:sz w:val="22"/>
        </w:rPr>
        <w:t>9</w:t>
      </w:r>
      <w:r>
        <w:rPr>
          <w:b w:val="0"/>
          <w:sz w:val="22"/>
        </w:rPr>
        <w:fldChar w:fldCharType="end"/>
      </w:r>
    </w:p>
    <w:p w:rsidR="00E86EC2" w:rsidRDefault="009F4E51">
      <w:pPr>
        <w:pStyle w:val="TOC2"/>
        <w:tabs>
          <w:tab w:val="right" w:leader="dot" w:pos="7086"/>
        </w:tabs>
        <w:rPr>
          <w:b w:val="0"/>
          <w:noProof/>
          <w:sz w:val="24"/>
          <w:szCs w:val="24"/>
        </w:rPr>
      </w:pPr>
      <w:r>
        <w:rPr>
          <w:noProof/>
          <w:szCs w:val="26"/>
        </w:rPr>
        <w:t>Notes</w:t>
      </w:r>
    </w:p>
    <w:p w:rsidR="00E86EC2" w:rsidRDefault="009F4E51">
      <w:pPr>
        <w:pStyle w:val="TOC4"/>
      </w:pPr>
      <w:r>
        <w:rPr>
          <w:noProof/>
          <w:szCs w:val="24"/>
        </w:rPr>
        <w:tab/>
        <w:t>Compilation table</w:t>
      </w:r>
      <w:r>
        <w:rPr>
          <w:noProof/>
        </w:rPr>
        <w:tab/>
      </w:r>
      <w:r>
        <w:rPr>
          <w:noProof/>
        </w:rPr>
        <w:fldChar w:fldCharType="begin"/>
      </w:r>
      <w:r>
        <w:rPr>
          <w:noProof/>
        </w:rPr>
        <w:instrText xml:space="preserve"> PAGEREF _Toc104790212 \h </w:instrText>
      </w:r>
      <w:r>
        <w:rPr>
          <w:noProof/>
        </w:rPr>
      </w:r>
      <w:r>
        <w:rPr>
          <w:noProof/>
        </w:rPr>
        <w:fldChar w:fldCharType="separate"/>
      </w:r>
      <w:r w:rsidR="001E0E24">
        <w:rPr>
          <w:noProof/>
        </w:rPr>
        <w:t>10</w:t>
      </w:r>
      <w:r>
        <w:rPr>
          <w:noProof/>
        </w:rPr>
        <w:fldChar w:fldCharType="end"/>
      </w:r>
      <w:r>
        <w:fldChar w:fldCharType="end"/>
      </w:r>
    </w:p>
    <w:p w:rsidR="00E86EC2" w:rsidRDefault="009F4E51">
      <w:pPr>
        <w:pStyle w:val="NoteHeading"/>
      </w:pPr>
      <w:r>
        <w:rPr>
          <w:rStyle w:val="CharPartNo"/>
        </w:rPr>
        <w:lastRenderedPageBreak/>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E86EC2" w:rsidRDefault="00E86EC2">
      <w:pPr>
        <w:pStyle w:val="NoteHeading"/>
        <w:sectPr w:rsidR="00E86EC2">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E86EC2" w:rsidRDefault="009F4E51">
      <w:pPr>
        <w:pStyle w:val="PrincipalActReg"/>
      </w:pPr>
      <w:r>
        <w:lastRenderedPageBreak/>
        <w:t>Liquor Control Act 1988</w:t>
      </w:r>
    </w:p>
    <w:p w:rsidR="00E86EC2" w:rsidRDefault="009F4E51">
      <w:pPr>
        <w:pStyle w:val="NameofActReg"/>
      </w:pPr>
      <w:r>
        <w:t>Liquor Licensing Court Rules 2005</w:t>
      </w:r>
    </w:p>
    <w:p w:rsidR="00E86EC2" w:rsidRDefault="009F4E51">
      <w:pPr>
        <w:pStyle w:val="Heading2"/>
        <w:pageBreakBefore w:val="0"/>
        <w:spacing w:before="240"/>
      </w:pPr>
      <w:bookmarkStart w:id="1" w:name="_Toc103661329"/>
      <w:bookmarkStart w:id="2" w:name="_Toc103661377"/>
      <w:bookmarkStart w:id="3" w:name="_Toc103661399"/>
      <w:bookmarkStart w:id="4" w:name="_Toc103664944"/>
      <w:bookmarkStart w:id="5" w:name="_Toc103665362"/>
      <w:bookmarkStart w:id="6" w:name="_Toc103665822"/>
      <w:bookmarkStart w:id="7" w:name="_Toc103665934"/>
      <w:bookmarkStart w:id="8" w:name="_Toc103665967"/>
      <w:bookmarkStart w:id="9" w:name="_Toc103670987"/>
      <w:bookmarkStart w:id="10" w:name="_Toc103749464"/>
      <w:bookmarkStart w:id="11" w:name="_Toc103749589"/>
      <w:bookmarkStart w:id="12" w:name="_Toc103749875"/>
      <w:bookmarkStart w:id="13" w:name="_Toc103749945"/>
      <w:bookmarkStart w:id="14" w:name="_Toc103750080"/>
      <w:bookmarkStart w:id="15" w:name="_Toc103759596"/>
      <w:bookmarkStart w:id="16" w:name="_Toc103759638"/>
      <w:bookmarkStart w:id="17" w:name="_Toc103766135"/>
      <w:bookmarkStart w:id="18" w:name="_Toc104022836"/>
      <w:bookmarkStart w:id="19" w:name="_Toc104022856"/>
      <w:bookmarkStart w:id="20" w:name="_Toc104085717"/>
      <w:bookmarkStart w:id="21" w:name="_Toc104086442"/>
      <w:bookmarkStart w:id="22" w:name="_Toc104087689"/>
      <w:bookmarkStart w:id="23" w:name="_Toc104191482"/>
      <w:bookmarkStart w:id="24" w:name="_Toc104194322"/>
      <w:bookmarkStart w:id="25" w:name="_Toc104266337"/>
      <w:bookmarkStart w:id="26" w:name="_Toc104266381"/>
      <w:bookmarkStart w:id="27" w:name="_Toc104266411"/>
      <w:bookmarkStart w:id="28" w:name="_Toc104787750"/>
      <w:bookmarkStart w:id="29" w:name="_Toc10479019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E86EC2" w:rsidRDefault="009F4E51">
      <w:pPr>
        <w:pStyle w:val="Heading5"/>
      </w:pPr>
      <w:bookmarkStart w:id="30" w:name="_Toc423332722"/>
      <w:bookmarkStart w:id="31" w:name="_Toc425219441"/>
      <w:bookmarkStart w:id="32" w:name="_Toc426249308"/>
      <w:bookmarkStart w:id="33" w:name="_Toc449924704"/>
      <w:bookmarkStart w:id="34" w:name="_Toc449947722"/>
      <w:bookmarkStart w:id="35" w:name="_Toc454185713"/>
      <w:bookmarkStart w:id="36" w:name="_Toc104266412"/>
      <w:bookmarkStart w:id="37" w:name="_Toc104790192"/>
      <w:r>
        <w:rPr>
          <w:rStyle w:val="CharSectno"/>
        </w:rPr>
        <w:t>1</w:t>
      </w:r>
      <w:r>
        <w:t>.</w:t>
      </w:r>
      <w:r>
        <w:tab/>
        <w:t>Citation</w:t>
      </w:r>
      <w:bookmarkEnd w:id="30"/>
      <w:bookmarkEnd w:id="31"/>
      <w:bookmarkEnd w:id="32"/>
      <w:bookmarkEnd w:id="33"/>
      <w:bookmarkEnd w:id="34"/>
      <w:bookmarkEnd w:id="35"/>
      <w:bookmarkEnd w:id="36"/>
      <w:bookmarkEnd w:id="37"/>
    </w:p>
    <w:p w:rsidR="00E86EC2" w:rsidRDefault="009F4E51">
      <w:pPr>
        <w:pStyle w:val="Subsection"/>
        <w:rPr>
          <w:i/>
        </w:rPr>
      </w:pPr>
      <w:r>
        <w:tab/>
      </w:r>
      <w:r>
        <w:tab/>
      </w:r>
      <w:r>
        <w:rPr>
          <w:spacing w:val="-2"/>
        </w:rPr>
        <w:t>These</w:t>
      </w:r>
      <w:r>
        <w:t xml:space="preserve"> </w:t>
      </w:r>
      <w:r>
        <w:rPr>
          <w:spacing w:val="-2"/>
        </w:rPr>
        <w:t>rules</w:t>
      </w:r>
      <w:r>
        <w:t xml:space="preserve"> are the </w:t>
      </w:r>
      <w:r>
        <w:rPr>
          <w:i/>
        </w:rPr>
        <w:t>Liquor Licensing Court Rules 2005</w:t>
      </w:r>
      <w:r>
        <w:t>.</w:t>
      </w:r>
    </w:p>
    <w:p w:rsidR="00E86EC2" w:rsidRDefault="009F4E51">
      <w:pPr>
        <w:pStyle w:val="Heading5"/>
      </w:pPr>
      <w:bookmarkStart w:id="38" w:name="_Toc104266413"/>
      <w:bookmarkStart w:id="39" w:name="_Toc104790193"/>
      <w:r>
        <w:rPr>
          <w:rStyle w:val="CharSectno"/>
        </w:rPr>
        <w:t>2</w:t>
      </w:r>
      <w:r>
        <w:t>.</w:t>
      </w:r>
      <w:r>
        <w:tab/>
        <w:t>Terms used in these rules</w:t>
      </w:r>
      <w:bookmarkEnd w:id="38"/>
      <w:bookmarkEnd w:id="39"/>
    </w:p>
    <w:p w:rsidR="00E86EC2" w:rsidRDefault="009F4E51">
      <w:pPr>
        <w:pStyle w:val="Subsection"/>
      </w:pPr>
      <w:r>
        <w:tab/>
      </w:r>
      <w:r>
        <w:tab/>
        <w:t xml:space="preserve">In these rules, unless the contrary intention appears — </w:t>
      </w:r>
    </w:p>
    <w:p w:rsidR="00E86EC2" w:rsidRDefault="009F4E51">
      <w:pPr>
        <w:pStyle w:val="Defstart"/>
      </w:pPr>
      <w:r>
        <w:rPr>
          <w:b/>
        </w:rPr>
        <w:tab/>
        <w:t>“</w:t>
      </w:r>
      <w:r>
        <w:rPr>
          <w:rStyle w:val="CharDefText"/>
        </w:rPr>
        <w:t>approved</w:t>
      </w:r>
      <w:r>
        <w:rPr>
          <w:b/>
        </w:rPr>
        <w:t>”</w:t>
      </w:r>
      <w:r>
        <w:t xml:space="preserve"> means approved by the Judge;</w:t>
      </w:r>
    </w:p>
    <w:p w:rsidR="00E86EC2" w:rsidRDefault="009F4E51">
      <w:pPr>
        <w:pStyle w:val="Defstart"/>
      </w:pPr>
      <w:r>
        <w:rPr>
          <w:b/>
        </w:rPr>
        <w:tab/>
        <w:t>“</w:t>
      </w:r>
      <w:r>
        <w:rPr>
          <w:rStyle w:val="CharDefText"/>
        </w:rPr>
        <w:t>document</w:t>
      </w:r>
      <w:r>
        <w:rPr>
          <w:b/>
        </w:rPr>
        <w:t>”</w:t>
      </w:r>
      <w:r>
        <w:t xml:space="preserve"> means any record that is or is capable of being put on paper;</w:t>
      </w:r>
    </w:p>
    <w:p w:rsidR="00E86EC2" w:rsidRDefault="009F4E51">
      <w:pPr>
        <w:pStyle w:val="Defstart"/>
      </w:pPr>
      <w:r>
        <w:rPr>
          <w:b/>
        </w:rPr>
        <w:tab/>
        <w:t>“</w:t>
      </w:r>
      <w:r>
        <w:rPr>
          <w:rStyle w:val="CharDefText"/>
        </w:rPr>
        <w:t>lodge</w:t>
      </w:r>
      <w:r>
        <w:rPr>
          <w:b/>
        </w:rPr>
        <w:t>”</w:t>
      </w:r>
      <w:r>
        <w:t xml:space="preserve"> means to lodge with the Court;</w:t>
      </w:r>
    </w:p>
    <w:p w:rsidR="00E86EC2" w:rsidRDefault="009F4E51">
      <w:pPr>
        <w:pStyle w:val="Defstart"/>
      </w:pPr>
      <w:r>
        <w:rPr>
          <w:b/>
        </w:rPr>
        <w:tab/>
        <w:t>“</w:t>
      </w:r>
      <w:r>
        <w:rPr>
          <w:rStyle w:val="CharDefText"/>
        </w:rPr>
        <w:t>party</w:t>
      </w:r>
      <w:r>
        <w:rPr>
          <w:b/>
        </w:rPr>
        <w:t>”</w:t>
      </w:r>
      <w:r>
        <w:t xml:space="preserve"> means a party to proceedings;</w:t>
      </w:r>
    </w:p>
    <w:p w:rsidR="00E86EC2" w:rsidRDefault="009F4E51">
      <w:pPr>
        <w:pStyle w:val="Defstart"/>
      </w:pPr>
      <w:r>
        <w:rPr>
          <w:b/>
        </w:rPr>
        <w:tab/>
        <w:t>“</w:t>
      </w:r>
      <w:r>
        <w:rPr>
          <w:rStyle w:val="CharDefText"/>
        </w:rPr>
        <w:t>proceedings</w:t>
      </w:r>
      <w:r>
        <w:rPr>
          <w:b/>
        </w:rPr>
        <w:t>”</w:t>
      </w:r>
      <w:r>
        <w:t xml:space="preserve"> means — </w:t>
      </w:r>
    </w:p>
    <w:p w:rsidR="00E86EC2" w:rsidRDefault="009F4E51">
      <w:pPr>
        <w:pStyle w:val="Defpara"/>
      </w:pPr>
      <w:r>
        <w:tab/>
        <w:t>(a)</w:t>
      </w:r>
      <w:r>
        <w:tab/>
        <w:t>a matter referred to the Court by the Director under the Act section 24;</w:t>
      </w:r>
    </w:p>
    <w:p w:rsidR="00E86EC2" w:rsidRDefault="009F4E51">
      <w:pPr>
        <w:pStyle w:val="Defpara"/>
      </w:pPr>
      <w:r>
        <w:tab/>
        <w:t>(b)</w:t>
      </w:r>
      <w:r>
        <w:tab/>
        <w:t>an application under the Act section 25 for the review of a decision of the Director; or</w:t>
      </w:r>
    </w:p>
    <w:p w:rsidR="00E86EC2" w:rsidRDefault="009F4E51">
      <w:pPr>
        <w:pStyle w:val="Defpara"/>
      </w:pPr>
      <w:r>
        <w:tab/>
        <w:t>(c)</w:t>
      </w:r>
      <w:r>
        <w:tab/>
        <w:t>a complaint under the Act section 95;</w:t>
      </w:r>
    </w:p>
    <w:p w:rsidR="00E86EC2" w:rsidRDefault="009F4E51">
      <w:pPr>
        <w:pStyle w:val="Defstart"/>
      </w:pPr>
      <w:r>
        <w:tab/>
      </w:r>
      <w:r>
        <w:rPr>
          <w:b/>
        </w:rPr>
        <w:t>“</w:t>
      </w:r>
      <w:r>
        <w:rPr>
          <w:rStyle w:val="CharDefText"/>
        </w:rPr>
        <w:t>record</w:t>
      </w:r>
      <w:r>
        <w:rPr>
          <w:b/>
        </w:rPr>
        <w:t>”</w:t>
      </w:r>
      <w:r>
        <w:t xml:space="preserve"> means any thing or process — </w:t>
      </w:r>
    </w:p>
    <w:p w:rsidR="00E86EC2" w:rsidRDefault="009F4E51">
      <w:pPr>
        <w:pStyle w:val="Defpara"/>
      </w:pPr>
      <w:r>
        <w:tab/>
        <w:t>(a)</w:t>
      </w:r>
      <w:r>
        <w:tab/>
        <w:t>on or by which information is recorded or stored; or</w:t>
      </w:r>
    </w:p>
    <w:p w:rsidR="00E86EC2" w:rsidRDefault="009F4E51">
      <w:pPr>
        <w:pStyle w:val="Defpara"/>
      </w:pPr>
      <w:r>
        <w:tab/>
        <w:t>(b)</w:t>
      </w:r>
      <w:r>
        <w:tab/>
        <w:t>by means of which a meaning can be conveyed by any means in a visible or recoverable form,</w:t>
      </w:r>
    </w:p>
    <w:p w:rsidR="00E86EC2" w:rsidRDefault="009F4E51">
      <w:pPr>
        <w:pStyle w:val="Defstart"/>
      </w:pPr>
      <w:r>
        <w:tab/>
      </w:r>
      <w:r>
        <w:tab/>
        <w:t>whether or not the use or assistance of some electronic, electrical, mechanical, chemical or other device or process is required to recover or convey the information or meaning.</w:t>
      </w:r>
    </w:p>
    <w:p w:rsidR="00E86EC2" w:rsidRDefault="009F4E51">
      <w:pPr>
        <w:pStyle w:val="Heading5"/>
      </w:pPr>
      <w:bookmarkStart w:id="40" w:name="_Toc101675903"/>
      <w:bookmarkStart w:id="41" w:name="_Toc104266414"/>
      <w:bookmarkStart w:id="42" w:name="_Toc104790194"/>
      <w:r>
        <w:rPr>
          <w:rStyle w:val="CharSectno"/>
        </w:rPr>
        <w:lastRenderedPageBreak/>
        <w:t>3</w:t>
      </w:r>
      <w:r>
        <w:t>.</w:t>
      </w:r>
      <w:r>
        <w:tab/>
        <w:t>Application of these rules</w:t>
      </w:r>
      <w:bookmarkEnd w:id="40"/>
      <w:bookmarkEnd w:id="41"/>
      <w:bookmarkEnd w:id="42"/>
    </w:p>
    <w:p w:rsidR="00E86EC2" w:rsidRDefault="009F4E51">
      <w:pPr>
        <w:pStyle w:val="Subsection"/>
      </w:pPr>
      <w:r>
        <w:tab/>
      </w:r>
      <w:r>
        <w:tab/>
        <w:t>Unless the Court in a particular case orders otherwise, these rules apply in all proceedings </w:t>
      </w:r>
      <w:r>
        <w:rPr>
          <w:vertAlign w:val="superscript"/>
        </w:rPr>
        <w:t>2</w:t>
      </w:r>
      <w:r>
        <w:t>.</w:t>
      </w:r>
    </w:p>
    <w:p w:rsidR="00E86EC2" w:rsidRDefault="009F4E51">
      <w:pPr>
        <w:pStyle w:val="Heading2"/>
      </w:pPr>
      <w:bookmarkStart w:id="43" w:name="_Toc103661336"/>
      <w:bookmarkStart w:id="44" w:name="_Toc103661384"/>
      <w:bookmarkStart w:id="45" w:name="_Toc103661406"/>
      <w:bookmarkStart w:id="46" w:name="_Toc103664951"/>
      <w:bookmarkStart w:id="47" w:name="_Toc103665369"/>
      <w:bookmarkStart w:id="48" w:name="_Toc103665829"/>
      <w:bookmarkStart w:id="49" w:name="_Toc103665941"/>
      <w:bookmarkStart w:id="50" w:name="_Toc103665974"/>
      <w:bookmarkStart w:id="51" w:name="_Toc103670994"/>
      <w:bookmarkStart w:id="52" w:name="_Toc103749468"/>
      <w:bookmarkStart w:id="53" w:name="_Toc103749593"/>
      <w:bookmarkStart w:id="54" w:name="_Toc103749879"/>
      <w:bookmarkStart w:id="55" w:name="_Toc103749949"/>
      <w:bookmarkStart w:id="56" w:name="_Toc103750084"/>
      <w:bookmarkStart w:id="57" w:name="_Toc103759600"/>
      <w:bookmarkStart w:id="58" w:name="_Toc103759642"/>
      <w:bookmarkStart w:id="59" w:name="_Toc103766139"/>
      <w:bookmarkStart w:id="60" w:name="_Toc104022840"/>
      <w:bookmarkStart w:id="61" w:name="_Toc104022860"/>
      <w:bookmarkStart w:id="62" w:name="_Toc104085721"/>
      <w:bookmarkStart w:id="63" w:name="_Toc104086446"/>
      <w:bookmarkStart w:id="64" w:name="_Toc104087693"/>
      <w:bookmarkStart w:id="65" w:name="_Toc104191486"/>
      <w:bookmarkStart w:id="66" w:name="_Toc104194326"/>
      <w:bookmarkStart w:id="67" w:name="_Toc104266341"/>
      <w:bookmarkStart w:id="68" w:name="_Toc104266385"/>
      <w:bookmarkStart w:id="69" w:name="_Toc104266415"/>
      <w:bookmarkStart w:id="70" w:name="_Toc104787754"/>
      <w:bookmarkStart w:id="71" w:name="_Toc104790195"/>
      <w:r>
        <w:rPr>
          <w:rStyle w:val="CharPartNo"/>
        </w:rPr>
        <w:lastRenderedPageBreak/>
        <w:t>Part 2</w:t>
      </w:r>
      <w:r>
        <w:rPr>
          <w:rStyle w:val="CharDivNo"/>
        </w:rPr>
        <w:t> </w:t>
      </w:r>
      <w:r>
        <w:t>—</w:t>
      </w:r>
      <w:r>
        <w:rPr>
          <w:rStyle w:val="CharDivText"/>
        </w:rPr>
        <w:t> </w:t>
      </w:r>
      <w:r>
        <w:rPr>
          <w:rStyle w:val="CharPartText"/>
        </w:rPr>
        <w:t>Practice and procedure</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E86EC2" w:rsidRDefault="009F4E51">
      <w:pPr>
        <w:pStyle w:val="Heading5"/>
      </w:pPr>
      <w:bookmarkStart w:id="72" w:name="_Toc104266416"/>
      <w:bookmarkStart w:id="73" w:name="_Toc104790196"/>
      <w:r>
        <w:rPr>
          <w:rStyle w:val="CharSectno"/>
        </w:rPr>
        <w:t>4</w:t>
      </w:r>
      <w:r>
        <w:t>.</w:t>
      </w:r>
      <w:r>
        <w:tab/>
        <w:t>Applications for review of a decision by the Director (Act s. 25)</w:t>
      </w:r>
      <w:bookmarkEnd w:id="72"/>
      <w:bookmarkEnd w:id="73"/>
    </w:p>
    <w:p w:rsidR="00E86EC2" w:rsidRDefault="009F4E51">
      <w:pPr>
        <w:pStyle w:val="Subsection"/>
      </w:pPr>
      <w:r>
        <w:tab/>
        <w:t>(1)</w:t>
      </w:r>
      <w:r>
        <w:tab/>
        <w:t xml:space="preserve">If a party to proceedings before the Director wants to apply under the Act section 25 for the Court to review a decision of the Director, the party must — </w:t>
      </w:r>
    </w:p>
    <w:p w:rsidR="00E86EC2" w:rsidRDefault="009F4E51">
      <w:pPr>
        <w:pStyle w:val="Indenta"/>
      </w:pPr>
      <w:r>
        <w:tab/>
        <w:t>(a)</w:t>
      </w:r>
      <w:r>
        <w:tab/>
        <w:t>lodge an application in the form of Schedule 1 Form 1; and</w:t>
      </w:r>
    </w:p>
    <w:p w:rsidR="00E86EC2" w:rsidRDefault="009F4E51">
      <w:pPr>
        <w:pStyle w:val="Indenta"/>
      </w:pPr>
      <w:r>
        <w:tab/>
        <w:t>(b)</w:t>
      </w:r>
      <w:r>
        <w:tab/>
        <w:t>as soon as practicable after lodging the application, serve a copy of the application on the Director and every other person who is a party to the proceedings before the Director.</w:t>
      </w:r>
    </w:p>
    <w:p w:rsidR="00E86EC2" w:rsidRDefault="009F4E51">
      <w:pPr>
        <w:pStyle w:val="Subsection"/>
      </w:pPr>
      <w:r>
        <w:tab/>
        <w:t>(2)</w:t>
      </w:r>
      <w:r>
        <w:tab/>
        <w:t>The Director must, as soon as practicable after being served with an application under subrule (1), send to the Court —</w:t>
      </w:r>
    </w:p>
    <w:p w:rsidR="00E86EC2" w:rsidRDefault="009F4E51">
      <w:pPr>
        <w:pStyle w:val="Indenta"/>
      </w:pPr>
      <w:r>
        <w:tab/>
        <w:t>(a)</w:t>
      </w:r>
      <w:r>
        <w:tab/>
        <w:t>every original exhibit in the proceedings before the Director;</w:t>
      </w:r>
    </w:p>
    <w:p w:rsidR="00E86EC2" w:rsidRDefault="009F4E51">
      <w:pPr>
        <w:pStyle w:val="Indenta"/>
      </w:pPr>
      <w:r>
        <w:tab/>
        <w:t>(b)</w:t>
      </w:r>
      <w:r>
        <w:tab/>
        <w:t>the transcript of the proceedings before the Director; and</w:t>
      </w:r>
    </w:p>
    <w:p w:rsidR="00E86EC2" w:rsidRDefault="009F4E51">
      <w:pPr>
        <w:pStyle w:val="Indenta"/>
      </w:pPr>
      <w:r>
        <w:tab/>
        <w:t>(c)</w:t>
      </w:r>
      <w:r>
        <w:tab/>
        <w:t>the documents contained in the relevant file of the Director, including —</w:t>
      </w:r>
    </w:p>
    <w:p w:rsidR="00E86EC2" w:rsidRDefault="009F4E51">
      <w:pPr>
        <w:pStyle w:val="Indenti"/>
      </w:pPr>
      <w:r>
        <w:tab/>
        <w:t>(i)</w:t>
      </w:r>
      <w:r>
        <w:tab/>
        <w:t>the application to the Director;</w:t>
      </w:r>
    </w:p>
    <w:p w:rsidR="00E86EC2" w:rsidRDefault="009F4E51">
      <w:pPr>
        <w:pStyle w:val="Indenti"/>
      </w:pPr>
      <w:r>
        <w:tab/>
        <w:t>(ii)</w:t>
      </w:r>
      <w:r>
        <w:tab/>
        <w:t>any submissions made under the Act section 38 in relation to the application to the Director;</w:t>
      </w:r>
    </w:p>
    <w:p w:rsidR="00E86EC2" w:rsidRDefault="009F4E51">
      <w:pPr>
        <w:pStyle w:val="Indenti"/>
      </w:pPr>
      <w:r>
        <w:tab/>
        <w:t>(iii)</w:t>
      </w:r>
      <w:r>
        <w:tab/>
        <w:t>any plans or specifications of the relevant premises accompanying the application to the Director;</w:t>
      </w:r>
    </w:p>
    <w:p w:rsidR="00E86EC2" w:rsidRDefault="009F4E51">
      <w:pPr>
        <w:pStyle w:val="Indenti"/>
      </w:pPr>
      <w:r>
        <w:tab/>
        <w:t>(iv)</w:t>
      </w:r>
      <w:r>
        <w:tab/>
        <w:t>any certificate referred to in the Act section 40;</w:t>
      </w:r>
    </w:p>
    <w:p w:rsidR="00E86EC2" w:rsidRDefault="009F4E51">
      <w:pPr>
        <w:pStyle w:val="Indenti"/>
      </w:pPr>
      <w:r>
        <w:tab/>
        <w:t>(v)</w:t>
      </w:r>
      <w:r>
        <w:tab/>
        <w:t>any letter of the consent to the application by the owner or lessor of the relevant premises; and</w:t>
      </w:r>
    </w:p>
    <w:p w:rsidR="00E86EC2" w:rsidRDefault="009F4E51">
      <w:pPr>
        <w:pStyle w:val="Indenti"/>
      </w:pPr>
      <w:r>
        <w:tab/>
        <w:t>(vi)</w:t>
      </w:r>
      <w:r>
        <w:tab/>
        <w:t>any decision of the Director under the Act section 71 specifying the affected area to which the application to the Director relates.</w:t>
      </w:r>
    </w:p>
    <w:p w:rsidR="00E86EC2" w:rsidRDefault="009F4E51">
      <w:pPr>
        <w:pStyle w:val="Subsection"/>
      </w:pPr>
      <w:r>
        <w:lastRenderedPageBreak/>
        <w:tab/>
        <w:t>(3)</w:t>
      </w:r>
      <w:r>
        <w:tab/>
        <w:t>Where subrule (2) requires the Director to send a particular document to the Court, the Director may comply with that requirement by sending a copy of the document certified by the Director as being a true copy of that document.</w:t>
      </w:r>
    </w:p>
    <w:p w:rsidR="00E86EC2" w:rsidRDefault="009F4E51">
      <w:pPr>
        <w:pStyle w:val="Heading5"/>
      </w:pPr>
      <w:bookmarkStart w:id="74" w:name="_Toc104266417"/>
      <w:bookmarkStart w:id="75" w:name="_Toc104790197"/>
      <w:r>
        <w:rPr>
          <w:rStyle w:val="CharSectno"/>
        </w:rPr>
        <w:t>5</w:t>
      </w:r>
      <w:r>
        <w:t>.</w:t>
      </w:r>
      <w:r>
        <w:tab/>
        <w:t>Separate proceedings determined simultaneously</w:t>
      </w:r>
      <w:bookmarkEnd w:id="74"/>
      <w:bookmarkEnd w:id="75"/>
    </w:p>
    <w:p w:rsidR="00E86EC2" w:rsidRDefault="009F4E51">
      <w:pPr>
        <w:pStyle w:val="Subsection"/>
      </w:pPr>
      <w:r>
        <w:tab/>
      </w:r>
      <w:r>
        <w:tab/>
        <w:t>The Court may, on an application by a party or on its own initiative, order that separate proceedings be determined simultaneously, irrespective of when the applications giving rise to the proceedings were made.</w:t>
      </w:r>
    </w:p>
    <w:p w:rsidR="00E86EC2" w:rsidRDefault="009F4E51">
      <w:pPr>
        <w:pStyle w:val="Heading5"/>
      </w:pPr>
      <w:bookmarkStart w:id="76" w:name="_Toc104266418"/>
      <w:bookmarkStart w:id="77" w:name="_Toc104790198"/>
      <w:r>
        <w:rPr>
          <w:rStyle w:val="CharSectno"/>
        </w:rPr>
        <w:t>6</w:t>
      </w:r>
      <w:r>
        <w:t>.</w:t>
      </w:r>
      <w:r>
        <w:tab/>
        <w:t>Separate proceedings heard together</w:t>
      </w:r>
      <w:bookmarkEnd w:id="76"/>
      <w:bookmarkEnd w:id="77"/>
    </w:p>
    <w:p w:rsidR="00E86EC2" w:rsidRDefault="009F4E51">
      <w:pPr>
        <w:pStyle w:val="Subsection"/>
      </w:pPr>
      <w:r>
        <w:tab/>
      </w:r>
      <w:r>
        <w:tab/>
        <w:t>The Court may, on an application by a party or on its own initiative, order that separate proceedings be heard together.</w:t>
      </w:r>
    </w:p>
    <w:p w:rsidR="00E86EC2" w:rsidRDefault="009F4E51">
      <w:pPr>
        <w:pStyle w:val="Heading5"/>
      </w:pPr>
      <w:bookmarkStart w:id="78" w:name="_Toc104266419"/>
      <w:bookmarkStart w:id="79" w:name="_Toc104790199"/>
      <w:r>
        <w:rPr>
          <w:rStyle w:val="CharSectno"/>
        </w:rPr>
        <w:t>7</w:t>
      </w:r>
      <w:r>
        <w:t>.</w:t>
      </w:r>
      <w:r>
        <w:tab/>
        <w:t>Withdrawal</w:t>
      </w:r>
      <w:bookmarkEnd w:id="78"/>
      <w:bookmarkEnd w:id="79"/>
    </w:p>
    <w:p w:rsidR="00E86EC2" w:rsidRDefault="009F4E51">
      <w:pPr>
        <w:pStyle w:val="Subsection"/>
      </w:pPr>
      <w:r>
        <w:tab/>
        <w:t>(1)</w:t>
      </w:r>
      <w:r>
        <w:tab/>
        <w:t xml:space="preserve">If a party wants to withdraw an application, or an objection to an application, the party must seek leave from the Court to do so by — </w:t>
      </w:r>
    </w:p>
    <w:p w:rsidR="00E86EC2" w:rsidRDefault="009F4E51">
      <w:pPr>
        <w:pStyle w:val="Indenta"/>
      </w:pPr>
      <w:r>
        <w:tab/>
        <w:t>(a)</w:t>
      </w:r>
      <w:r>
        <w:tab/>
        <w:t>lodging a notice to withdraw in an approved form; and</w:t>
      </w:r>
    </w:p>
    <w:p w:rsidR="00E86EC2" w:rsidRDefault="009F4E51">
      <w:pPr>
        <w:pStyle w:val="Indenta"/>
      </w:pPr>
      <w:r>
        <w:tab/>
        <w:t>(b)</w:t>
      </w:r>
      <w:r>
        <w:tab/>
        <w:t>serving it on every other party.</w:t>
      </w:r>
    </w:p>
    <w:p w:rsidR="00E86EC2" w:rsidRDefault="009F4E51">
      <w:pPr>
        <w:pStyle w:val="Subsection"/>
      </w:pPr>
      <w:r>
        <w:tab/>
        <w:t>(2)</w:t>
      </w:r>
      <w:r>
        <w:tab/>
        <w:t>The Court may give the party leave to withdraw its application or objection in the absence of the parties.</w:t>
      </w:r>
    </w:p>
    <w:p w:rsidR="00E86EC2" w:rsidRDefault="009F4E51">
      <w:pPr>
        <w:pStyle w:val="Heading5"/>
      </w:pPr>
      <w:bookmarkStart w:id="80" w:name="_Toc104266420"/>
      <w:bookmarkStart w:id="81" w:name="_Toc104790200"/>
      <w:r>
        <w:rPr>
          <w:rStyle w:val="CharSectno"/>
        </w:rPr>
        <w:t>8</w:t>
      </w:r>
      <w:r>
        <w:t>.</w:t>
      </w:r>
      <w:r>
        <w:tab/>
        <w:t>Callover</w:t>
      </w:r>
      <w:bookmarkEnd w:id="80"/>
      <w:bookmarkEnd w:id="81"/>
    </w:p>
    <w:p w:rsidR="00E86EC2" w:rsidRDefault="009F4E51">
      <w:pPr>
        <w:pStyle w:val="Subsection"/>
      </w:pPr>
      <w:r>
        <w:tab/>
        <w:t>(1)</w:t>
      </w:r>
      <w:r>
        <w:tab/>
        <w:t xml:space="preserve">If — </w:t>
      </w:r>
    </w:p>
    <w:p w:rsidR="00E86EC2" w:rsidRDefault="009F4E51">
      <w:pPr>
        <w:pStyle w:val="Indenta"/>
      </w:pPr>
      <w:r>
        <w:tab/>
        <w:t>(a)</w:t>
      </w:r>
      <w:r>
        <w:tab/>
        <w:t>a matter is referred to the Court by the Director under the Act section 24;</w:t>
      </w:r>
    </w:p>
    <w:p w:rsidR="00E86EC2" w:rsidRDefault="009F4E51">
      <w:pPr>
        <w:pStyle w:val="Indenta"/>
      </w:pPr>
      <w:r>
        <w:tab/>
        <w:t>(b)</w:t>
      </w:r>
      <w:r>
        <w:tab/>
        <w:t>an application is made under the Act section 25 for the review of a decision of the Director; or</w:t>
      </w:r>
    </w:p>
    <w:p w:rsidR="00E86EC2" w:rsidRDefault="009F4E51">
      <w:pPr>
        <w:pStyle w:val="Indenta"/>
      </w:pPr>
      <w:r>
        <w:tab/>
        <w:t>(c)</w:t>
      </w:r>
      <w:r>
        <w:tab/>
        <w:t>a complaint is made under the Act section 95,</w:t>
      </w:r>
    </w:p>
    <w:p w:rsidR="00E86EC2" w:rsidRDefault="009F4E51">
      <w:pPr>
        <w:pStyle w:val="Subsection"/>
      </w:pPr>
      <w:r>
        <w:tab/>
      </w:r>
      <w:r>
        <w:tab/>
        <w:t>the Court is to list the proceedings for a callover and notify the parties in writing.</w:t>
      </w:r>
    </w:p>
    <w:p w:rsidR="00E86EC2" w:rsidRDefault="009F4E51">
      <w:pPr>
        <w:pStyle w:val="Subsection"/>
      </w:pPr>
      <w:r>
        <w:lastRenderedPageBreak/>
        <w:tab/>
        <w:t>(2)</w:t>
      </w:r>
      <w:r>
        <w:tab/>
        <w:t xml:space="preserve">The purpose of a callover is — </w:t>
      </w:r>
    </w:p>
    <w:p w:rsidR="00E86EC2" w:rsidRDefault="009F4E51">
      <w:pPr>
        <w:pStyle w:val="Indenta"/>
      </w:pPr>
      <w:r>
        <w:tab/>
        <w:t>(a)</w:t>
      </w:r>
      <w:r>
        <w:tab/>
        <w:t>for the Court to determine whether the proceedings are ready to be listed for hearing;</w:t>
      </w:r>
    </w:p>
    <w:p w:rsidR="00E86EC2" w:rsidRDefault="009F4E51">
      <w:pPr>
        <w:pStyle w:val="Indenta"/>
      </w:pPr>
      <w:r>
        <w:tab/>
        <w:t>(b)</w:t>
      </w:r>
      <w:r>
        <w:tab/>
        <w:t>if the proceedings are not ready to be listed for hearing, for the Court to give any directions necessary to enable the proceedings to be listed for hearing; and</w:t>
      </w:r>
    </w:p>
    <w:p w:rsidR="00E86EC2" w:rsidRDefault="009F4E51">
      <w:pPr>
        <w:pStyle w:val="Indenta"/>
      </w:pPr>
      <w:r>
        <w:tab/>
        <w:t>(c)</w:t>
      </w:r>
      <w:r>
        <w:tab/>
        <w:t>if the proceedings are ready to be listed for hearing, for the Court to list the proceedings for hearing.</w:t>
      </w:r>
    </w:p>
    <w:p w:rsidR="00E86EC2" w:rsidRDefault="009F4E51">
      <w:pPr>
        <w:pStyle w:val="Subsection"/>
      </w:pPr>
      <w:r>
        <w:tab/>
        <w:t>(3)</w:t>
      </w:r>
      <w:r>
        <w:tab/>
        <w:t>A party must attend a callover either personally or through a representative.</w:t>
      </w:r>
    </w:p>
    <w:p w:rsidR="00E86EC2" w:rsidRDefault="009F4E51">
      <w:pPr>
        <w:pStyle w:val="Subsection"/>
      </w:pPr>
      <w:r>
        <w:tab/>
        <w:t>(4)</w:t>
      </w:r>
      <w:r>
        <w:tab/>
        <w:t>A party attending a callover must ensure that the party is able to assist the Court in exercising its functions under subrule (2).</w:t>
      </w:r>
    </w:p>
    <w:p w:rsidR="00E86EC2" w:rsidRDefault="009F4E51">
      <w:pPr>
        <w:pStyle w:val="Heading5"/>
      </w:pPr>
      <w:bookmarkStart w:id="82" w:name="_Toc104266421"/>
      <w:bookmarkStart w:id="83" w:name="_Toc104790201"/>
      <w:r>
        <w:rPr>
          <w:rStyle w:val="CharSectno"/>
        </w:rPr>
        <w:t>9</w:t>
      </w:r>
      <w:r>
        <w:t>.</w:t>
      </w:r>
      <w:r>
        <w:tab/>
        <w:t>Costs</w:t>
      </w:r>
      <w:bookmarkEnd w:id="82"/>
      <w:bookmarkEnd w:id="83"/>
    </w:p>
    <w:p w:rsidR="00E86EC2" w:rsidRDefault="009F4E51">
      <w:pPr>
        <w:pStyle w:val="Subsection"/>
      </w:pPr>
      <w:r>
        <w:tab/>
        <w:t>(1)</w:t>
      </w:r>
      <w:r>
        <w:tab/>
        <w:t>If the Court orders a party to pay the costs of another party, the Court is to list the proceedings for an assessment of those costs and notify the parties in writing.</w:t>
      </w:r>
    </w:p>
    <w:p w:rsidR="00E86EC2" w:rsidRDefault="009F4E51">
      <w:pPr>
        <w:pStyle w:val="Subsection"/>
      </w:pPr>
      <w:r>
        <w:tab/>
        <w:t>(2)</w:t>
      </w:r>
      <w:r>
        <w:tab/>
        <w:t>When the Court lists proceedings for an assessment of costs, the party entitled to costs must lodge and serve on the other parties a bill of those costs.</w:t>
      </w:r>
    </w:p>
    <w:p w:rsidR="00E86EC2" w:rsidRDefault="009F4E51">
      <w:pPr>
        <w:pStyle w:val="Subsection"/>
      </w:pPr>
      <w:r>
        <w:tab/>
        <w:t>(3)</w:t>
      </w:r>
      <w:r>
        <w:tab/>
        <w:t>The bill of costs is to be in an approved form.</w:t>
      </w:r>
    </w:p>
    <w:p w:rsidR="00E86EC2" w:rsidRDefault="009F4E51">
      <w:pPr>
        <w:pStyle w:val="Heading5"/>
      </w:pPr>
      <w:bookmarkStart w:id="84" w:name="_Toc104266422"/>
      <w:bookmarkStart w:id="85" w:name="_Toc104790202"/>
      <w:r>
        <w:rPr>
          <w:rStyle w:val="CharSectno"/>
        </w:rPr>
        <w:t>10</w:t>
      </w:r>
      <w:r>
        <w:t>.</w:t>
      </w:r>
      <w:r>
        <w:tab/>
        <w:t>Applications for orders relating to practice or procedure</w:t>
      </w:r>
      <w:bookmarkEnd w:id="84"/>
      <w:bookmarkEnd w:id="85"/>
    </w:p>
    <w:p w:rsidR="00E86EC2" w:rsidRDefault="009F4E51">
      <w:pPr>
        <w:pStyle w:val="Subsection"/>
      </w:pPr>
      <w:r>
        <w:tab/>
      </w:r>
      <w:r>
        <w:tab/>
        <w:t>If a party wants the Court to make an order relating to practice or procedure, the party must make an application for the order in an approved form.</w:t>
      </w:r>
    </w:p>
    <w:p w:rsidR="00E86EC2" w:rsidRDefault="009F4E51">
      <w:pPr>
        <w:pStyle w:val="Heading5"/>
      </w:pPr>
      <w:bookmarkStart w:id="86" w:name="_Toc104266423"/>
      <w:bookmarkStart w:id="87" w:name="_Toc104790203"/>
      <w:r>
        <w:rPr>
          <w:rStyle w:val="CharSectno"/>
        </w:rPr>
        <w:t>11</w:t>
      </w:r>
      <w:r>
        <w:t>.</w:t>
      </w:r>
      <w:r>
        <w:tab/>
        <w:t>Application of the Supreme Court’s rules</w:t>
      </w:r>
      <w:bookmarkEnd w:id="86"/>
      <w:bookmarkEnd w:id="87"/>
    </w:p>
    <w:p w:rsidR="00E86EC2" w:rsidRDefault="009F4E51">
      <w:pPr>
        <w:pStyle w:val="Subsection"/>
        <w:rPr>
          <w:sz w:val="22"/>
        </w:rPr>
      </w:pPr>
      <w:r>
        <w:tab/>
        <w:t>(1)</w:t>
      </w:r>
      <w:r>
        <w:tab/>
        <w:t>The Court may, on an application by a party or on its own initiative, order that any of the rules made by the Supreme Court apply to particular proceedings.</w:t>
      </w:r>
    </w:p>
    <w:p w:rsidR="00E86EC2" w:rsidRDefault="009F4E51">
      <w:pPr>
        <w:pStyle w:val="Subsection"/>
      </w:pPr>
      <w:r>
        <w:lastRenderedPageBreak/>
        <w:tab/>
        <w:t>(2)</w:t>
      </w:r>
      <w:r>
        <w:tab/>
        <w:t>A document required to be lodged or served in relation to a practice or procedure ordered under subrule (1)</w:t>
      </w:r>
      <w:r>
        <w:rPr>
          <w:i/>
          <w:iCs/>
        </w:rPr>
        <w:t xml:space="preserve"> </w:t>
      </w:r>
      <w:r>
        <w:t>is to be in an approved form.</w:t>
      </w:r>
    </w:p>
    <w:p w:rsidR="00E86EC2" w:rsidRDefault="009F4E51">
      <w:pPr>
        <w:pStyle w:val="Heading2"/>
      </w:pPr>
      <w:bookmarkStart w:id="88" w:name="_Toc103661343"/>
      <w:bookmarkStart w:id="89" w:name="_Toc103661391"/>
      <w:bookmarkStart w:id="90" w:name="_Toc103661413"/>
      <w:bookmarkStart w:id="91" w:name="_Toc103664957"/>
      <w:bookmarkStart w:id="92" w:name="_Toc103665375"/>
      <w:bookmarkStart w:id="93" w:name="_Toc103665835"/>
      <w:bookmarkStart w:id="94" w:name="_Toc103665947"/>
      <w:bookmarkStart w:id="95" w:name="_Toc103665980"/>
      <w:bookmarkStart w:id="96" w:name="_Toc103671000"/>
      <w:bookmarkStart w:id="97" w:name="_Toc103749477"/>
      <w:bookmarkStart w:id="98" w:name="_Toc103749602"/>
      <w:bookmarkStart w:id="99" w:name="_Toc103749888"/>
      <w:bookmarkStart w:id="100" w:name="_Toc103749958"/>
      <w:bookmarkStart w:id="101" w:name="_Toc103750093"/>
      <w:bookmarkStart w:id="102" w:name="_Toc103759609"/>
      <w:bookmarkStart w:id="103" w:name="_Toc103759651"/>
      <w:bookmarkStart w:id="104" w:name="_Toc103766148"/>
      <w:bookmarkStart w:id="105" w:name="_Toc104022849"/>
      <w:bookmarkStart w:id="106" w:name="_Toc104022869"/>
      <w:bookmarkStart w:id="107" w:name="_Toc104085730"/>
      <w:bookmarkStart w:id="108" w:name="_Toc104086455"/>
      <w:bookmarkStart w:id="109" w:name="_Toc104087702"/>
      <w:bookmarkStart w:id="110" w:name="_Toc104191495"/>
      <w:bookmarkStart w:id="111" w:name="_Toc104194335"/>
      <w:bookmarkStart w:id="112" w:name="_Toc104266350"/>
      <w:bookmarkStart w:id="113" w:name="_Toc104266394"/>
      <w:bookmarkStart w:id="114" w:name="_Toc104266424"/>
      <w:bookmarkStart w:id="115" w:name="_Toc104787763"/>
      <w:bookmarkStart w:id="116" w:name="_Toc104790204"/>
      <w:r>
        <w:rPr>
          <w:rStyle w:val="CharPartNo"/>
        </w:rPr>
        <w:lastRenderedPageBreak/>
        <w:t>Part 3</w:t>
      </w:r>
      <w:r>
        <w:rPr>
          <w:rStyle w:val="CharDivNo"/>
        </w:rPr>
        <w:t> </w:t>
      </w:r>
      <w:r>
        <w:t>—</w:t>
      </w:r>
      <w:r>
        <w:rPr>
          <w:rStyle w:val="CharDivText"/>
        </w:rPr>
        <w:t> </w:t>
      </w:r>
      <w:r>
        <w:rPr>
          <w:rStyle w:val="CharPartText"/>
        </w:rPr>
        <w:t>Miscellaneous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E86EC2" w:rsidRDefault="009F4E51">
      <w:pPr>
        <w:pStyle w:val="Heading5"/>
      </w:pPr>
      <w:bookmarkStart w:id="117" w:name="_Toc104266425"/>
      <w:bookmarkStart w:id="118" w:name="_Toc104790205"/>
      <w:r>
        <w:rPr>
          <w:rStyle w:val="CharSectno"/>
        </w:rPr>
        <w:t>12</w:t>
      </w:r>
      <w:r>
        <w:t>.</w:t>
      </w:r>
      <w:r>
        <w:tab/>
        <w:t>Registry hours</w:t>
      </w:r>
      <w:bookmarkEnd w:id="117"/>
      <w:bookmarkEnd w:id="118"/>
    </w:p>
    <w:p w:rsidR="00E86EC2" w:rsidRDefault="009F4E51">
      <w:pPr>
        <w:pStyle w:val="Subsection"/>
      </w:pPr>
      <w:r>
        <w:tab/>
        <w:t>(1)</w:t>
      </w:r>
      <w:r>
        <w:tab/>
        <w:t>The registry of the Court is to be open at such times as are set by the Court.</w:t>
      </w:r>
    </w:p>
    <w:p w:rsidR="00E86EC2" w:rsidRDefault="009F4E51">
      <w:pPr>
        <w:pStyle w:val="Subsection"/>
      </w:pPr>
      <w:r>
        <w:tab/>
        <w:t>(2)</w:t>
      </w:r>
      <w:r>
        <w:tab/>
        <w:t xml:space="preserve">Where under these rules or the Act — </w:t>
      </w:r>
    </w:p>
    <w:p w:rsidR="00E86EC2" w:rsidRDefault="009F4E51">
      <w:pPr>
        <w:pStyle w:val="Indenta"/>
      </w:pPr>
      <w:r>
        <w:tab/>
        <w:t>(a)</w:t>
      </w:r>
      <w:r>
        <w:tab/>
        <w:t>something is required to be done in relation to proceedings within a particular period; and</w:t>
      </w:r>
    </w:p>
    <w:p w:rsidR="00E86EC2" w:rsidRDefault="009F4E51">
      <w:pPr>
        <w:pStyle w:val="Indenta"/>
      </w:pPr>
      <w:r>
        <w:tab/>
        <w:t>(b)</w:t>
      </w:r>
      <w:r>
        <w:tab/>
        <w:t>the period expires on a day on which the registry of the Court is closed,</w:t>
      </w:r>
    </w:p>
    <w:p w:rsidR="00E86EC2" w:rsidRDefault="009F4E51">
      <w:pPr>
        <w:pStyle w:val="Subsection"/>
      </w:pPr>
      <w:r>
        <w:tab/>
      </w:r>
      <w:r>
        <w:tab/>
        <w:t>the period is to be taken to expire on the next day that the registry is open.</w:t>
      </w:r>
    </w:p>
    <w:p w:rsidR="00E86EC2" w:rsidRDefault="009F4E51">
      <w:pPr>
        <w:pStyle w:val="Subsection"/>
      </w:pPr>
      <w:r>
        <w:tab/>
        <w:t>(3)</w:t>
      </w:r>
      <w:r>
        <w:tab/>
        <w:t>Nothing in sub</w:t>
      </w:r>
      <w:r>
        <w:rPr>
          <w:rFonts w:ascii="Times" w:hAnsi="Times"/>
        </w:rPr>
        <w:t>rule</w:t>
      </w:r>
      <w:r>
        <w:t xml:space="preserve"> (2) affects the operation of the </w:t>
      </w:r>
      <w:r>
        <w:rPr>
          <w:i/>
        </w:rPr>
        <w:t>Interpretation Act 1984</w:t>
      </w:r>
      <w:r>
        <w:t xml:space="preserve"> section 61.</w:t>
      </w:r>
    </w:p>
    <w:p w:rsidR="00E86EC2" w:rsidRDefault="009F4E51">
      <w:pPr>
        <w:pStyle w:val="Heading5"/>
      </w:pPr>
      <w:bookmarkStart w:id="119" w:name="_Toc104266426"/>
      <w:bookmarkStart w:id="120" w:name="_Toc104790206"/>
      <w:r>
        <w:rPr>
          <w:rStyle w:val="CharSectno"/>
        </w:rPr>
        <w:t>13</w:t>
      </w:r>
      <w:r>
        <w:t>.</w:t>
      </w:r>
      <w:r>
        <w:tab/>
        <w:t>Court’s records, access to</w:t>
      </w:r>
      <w:bookmarkEnd w:id="119"/>
      <w:bookmarkEnd w:id="120"/>
    </w:p>
    <w:p w:rsidR="00E86EC2" w:rsidRDefault="009F4E51">
      <w:pPr>
        <w:pStyle w:val="Subsection"/>
      </w:pPr>
      <w:r>
        <w:tab/>
        <w:t>(1)</w:t>
      </w:r>
      <w:r>
        <w:tab/>
        <w:t xml:space="preserve">In this rule — </w:t>
      </w:r>
    </w:p>
    <w:p w:rsidR="00E86EC2" w:rsidRDefault="009F4E51">
      <w:pPr>
        <w:pStyle w:val="Defstart"/>
      </w:pPr>
      <w:r>
        <w:rPr>
          <w:b/>
        </w:rPr>
        <w:tab/>
        <w:t>“</w:t>
      </w:r>
      <w:r>
        <w:rPr>
          <w:rStyle w:val="CharDefText"/>
        </w:rPr>
        <w:t>electronic recording</w:t>
      </w:r>
      <w:r>
        <w:rPr>
          <w:b/>
        </w:rPr>
        <w:t>”</w:t>
      </w:r>
      <w:r>
        <w:t xml:space="preserve"> means any electronic or magnetic recording of sounds or moving images or both.</w:t>
      </w:r>
    </w:p>
    <w:p w:rsidR="00E86EC2" w:rsidRDefault="009F4E51">
      <w:pPr>
        <w:pStyle w:val="Subsection"/>
      </w:pPr>
      <w:r>
        <w:tab/>
        <w:t>(2)</w:t>
      </w:r>
      <w:r>
        <w:tab/>
        <w:t>This rule is subject to any other written law that relates to the possession or publication of documents and other records or to the possession of any thing.</w:t>
      </w:r>
    </w:p>
    <w:p w:rsidR="00E86EC2" w:rsidRDefault="009F4E51">
      <w:pPr>
        <w:pStyle w:val="Subsection"/>
      </w:pPr>
      <w:r>
        <w:tab/>
        <w:t>(3)</w:t>
      </w:r>
      <w:r>
        <w:tab/>
        <w:t>A party is entitled, on request, to inspect or obtain a copy of —</w:t>
      </w:r>
    </w:p>
    <w:p w:rsidR="00E86EC2" w:rsidRDefault="009F4E51">
      <w:pPr>
        <w:pStyle w:val="Indenta"/>
      </w:pPr>
      <w:r>
        <w:tab/>
        <w:t>(a)</w:t>
      </w:r>
      <w:r>
        <w:tab/>
        <w:t>any application and supporting documents (including plans and submissions); and</w:t>
      </w:r>
    </w:p>
    <w:p w:rsidR="00E86EC2" w:rsidRDefault="009F4E51">
      <w:pPr>
        <w:pStyle w:val="Indenta"/>
      </w:pPr>
      <w:r>
        <w:tab/>
        <w:t>(b)</w:t>
      </w:r>
      <w:r>
        <w:tab/>
        <w:t>any objection, complaint or referral, and any judgment or order of the Court.</w:t>
      </w:r>
    </w:p>
    <w:p w:rsidR="00E86EC2" w:rsidRDefault="009F4E51">
      <w:pPr>
        <w:pStyle w:val="Subsection"/>
        <w:keepNext/>
      </w:pPr>
      <w:r>
        <w:tab/>
        <w:t>(4)</w:t>
      </w:r>
      <w:r>
        <w:tab/>
        <w:t xml:space="preserve">With the leave of the Court, a party may — </w:t>
      </w:r>
    </w:p>
    <w:p w:rsidR="00E86EC2" w:rsidRDefault="009F4E51">
      <w:pPr>
        <w:pStyle w:val="Indenta"/>
        <w:keepNext/>
      </w:pPr>
      <w:r>
        <w:tab/>
        <w:t>(a)</w:t>
      </w:r>
      <w:r>
        <w:tab/>
        <w:t xml:space="preserve">listen to or view — </w:t>
      </w:r>
    </w:p>
    <w:p w:rsidR="00E86EC2" w:rsidRDefault="009F4E51">
      <w:pPr>
        <w:pStyle w:val="Indenti"/>
      </w:pPr>
      <w:r>
        <w:tab/>
        <w:t>(i)</w:t>
      </w:r>
      <w:r>
        <w:tab/>
        <w:t>any electronic recording tendered to the Court in the proceedings; or</w:t>
      </w:r>
    </w:p>
    <w:p w:rsidR="00E86EC2" w:rsidRDefault="009F4E51">
      <w:pPr>
        <w:pStyle w:val="Indenti"/>
      </w:pPr>
      <w:r>
        <w:lastRenderedPageBreak/>
        <w:tab/>
        <w:t>(ii)</w:t>
      </w:r>
      <w:r>
        <w:tab/>
        <w:t>any electronic recording of the proceedings in the proceedings,</w:t>
      </w:r>
    </w:p>
    <w:p w:rsidR="00E86EC2" w:rsidRDefault="009F4E51">
      <w:pPr>
        <w:pStyle w:val="Indenta"/>
      </w:pPr>
      <w:r>
        <w:tab/>
      </w:r>
      <w:r>
        <w:tab/>
        <w:t>and obtain a copy of all or a part of such a recording;</w:t>
      </w:r>
    </w:p>
    <w:p w:rsidR="00E86EC2" w:rsidRDefault="009F4E51">
      <w:pPr>
        <w:pStyle w:val="Indenta"/>
      </w:pPr>
      <w:r>
        <w:tab/>
        <w:t>(b)</w:t>
      </w:r>
      <w:r>
        <w:tab/>
        <w:t>inspect or obtain a copy of any document held by the Court in relation to the proceedings; or</w:t>
      </w:r>
    </w:p>
    <w:p w:rsidR="00E86EC2" w:rsidRDefault="009F4E51">
      <w:pPr>
        <w:pStyle w:val="Indenta"/>
      </w:pPr>
      <w:r>
        <w:tab/>
        <w:t>(c)</w:t>
      </w:r>
      <w:r>
        <w:tab/>
        <w:t>inspect any other thing tendered to the Court in the proceedings and, if it is practicable for the Court to make a copy of such a thing, to obtain a copy of it.</w:t>
      </w:r>
    </w:p>
    <w:p w:rsidR="00E86EC2" w:rsidRDefault="009F4E51">
      <w:pPr>
        <w:pStyle w:val="Heading5"/>
      </w:pPr>
      <w:bookmarkStart w:id="121" w:name="_Toc101676063"/>
      <w:bookmarkStart w:id="122" w:name="_Toc104266427"/>
      <w:bookmarkStart w:id="123" w:name="_Toc104790207"/>
      <w:r>
        <w:rPr>
          <w:rStyle w:val="CharSectno"/>
        </w:rPr>
        <w:t>14</w:t>
      </w:r>
      <w:r>
        <w:t>.</w:t>
      </w:r>
      <w:r>
        <w:tab/>
        <w:t>Availability of approved forms</w:t>
      </w:r>
      <w:bookmarkEnd w:id="121"/>
      <w:bookmarkEnd w:id="122"/>
      <w:bookmarkEnd w:id="123"/>
    </w:p>
    <w:p w:rsidR="00E86EC2" w:rsidRDefault="009F4E51">
      <w:pPr>
        <w:pStyle w:val="Subsection"/>
      </w:pPr>
      <w:r>
        <w:tab/>
      </w:r>
      <w:r>
        <w:tab/>
        <w:t xml:space="preserve">The Court is to make approved forms available — </w:t>
      </w:r>
    </w:p>
    <w:p w:rsidR="00E86EC2" w:rsidRDefault="009F4E51">
      <w:pPr>
        <w:pStyle w:val="Indenta"/>
      </w:pPr>
      <w:r>
        <w:tab/>
        <w:t>(a)</w:t>
      </w:r>
      <w:r>
        <w:tab/>
        <w:t>at its registry; and</w:t>
      </w:r>
    </w:p>
    <w:p w:rsidR="00E86EC2" w:rsidRDefault="009F4E51">
      <w:pPr>
        <w:pStyle w:val="Indenta"/>
      </w:pPr>
      <w:r>
        <w:tab/>
        <w:t>(b)</w:t>
      </w:r>
      <w:r>
        <w:tab/>
        <w:t>on request, by post.</w:t>
      </w:r>
    </w:p>
    <w:p w:rsidR="00E86EC2" w:rsidRDefault="009F4E51">
      <w:pPr>
        <w:pStyle w:val="Heading5"/>
      </w:pPr>
      <w:bookmarkStart w:id="124" w:name="_Toc104266428"/>
      <w:bookmarkStart w:id="125" w:name="_Toc104790208"/>
      <w:r>
        <w:rPr>
          <w:rStyle w:val="CharSectno"/>
        </w:rPr>
        <w:t>15</w:t>
      </w:r>
      <w:r>
        <w:t>.</w:t>
      </w:r>
      <w:r>
        <w:tab/>
        <w:t>Repeal and savings</w:t>
      </w:r>
      <w:bookmarkEnd w:id="124"/>
      <w:bookmarkEnd w:id="125"/>
    </w:p>
    <w:p w:rsidR="00E86EC2" w:rsidRDefault="009F4E51">
      <w:pPr>
        <w:pStyle w:val="Subsection"/>
        <w:rPr>
          <w:i/>
          <w:iCs/>
        </w:rPr>
      </w:pPr>
      <w:r>
        <w:tab/>
        <w:t>(1)</w:t>
      </w:r>
      <w:r>
        <w:tab/>
        <w:t xml:space="preserve">The </w:t>
      </w:r>
      <w:r>
        <w:rPr>
          <w:i/>
          <w:iCs/>
        </w:rPr>
        <w:t>Liquor Licensing Court Rules 1995</w:t>
      </w:r>
      <w:r>
        <w:t xml:space="preserve"> are repealed</w:t>
      </w:r>
      <w:r>
        <w:rPr>
          <w:i/>
          <w:iCs/>
        </w:rPr>
        <w:t>.</w:t>
      </w:r>
    </w:p>
    <w:p w:rsidR="00E86EC2" w:rsidRDefault="009F4E51">
      <w:pPr>
        <w:pStyle w:val="Subsection"/>
      </w:pPr>
      <w:r>
        <w:tab/>
        <w:t>(2)</w:t>
      </w:r>
      <w:r>
        <w:tab/>
        <w:t>Proceedings under the repealed rules subsisting immediately before the commencement day may be continued as if the repealed rules had not been repealed.</w:t>
      </w:r>
    </w:p>
    <w:p w:rsidR="00E86EC2" w:rsidRDefault="009F4E51">
      <w:pPr>
        <w:pStyle w:val="Subsection"/>
      </w:pPr>
      <w:r>
        <w:tab/>
        <w:t>(3)</w:t>
      </w:r>
      <w:r>
        <w:tab/>
        <w:t>In this rule —</w:t>
      </w:r>
    </w:p>
    <w:p w:rsidR="00E86EC2" w:rsidRDefault="009F4E51">
      <w:pPr>
        <w:pStyle w:val="Defstart"/>
      </w:pPr>
      <w:r>
        <w:tab/>
      </w:r>
      <w:r>
        <w:rPr>
          <w:b/>
        </w:rPr>
        <w:t>“</w:t>
      </w:r>
      <w:r>
        <w:rPr>
          <w:rStyle w:val="CharDefText"/>
        </w:rPr>
        <w:t>commencement day</w:t>
      </w:r>
      <w:r>
        <w:rPr>
          <w:b/>
        </w:rPr>
        <w:t>”</w:t>
      </w:r>
      <w:r>
        <w:t xml:space="preserve"> means the day on which these rules come into operation;</w:t>
      </w:r>
    </w:p>
    <w:p w:rsidR="00E86EC2" w:rsidRDefault="009F4E51">
      <w:pPr>
        <w:pStyle w:val="Defstart"/>
      </w:pPr>
      <w:r>
        <w:tab/>
      </w:r>
      <w:r>
        <w:rPr>
          <w:b/>
        </w:rPr>
        <w:t>“</w:t>
      </w:r>
      <w:r>
        <w:rPr>
          <w:rStyle w:val="CharDefText"/>
        </w:rPr>
        <w:t>repealed rules</w:t>
      </w:r>
      <w:r>
        <w:rPr>
          <w:b/>
        </w:rPr>
        <w:t>”</w:t>
      </w:r>
      <w:r>
        <w:t xml:space="preserve"> means the rules repealed by subrule (1).</w:t>
      </w:r>
    </w:p>
    <w:p w:rsidR="00E86EC2" w:rsidRDefault="00E86EC2">
      <w:pPr>
        <w:sectPr w:rsidR="00E86EC2">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26" w:name="_Toc104266429"/>
    </w:p>
    <w:p w:rsidR="00E86EC2" w:rsidRDefault="009F4E51">
      <w:pPr>
        <w:pStyle w:val="yScheduleHeading"/>
      </w:pPr>
      <w:bookmarkStart w:id="127" w:name="_Toc104790209"/>
      <w:r>
        <w:rPr>
          <w:rStyle w:val="CharSchNo"/>
        </w:rPr>
        <w:lastRenderedPageBreak/>
        <w:t>Schedule 1</w:t>
      </w:r>
      <w:r>
        <w:rPr>
          <w:rStyle w:val="CharSDivNo"/>
        </w:rPr>
        <w:t> </w:t>
      </w:r>
      <w:r>
        <w:t>—</w:t>
      </w:r>
      <w:r>
        <w:rPr>
          <w:rStyle w:val="CharSDivText"/>
        </w:rPr>
        <w:t> </w:t>
      </w:r>
      <w:r>
        <w:rPr>
          <w:rStyle w:val="CharSchText"/>
        </w:rPr>
        <w:t>Forms</w:t>
      </w:r>
      <w:bookmarkEnd w:id="126"/>
      <w:bookmarkEnd w:id="127"/>
    </w:p>
    <w:p w:rsidR="00E86EC2" w:rsidRDefault="009F4E51">
      <w:pPr>
        <w:pStyle w:val="yShoulderClause"/>
      </w:pPr>
      <w:r>
        <w:t>[r. 4(1)(a)]</w:t>
      </w:r>
    </w:p>
    <w:p w:rsidR="00E86EC2" w:rsidRDefault="009F4E51">
      <w:pPr>
        <w:pStyle w:val="yHeading5"/>
        <w:keepNext w:val="0"/>
        <w:keepLines w:val="0"/>
        <w:tabs>
          <w:tab w:val="clear" w:pos="879"/>
        </w:tabs>
        <w:spacing w:after="120"/>
        <w:ind w:left="567" w:hanging="567"/>
        <w:outlineLvl w:val="9"/>
      </w:pPr>
      <w:bookmarkStart w:id="128" w:name="_Toc99870329"/>
      <w:bookmarkStart w:id="129" w:name="_Toc100470433"/>
      <w:bookmarkStart w:id="130" w:name="_Toc104266430"/>
      <w:bookmarkStart w:id="131" w:name="_Toc104790210"/>
      <w:r>
        <w:rPr>
          <w:rStyle w:val="CharSClsNo"/>
        </w:rPr>
        <w:t>1</w:t>
      </w:r>
      <w:r>
        <w:t>.</w:t>
      </w:r>
      <w:r>
        <w:tab/>
      </w:r>
      <w:bookmarkEnd w:id="128"/>
      <w:bookmarkEnd w:id="129"/>
      <w:r>
        <w:t>Application for review of decision by Director of Liquor Licensing</w:t>
      </w:r>
      <w:bookmarkEnd w:id="130"/>
      <w:bookmarkEnd w:id="131"/>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rsidR="00E86EC2">
        <w:trPr>
          <w:cantSplit/>
        </w:trPr>
        <w:tc>
          <w:tcPr>
            <w:tcW w:w="3686" w:type="dxa"/>
            <w:gridSpan w:val="4"/>
            <w:tcBorders>
              <w:bottom w:val="single" w:sz="4" w:space="0" w:color="auto"/>
            </w:tcBorders>
          </w:tcPr>
          <w:p w:rsidR="00E86EC2" w:rsidRDefault="009F4E51">
            <w:pPr>
              <w:pStyle w:val="yTable"/>
              <w:rPr>
                <w:iCs/>
              </w:rPr>
            </w:pPr>
            <w:r>
              <w:t>Liquor Licensing Act 1988</w:t>
            </w:r>
            <w:r>
              <w:rPr>
                <w:iCs/>
              </w:rPr>
              <w:t xml:space="preserve"> s. 25</w:t>
            </w:r>
          </w:p>
          <w:p w:rsidR="00E86EC2" w:rsidRDefault="009F4E51">
            <w:pPr>
              <w:pStyle w:val="yTable"/>
            </w:pPr>
            <w:r>
              <w:t>Liquor Licensing Court</w:t>
            </w:r>
          </w:p>
          <w:p w:rsidR="00E86EC2" w:rsidRDefault="009F4E51">
            <w:pPr>
              <w:pStyle w:val="yTable"/>
              <w:rPr>
                <w:b/>
              </w:rPr>
            </w:pPr>
            <w:r>
              <w:t>No:</w:t>
            </w:r>
          </w:p>
        </w:tc>
        <w:tc>
          <w:tcPr>
            <w:tcW w:w="3402" w:type="dxa"/>
            <w:gridSpan w:val="3"/>
            <w:tcBorders>
              <w:bottom w:val="single" w:sz="4" w:space="0" w:color="auto"/>
            </w:tcBorders>
          </w:tcPr>
          <w:p w:rsidR="00E86EC2" w:rsidRDefault="009F4E51">
            <w:pPr>
              <w:pStyle w:val="yTable"/>
              <w:rPr>
                <w:b/>
                <w:bCs/>
              </w:rPr>
            </w:pPr>
            <w:r>
              <w:rPr>
                <w:b/>
                <w:bCs/>
              </w:rPr>
              <w:t>Application for review of decision by Director of Liquor Licensing</w:t>
            </w:r>
          </w:p>
        </w:tc>
      </w:tr>
      <w:tr w:rsidR="00E86EC2">
        <w:trPr>
          <w:cantSplit/>
          <w:trHeight w:val="90"/>
        </w:trPr>
        <w:tc>
          <w:tcPr>
            <w:tcW w:w="1418" w:type="dxa"/>
            <w:vMerge w:val="restart"/>
          </w:tcPr>
          <w:p w:rsidR="00E86EC2" w:rsidRDefault="009F4E51">
            <w:pPr>
              <w:pStyle w:val="yTable"/>
            </w:pPr>
            <w:r>
              <w:t>Applicant</w:t>
            </w:r>
          </w:p>
        </w:tc>
        <w:tc>
          <w:tcPr>
            <w:tcW w:w="1234" w:type="dxa"/>
            <w:tcBorders>
              <w:bottom w:val="single" w:sz="4" w:space="0" w:color="auto"/>
            </w:tcBorders>
          </w:tcPr>
          <w:p w:rsidR="00E86EC2" w:rsidRDefault="009F4E51">
            <w:pPr>
              <w:pStyle w:val="yTable"/>
            </w:pPr>
            <w:r>
              <w:t>Full name</w:t>
            </w:r>
          </w:p>
        </w:tc>
        <w:tc>
          <w:tcPr>
            <w:tcW w:w="4436" w:type="dxa"/>
            <w:gridSpan w:val="5"/>
            <w:tcBorders>
              <w:bottom w:val="single" w:sz="4" w:space="0" w:color="auto"/>
            </w:tcBorders>
          </w:tcPr>
          <w:p w:rsidR="00E86EC2" w:rsidRDefault="00E86EC2">
            <w:pPr>
              <w:pStyle w:val="yTable"/>
            </w:pPr>
          </w:p>
        </w:tc>
      </w:tr>
      <w:tr w:rsidR="00E86EC2">
        <w:trPr>
          <w:cantSplit/>
          <w:trHeight w:val="87"/>
        </w:trPr>
        <w:tc>
          <w:tcPr>
            <w:tcW w:w="1418" w:type="dxa"/>
            <w:vMerge/>
          </w:tcPr>
          <w:p w:rsidR="00E86EC2" w:rsidRDefault="00E86EC2">
            <w:pPr>
              <w:pStyle w:val="yTable"/>
            </w:pPr>
          </w:p>
        </w:tc>
        <w:tc>
          <w:tcPr>
            <w:tcW w:w="1234" w:type="dxa"/>
            <w:tcBorders>
              <w:bottom w:val="single" w:sz="4" w:space="0" w:color="auto"/>
            </w:tcBorders>
          </w:tcPr>
          <w:p w:rsidR="00E86EC2" w:rsidRDefault="009F4E51">
            <w:pPr>
              <w:pStyle w:val="yTable"/>
            </w:pPr>
            <w:r>
              <w:t>Address</w:t>
            </w:r>
          </w:p>
        </w:tc>
        <w:tc>
          <w:tcPr>
            <w:tcW w:w="4436" w:type="dxa"/>
            <w:gridSpan w:val="5"/>
            <w:tcBorders>
              <w:bottom w:val="single" w:sz="4" w:space="0" w:color="auto"/>
            </w:tcBorders>
          </w:tcPr>
          <w:p w:rsidR="00E86EC2" w:rsidRDefault="00E86EC2">
            <w:pPr>
              <w:pStyle w:val="yTable"/>
            </w:pPr>
          </w:p>
          <w:p w:rsidR="00E86EC2" w:rsidRDefault="00E86EC2">
            <w:pPr>
              <w:pStyle w:val="yTable"/>
            </w:pPr>
          </w:p>
        </w:tc>
      </w:tr>
      <w:tr w:rsidR="00E86EC2">
        <w:trPr>
          <w:cantSplit/>
          <w:trHeight w:val="90"/>
        </w:trPr>
        <w:tc>
          <w:tcPr>
            <w:tcW w:w="1418" w:type="dxa"/>
            <w:vMerge w:val="restart"/>
            <w:tcBorders>
              <w:bottom w:val="single" w:sz="4" w:space="0" w:color="auto"/>
            </w:tcBorders>
          </w:tcPr>
          <w:p w:rsidR="00E86EC2" w:rsidRDefault="009F4E51">
            <w:pPr>
              <w:pStyle w:val="yTable"/>
            </w:pPr>
            <w:r>
              <w:t>Details of decision of Director</w:t>
            </w:r>
          </w:p>
          <w:p w:rsidR="00E86EC2" w:rsidRDefault="009F4E51">
            <w:pPr>
              <w:pStyle w:val="yTable"/>
              <w:rPr>
                <w:rFonts w:ascii="Times" w:hAnsi="Times"/>
                <w:sz w:val="16"/>
              </w:rPr>
            </w:pPr>
            <w:r>
              <w:rPr>
                <w:rFonts w:ascii="Times" w:hAnsi="Times"/>
                <w:sz w:val="16"/>
              </w:rPr>
              <w:t>(attach copy of decision)</w:t>
            </w:r>
          </w:p>
        </w:tc>
        <w:tc>
          <w:tcPr>
            <w:tcW w:w="1701" w:type="dxa"/>
            <w:gridSpan w:val="2"/>
            <w:tcBorders>
              <w:bottom w:val="single" w:sz="4" w:space="0" w:color="auto"/>
            </w:tcBorders>
          </w:tcPr>
          <w:p w:rsidR="00E86EC2" w:rsidRDefault="009F4E51">
            <w:pPr>
              <w:pStyle w:val="yTable"/>
            </w:pPr>
            <w:r>
              <w:t>Decision No.</w:t>
            </w:r>
          </w:p>
        </w:tc>
        <w:tc>
          <w:tcPr>
            <w:tcW w:w="3969" w:type="dxa"/>
            <w:gridSpan w:val="4"/>
            <w:tcBorders>
              <w:bottom w:val="single" w:sz="4" w:space="0" w:color="auto"/>
            </w:tcBorders>
          </w:tcPr>
          <w:p w:rsidR="00E86EC2" w:rsidRDefault="00E86EC2">
            <w:pPr>
              <w:pStyle w:val="yTable"/>
            </w:pPr>
          </w:p>
        </w:tc>
      </w:tr>
      <w:tr w:rsidR="00E86EC2">
        <w:trPr>
          <w:cantSplit/>
          <w:trHeight w:val="87"/>
        </w:trPr>
        <w:tc>
          <w:tcPr>
            <w:tcW w:w="1418" w:type="dxa"/>
            <w:vMerge/>
            <w:tcBorders>
              <w:bottom w:val="single" w:sz="4" w:space="0" w:color="auto"/>
            </w:tcBorders>
          </w:tcPr>
          <w:p w:rsidR="00E86EC2" w:rsidRDefault="00E86EC2">
            <w:pPr>
              <w:pStyle w:val="yTable"/>
            </w:pPr>
          </w:p>
        </w:tc>
        <w:tc>
          <w:tcPr>
            <w:tcW w:w="1701" w:type="dxa"/>
            <w:gridSpan w:val="2"/>
            <w:tcBorders>
              <w:bottom w:val="single" w:sz="4" w:space="0" w:color="auto"/>
            </w:tcBorders>
          </w:tcPr>
          <w:p w:rsidR="00E86EC2" w:rsidRDefault="009F4E51">
            <w:pPr>
              <w:pStyle w:val="yTable"/>
              <w:rPr>
                <w:vertAlign w:val="superscript"/>
              </w:rPr>
            </w:pPr>
            <w:r>
              <w:t>Date of decision</w:t>
            </w:r>
          </w:p>
        </w:tc>
        <w:tc>
          <w:tcPr>
            <w:tcW w:w="3969" w:type="dxa"/>
            <w:gridSpan w:val="4"/>
            <w:tcBorders>
              <w:bottom w:val="single" w:sz="4" w:space="0" w:color="auto"/>
            </w:tcBorders>
          </w:tcPr>
          <w:p w:rsidR="00E86EC2" w:rsidRDefault="00E86EC2">
            <w:pPr>
              <w:pStyle w:val="yTable"/>
            </w:pPr>
          </w:p>
        </w:tc>
      </w:tr>
      <w:tr w:rsidR="00E86EC2">
        <w:trPr>
          <w:cantSplit/>
          <w:trHeight w:val="87"/>
        </w:trPr>
        <w:tc>
          <w:tcPr>
            <w:tcW w:w="1418" w:type="dxa"/>
            <w:vMerge/>
            <w:tcBorders>
              <w:bottom w:val="single" w:sz="4" w:space="0" w:color="auto"/>
            </w:tcBorders>
          </w:tcPr>
          <w:p w:rsidR="00E86EC2" w:rsidRDefault="00E86EC2">
            <w:pPr>
              <w:pStyle w:val="yTable"/>
            </w:pPr>
          </w:p>
        </w:tc>
        <w:tc>
          <w:tcPr>
            <w:tcW w:w="1701" w:type="dxa"/>
            <w:gridSpan w:val="2"/>
            <w:tcBorders>
              <w:bottom w:val="single" w:sz="4" w:space="0" w:color="auto"/>
            </w:tcBorders>
          </w:tcPr>
          <w:p w:rsidR="00E86EC2" w:rsidRDefault="009F4E51">
            <w:pPr>
              <w:pStyle w:val="yTable"/>
            </w:pPr>
            <w:r>
              <w:t>Applicant (if not the same as above)</w:t>
            </w:r>
          </w:p>
        </w:tc>
        <w:tc>
          <w:tcPr>
            <w:tcW w:w="3969" w:type="dxa"/>
            <w:gridSpan w:val="4"/>
            <w:tcBorders>
              <w:bottom w:val="single" w:sz="4" w:space="0" w:color="auto"/>
            </w:tcBorders>
          </w:tcPr>
          <w:p w:rsidR="00E86EC2" w:rsidRDefault="00E86EC2">
            <w:pPr>
              <w:pStyle w:val="yTable"/>
            </w:pPr>
          </w:p>
        </w:tc>
      </w:tr>
      <w:tr w:rsidR="00E86EC2">
        <w:trPr>
          <w:cantSplit/>
          <w:trHeight w:val="87"/>
        </w:trPr>
        <w:tc>
          <w:tcPr>
            <w:tcW w:w="1418" w:type="dxa"/>
            <w:vMerge/>
            <w:tcBorders>
              <w:bottom w:val="single" w:sz="4" w:space="0" w:color="auto"/>
            </w:tcBorders>
          </w:tcPr>
          <w:p w:rsidR="00E86EC2" w:rsidRDefault="00E86EC2">
            <w:pPr>
              <w:pStyle w:val="yTable"/>
            </w:pPr>
          </w:p>
        </w:tc>
        <w:tc>
          <w:tcPr>
            <w:tcW w:w="1701" w:type="dxa"/>
            <w:gridSpan w:val="2"/>
            <w:tcBorders>
              <w:bottom w:val="single" w:sz="4" w:space="0" w:color="auto"/>
            </w:tcBorders>
          </w:tcPr>
          <w:p w:rsidR="00E86EC2" w:rsidRDefault="009F4E51">
            <w:pPr>
              <w:pStyle w:val="yTable"/>
            </w:pPr>
            <w:r>
              <w:t>Premises</w:t>
            </w:r>
          </w:p>
        </w:tc>
        <w:tc>
          <w:tcPr>
            <w:tcW w:w="3969" w:type="dxa"/>
            <w:gridSpan w:val="4"/>
            <w:tcBorders>
              <w:bottom w:val="single" w:sz="4" w:space="0" w:color="auto"/>
            </w:tcBorders>
          </w:tcPr>
          <w:p w:rsidR="00E86EC2" w:rsidRDefault="00E86EC2">
            <w:pPr>
              <w:pStyle w:val="yTable"/>
            </w:pPr>
          </w:p>
        </w:tc>
      </w:tr>
      <w:tr w:rsidR="00E86EC2">
        <w:trPr>
          <w:cantSplit/>
        </w:trPr>
        <w:tc>
          <w:tcPr>
            <w:tcW w:w="1418" w:type="dxa"/>
          </w:tcPr>
          <w:p w:rsidR="00E86EC2" w:rsidRDefault="009F4E51">
            <w:pPr>
              <w:pStyle w:val="yTable"/>
            </w:pPr>
            <w:r>
              <w:t>Grounds for this application</w:t>
            </w:r>
          </w:p>
          <w:p w:rsidR="00E86EC2" w:rsidRDefault="009F4E51">
            <w:pPr>
              <w:pStyle w:val="yTable"/>
              <w:rPr>
                <w:rFonts w:ascii="Times" w:hAnsi="Times"/>
                <w:sz w:val="16"/>
              </w:rPr>
            </w:pPr>
            <w:r>
              <w:rPr>
                <w:rFonts w:ascii="Times" w:hAnsi="Times"/>
                <w:sz w:val="16"/>
              </w:rPr>
              <w:t>(State each ground.  If space is insufficient use an attachment)</w:t>
            </w:r>
          </w:p>
        </w:tc>
        <w:tc>
          <w:tcPr>
            <w:tcW w:w="5670" w:type="dxa"/>
            <w:gridSpan w:val="6"/>
          </w:tcPr>
          <w:p w:rsidR="00E86EC2" w:rsidRDefault="00E86EC2">
            <w:pPr>
              <w:pStyle w:val="yTable"/>
              <w:rPr>
                <w:iCs/>
              </w:rPr>
            </w:pPr>
          </w:p>
          <w:p w:rsidR="00E86EC2" w:rsidRDefault="00E86EC2">
            <w:pPr>
              <w:pStyle w:val="yTable"/>
              <w:rPr>
                <w:iCs/>
              </w:rPr>
            </w:pPr>
          </w:p>
          <w:p w:rsidR="00E86EC2" w:rsidRDefault="00E86EC2">
            <w:pPr>
              <w:pStyle w:val="yTable"/>
              <w:rPr>
                <w:iCs/>
              </w:rPr>
            </w:pPr>
          </w:p>
          <w:p w:rsidR="00E86EC2" w:rsidRDefault="00E86EC2">
            <w:pPr>
              <w:pStyle w:val="yTable"/>
              <w:rPr>
                <w:iCs/>
              </w:rPr>
            </w:pPr>
          </w:p>
          <w:p w:rsidR="00E86EC2" w:rsidRDefault="00E86EC2">
            <w:pPr>
              <w:pStyle w:val="yTable"/>
              <w:rPr>
                <w:iCs/>
              </w:rPr>
            </w:pPr>
          </w:p>
          <w:p w:rsidR="00E86EC2" w:rsidRDefault="00E86EC2">
            <w:pPr>
              <w:pStyle w:val="yTable"/>
              <w:rPr>
                <w:iCs/>
              </w:rPr>
            </w:pPr>
          </w:p>
          <w:p w:rsidR="00E86EC2" w:rsidRDefault="00E86EC2">
            <w:pPr>
              <w:pStyle w:val="yTable"/>
              <w:rPr>
                <w:iCs/>
              </w:rPr>
            </w:pPr>
          </w:p>
          <w:p w:rsidR="00E86EC2" w:rsidRDefault="00E86EC2">
            <w:pPr>
              <w:pStyle w:val="yTable"/>
              <w:rPr>
                <w:iCs/>
              </w:rPr>
            </w:pPr>
          </w:p>
          <w:p w:rsidR="00E86EC2" w:rsidRDefault="00E86EC2">
            <w:pPr>
              <w:pStyle w:val="yTable"/>
              <w:rPr>
                <w:iCs/>
              </w:rPr>
            </w:pPr>
          </w:p>
          <w:p w:rsidR="00E86EC2" w:rsidRDefault="00E86EC2">
            <w:pPr>
              <w:pStyle w:val="yTable"/>
              <w:rPr>
                <w:iCs/>
              </w:rPr>
            </w:pPr>
          </w:p>
        </w:tc>
      </w:tr>
      <w:tr w:rsidR="00E86EC2">
        <w:trPr>
          <w:cantSplit/>
        </w:trPr>
        <w:tc>
          <w:tcPr>
            <w:tcW w:w="1418" w:type="dxa"/>
            <w:tcBorders>
              <w:top w:val="single" w:sz="4" w:space="0" w:color="auto"/>
              <w:bottom w:val="single" w:sz="4" w:space="0" w:color="auto"/>
            </w:tcBorders>
          </w:tcPr>
          <w:p w:rsidR="00E86EC2" w:rsidRDefault="009F4E51">
            <w:pPr>
              <w:pStyle w:val="yTable"/>
            </w:pPr>
            <w:r>
              <w:t>Signature of applicant</w:t>
            </w:r>
          </w:p>
        </w:tc>
        <w:tc>
          <w:tcPr>
            <w:tcW w:w="3402" w:type="dxa"/>
            <w:gridSpan w:val="4"/>
            <w:tcBorders>
              <w:top w:val="single" w:sz="4" w:space="0" w:color="auto"/>
              <w:bottom w:val="single" w:sz="4" w:space="0" w:color="auto"/>
            </w:tcBorders>
          </w:tcPr>
          <w:p w:rsidR="00E86EC2" w:rsidRDefault="00E86EC2">
            <w:pPr>
              <w:pStyle w:val="yTable"/>
            </w:pPr>
          </w:p>
        </w:tc>
        <w:tc>
          <w:tcPr>
            <w:tcW w:w="709" w:type="dxa"/>
            <w:tcBorders>
              <w:top w:val="single" w:sz="4" w:space="0" w:color="auto"/>
              <w:bottom w:val="single" w:sz="4" w:space="0" w:color="auto"/>
            </w:tcBorders>
          </w:tcPr>
          <w:p w:rsidR="00E86EC2" w:rsidRDefault="009F4E51">
            <w:pPr>
              <w:pStyle w:val="yTable"/>
            </w:pPr>
            <w:r>
              <w:t>Date</w:t>
            </w:r>
          </w:p>
        </w:tc>
        <w:tc>
          <w:tcPr>
            <w:tcW w:w="1559" w:type="dxa"/>
            <w:tcBorders>
              <w:top w:val="single" w:sz="4" w:space="0" w:color="auto"/>
              <w:bottom w:val="single" w:sz="4" w:space="0" w:color="auto"/>
            </w:tcBorders>
          </w:tcPr>
          <w:p w:rsidR="00E86EC2" w:rsidRDefault="00E86EC2">
            <w:pPr>
              <w:pStyle w:val="yTable"/>
            </w:pPr>
          </w:p>
        </w:tc>
      </w:tr>
    </w:tbl>
    <w:p w:rsidR="00E86EC2" w:rsidRDefault="00E86EC2">
      <w:pPr>
        <w:sectPr w:rsidR="00E86EC2">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E86EC2" w:rsidRDefault="009F4E51">
      <w:pPr>
        <w:pStyle w:val="nHeading2"/>
      </w:pPr>
      <w:bookmarkStart w:id="132" w:name="_Toc104790211"/>
      <w:r>
        <w:lastRenderedPageBreak/>
        <w:t>Notes</w:t>
      </w:r>
      <w:bookmarkEnd w:id="132"/>
    </w:p>
    <w:p w:rsidR="00E86EC2" w:rsidRDefault="009F4E51">
      <w:pPr>
        <w:pStyle w:val="nSubsection"/>
        <w:rPr>
          <w:snapToGrid w:val="0"/>
        </w:rPr>
      </w:pPr>
      <w:r>
        <w:rPr>
          <w:snapToGrid w:val="0"/>
          <w:vertAlign w:val="superscript"/>
        </w:rPr>
        <w:t>1</w:t>
      </w:r>
      <w:r>
        <w:rPr>
          <w:snapToGrid w:val="0"/>
        </w:rPr>
        <w:tab/>
        <w:t xml:space="preserve">This is a compilation of the </w:t>
      </w:r>
      <w:r>
        <w:rPr>
          <w:i/>
          <w:noProof/>
          <w:snapToGrid w:val="0"/>
        </w:rPr>
        <w:t>Liquor Licensing Court Rules 2005</w:t>
      </w:r>
      <w:r>
        <w:rPr>
          <w:snapToGrid w:val="0"/>
        </w:rPr>
        <w:t>.  The following table contains information about those rules.</w:t>
      </w:r>
    </w:p>
    <w:p w:rsidR="00E86EC2" w:rsidRDefault="009F4E51">
      <w:pPr>
        <w:pStyle w:val="nHeading3"/>
      </w:pPr>
      <w:bookmarkStart w:id="133" w:name="_Toc70311430"/>
      <w:bookmarkStart w:id="134" w:name="_Toc104790212"/>
      <w:r>
        <w:t>Compilation table</w:t>
      </w:r>
      <w:bookmarkEnd w:id="133"/>
      <w:bookmarkEnd w:id="13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E86EC2">
        <w:trPr>
          <w:tblHeader/>
        </w:trPr>
        <w:tc>
          <w:tcPr>
            <w:tcW w:w="3118" w:type="dxa"/>
            <w:tcBorders>
              <w:top w:val="single" w:sz="8" w:space="0" w:color="auto"/>
              <w:bottom w:val="single" w:sz="8" w:space="0" w:color="auto"/>
            </w:tcBorders>
          </w:tcPr>
          <w:p w:rsidR="00E86EC2" w:rsidRDefault="009F4E51">
            <w:pPr>
              <w:pStyle w:val="nTable"/>
              <w:spacing w:before="60" w:after="60"/>
              <w:rPr>
                <w:b/>
                <w:sz w:val="19"/>
              </w:rPr>
            </w:pPr>
            <w:r>
              <w:rPr>
                <w:b/>
                <w:sz w:val="19"/>
              </w:rPr>
              <w:t>Citation</w:t>
            </w:r>
          </w:p>
        </w:tc>
        <w:tc>
          <w:tcPr>
            <w:tcW w:w="1276" w:type="dxa"/>
            <w:tcBorders>
              <w:top w:val="single" w:sz="8" w:space="0" w:color="auto"/>
              <w:bottom w:val="single" w:sz="8" w:space="0" w:color="auto"/>
            </w:tcBorders>
          </w:tcPr>
          <w:p w:rsidR="00E86EC2" w:rsidRDefault="009F4E51">
            <w:pPr>
              <w:pStyle w:val="nTable"/>
              <w:spacing w:before="60" w:after="60"/>
              <w:rPr>
                <w:b/>
                <w:sz w:val="19"/>
              </w:rPr>
            </w:pPr>
            <w:r>
              <w:rPr>
                <w:b/>
                <w:sz w:val="19"/>
              </w:rPr>
              <w:t>Gazettal</w:t>
            </w:r>
          </w:p>
        </w:tc>
        <w:tc>
          <w:tcPr>
            <w:tcW w:w="2693" w:type="dxa"/>
            <w:tcBorders>
              <w:top w:val="single" w:sz="8" w:space="0" w:color="auto"/>
              <w:bottom w:val="single" w:sz="8" w:space="0" w:color="auto"/>
            </w:tcBorders>
          </w:tcPr>
          <w:p w:rsidR="00E86EC2" w:rsidRDefault="009F4E51">
            <w:pPr>
              <w:pStyle w:val="nTable"/>
              <w:spacing w:before="60" w:after="60"/>
              <w:rPr>
                <w:b/>
                <w:sz w:val="19"/>
              </w:rPr>
            </w:pPr>
            <w:r>
              <w:rPr>
                <w:b/>
                <w:sz w:val="19"/>
              </w:rPr>
              <w:t>Commencement</w:t>
            </w:r>
          </w:p>
        </w:tc>
      </w:tr>
      <w:tr w:rsidR="00E86EC2">
        <w:tc>
          <w:tcPr>
            <w:tcW w:w="3118" w:type="dxa"/>
            <w:tcBorders>
              <w:top w:val="single" w:sz="8" w:space="0" w:color="auto"/>
              <w:bottom w:val="single" w:sz="4" w:space="0" w:color="auto"/>
            </w:tcBorders>
          </w:tcPr>
          <w:p w:rsidR="00E86EC2" w:rsidRDefault="009F4E51">
            <w:pPr>
              <w:pStyle w:val="nTable"/>
              <w:rPr>
                <w:iCs/>
                <w:sz w:val="19"/>
                <w:vertAlign w:val="superscript"/>
              </w:rPr>
            </w:pPr>
            <w:r>
              <w:rPr>
                <w:i/>
                <w:noProof/>
                <w:snapToGrid w:val="0"/>
                <w:sz w:val="19"/>
              </w:rPr>
              <w:t>Liquor Licensing Court Rules 2005 </w:t>
            </w:r>
            <w:r>
              <w:rPr>
                <w:iCs/>
                <w:noProof/>
                <w:snapToGrid w:val="0"/>
                <w:sz w:val="19"/>
                <w:vertAlign w:val="superscript"/>
              </w:rPr>
              <w:t>2</w:t>
            </w:r>
          </w:p>
        </w:tc>
        <w:tc>
          <w:tcPr>
            <w:tcW w:w="1276" w:type="dxa"/>
            <w:tcBorders>
              <w:top w:val="single" w:sz="8" w:space="0" w:color="auto"/>
              <w:bottom w:val="single" w:sz="4" w:space="0" w:color="auto"/>
            </w:tcBorders>
          </w:tcPr>
          <w:p w:rsidR="00E86EC2" w:rsidRDefault="009F4E51">
            <w:pPr>
              <w:pStyle w:val="nTable"/>
              <w:rPr>
                <w:sz w:val="19"/>
              </w:rPr>
            </w:pPr>
            <w:r>
              <w:rPr>
                <w:sz w:val="19"/>
              </w:rPr>
              <w:t>26 May 2005 p. 2277</w:t>
            </w:r>
            <w:r>
              <w:rPr>
                <w:sz w:val="19"/>
              </w:rPr>
              <w:noBreakHyphen/>
              <w:t>89</w:t>
            </w:r>
          </w:p>
        </w:tc>
        <w:tc>
          <w:tcPr>
            <w:tcW w:w="2693" w:type="dxa"/>
            <w:tcBorders>
              <w:top w:val="single" w:sz="8" w:space="0" w:color="auto"/>
              <w:bottom w:val="single" w:sz="4" w:space="0" w:color="auto"/>
            </w:tcBorders>
          </w:tcPr>
          <w:p w:rsidR="00E86EC2" w:rsidRDefault="009F4E51">
            <w:pPr>
              <w:pStyle w:val="nTable"/>
            </w:pPr>
            <w:r>
              <w:rPr>
                <w:sz w:val="19"/>
              </w:rPr>
              <w:t>26 </w:t>
            </w:r>
            <w:r>
              <w:t>May 2005</w:t>
            </w:r>
          </w:p>
        </w:tc>
      </w:tr>
    </w:tbl>
    <w:p w:rsidR="00E86EC2" w:rsidRDefault="009F4E51">
      <w:pPr>
        <w:pStyle w:val="nSubsection"/>
        <w:rPr>
          <w:iCs/>
        </w:rPr>
      </w:pPr>
      <w:r>
        <w:rPr>
          <w:iCs/>
          <w:vertAlign w:val="superscript"/>
        </w:rPr>
        <w:t>2</w:t>
      </w:r>
      <w:r>
        <w:rPr>
          <w:iCs/>
        </w:rPr>
        <w:tab/>
        <w:t xml:space="preserve">The </w:t>
      </w:r>
      <w:r>
        <w:rPr>
          <w:i/>
        </w:rPr>
        <w:t xml:space="preserve">Liquor and Gaming Legislation Amendment Act 2006 </w:t>
      </w:r>
      <w:r>
        <w:rPr>
          <w:iCs/>
        </w:rPr>
        <w:t>replaced references in</w:t>
      </w:r>
      <w:r>
        <w:rPr>
          <w:i/>
        </w:rPr>
        <w:t xml:space="preserve"> </w:t>
      </w:r>
      <w:r>
        <w:rPr>
          <w:iCs/>
        </w:rPr>
        <w:t>the</w:t>
      </w:r>
      <w:r>
        <w:rPr>
          <w:i/>
        </w:rPr>
        <w:t xml:space="preserve"> Liquor Control Act 1988</w:t>
      </w:r>
      <w:r>
        <w:rPr>
          <w:iCs/>
        </w:rPr>
        <w:t xml:space="preserve"> to the Liquor Licensing Court with references to the new Liquor Commission.  However, under the </w:t>
      </w:r>
      <w:r>
        <w:rPr>
          <w:i/>
        </w:rPr>
        <w:t>Liquor Control Act 1988</w:t>
      </w:r>
      <w:r>
        <w:rPr>
          <w:iCs/>
        </w:rPr>
        <w:t xml:space="preserve"> Schedule 1A clause 2, the Liquor Licensing Court will continue in operation to complete the hearing or determination of certain applications and matters until the date specified by the Minister in a notice published in the </w:t>
      </w:r>
      <w:r>
        <w:rPr>
          <w:i/>
        </w:rPr>
        <w:t>Gazette</w:t>
      </w:r>
      <w:r>
        <w:rPr>
          <w:iCs/>
        </w:rPr>
        <w:t>.</w:t>
      </w:r>
    </w:p>
    <w:p w:rsidR="00E86EC2" w:rsidRDefault="00E86EC2">
      <w:pPr>
        <w:sectPr w:rsidR="00E86EC2">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E86EC2" w:rsidRDefault="00E86EC2"/>
    <w:sectPr w:rsidR="00E86EC2">
      <w:headerReference w:type="even" r:id="rId31"/>
      <w:endnotePr>
        <w:numFmt w:val="decimal"/>
      </w:endnotePr>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EC2" w:rsidRDefault="009F4E51">
      <w:pPr>
        <w:rPr>
          <w:b/>
          <w:sz w:val="28"/>
        </w:rPr>
      </w:pPr>
      <w:r>
        <w:rPr>
          <w:b/>
          <w:sz w:val="28"/>
        </w:rPr>
        <w:t>Endnotes</w:t>
      </w:r>
    </w:p>
    <w:p w:rsidR="00E86EC2" w:rsidRDefault="009F4E51">
      <w:pPr>
        <w:spacing w:after="240"/>
        <w:rPr>
          <w:rFonts w:ascii="Times" w:hAnsi="Times"/>
          <w:sz w:val="18"/>
        </w:rPr>
      </w:pPr>
      <w:r>
        <w:rPr>
          <w:sz w:val="20"/>
        </w:rPr>
        <w:t>[For ease of reference detach these notes and read them alongside the draft.]</w:t>
      </w:r>
    </w:p>
  </w:endnote>
  <w:endnote w:type="continuationSeparator" w:id="0">
    <w:p w:rsidR="00E86EC2" w:rsidRDefault="00E86EC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C2" w:rsidRDefault="00E86EC2">
    <w:pPr>
      <w:pStyle w:val="Footer"/>
      <w:tabs>
        <w:tab w:val="clear" w:pos="4153"/>
        <w:tab w:val="right" w:pos="7088"/>
      </w:tabs>
      <w:rPr>
        <w:rStyle w:val="PageNumber"/>
      </w:rPr>
    </w:pPr>
  </w:p>
  <w:p w:rsidR="00E86EC2" w:rsidRDefault="009F4E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0E24">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0E24">
      <w:rPr>
        <w:rFonts w:ascii="Arial" w:hAnsi="Arial" w:cs="Arial"/>
        <w:sz w:val="20"/>
        <w:lang w:val="en-US"/>
      </w:rPr>
      <w:t>26 May 2005</w:t>
    </w:r>
    <w:r>
      <w:rPr>
        <w:rFonts w:ascii="Arial" w:hAnsi="Arial" w:cs="Arial"/>
        <w:sz w:val="20"/>
        <w:lang w:val="en-US"/>
      </w:rPr>
      <w:fldChar w:fldCharType="end"/>
    </w:r>
  </w:p>
  <w:p w:rsidR="00E86EC2" w:rsidRDefault="009F4E5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C2" w:rsidRDefault="00E86EC2">
    <w:pPr>
      <w:pStyle w:val="Footer"/>
      <w:tabs>
        <w:tab w:val="clear" w:pos="4153"/>
        <w:tab w:val="right" w:pos="7088"/>
      </w:tabs>
      <w:rPr>
        <w:rStyle w:val="PageNumber"/>
      </w:rPr>
    </w:pPr>
  </w:p>
  <w:p w:rsidR="00E86EC2" w:rsidRDefault="009F4E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0E24">
      <w:rPr>
        <w:rFonts w:ascii="Arial" w:hAnsi="Arial" w:cs="Arial"/>
        <w:sz w:val="20"/>
        <w:lang w:val="en-US"/>
      </w:rPr>
      <w:t>26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0E24">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E86EC2" w:rsidRDefault="009F4E5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C2" w:rsidRDefault="00E86EC2">
    <w:pPr>
      <w:pStyle w:val="Footer"/>
      <w:tabs>
        <w:tab w:val="clear" w:pos="4153"/>
        <w:tab w:val="right" w:pos="7088"/>
      </w:tabs>
      <w:rPr>
        <w:rStyle w:val="PageNumber"/>
      </w:rPr>
    </w:pPr>
  </w:p>
  <w:p w:rsidR="00E86EC2" w:rsidRDefault="009F4E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0E24">
      <w:rPr>
        <w:rFonts w:ascii="Arial" w:hAnsi="Arial" w:cs="Arial"/>
        <w:sz w:val="20"/>
        <w:lang w:val="en-US"/>
      </w:rPr>
      <w:t>26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0E24">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E86EC2" w:rsidRDefault="009F4E5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C2" w:rsidRDefault="00E86EC2">
    <w:pPr>
      <w:pStyle w:val="Footer"/>
      <w:tabs>
        <w:tab w:val="clear" w:pos="4153"/>
        <w:tab w:val="right" w:pos="7088"/>
      </w:tabs>
      <w:rPr>
        <w:rStyle w:val="PageNumber"/>
      </w:rPr>
    </w:pPr>
  </w:p>
  <w:p w:rsidR="00E86EC2" w:rsidRDefault="009F4E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E0E24">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0E24">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0E24">
      <w:rPr>
        <w:rFonts w:ascii="Arial" w:hAnsi="Arial" w:cs="Arial"/>
        <w:sz w:val="20"/>
        <w:lang w:val="en-US"/>
      </w:rPr>
      <w:t>26 May 2005</w:t>
    </w:r>
    <w:r>
      <w:rPr>
        <w:rFonts w:ascii="Arial" w:hAnsi="Arial" w:cs="Arial"/>
        <w:sz w:val="20"/>
        <w:lang w:val="en-US"/>
      </w:rPr>
      <w:fldChar w:fldCharType="end"/>
    </w:r>
  </w:p>
  <w:p w:rsidR="00E86EC2" w:rsidRDefault="009F4E5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C2" w:rsidRDefault="00E86EC2">
    <w:pPr>
      <w:pStyle w:val="Footer"/>
      <w:tabs>
        <w:tab w:val="clear" w:pos="4153"/>
        <w:tab w:val="right" w:pos="7088"/>
      </w:tabs>
      <w:rPr>
        <w:rStyle w:val="PageNumber"/>
      </w:rPr>
    </w:pPr>
  </w:p>
  <w:p w:rsidR="00E86EC2" w:rsidRDefault="009F4E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0E24">
      <w:rPr>
        <w:rFonts w:ascii="Arial" w:hAnsi="Arial" w:cs="Arial"/>
        <w:sz w:val="20"/>
        <w:lang w:val="en-US"/>
      </w:rPr>
      <w:t>26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0E24">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rsidR="00E86EC2" w:rsidRDefault="009F4E5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C2" w:rsidRDefault="00E86EC2">
    <w:pPr>
      <w:pStyle w:val="Footer"/>
      <w:tabs>
        <w:tab w:val="clear" w:pos="4153"/>
        <w:tab w:val="right" w:pos="7088"/>
      </w:tabs>
      <w:rPr>
        <w:rStyle w:val="PageNumber"/>
      </w:rPr>
    </w:pPr>
  </w:p>
  <w:p w:rsidR="00E86EC2" w:rsidRDefault="009F4E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0E24">
      <w:rPr>
        <w:rFonts w:ascii="Arial" w:hAnsi="Arial" w:cs="Arial"/>
        <w:sz w:val="20"/>
        <w:lang w:val="en-US"/>
      </w:rPr>
      <w:t>26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0E24">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E0E24">
      <w:rPr>
        <w:rStyle w:val="PageNumber"/>
        <w:rFonts w:ascii="Arial" w:hAnsi="Arial" w:cs="Arial"/>
        <w:noProof/>
      </w:rPr>
      <w:t>i</w:t>
    </w:r>
    <w:r>
      <w:rPr>
        <w:rStyle w:val="PageNumber"/>
        <w:rFonts w:ascii="Arial" w:hAnsi="Arial" w:cs="Arial"/>
      </w:rPr>
      <w:fldChar w:fldCharType="end"/>
    </w:r>
  </w:p>
  <w:p w:rsidR="00E86EC2" w:rsidRDefault="009F4E51">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C2" w:rsidRDefault="00E86EC2">
    <w:pPr>
      <w:pStyle w:val="Footer"/>
      <w:tabs>
        <w:tab w:val="clear" w:pos="4153"/>
        <w:tab w:val="right" w:pos="7088"/>
      </w:tabs>
      <w:rPr>
        <w:rStyle w:val="PageNumber"/>
      </w:rPr>
    </w:pPr>
  </w:p>
  <w:p w:rsidR="00E86EC2" w:rsidRDefault="009F4E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E0E24">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0E24">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0E24">
      <w:rPr>
        <w:rFonts w:ascii="Arial" w:hAnsi="Arial" w:cs="Arial"/>
        <w:sz w:val="20"/>
        <w:lang w:val="en-US"/>
      </w:rPr>
      <w:t>26 May 2005</w:t>
    </w:r>
    <w:r>
      <w:rPr>
        <w:rFonts w:ascii="Arial" w:hAnsi="Arial" w:cs="Arial"/>
        <w:sz w:val="20"/>
        <w:lang w:val="en-US"/>
      </w:rPr>
      <w:fldChar w:fldCharType="end"/>
    </w:r>
    <w:r>
      <w:rPr>
        <w:rFonts w:ascii="Arial" w:hAnsi="Arial" w:cs="Arial"/>
        <w:sz w:val="20"/>
        <w:lang w:val="en-US"/>
      </w:rPr>
      <w:t xml:space="preserve"> </w:t>
    </w:r>
  </w:p>
  <w:p w:rsidR="00E86EC2" w:rsidRDefault="009F4E5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C2" w:rsidRDefault="00E86EC2">
    <w:pPr>
      <w:pStyle w:val="Footer"/>
      <w:tabs>
        <w:tab w:val="clear" w:pos="4153"/>
        <w:tab w:val="right" w:pos="7088"/>
      </w:tabs>
      <w:rPr>
        <w:rStyle w:val="PageNumber"/>
      </w:rPr>
    </w:pPr>
  </w:p>
  <w:p w:rsidR="00E86EC2" w:rsidRDefault="009F4E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0E24">
      <w:rPr>
        <w:rFonts w:ascii="Arial" w:hAnsi="Arial" w:cs="Arial"/>
        <w:sz w:val="20"/>
        <w:lang w:val="en-US"/>
      </w:rPr>
      <w:t>26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0E24">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E0E24">
      <w:rPr>
        <w:rStyle w:val="CharPageNo"/>
        <w:rFonts w:ascii="Arial" w:hAnsi="Arial"/>
        <w:noProof/>
      </w:rPr>
      <w:t>11</w:t>
    </w:r>
    <w:r>
      <w:rPr>
        <w:rStyle w:val="CharPageNo"/>
        <w:rFonts w:ascii="Arial" w:hAnsi="Arial"/>
      </w:rPr>
      <w:fldChar w:fldCharType="end"/>
    </w:r>
  </w:p>
  <w:p w:rsidR="00E86EC2" w:rsidRDefault="009F4E5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C2" w:rsidRDefault="00E86EC2">
    <w:pPr>
      <w:pStyle w:val="Footer"/>
      <w:tabs>
        <w:tab w:val="clear" w:pos="4153"/>
        <w:tab w:val="right" w:pos="7088"/>
      </w:tabs>
      <w:rPr>
        <w:rStyle w:val="PageNumber"/>
      </w:rPr>
    </w:pPr>
  </w:p>
  <w:p w:rsidR="00E86EC2" w:rsidRDefault="009F4E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0E24">
      <w:rPr>
        <w:rFonts w:ascii="Arial" w:hAnsi="Arial" w:cs="Arial"/>
        <w:sz w:val="20"/>
        <w:lang w:val="en-US"/>
      </w:rPr>
      <w:t>26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0E24">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E0E24">
      <w:rPr>
        <w:rStyle w:val="CharPageNo"/>
        <w:rFonts w:ascii="Arial" w:hAnsi="Arial"/>
        <w:noProof/>
      </w:rPr>
      <w:t>1</w:t>
    </w:r>
    <w:r>
      <w:rPr>
        <w:rStyle w:val="CharPageNo"/>
        <w:rFonts w:ascii="Arial" w:hAnsi="Arial"/>
      </w:rPr>
      <w:fldChar w:fldCharType="end"/>
    </w:r>
  </w:p>
  <w:p w:rsidR="00E86EC2" w:rsidRDefault="009F4E5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EC2" w:rsidRDefault="009F4E51">
      <w:r>
        <w:separator/>
      </w:r>
    </w:p>
  </w:footnote>
  <w:footnote w:type="continuationSeparator" w:id="0">
    <w:p w:rsidR="00E86EC2" w:rsidRDefault="009F4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C2" w:rsidRDefault="009F4E51">
    <w:pPr>
      <w:pStyle w:val="headerpartodd"/>
      <w:ind w:left="0" w:firstLine="0"/>
      <w:rPr>
        <w:i/>
      </w:rPr>
    </w:pPr>
    <w:r>
      <w:rPr>
        <w:i/>
      </w:rPr>
      <w:fldChar w:fldCharType="begin"/>
    </w:r>
    <w:r>
      <w:rPr>
        <w:i/>
      </w:rPr>
      <w:instrText xml:space="preserve"> Styleref "Name of Act/Reg" </w:instrText>
    </w:r>
    <w:r>
      <w:rPr>
        <w:i/>
      </w:rPr>
      <w:fldChar w:fldCharType="separate"/>
    </w:r>
    <w:r w:rsidR="001E0E24">
      <w:rPr>
        <w:i/>
        <w:noProof/>
      </w:rPr>
      <w:t>Liquor Licensing Court Rules 2005</w:t>
    </w:r>
    <w:r>
      <w:rPr>
        <w:i/>
      </w:rPr>
      <w:fldChar w:fldCharType="end"/>
    </w:r>
  </w:p>
  <w:p w:rsidR="00E86EC2" w:rsidRDefault="009F4E5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86EC2" w:rsidRDefault="009F4E5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86EC2" w:rsidRDefault="00E86EC2">
    <w:pPr>
      <w:pStyle w:val="headerpart"/>
    </w:pPr>
  </w:p>
  <w:p w:rsidR="00E86EC2" w:rsidRDefault="00E86EC2">
    <w:pPr>
      <w:pBdr>
        <w:bottom w:val="single" w:sz="6" w:space="1" w:color="auto"/>
      </w:pBdr>
      <w:rPr>
        <w:b/>
      </w:rPr>
    </w:pPr>
  </w:p>
  <w:p w:rsidR="00E86EC2" w:rsidRDefault="00E86EC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E86EC2">
      <w:trPr>
        <w:cantSplit/>
      </w:trPr>
      <w:tc>
        <w:tcPr>
          <w:tcW w:w="7263" w:type="dxa"/>
          <w:gridSpan w:val="2"/>
        </w:tcPr>
        <w:p w:rsidR="00E86EC2" w:rsidRDefault="009F4E51">
          <w:pPr>
            <w:pStyle w:val="HeaderActNameRight"/>
            <w:ind w:right="17"/>
          </w:pPr>
          <w:fldSimple w:instr=" Styleref &quot;Name of Act/Reg&quot; ">
            <w:r w:rsidR="001E0E24">
              <w:rPr>
                <w:noProof/>
              </w:rPr>
              <w:t>Liquor Licensing Court Rules 2005</w:t>
            </w:r>
          </w:fldSimple>
        </w:p>
      </w:tc>
    </w:tr>
    <w:tr w:rsidR="00E86EC2">
      <w:tc>
        <w:tcPr>
          <w:tcW w:w="5715" w:type="dxa"/>
          <w:vAlign w:val="bottom"/>
        </w:tcPr>
        <w:p w:rsidR="00E86EC2" w:rsidRDefault="009F4E51">
          <w:pPr>
            <w:pStyle w:val="HeaderTextRight"/>
          </w:pPr>
          <w:r>
            <w:fldChar w:fldCharType="begin"/>
          </w:r>
          <w:r>
            <w:instrText xml:space="preserve"> styleref CharSchText </w:instrText>
          </w:r>
          <w:r>
            <w:fldChar w:fldCharType="end"/>
          </w:r>
        </w:p>
      </w:tc>
      <w:tc>
        <w:tcPr>
          <w:tcW w:w="1548" w:type="dxa"/>
        </w:tcPr>
        <w:p w:rsidR="00E86EC2" w:rsidRDefault="009F4E51">
          <w:pPr>
            <w:pStyle w:val="HeaderNumberRight"/>
            <w:ind w:right="17"/>
          </w:pPr>
          <w:r>
            <w:fldChar w:fldCharType="begin"/>
          </w:r>
          <w:r>
            <w:instrText xml:space="preserve"> styleref CharSchno </w:instrText>
          </w:r>
          <w:r>
            <w:fldChar w:fldCharType="end"/>
          </w:r>
        </w:p>
      </w:tc>
    </w:tr>
    <w:tr w:rsidR="00E86EC2">
      <w:tc>
        <w:tcPr>
          <w:tcW w:w="5715" w:type="dxa"/>
        </w:tcPr>
        <w:p w:rsidR="00E86EC2" w:rsidRDefault="009F4E51">
          <w:pPr>
            <w:pStyle w:val="HeaderTextRight"/>
          </w:pPr>
          <w:r>
            <w:fldChar w:fldCharType="begin"/>
          </w:r>
          <w:r>
            <w:instrText xml:space="preserve"> styleref CharSDivText </w:instrText>
          </w:r>
          <w:r>
            <w:fldChar w:fldCharType="end"/>
          </w:r>
        </w:p>
      </w:tc>
      <w:tc>
        <w:tcPr>
          <w:tcW w:w="1548" w:type="dxa"/>
        </w:tcPr>
        <w:p w:rsidR="00E86EC2" w:rsidRDefault="009F4E51">
          <w:pPr>
            <w:pStyle w:val="HeaderNumberRight"/>
            <w:ind w:right="17"/>
          </w:pPr>
          <w:r>
            <w:rPr>
              <w:bCs/>
            </w:rPr>
            <w:fldChar w:fldCharType="begin"/>
          </w:r>
          <w:r>
            <w:rPr>
              <w:bCs/>
            </w:rPr>
            <w:instrText xml:space="preserve"> STYLEREF CharSDivNo \* charformat</w:instrText>
          </w:r>
          <w:r>
            <w:rPr>
              <w:bCs/>
            </w:rPr>
            <w:fldChar w:fldCharType="end"/>
          </w:r>
        </w:p>
      </w:tc>
    </w:tr>
    <w:tr w:rsidR="00E86EC2">
      <w:tc>
        <w:tcPr>
          <w:tcW w:w="5715" w:type="dxa"/>
        </w:tcPr>
        <w:p w:rsidR="00E86EC2" w:rsidRDefault="00E86EC2">
          <w:pPr>
            <w:pStyle w:val="HeaderTextRight"/>
          </w:pPr>
        </w:p>
      </w:tc>
      <w:tc>
        <w:tcPr>
          <w:tcW w:w="1548" w:type="dxa"/>
        </w:tcPr>
        <w:p w:rsidR="00E86EC2" w:rsidRDefault="009F4E51">
          <w:pPr>
            <w:pStyle w:val="HeaderNumberRight"/>
            <w:ind w:right="17"/>
            <w:rPr>
              <w:bCs/>
            </w:rPr>
          </w:pPr>
          <w:r>
            <w:t xml:space="preserve">cl. </w:t>
          </w:r>
          <w:r>
            <w:fldChar w:fldCharType="begin"/>
          </w:r>
          <w:r>
            <w:instrText xml:space="preserve"> IF </w:instrText>
          </w:r>
          <w:fldSimple w:instr=" StyleRef CharSClsNo ">
            <w:r w:rsidR="001E0E24">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1E0E24">
              <w:rPr>
                <w:noProof/>
              </w:rPr>
              <w:instrText>1</w:instrText>
            </w:r>
          </w:fldSimple>
          <w:r>
            <w:instrText xml:space="preserve"> </w:instrText>
          </w:r>
          <w:r>
            <w:fldChar w:fldCharType="separate"/>
          </w:r>
          <w:r w:rsidR="001E0E24">
            <w:rPr>
              <w:noProof/>
            </w:rPr>
            <w:t>1</w:t>
          </w:r>
          <w:r>
            <w:fldChar w:fldCharType="end"/>
          </w:r>
        </w:p>
      </w:tc>
    </w:tr>
  </w:tbl>
  <w:p w:rsidR="00E86EC2" w:rsidRDefault="00E86EC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C2" w:rsidRDefault="00E86EC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86EC2">
      <w:trPr>
        <w:cantSplit/>
      </w:trPr>
      <w:tc>
        <w:tcPr>
          <w:tcW w:w="7258" w:type="dxa"/>
          <w:gridSpan w:val="2"/>
        </w:tcPr>
        <w:p w:rsidR="00E86EC2" w:rsidRDefault="009F4E51">
          <w:pPr>
            <w:pStyle w:val="HeaderActNameLeft"/>
          </w:pPr>
          <w:fldSimple w:instr=" Styleref &quot;Name of Act/Reg&quot; ">
            <w:r w:rsidR="001E0E24">
              <w:rPr>
                <w:noProof/>
              </w:rPr>
              <w:t>Liquor Licensing Court Rules 2005</w:t>
            </w:r>
          </w:fldSimple>
        </w:p>
      </w:tc>
    </w:tr>
    <w:tr w:rsidR="00E86EC2">
      <w:tc>
        <w:tcPr>
          <w:tcW w:w="1548" w:type="dxa"/>
        </w:tcPr>
        <w:p w:rsidR="00E86EC2" w:rsidRDefault="00E86EC2">
          <w:pPr>
            <w:pStyle w:val="HeaderNumberLeft"/>
          </w:pPr>
        </w:p>
      </w:tc>
      <w:tc>
        <w:tcPr>
          <w:tcW w:w="5715" w:type="dxa"/>
        </w:tcPr>
        <w:p w:rsidR="00E86EC2" w:rsidRDefault="00E86EC2">
          <w:pPr>
            <w:pStyle w:val="HeaderTextLeft"/>
          </w:pPr>
        </w:p>
      </w:tc>
    </w:tr>
    <w:tr w:rsidR="00E86EC2">
      <w:tc>
        <w:tcPr>
          <w:tcW w:w="1548" w:type="dxa"/>
        </w:tcPr>
        <w:p w:rsidR="00E86EC2" w:rsidRDefault="00E86EC2">
          <w:pPr>
            <w:pStyle w:val="HeaderNumberLeft"/>
          </w:pPr>
        </w:p>
      </w:tc>
      <w:tc>
        <w:tcPr>
          <w:tcW w:w="5715" w:type="dxa"/>
        </w:tcPr>
        <w:p w:rsidR="00E86EC2" w:rsidRDefault="00E86EC2">
          <w:pPr>
            <w:pStyle w:val="HeaderTextLeft"/>
          </w:pPr>
        </w:p>
      </w:tc>
    </w:tr>
    <w:tr w:rsidR="00E86EC2">
      <w:trPr>
        <w:cantSplit/>
      </w:trPr>
      <w:tc>
        <w:tcPr>
          <w:tcW w:w="7258" w:type="dxa"/>
          <w:gridSpan w:val="2"/>
        </w:tcPr>
        <w:p w:rsidR="00E86EC2" w:rsidRDefault="00E86EC2">
          <w:pPr>
            <w:pStyle w:val="HeaderSectionRight"/>
            <w:ind w:right="17"/>
            <w:jc w:val="left"/>
          </w:pPr>
        </w:p>
      </w:tc>
    </w:tr>
  </w:tbl>
  <w:p w:rsidR="00E86EC2" w:rsidRDefault="00E86EC2">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86EC2">
      <w:trPr>
        <w:cantSplit/>
      </w:trPr>
      <w:tc>
        <w:tcPr>
          <w:tcW w:w="7258" w:type="dxa"/>
          <w:gridSpan w:val="2"/>
        </w:tcPr>
        <w:p w:rsidR="00E86EC2" w:rsidRDefault="009F4E51">
          <w:pPr>
            <w:pStyle w:val="HeaderActNameRight"/>
            <w:ind w:right="17"/>
          </w:pPr>
          <w:fldSimple w:instr=" Styleref &quot;Name of Act/Reg&quot; ">
            <w:r w:rsidR="001E0E24">
              <w:rPr>
                <w:noProof/>
              </w:rPr>
              <w:t>Liquor Licensing Court Rules 2005</w:t>
            </w:r>
          </w:fldSimple>
        </w:p>
      </w:tc>
    </w:tr>
    <w:tr w:rsidR="00E86EC2">
      <w:tc>
        <w:tcPr>
          <w:tcW w:w="5715" w:type="dxa"/>
        </w:tcPr>
        <w:p w:rsidR="00E86EC2" w:rsidRDefault="00E86EC2">
          <w:pPr>
            <w:pStyle w:val="HeaderTextRight"/>
          </w:pPr>
        </w:p>
      </w:tc>
      <w:tc>
        <w:tcPr>
          <w:tcW w:w="1548" w:type="dxa"/>
        </w:tcPr>
        <w:p w:rsidR="00E86EC2" w:rsidRDefault="00E86EC2">
          <w:pPr>
            <w:pStyle w:val="HeaderNumberRight"/>
            <w:ind w:right="17"/>
          </w:pPr>
        </w:p>
      </w:tc>
    </w:tr>
    <w:tr w:rsidR="00E86EC2">
      <w:tc>
        <w:tcPr>
          <w:tcW w:w="5715" w:type="dxa"/>
        </w:tcPr>
        <w:p w:rsidR="00E86EC2" w:rsidRDefault="00E86EC2">
          <w:pPr>
            <w:pStyle w:val="HeaderTextRight"/>
          </w:pPr>
        </w:p>
      </w:tc>
      <w:tc>
        <w:tcPr>
          <w:tcW w:w="1548" w:type="dxa"/>
        </w:tcPr>
        <w:p w:rsidR="00E86EC2" w:rsidRDefault="00E86EC2">
          <w:pPr>
            <w:pStyle w:val="HeaderNumberRight"/>
            <w:ind w:right="17"/>
          </w:pPr>
        </w:p>
      </w:tc>
    </w:tr>
    <w:tr w:rsidR="00E86EC2">
      <w:trPr>
        <w:cantSplit/>
      </w:trPr>
      <w:tc>
        <w:tcPr>
          <w:tcW w:w="7258" w:type="dxa"/>
          <w:gridSpan w:val="2"/>
        </w:tcPr>
        <w:p w:rsidR="00E86EC2" w:rsidRDefault="00E86EC2">
          <w:pPr>
            <w:pStyle w:val="HeaderSectionRight"/>
            <w:ind w:right="17"/>
          </w:pPr>
        </w:p>
      </w:tc>
    </w:tr>
  </w:tbl>
  <w:p w:rsidR="00E86EC2" w:rsidRDefault="00E86EC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C2" w:rsidRDefault="00E86EC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C2" w:rsidRDefault="00E86E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E24" w:rsidRDefault="001E0E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E24" w:rsidRDefault="001E0E2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86EC2">
      <w:trPr>
        <w:cantSplit/>
      </w:trPr>
      <w:tc>
        <w:tcPr>
          <w:tcW w:w="7258" w:type="dxa"/>
          <w:gridSpan w:val="2"/>
        </w:tcPr>
        <w:p w:rsidR="00E86EC2" w:rsidRDefault="009F4E51">
          <w:pPr>
            <w:pStyle w:val="HeaderActNameLeft"/>
          </w:pPr>
          <w:fldSimple w:instr=" Styleref &quot;Name of Act/Reg&quot; ">
            <w:r w:rsidR="001E0E24">
              <w:rPr>
                <w:noProof/>
              </w:rPr>
              <w:t>Liquor Licensing Court Rules 2005</w:t>
            </w:r>
          </w:fldSimple>
        </w:p>
      </w:tc>
    </w:tr>
    <w:tr w:rsidR="00E86EC2">
      <w:tc>
        <w:tcPr>
          <w:tcW w:w="1548" w:type="dxa"/>
        </w:tcPr>
        <w:p w:rsidR="00E86EC2" w:rsidRDefault="00E86EC2">
          <w:pPr>
            <w:pStyle w:val="HeaderNumberLeft"/>
          </w:pPr>
        </w:p>
      </w:tc>
      <w:tc>
        <w:tcPr>
          <w:tcW w:w="5715" w:type="dxa"/>
        </w:tcPr>
        <w:p w:rsidR="00E86EC2" w:rsidRDefault="00E86EC2">
          <w:pPr>
            <w:pStyle w:val="HeaderTextLeft"/>
          </w:pPr>
        </w:p>
      </w:tc>
    </w:tr>
    <w:tr w:rsidR="00E86EC2">
      <w:tc>
        <w:tcPr>
          <w:tcW w:w="1548" w:type="dxa"/>
        </w:tcPr>
        <w:p w:rsidR="00E86EC2" w:rsidRDefault="00E86EC2">
          <w:pPr>
            <w:pStyle w:val="HeaderNumberLeft"/>
          </w:pPr>
        </w:p>
      </w:tc>
      <w:tc>
        <w:tcPr>
          <w:tcW w:w="5715" w:type="dxa"/>
        </w:tcPr>
        <w:p w:rsidR="00E86EC2" w:rsidRDefault="00E86EC2">
          <w:pPr>
            <w:pStyle w:val="HeaderTextLeft"/>
          </w:pPr>
        </w:p>
      </w:tc>
    </w:tr>
    <w:tr w:rsidR="00E86EC2">
      <w:trPr>
        <w:cantSplit/>
      </w:trPr>
      <w:tc>
        <w:tcPr>
          <w:tcW w:w="7258" w:type="dxa"/>
          <w:gridSpan w:val="2"/>
        </w:tcPr>
        <w:p w:rsidR="00E86EC2" w:rsidRDefault="009F4E51">
          <w:pPr>
            <w:pStyle w:val="HeaderSectionLeft"/>
            <w:rPr>
              <w:b w:val="0"/>
            </w:rPr>
          </w:pPr>
          <w:r>
            <w:rPr>
              <w:b w:val="0"/>
            </w:rPr>
            <w:t>Contents</w:t>
          </w:r>
        </w:p>
      </w:tc>
    </w:tr>
  </w:tbl>
  <w:p w:rsidR="00E86EC2" w:rsidRDefault="00E86EC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86EC2">
      <w:trPr>
        <w:cantSplit/>
      </w:trPr>
      <w:tc>
        <w:tcPr>
          <w:tcW w:w="7258" w:type="dxa"/>
          <w:gridSpan w:val="2"/>
        </w:tcPr>
        <w:p w:rsidR="00E86EC2" w:rsidRDefault="009F4E51">
          <w:pPr>
            <w:pStyle w:val="HeaderActNameRight"/>
            <w:ind w:right="17"/>
          </w:pPr>
          <w:fldSimple w:instr=" Styleref &quot;Name of Act/Reg&quot; ">
            <w:r w:rsidR="001E0E24">
              <w:rPr>
                <w:noProof/>
              </w:rPr>
              <w:t>Liquor Licensing Court Rules 2005</w:t>
            </w:r>
          </w:fldSimple>
        </w:p>
      </w:tc>
    </w:tr>
    <w:tr w:rsidR="00E86EC2">
      <w:tc>
        <w:tcPr>
          <w:tcW w:w="5715" w:type="dxa"/>
        </w:tcPr>
        <w:p w:rsidR="00E86EC2" w:rsidRDefault="00E86EC2">
          <w:pPr>
            <w:pStyle w:val="HeaderTextRight"/>
          </w:pPr>
        </w:p>
      </w:tc>
      <w:tc>
        <w:tcPr>
          <w:tcW w:w="1548" w:type="dxa"/>
        </w:tcPr>
        <w:p w:rsidR="00E86EC2" w:rsidRDefault="00E86EC2">
          <w:pPr>
            <w:pStyle w:val="HeaderNumberRight"/>
            <w:ind w:right="17"/>
          </w:pPr>
        </w:p>
      </w:tc>
    </w:tr>
    <w:tr w:rsidR="00E86EC2">
      <w:tc>
        <w:tcPr>
          <w:tcW w:w="5715" w:type="dxa"/>
        </w:tcPr>
        <w:p w:rsidR="00E86EC2" w:rsidRDefault="00E86EC2">
          <w:pPr>
            <w:pStyle w:val="HeaderTextRight"/>
          </w:pPr>
        </w:p>
      </w:tc>
      <w:tc>
        <w:tcPr>
          <w:tcW w:w="1548" w:type="dxa"/>
        </w:tcPr>
        <w:p w:rsidR="00E86EC2" w:rsidRDefault="00E86EC2">
          <w:pPr>
            <w:pStyle w:val="HeaderNumberRight"/>
            <w:ind w:right="17"/>
          </w:pPr>
        </w:p>
      </w:tc>
    </w:tr>
    <w:tr w:rsidR="00E86EC2">
      <w:trPr>
        <w:cantSplit/>
      </w:trPr>
      <w:tc>
        <w:tcPr>
          <w:tcW w:w="7258" w:type="dxa"/>
          <w:gridSpan w:val="2"/>
        </w:tcPr>
        <w:p w:rsidR="00E86EC2" w:rsidRDefault="009F4E51">
          <w:pPr>
            <w:pStyle w:val="HeaderSectionRight"/>
            <w:ind w:right="17"/>
            <w:rPr>
              <w:b w:val="0"/>
            </w:rPr>
          </w:pPr>
          <w:r>
            <w:rPr>
              <w:b w:val="0"/>
            </w:rPr>
            <w:t>Contents</w:t>
          </w:r>
        </w:p>
      </w:tc>
    </w:tr>
  </w:tbl>
  <w:p w:rsidR="00E86EC2" w:rsidRDefault="00E86EC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86EC2">
      <w:trPr>
        <w:cantSplit/>
      </w:trPr>
      <w:tc>
        <w:tcPr>
          <w:tcW w:w="7258" w:type="dxa"/>
          <w:gridSpan w:val="2"/>
        </w:tcPr>
        <w:p w:rsidR="00E86EC2" w:rsidRDefault="009F4E51">
          <w:pPr>
            <w:pStyle w:val="HeaderActNameLeft"/>
          </w:pPr>
          <w:fldSimple w:instr=" Styleref &quot;Name of Act/Reg&quot; ">
            <w:r w:rsidR="001E0E24">
              <w:rPr>
                <w:noProof/>
              </w:rPr>
              <w:t>Liquor Licensing Court Rules 2005</w:t>
            </w:r>
          </w:fldSimple>
        </w:p>
      </w:tc>
    </w:tr>
    <w:tr w:rsidR="00E86EC2">
      <w:tc>
        <w:tcPr>
          <w:tcW w:w="1548" w:type="dxa"/>
        </w:tcPr>
        <w:p w:rsidR="00E86EC2" w:rsidRDefault="009F4E51">
          <w:pPr>
            <w:pStyle w:val="HeaderNumberLeft"/>
          </w:pPr>
          <w:r>
            <w:fldChar w:fldCharType="begin"/>
          </w:r>
          <w:r>
            <w:instrText xml:space="preserve"> styleref CharPartNo </w:instrText>
          </w:r>
          <w:r>
            <w:fldChar w:fldCharType="end"/>
          </w:r>
        </w:p>
      </w:tc>
      <w:tc>
        <w:tcPr>
          <w:tcW w:w="5715" w:type="dxa"/>
        </w:tcPr>
        <w:p w:rsidR="00E86EC2" w:rsidRDefault="009F4E51">
          <w:pPr>
            <w:pStyle w:val="HeaderTextLeft"/>
          </w:pPr>
          <w:r>
            <w:fldChar w:fldCharType="begin"/>
          </w:r>
          <w:r>
            <w:instrText xml:space="preserve"> styleref CharPartText </w:instrText>
          </w:r>
          <w:r>
            <w:fldChar w:fldCharType="end"/>
          </w:r>
        </w:p>
      </w:tc>
    </w:tr>
    <w:tr w:rsidR="00E86EC2">
      <w:tc>
        <w:tcPr>
          <w:tcW w:w="1548" w:type="dxa"/>
        </w:tcPr>
        <w:p w:rsidR="00E86EC2" w:rsidRDefault="009F4E51">
          <w:pPr>
            <w:pStyle w:val="HeaderNumberLeft"/>
          </w:pPr>
          <w:r>
            <w:fldChar w:fldCharType="begin"/>
          </w:r>
          <w:r>
            <w:instrText xml:space="preserve"> styleref CharDivNo </w:instrText>
          </w:r>
          <w:r>
            <w:fldChar w:fldCharType="end"/>
          </w:r>
        </w:p>
      </w:tc>
      <w:tc>
        <w:tcPr>
          <w:tcW w:w="5715" w:type="dxa"/>
        </w:tcPr>
        <w:p w:rsidR="00E86EC2" w:rsidRDefault="009F4E51">
          <w:pPr>
            <w:pStyle w:val="HeaderTextLeft"/>
          </w:pPr>
          <w:r>
            <w:fldChar w:fldCharType="begin"/>
          </w:r>
          <w:r>
            <w:instrText xml:space="preserve"> styleref CharDivText </w:instrText>
          </w:r>
          <w:r>
            <w:fldChar w:fldCharType="end"/>
          </w:r>
        </w:p>
      </w:tc>
    </w:tr>
    <w:tr w:rsidR="00E86EC2">
      <w:trPr>
        <w:cantSplit/>
      </w:trPr>
      <w:tc>
        <w:tcPr>
          <w:tcW w:w="7258" w:type="dxa"/>
          <w:gridSpan w:val="2"/>
        </w:tcPr>
        <w:p w:rsidR="00E86EC2" w:rsidRDefault="009F4E51">
          <w:pPr>
            <w:pStyle w:val="HeaderSectionLeft"/>
          </w:pPr>
          <w:r>
            <w:t xml:space="preserve">r. </w:t>
          </w:r>
          <w:fldSimple w:instr=" styleref CharSectno ">
            <w:r w:rsidR="001E0E24">
              <w:rPr>
                <w:noProof/>
              </w:rPr>
              <w:t>1</w:t>
            </w:r>
          </w:fldSimple>
        </w:p>
      </w:tc>
    </w:tr>
  </w:tbl>
  <w:p w:rsidR="00E86EC2" w:rsidRDefault="00E86EC2">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86EC2">
      <w:trPr>
        <w:cantSplit/>
      </w:trPr>
      <w:tc>
        <w:tcPr>
          <w:tcW w:w="7258" w:type="dxa"/>
          <w:gridSpan w:val="2"/>
        </w:tcPr>
        <w:p w:rsidR="00E86EC2" w:rsidRDefault="009F4E51">
          <w:pPr>
            <w:pStyle w:val="HeaderActNameRight"/>
            <w:ind w:right="17"/>
          </w:pPr>
          <w:fldSimple w:instr=" Styleref &quot;Name of Act/Reg&quot; ">
            <w:r w:rsidR="001E0E24">
              <w:rPr>
                <w:noProof/>
              </w:rPr>
              <w:t>Liquor Licensing Court Rules 2005</w:t>
            </w:r>
          </w:fldSimple>
        </w:p>
      </w:tc>
    </w:tr>
    <w:tr w:rsidR="00E86EC2">
      <w:tc>
        <w:tcPr>
          <w:tcW w:w="5715" w:type="dxa"/>
        </w:tcPr>
        <w:p w:rsidR="00E86EC2" w:rsidRDefault="009F4E51">
          <w:pPr>
            <w:pStyle w:val="HeaderTextRight"/>
          </w:pPr>
          <w:r>
            <w:fldChar w:fldCharType="begin"/>
          </w:r>
          <w:r>
            <w:instrText xml:space="preserve"> styleref CharPartText </w:instrText>
          </w:r>
          <w:r>
            <w:fldChar w:fldCharType="end"/>
          </w:r>
        </w:p>
      </w:tc>
      <w:tc>
        <w:tcPr>
          <w:tcW w:w="1548" w:type="dxa"/>
        </w:tcPr>
        <w:p w:rsidR="00E86EC2" w:rsidRDefault="009F4E51">
          <w:pPr>
            <w:pStyle w:val="HeaderNumberRight"/>
            <w:ind w:right="17"/>
          </w:pPr>
          <w:r>
            <w:fldChar w:fldCharType="begin"/>
          </w:r>
          <w:r>
            <w:instrText xml:space="preserve"> styleref CharPartNo </w:instrText>
          </w:r>
          <w:r>
            <w:fldChar w:fldCharType="end"/>
          </w:r>
        </w:p>
      </w:tc>
    </w:tr>
    <w:tr w:rsidR="00E86EC2">
      <w:tc>
        <w:tcPr>
          <w:tcW w:w="5715" w:type="dxa"/>
        </w:tcPr>
        <w:p w:rsidR="00E86EC2" w:rsidRDefault="009F4E51">
          <w:pPr>
            <w:pStyle w:val="HeaderTextRight"/>
          </w:pPr>
          <w:r>
            <w:fldChar w:fldCharType="begin"/>
          </w:r>
          <w:r>
            <w:instrText xml:space="preserve"> styleref CharDivText </w:instrText>
          </w:r>
          <w:r>
            <w:fldChar w:fldCharType="end"/>
          </w:r>
        </w:p>
      </w:tc>
      <w:tc>
        <w:tcPr>
          <w:tcW w:w="1548" w:type="dxa"/>
        </w:tcPr>
        <w:p w:rsidR="00E86EC2" w:rsidRDefault="009F4E51">
          <w:pPr>
            <w:pStyle w:val="HeaderNumberRight"/>
            <w:ind w:right="17"/>
          </w:pPr>
          <w:r>
            <w:fldChar w:fldCharType="begin"/>
          </w:r>
          <w:r>
            <w:instrText xml:space="preserve"> styleref CharDivNo </w:instrText>
          </w:r>
          <w:r>
            <w:fldChar w:fldCharType="end"/>
          </w:r>
        </w:p>
      </w:tc>
    </w:tr>
    <w:tr w:rsidR="00E86EC2">
      <w:trPr>
        <w:cantSplit/>
      </w:trPr>
      <w:tc>
        <w:tcPr>
          <w:tcW w:w="7258" w:type="dxa"/>
          <w:gridSpan w:val="2"/>
        </w:tcPr>
        <w:p w:rsidR="00E86EC2" w:rsidRDefault="009F4E51">
          <w:pPr>
            <w:pStyle w:val="HeaderSectionRight"/>
            <w:ind w:right="17"/>
          </w:pPr>
          <w:r>
            <w:t xml:space="preserve">r. </w:t>
          </w:r>
          <w:fldSimple w:instr=" styleref CharSectno ">
            <w:r w:rsidR="001E0E24">
              <w:rPr>
                <w:noProof/>
              </w:rPr>
              <w:t>1</w:t>
            </w:r>
          </w:fldSimple>
        </w:p>
      </w:tc>
    </w:tr>
  </w:tbl>
  <w:p w:rsidR="00E86EC2" w:rsidRDefault="00E86EC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C2" w:rsidRDefault="00E86EC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86EC2">
      <w:trPr>
        <w:cantSplit/>
      </w:trPr>
      <w:tc>
        <w:tcPr>
          <w:tcW w:w="7258" w:type="dxa"/>
          <w:gridSpan w:val="2"/>
        </w:tcPr>
        <w:p w:rsidR="00E86EC2" w:rsidRDefault="009F4E51">
          <w:pPr>
            <w:pStyle w:val="HeaderActNameLeft"/>
          </w:pPr>
          <w:fldSimple w:instr=" STYLEREF &quot;Name of Act/Reg&quot; \* MERGEFORMAT ">
            <w:r w:rsidR="001E0E24">
              <w:rPr>
                <w:noProof/>
              </w:rPr>
              <w:t>Liquor Licensing Court Rules 2005</w:t>
            </w:r>
          </w:fldSimple>
        </w:p>
      </w:tc>
    </w:tr>
    <w:tr w:rsidR="00E86EC2">
      <w:tc>
        <w:tcPr>
          <w:tcW w:w="1548" w:type="dxa"/>
        </w:tcPr>
        <w:p w:rsidR="00E86EC2" w:rsidRDefault="009F4E51">
          <w:pPr>
            <w:pStyle w:val="HeaderNumberLeft"/>
            <w:rPr>
              <w:b w:val="0"/>
            </w:rPr>
          </w:pPr>
          <w:r>
            <w:fldChar w:fldCharType="begin"/>
          </w:r>
          <w:r>
            <w:instrText xml:space="preserve"> styleref CharSchno </w:instrText>
          </w:r>
          <w:r>
            <w:fldChar w:fldCharType="end"/>
          </w:r>
        </w:p>
      </w:tc>
      <w:tc>
        <w:tcPr>
          <w:tcW w:w="5715" w:type="dxa"/>
        </w:tcPr>
        <w:p w:rsidR="00E86EC2" w:rsidRDefault="009F4E51">
          <w:pPr>
            <w:pStyle w:val="HeaderTextLeft"/>
          </w:pPr>
          <w:r>
            <w:fldChar w:fldCharType="begin"/>
          </w:r>
          <w:r>
            <w:instrText xml:space="preserve"> styleref CharSchText </w:instrText>
          </w:r>
          <w:r>
            <w:fldChar w:fldCharType="end"/>
          </w:r>
        </w:p>
      </w:tc>
    </w:tr>
    <w:tr w:rsidR="00E86EC2">
      <w:tc>
        <w:tcPr>
          <w:tcW w:w="1548" w:type="dxa"/>
        </w:tcPr>
        <w:p w:rsidR="00E86EC2" w:rsidRDefault="009F4E51">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E86EC2" w:rsidRDefault="009F4E51">
          <w:pPr>
            <w:pStyle w:val="HeaderTextLeft"/>
          </w:pPr>
          <w:r>
            <w:fldChar w:fldCharType="begin"/>
          </w:r>
          <w:r>
            <w:instrText xml:space="preserve"> styleref CharSDivText </w:instrText>
          </w:r>
          <w:r>
            <w:fldChar w:fldCharType="end"/>
          </w:r>
        </w:p>
      </w:tc>
    </w:tr>
    <w:tr w:rsidR="00E86EC2">
      <w:tc>
        <w:tcPr>
          <w:tcW w:w="1548" w:type="dxa"/>
        </w:tcPr>
        <w:p w:rsidR="00E86EC2" w:rsidRDefault="009F4E51">
          <w:pPr>
            <w:pStyle w:val="HeaderNumberLeft"/>
          </w:pPr>
          <w:r>
            <w:t xml:space="preserve">cl. </w:t>
          </w:r>
          <w:r>
            <w:fldChar w:fldCharType="begin"/>
          </w:r>
          <w:r>
            <w:instrText xml:space="preserve"> IF </w:instrText>
          </w:r>
          <w:fldSimple w:instr=" StyleRef CharSClsNo ">
            <w:r w:rsidR="001E0E24">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1E0E24">
              <w:rPr>
                <w:noProof/>
              </w:rPr>
              <w:instrText>1</w:instrText>
            </w:r>
          </w:fldSimple>
          <w:r>
            <w:instrText xml:space="preserve"> </w:instrText>
          </w:r>
          <w:r>
            <w:fldChar w:fldCharType="separate"/>
          </w:r>
          <w:r w:rsidR="001E0E24">
            <w:rPr>
              <w:noProof/>
            </w:rPr>
            <w:t>1</w:t>
          </w:r>
          <w:r>
            <w:fldChar w:fldCharType="end"/>
          </w:r>
        </w:p>
      </w:tc>
      <w:tc>
        <w:tcPr>
          <w:tcW w:w="5715" w:type="dxa"/>
        </w:tcPr>
        <w:p w:rsidR="00E86EC2" w:rsidRDefault="00E86EC2">
          <w:pPr>
            <w:pStyle w:val="HeaderTextLeft"/>
          </w:pPr>
        </w:p>
      </w:tc>
    </w:tr>
  </w:tbl>
  <w:p w:rsidR="00E86EC2" w:rsidRDefault="00E86EC2">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E51"/>
    <w:rsid w:val="001E0E24"/>
    <w:rsid w:val="00765313"/>
    <w:rsid w:val="009F4E51"/>
    <w:rsid w:val="00D5709E"/>
    <w:rsid w:val="00E86E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keepNext/>
      <w:keepLines/>
      <w:tabs>
        <w:tab w:val="left" w:pos="851"/>
        <w:tab w:val="right" w:pos="7088"/>
      </w:tabs>
      <w:spacing w:before="120" w:after="60"/>
      <w:ind w:left="1701" w:hanging="567"/>
    </w:pPr>
    <w:rPr>
      <w:b/>
      <w:noProof/>
      <w:sz w:val="28"/>
      <w:szCs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keepNext/>
      <w:keepLines/>
      <w:tabs>
        <w:tab w:val="left" w:pos="851"/>
        <w:tab w:val="right" w:pos="7088"/>
      </w:tabs>
      <w:spacing w:before="120" w:after="60"/>
      <w:ind w:left="1701" w:hanging="567"/>
    </w:pPr>
    <w:rPr>
      <w:b/>
      <w:noProof/>
      <w:sz w:val="28"/>
      <w:szCs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1822</Words>
  <Characters>8641</Characters>
  <Application>Microsoft Office Word</Application>
  <DocSecurity>0</DocSecurity>
  <Lines>308</Lines>
  <Paragraphs>205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    Part 1 — Preliminary</vt:lpstr>
      <vt:lpstr>    Part 2 — Practice and procedure</vt:lpstr>
      <vt:lpstr>    Part 3 — Miscellaneous</vt:lpstr>
      <vt:lpstr>    Schedule 1 — Forms</vt:lpstr>
      <vt:lpstr>    Notes</vt:lpstr>
    </vt:vector>
  </TitlesOfParts>
  <Company>Parliamentary Counsel's Office</Company>
  <LinksUpToDate>false</LinksUpToDate>
  <CharactersWithSpaces>10258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Licensing Court Rules 2005 - 00-a0-05</dc:title>
  <dc:subject>Subsidiary Legislation</dc:subject>
  <dc:creator>svcMRProcess</dc:creator>
  <cp:keywords>Brought into Production 7 June 2002</cp:keywords>
  <dc:description/>
  <cp:lastModifiedBy>svcMRProcess</cp:lastModifiedBy>
  <cp:revision>4</cp:revision>
  <cp:lastPrinted>2007-05-22T02:36:00Z</cp:lastPrinted>
  <dcterms:created xsi:type="dcterms:W3CDTF">2013-02-16T05:42:00Z</dcterms:created>
  <dcterms:modified xsi:type="dcterms:W3CDTF">2013-02-16T05:42:00Z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May 2005 P 2277-89</vt:lpwstr>
  </property>
  <property fmtid="{D5CDD505-2E9C-101B-9397-08002B2CF9AE}" pid="3" name="CommencementDate">
    <vt:lpwstr>20050526</vt:lpwstr>
  </property>
  <property fmtid="{D5CDD505-2E9C-101B-9397-08002B2CF9AE}" pid="4" name="DocumentType">
    <vt:lpwstr>Reg</vt:lpwstr>
  </property>
  <property fmtid="{D5CDD505-2E9C-101B-9397-08002B2CF9AE}" pid="5" name="OwlsUID">
    <vt:i4>37642</vt:i4>
  </property>
  <property fmtid="{D5CDD505-2E9C-101B-9397-08002B2CF9AE}" pid="6" name="AsAtDate">
    <vt:lpwstr>26 May 2005</vt:lpwstr>
  </property>
  <property fmtid="{D5CDD505-2E9C-101B-9397-08002B2CF9AE}" pid="7" name="Suffix">
    <vt:lpwstr>00-a0-05</vt:lpwstr>
  </property>
</Properties>
</file>