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_Toc493065097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_Toc493065098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_Toc493065099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_Toc493065100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_Toc493065101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_Toc493065103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_Toc493065104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_Toc493065105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_Toc493065108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_Toc493065109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_Toc493065110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_Toc493065111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_Toc493065112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_Toc493065113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Adjournments, courts’ powers on</w:t>
      </w:r>
      <w:r>
        <w:tab/>
      </w:r>
      <w:r>
        <w:fldChar w:fldCharType="begin"/>
      </w:r>
      <w:r>
        <w:instrText xml:space="preserve"> PAGEREF _Toc493065114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_Toc493065116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_Toc493065117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_Toc493065118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_Toc493065120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_Toc493065121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_Toc493065123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_Toc493065124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_Toc493065125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_Toc493065128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_Toc493065130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_Toc493065131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_Toc493065132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_Toc493065134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_Toc493065135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_Toc493065136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_Toc493065137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_Toc493065138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_Toc493065139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_Toc493065141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_Toc493065142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_Toc493065144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_Toc493065145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_Toc493065146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_Toc493065148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_Toc493065149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_Toc493065150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_Toc493065152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_Toc493065153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_Toc493065154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_Toc493065155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_Toc493065156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_Toc493065157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_Toc493065158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_Toc493065159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_Toc493065160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_Toc493065162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_Toc493065163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_Toc493065164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_Toc493065167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435710460"/>
      <w:bookmarkStart w:id="4" w:name="_Toc435710533"/>
      <w:bookmarkStart w:id="5" w:name="_Toc435775957"/>
      <w:bookmarkStart w:id="6" w:name="_Toc436040202"/>
      <w:bookmarkStart w:id="7" w:name="_Toc436040447"/>
      <w:bookmarkStart w:id="8" w:name="_Toc4930650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93065097"/>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0" w:name="_Toc493065098"/>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93065099"/>
      <w:r>
        <w:rPr>
          <w:rStyle w:val="CharSectno"/>
        </w:rPr>
        <w:t>3</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2" w:name="_Toc493065100"/>
      <w:r>
        <w:rPr>
          <w:rStyle w:val="CharSectno"/>
        </w:rPr>
        <w:t>4</w:t>
      </w:r>
      <w:r>
        <w:rPr>
          <w:snapToGrid w:val="0"/>
        </w:rPr>
        <w:t>.</w:t>
      </w:r>
      <w:r>
        <w:rPr>
          <w:snapToGrid w:val="0"/>
        </w:rPr>
        <w:tab/>
        <w:t>Application to all courts exercising criminal jurisdiction</w:t>
      </w:r>
      <w:bookmarkEnd w:id="12"/>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3" w:name="_Toc493065101"/>
      <w:r>
        <w:rPr>
          <w:rStyle w:val="CharSectno"/>
        </w:rPr>
        <w:t>5AA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4" w:name="_Toc435710466"/>
      <w:bookmarkStart w:id="15" w:name="_Toc435710539"/>
      <w:bookmarkStart w:id="16" w:name="_Toc435775963"/>
      <w:bookmarkStart w:id="17" w:name="_Toc436040208"/>
      <w:bookmarkStart w:id="18" w:name="_Toc436040453"/>
      <w:bookmarkStart w:id="19" w:name="_Toc493065102"/>
      <w:r>
        <w:rPr>
          <w:rStyle w:val="CharPartNo"/>
        </w:rPr>
        <w:t>Part 2</w:t>
      </w:r>
      <w:r>
        <w:rPr>
          <w:rStyle w:val="CharDivNo"/>
        </w:rPr>
        <w:t> </w:t>
      </w:r>
      <w:r>
        <w:t>—</w:t>
      </w:r>
      <w:r>
        <w:rPr>
          <w:rStyle w:val="CharDivText"/>
        </w:rPr>
        <w:t> </w:t>
      </w:r>
      <w:r>
        <w:rPr>
          <w:rStyle w:val="CharPartText"/>
        </w:rPr>
        <w:t>General provisions about mentally ill accused</w:t>
      </w:r>
      <w:bookmarkEnd w:id="14"/>
      <w:bookmarkEnd w:id="15"/>
      <w:bookmarkEnd w:id="16"/>
      <w:bookmarkEnd w:id="17"/>
      <w:bookmarkEnd w:id="18"/>
      <w:bookmarkEnd w:id="19"/>
    </w:p>
    <w:p>
      <w:pPr>
        <w:pStyle w:val="Footnoteheading"/>
      </w:pPr>
      <w:r>
        <w:tab/>
        <w:t xml:space="preserve">[Heading amended by No. 84 of 2004 s. 82.] </w:t>
      </w:r>
    </w:p>
    <w:p>
      <w:pPr>
        <w:pStyle w:val="Heading5"/>
        <w:rPr>
          <w:snapToGrid w:val="0"/>
        </w:rPr>
      </w:pPr>
      <w:bookmarkStart w:id="20" w:name="_Toc493065103"/>
      <w:r>
        <w:rPr>
          <w:rStyle w:val="CharSectno"/>
        </w:rPr>
        <w:t>5</w:t>
      </w:r>
      <w:r>
        <w:rPr>
          <w:snapToGrid w:val="0"/>
        </w:rPr>
        <w:t>.</w:t>
      </w:r>
      <w:r>
        <w:rPr>
          <w:snapToGrid w:val="0"/>
        </w:rPr>
        <w:tab/>
        <w:t>Accused refused bail may be detained in authorised hospital</w:t>
      </w:r>
      <w:bookmarkEnd w:id="2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by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1" w:name="_Toc493065104"/>
      <w:r>
        <w:rPr>
          <w:rStyle w:val="CharSectno"/>
        </w:rPr>
        <w:t>6</w:t>
      </w:r>
      <w:r>
        <w:rPr>
          <w:snapToGrid w:val="0"/>
        </w:rPr>
        <w:t>.</w:t>
      </w:r>
      <w:r>
        <w:rPr>
          <w:snapToGrid w:val="0"/>
        </w:rPr>
        <w:tab/>
        <w:t xml:space="preserve">Relationship to </w:t>
      </w:r>
      <w:r>
        <w:rPr>
          <w:i/>
          <w:snapToGrid w:val="0"/>
        </w:rPr>
        <w:t>Mental Health Act 2014</w:t>
      </w:r>
      <w:bookmarkEnd w:id="21"/>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2" w:name="_Toc493065105"/>
      <w:r>
        <w:rPr>
          <w:rStyle w:val="CharSectno"/>
        </w:rPr>
        <w:t>7</w:t>
      </w:r>
      <w:r>
        <w:rPr>
          <w:snapToGrid w:val="0"/>
        </w:rPr>
        <w:t>.</w:t>
      </w:r>
      <w:r>
        <w:rPr>
          <w:snapToGrid w:val="0"/>
        </w:rPr>
        <w:tab/>
        <w:t>Reports to include report of treatment given</w:t>
      </w:r>
      <w:bookmarkEnd w:id="22"/>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23" w:name="_Toc435710470"/>
      <w:bookmarkStart w:id="24" w:name="_Toc435710543"/>
      <w:bookmarkStart w:id="25" w:name="_Toc435775967"/>
      <w:bookmarkStart w:id="26" w:name="_Toc436040212"/>
      <w:bookmarkStart w:id="27" w:name="_Toc436040457"/>
      <w:bookmarkStart w:id="28" w:name="_Toc493065106"/>
      <w:r>
        <w:rPr>
          <w:rStyle w:val="CharPartNo"/>
        </w:rPr>
        <w:t>Part 3</w:t>
      </w:r>
      <w:r>
        <w:t> — </w:t>
      </w:r>
      <w:r>
        <w:rPr>
          <w:rStyle w:val="CharPartText"/>
        </w:rPr>
        <w:t>Mental unfitness to stand trial</w:t>
      </w:r>
      <w:bookmarkEnd w:id="23"/>
      <w:bookmarkEnd w:id="24"/>
      <w:bookmarkEnd w:id="25"/>
      <w:bookmarkEnd w:id="26"/>
      <w:bookmarkEnd w:id="27"/>
      <w:bookmarkEnd w:id="28"/>
    </w:p>
    <w:p>
      <w:pPr>
        <w:pStyle w:val="Heading3"/>
        <w:rPr>
          <w:snapToGrid w:val="0"/>
        </w:rPr>
      </w:pPr>
      <w:bookmarkStart w:id="29" w:name="_Toc435710471"/>
      <w:bookmarkStart w:id="30" w:name="_Toc435710544"/>
      <w:bookmarkStart w:id="31" w:name="_Toc435775968"/>
      <w:bookmarkStart w:id="32" w:name="_Toc436040213"/>
      <w:bookmarkStart w:id="33" w:name="_Toc436040458"/>
      <w:bookmarkStart w:id="34" w:name="_Toc493065107"/>
      <w:r>
        <w:rPr>
          <w:rStyle w:val="CharDivNo"/>
        </w:rPr>
        <w:t>Division 1</w:t>
      </w:r>
      <w:r>
        <w:rPr>
          <w:snapToGrid w:val="0"/>
        </w:rPr>
        <w:t> — </w:t>
      </w:r>
      <w:r>
        <w:rPr>
          <w:rStyle w:val="CharDivText"/>
        </w:rPr>
        <w:t>General</w:t>
      </w:r>
      <w:bookmarkEnd w:id="29"/>
      <w:bookmarkEnd w:id="30"/>
      <w:bookmarkEnd w:id="31"/>
      <w:bookmarkEnd w:id="32"/>
      <w:bookmarkEnd w:id="33"/>
      <w:bookmarkEnd w:id="34"/>
    </w:p>
    <w:p>
      <w:pPr>
        <w:pStyle w:val="Heading5"/>
        <w:rPr>
          <w:snapToGrid w:val="0"/>
        </w:rPr>
      </w:pPr>
      <w:bookmarkStart w:id="35" w:name="_Toc493065108"/>
      <w:r>
        <w:rPr>
          <w:rStyle w:val="CharSectno"/>
        </w:rPr>
        <w:t>8</w:t>
      </w:r>
      <w:r>
        <w:rPr>
          <w:snapToGrid w:val="0"/>
        </w:rPr>
        <w:t>.</w:t>
      </w:r>
      <w:r>
        <w:rPr>
          <w:snapToGrid w:val="0"/>
        </w:rPr>
        <w:tab/>
        <w:t>Terms used</w:t>
      </w:r>
      <w:bookmarkEnd w:id="3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36" w:name="_Toc493065109"/>
      <w:r>
        <w:rPr>
          <w:rStyle w:val="CharSectno"/>
        </w:rPr>
        <w:t>9</w:t>
      </w:r>
      <w:r>
        <w:rPr>
          <w:snapToGrid w:val="0"/>
        </w:rPr>
        <w:t>.</w:t>
      </w:r>
      <w:r>
        <w:rPr>
          <w:snapToGrid w:val="0"/>
        </w:rPr>
        <w:tab/>
        <w:t>Mental unfitness to stand trial, definition</w:t>
      </w:r>
      <w:bookmarkEnd w:id="36"/>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37" w:name="_Toc493065110"/>
      <w:r>
        <w:rPr>
          <w:rStyle w:val="CharSectno"/>
        </w:rPr>
        <w:t>10</w:t>
      </w:r>
      <w:r>
        <w:rPr>
          <w:snapToGrid w:val="0"/>
        </w:rPr>
        <w:t>.</w:t>
      </w:r>
      <w:r>
        <w:rPr>
          <w:snapToGrid w:val="0"/>
        </w:rPr>
        <w:tab/>
        <w:t>Presumptions as to mental fitness to stand trial</w:t>
      </w:r>
      <w:bookmarkEnd w:id="37"/>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38" w:name="_Toc493065111"/>
      <w:r>
        <w:rPr>
          <w:rStyle w:val="CharSectno"/>
        </w:rPr>
        <w:t>11</w:t>
      </w:r>
      <w:r>
        <w:rPr>
          <w:snapToGrid w:val="0"/>
        </w:rPr>
        <w:t>.</w:t>
      </w:r>
      <w:r>
        <w:rPr>
          <w:snapToGrid w:val="0"/>
        </w:rPr>
        <w:tab/>
        <w:t>When the question of mental fitness may be raised</w:t>
      </w:r>
      <w:bookmarkEnd w:id="3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39" w:name="_Toc493065112"/>
      <w:r>
        <w:rPr>
          <w:rStyle w:val="CharSectno"/>
        </w:rPr>
        <w:t>12</w:t>
      </w:r>
      <w:r>
        <w:rPr>
          <w:snapToGrid w:val="0"/>
        </w:rPr>
        <w:t>.</w:t>
      </w:r>
      <w:r>
        <w:rPr>
          <w:snapToGrid w:val="0"/>
        </w:rPr>
        <w:tab/>
        <w:t>Deciding the question of mental fitness</w:t>
      </w:r>
      <w:bookmarkEnd w:id="39"/>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40" w:name="_Toc493065113"/>
      <w:r>
        <w:rPr>
          <w:rStyle w:val="CharSectno"/>
        </w:rPr>
        <w:t>13</w:t>
      </w:r>
      <w:r>
        <w:rPr>
          <w:snapToGrid w:val="0"/>
        </w:rPr>
        <w:t>.</w:t>
      </w:r>
      <w:r>
        <w:rPr>
          <w:snapToGrid w:val="0"/>
        </w:rPr>
        <w:tab/>
        <w:t>Raising and deciding the question whether an accused has become mentally fit</w:t>
      </w:r>
      <w:bookmarkEnd w:id="40"/>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41" w:name="_Toc493065114"/>
      <w:r>
        <w:rPr>
          <w:rStyle w:val="CharSectno"/>
        </w:rPr>
        <w:t>14</w:t>
      </w:r>
      <w:r>
        <w:rPr>
          <w:snapToGrid w:val="0"/>
        </w:rPr>
        <w:t>.</w:t>
      </w:r>
      <w:r>
        <w:rPr>
          <w:snapToGrid w:val="0"/>
        </w:rPr>
        <w:tab/>
        <w:t>Adjournments, courts’ powers on</w:t>
      </w:r>
      <w:bookmarkEnd w:id="4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42" w:name="_Toc435710479"/>
      <w:bookmarkStart w:id="43" w:name="_Toc435710552"/>
      <w:bookmarkStart w:id="44" w:name="_Toc435775976"/>
      <w:bookmarkStart w:id="45" w:name="_Toc436040221"/>
      <w:bookmarkStart w:id="46" w:name="_Toc436040466"/>
      <w:bookmarkStart w:id="47" w:name="_Toc493065115"/>
      <w:r>
        <w:rPr>
          <w:rStyle w:val="CharDivNo"/>
        </w:rPr>
        <w:t>Division 2</w:t>
      </w:r>
      <w:r>
        <w:rPr>
          <w:snapToGrid w:val="0"/>
        </w:rPr>
        <w:t> — </w:t>
      </w:r>
      <w:r>
        <w:rPr>
          <w:rStyle w:val="CharDivText"/>
        </w:rPr>
        <w:t>Proceedings in courts of summary jurisdiction</w:t>
      </w:r>
      <w:bookmarkEnd w:id="42"/>
      <w:bookmarkEnd w:id="43"/>
      <w:bookmarkEnd w:id="44"/>
      <w:bookmarkEnd w:id="45"/>
      <w:bookmarkEnd w:id="46"/>
      <w:bookmarkEnd w:id="47"/>
    </w:p>
    <w:p>
      <w:pPr>
        <w:pStyle w:val="Heading5"/>
        <w:rPr>
          <w:snapToGrid w:val="0"/>
        </w:rPr>
      </w:pPr>
      <w:bookmarkStart w:id="48" w:name="_Toc493065116"/>
      <w:r>
        <w:rPr>
          <w:rStyle w:val="CharSectno"/>
        </w:rPr>
        <w:t>15</w:t>
      </w:r>
      <w:r>
        <w:rPr>
          <w:snapToGrid w:val="0"/>
        </w:rPr>
        <w:t>.</w:t>
      </w:r>
      <w:r>
        <w:rPr>
          <w:snapToGrid w:val="0"/>
        </w:rPr>
        <w:tab/>
        <w:t>Application</w:t>
      </w:r>
      <w:bookmarkEnd w:id="4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49" w:name="_Toc493065117"/>
      <w:r>
        <w:rPr>
          <w:rStyle w:val="CharSectno"/>
        </w:rPr>
        <w:t>16</w:t>
      </w:r>
      <w:r>
        <w:rPr>
          <w:snapToGrid w:val="0"/>
        </w:rPr>
        <w:t>.</w:t>
      </w:r>
      <w:r>
        <w:rPr>
          <w:snapToGrid w:val="0"/>
        </w:rPr>
        <w:tab/>
        <w:t>Procedure for offences triable summarily</w:t>
      </w:r>
      <w:bookmarkEnd w:id="49"/>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50" w:name="_Toc493065118"/>
      <w:r>
        <w:rPr>
          <w:rStyle w:val="CharSectno"/>
        </w:rPr>
        <w:t>17</w:t>
      </w:r>
      <w:r>
        <w:t>.</w:t>
      </w:r>
      <w:r>
        <w:tab/>
        <w:t>Procedure for indictable offences</w:t>
      </w:r>
      <w:bookmarkEnd w:id="50"/>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51" w:name="_Toc435710483"/>
      <w:bookmarkStart w:id="52" w:name="_Toc435710556"/>
      <w:bookmarkStart w:id="53" w:name="_Toc435775980"/>
      <w:bookmarkStart w:id="54" w:name="_Toc436040225"/>
      <w:bookmarkStart w:id="55" w:name="_Toc436040470"/>
      <w:bookmarkStart w:id="56" w:name="_Toc493065119"/>
      <w:r>
        <w:rPr>
          <w:rStyle w:val="CharDivNo"/>
        </w:rPr>
        <w:t>Division 3</w:t>
      </w:r>
      <w:r>
        <w:rPr>
          <w:snapToGrid w:val="0"/>
        </w:rPr>
        <w:t> — </w:t>
      </w:r>
      <w:r>
        <w:rPr>
          <w:rStyle w:val="CharDivText"/>
        </w:rPr>
        <w:t>Proceedings in the Supreme Court and District Court</w:t>
      </w:r>
      <w:bookmarkEnd w:id="51"/>
      <w:bookmarkEnd w:id="52"/>
      <w:bookmarkEnd w:id="53"/>
      <w:bookmarkEnd w:id="54"/>
      <w:bookmarkEnd w:id="55"/>
      <w:bookmarkEnd w:id="56"/>
    </w:p>
    <w:p>
      <w:pPr>
        <w:pStyle w:val="Footnoteheading"/>
      </w:pPr>
      <w:r>
        <w:tab/>
        <w:t>[Heading amended by No. 59 of 2004 s. 141.]</w:t>
      </w:r>
    </w:p>
    <w:p>
      <w:pPr>
        <w:pStyle w:val="Heading5"/>
        <w:rPr>
          <w:snapToGrid w:val="0"/>
        </w:rPr>
      </w:pPr>
      <w:bookmarkStart w:id="57" w:name="_Toc493065120"/>
      <w:r>
        <w:rPr>
          <w:rStyle w:val="CharSectno"/>
        </w:rPr>
        <w:t>18</w:t>
      </w:r>
      <w:r>
        <w:rPr>
          <w:snapToGrid w:val="0"/>
        </w:rPr>
        <w:t>.</w:t>
      </w:r>
      <w:r>
        <w:rPr>
          <w:snapToGrid w:val="0"/>
        </w:rPr>
        <w:tab/>
        <w:t>Application</w:t>
      </w:r>
      <w:bookmarkEnd w:id="57"/>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58" w:name="_Toc493065121"/>
      <w:r>
        <w:rPr>
          <w:rStyle w:val="CharSectno"/>
        </w:rPr>
        <w:t>19</w:t>
      </w:r>
      <w:r>
        <w:rPr>
          <w:snapToGrid w:val="0"/>
        </w:rPr>
        <w:t>.</w:t>
      </w:r>
      <w:r>
        <w:rPr>
          <w:snapToGrid w:val="0"/>
        </w:rPr>
        <w:tab/>
        <w:t>Procedure</w:t>
      </w:r>
      <w:bookmarkEnd w:id="58"/>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59" w:name="_Toc435710486"/>
      <w:bookmarkStart w:id="60" w:name="_Toc435710559"/>
      <w:bookmarkStart w:id="61" w:name="_Toc435775983"/>
      <w:bookmarkStart w:id="62" w:name="_Toc436040228"/>
      <w:bookmarkStart w:id="63" w:name="_Toc436040473"/>
      <w:bookmarkStart w:id="64" w:name="_Toc493065122"/>
      <w:r>
        <w:rPr>
          <w:rStyle w:val="CharPartNo"/>
        </w:rPr>
        <w:t>Part 4</w:t>
      </w:r>
      <w:r>
        <w:rPr>
          <w:rStyle w:val="CharDivNo"/>
        </w:rPr>
        <w:t> </w:t>
      </w:r>
      <w:r>
        <w:t>—</w:t>
      </w:r>
      <w:r>
        <w:rPr>
          <w:rStyle w:val="CharDivText"/>
        </w:rPr>
        <w:t> </w:t>
      </w:r>
      <w:r>
        <w:rPr>
          <w:rStyle w:val="CharPartText"/>
        </w:rPr>
        <w:t>Accused acquitted on account of unsoundness of mind</w:t>
      </w:r>
      <w:bookmarkEnd w:id="59"/>
      <w:bookmarkEnd w:id="60"/>
      <w:bookmarkEnd w:id="61"/>
      <w:bookmarkEnd w:id="62"/>
      <w:bookmarkEnd w:id="63"/>
      <w:bookmarkEnd w:id="64"/>
    </w:p>
    <w:p>
      <w:pPr>
        <w:pStyle w:val="Footnoteheading"/>
        <w:tabs>
          <w:tab w:val="left" w:pos="851"/>
        </w:tabs>
      </w:pPr>
      <w:r>
        <w:tab/>
        <w:t>[Heading amended by No. 84 of 2004 s. 82.]</w:t>
      </w:r>
    </w:p>
    <w:p>
      <w:pPr>
        <w:pStyle w:val="Heading5"/>
        <w:rPr>
          <w:snapToGrid w:val="0"/>
        </w:rPr>
      </w:pPr>
      <w:bookmarkStart w:id="65" w:name="_Toc493065123"/>
      <w:r>
        <w:rPr>
          <w:rStyle w:val="CharSectno"/>
        </w:rPr>
        <w:t>20</w:t>
      </w:r>
      <w:r>
        <w:rPr>
          <w:snapToGrid w:val="0"/>
        </w:rPr>
        <w:t>.</w:t>
      </w:r>
      <w:r>
        <w:rPr>
          <w:snapToGrid w:val="0"/>
        </w:rPr>
        <w:tab/>
        <w:t>Powers of courts of summary jurisdiction</w:t>
      </w:r>
      <w:bookmarkEnd w:id="6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66" w:name="_Toc493065124"/>
      <w:r>
        <w:rPr>
          <w:rStyle w:val="CharSectno"/>
        </w:rPr>
        <w:t>21</w:t>
      </w:r>
      <w:r>
        <w:rPr>
          <w:snapToGrid w:val="0"/>
        </w:rPr>
        <w:t>.</w:t>
      </w:r>
      <w:r>
        <w:rPr>
          <w:snapToGrid w:val="0"/>
        </w:rPr>
        <w:tab/>
        <w:t>Powers of superior courts</w:t>
      </w:r>
      <w:bookmarkEnd w:id="66"/>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67" w:name="_Toc493065125"/>
      <w:r>
        <w:rPr>
          <w:rStyle w:val="CharSectno"/>
        </w:rPr>
        <w:t>22</w:t>
      </w:r>
      <w:r>
        <w:rPr>
          <w:snapToGrid w:val="0"/>
        </w:rPr>
        <w:t>.</w:t>
      </w:r>
      <w:r>
        <w:rPr>
          <w:snapToGrid w:val="0"/>
        </w:rPr>
        <w:tab/>
        <w:t>Orders that may be made by courts</w:t>
      </w:r>
      <w:bookmarkEnd w:id="67"/>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68" w:name="_Toc435710490"/>
      <w:bookmarkStart w:id="69" w:name="_Toc435710563"/>
      <w:bookmarkStart w:id="70" w:name="_Toc435775987"/>
      <w:bookmarkStart w:id="71" w:name="_Toc436040232"/>
      <w:bookmarkStart w:id="72" w:name="_Toc436040477"/>
      <w:bookmarkStart w:id="73" w:name="_Toc493065126"/>
      <w:r>
        <w:rPr>
          <w:rStyle w:val="CharPartNo"/>
        </w:rPr>
        <w:t>Part 5</w:t>
      </w:r>
      <w:r>
        <w:t> — </w:t>
      </w:r>
      <w:r>
        <w:rPr>
          <w:rStyle w:val="CharPartText"/>
        </w:rPr>
        <w:t>Mentally impaired accused</w:t>
      </w:r>
      <w:bookmarkEnd w:id="68"/>
      <w:bookmarkEnd w:id="69"/>
      <w:bookmarkEnd w:id="70"/>
      <w:bookmarkEnd w:id="71"/>
      <w:bookmarkEnd w:id="72"/>
      <w:bookmarkEnd w:id="73"/>
    </w:p>
    <w:p>
      <w:pPr>
        <w:pStyle w:val="Footnoteheading"/>
        <w:tabs>
          <w:tab w:val="left" w:pos="851"/>
        </w:tabs>
      </w:pPr>
      <w:r>
        <w:tab/>
        <w:t>[Heading amended by No. 84 of 2004 s. 82.]</w:t>
      </w:r>
    </w:p>
    <w:p>
      <w:pPr>
        <w:pStyle w:val="Heading3"/>
        <w:rPr>
          <w:snapToGrid w:val="0"/>
        </w:rPr>
      </w:pPr>
      <w:bookmarkStart w:id="74" w:name="_Toc435710491"/>
      <w:bookmarkStart w:id="75" w:name="_Toc435710564"/>
      <w:bookmarkStart w:id="76" w:name="_Toc435775988"/>
      <w:bookmarkStart w:id="77" w:name="_Toc436040233"/>
      <w:bookmarkStart w:id="78" w:name="_Toc436040478"/>
      <w:bookmarkStart w:id="79" w:name="_Toc493065127"/>
      <w:r>
        <w:rPr>
          <w:rStyle w:val="CharDivNo"/>
        </w:rPr>
        <w:t>Division 1</w:t>
      </w:r>
      <w:r>
        <w:rPr>
          <w:snapToGrid w:val="0"/>
        </w:rPr>
        <w:t> — </w:t>
      </w:r>
      <w:r>
        <w:rPr>
          <w:rStyle w:val="CharDivText"/>
        </w:rPr>
        <w:t>Preliminary</w:t>
      </w:r>
      <w:bookmarkEnd w:id="74"/>
      <w:bookmarkEnd w:id="75"/>
      <w:bookmarkEnd w:id="76"/>
      <w:bookmarkEnd w:id="77"/>
      <w:bookmarkEnd w:id="78"/>
      <w:bookmarkEnd w:id="79"/>
    </w:p>
    <w:p>
      <w:pPr>
        <w:pStyle w:val="Heading5"/>
        <w:rPr>
          <w:snapToGrid w:val="0"/>
        </w:rPr>
      </w:pPr>
      <w:bookmarkStart w:id="80" w:name="_Toc493065128"/>
      <w:r>
        <w:rPr>
          <w:rStyle w:val="CharSectno"/>
        </w:rPr>
        <w:t>23</w:t>
      </w:r>
      <w:r>
        <w:rPr>
          <w:snapToGrid w:val="0"/>
        </w:rPr>
        <w:t>.</w:t>
      </w:r>
      <w:r>
        <w:rPr>
          <w:snapToGrid w:val="0"/>
        </w:rPr>
        <w:tab/>
        <w:t>Terms used</w:t>
      </w:r>
      <w:bookmarkEnd w:id="8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81" w:name="_Toc435710493"/>
      <w:bookmarkStart w:id="82" w:name="_Toc435710566"/>
      <w:bookmarkStart w:id="83" w:name="_Toc435775990"/>
      <w:bookmarkStart w:id="84" w:name="_Toc436040235"/>
      <w:bookmarkStart w:id="85" w:name="_Toc436040480"/>
      <w:bookmarkStart w:id="86" w:name="_Toc493065129"/>
      <w:r>
        <w:rPr>
          <w:rStyle w:val="CharDivNo"/>
        </w:rPr>
        <w:t>Division 2</w:t>
      </w:r>
      <w:r>
        <w:rPr>
          <w:snapToGrid w:val="0"/>
        </w:rPr>
        <w:t> — </w:t>
      </w:r>
      <w:r>
        <w:rPr>
          <w:rStyle w:val="CharDivText"/>
        </w:rPr>
        <w:t>Place of custody</w:t>
      </w:r>
      <w:bookmarkEnd w:id="81"/>
      <w:bookmarkEnd w:id="82"/>
      <w:bookmarkEnd w:id="83"/>
      <w:bookmarkEnd w:id="84"/>
      <w:bookmarkEnd w:id="85"/>
      <w:bookmarkEnd w:id="86"/>
    </w:p>
    <w:p>
      <w:pPr>
        <w:pStyle w:val="Heading5"/>
        <w:rPr>
          <w:snapToGrid w:val="0"/>
        </w:rPr>
      </w:pPr>
      <w:bookmarkStart w:id="87" w:name="_Toc493065130"/>
      <w:r>
        <w:rPr>
          <w:rStyle w:val="CharSectno"/>
        </w:rPr>
        <w:t>24</w:t>
      </w:r>
      <w:r>
        <w:rPr>
          <w:snapToGrid w:val="0"/>
        </w:rPr>
        <w:t>.</w:t>
      </w:r>
      <w:r>
        <w:rPr>
          <w:snapToGrid w:val="0"/>
        </w:rPr>
        <w:tab/>
        <w:t>General effect of custody order</w:t>
      </w:r>
      <w:bookmarkEnd w:id="8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25 of 2014 s. 15; No. 4 of 2015 s. 66.]</w:t>
      </w:r>
    </w:p>
    <w:p>
      <w:pPr>
        <w:pStyle w:val="Heading5"/>
        <w:rPr>
          <w:snapToGrid w:val="0"/>
        </w:rPr>
      </w:pPr>
      <w:bookmarkStart w:id="88" w:name="_Toc493065131"/>
      <w:r>
        <w:rPr>
          <w:rStyle w:val="CharSectno"/>
        </w:rPr>
        <w:t>25</w:t>
      </w:r>
      <w:r>
        <w:rPr>
          <w:snapToGrid w:val="0"/>
        </w:rPr>
        <w:t>.</w:t>
      </w:r>
      <w:r>
        <w:rPr>
          <w:snapToGrid w:val="0"/>
        </w:rPr>
        <w:tab/>
        <w:t>Place of custody to be determined within 5 days of order</w:t>
      </w:r>
      <w:bookmarkEnd w:id="8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89" w:name="_Toc493065132"/>
      <w:r>
        <w:rPr>
          <w:rStyle w:val="CharSectno"/>
        </w:rPr>
        <w:t>26</w:t>
      </w:r>
      <w:r>
        <w:rPr>
          <w:snapToGrid w:val="0"/>
        </w:rPr>
        <w:t>.</w:t>
      </w:r>
      <w:r>
        <w:rPr>
          <w:snapToGrid w:val="0"/>
        </w:rPr>
        <w:tab/>
        <w:t>Place of custody may be changed</w:t>
      </w:r>
      <w:bookmarkEnd w:id="89"/>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90" w:name="_Toc435710497"/>
      <w:bookmarkStart w:id="91" w:name="_Toc435710570"/>
      <w:bookmarkStart w:id="92" w:name="_Toc435775994"/>
      <w:bookmarkStart w:id="93" w:name="_Toc436040239"/>
      <w:bookmarkStart w:id="94" w:name="_Toc436040484"/>
      <w:bookmarkStart w:id="95" w:name="_Toc493065133"/>
      <w:r>
        <w:rPr>
          <w:rStyle w:val="CharDivNo"/>
        </w:rPr>
        <w:t>Division 3</w:t>
      </w:r>
      <w:r>
        <w:rPr>
          <w:snapToGrid w:val="0"/>
        </w:rPr>
        <w:t> — </w:t>
      </w:r>
      <w:r>
        <w:rPr>
          <w:rStyle w:val="CharDivText"/>
        </w:rPr>
        <w:t>Leave of absence</w:t>
      </w:r>
      <w:bookmarkEnd w:id="90"/>
      <w:bookmarkEnd w:id="91"/>
      <w:bookmarkEnd w:id="92"/>
      <w:bookmarkEnd w:id="93"/>
      <w:bookmarkEnd w:id="94"/>
      <w:bookmarkEnd w:id="95"/>
    </w:p>
    <w:p>
      <w:pPr>
        <w:pStyle w:val="Heading5"/>
        <w:rPr>
          <w:snapToGrid w:val="0"/>
        </w:rPr>
      </w:pPr>
      <w:bookmarkStart w:id="96" w:name="_Toc493065134"/>
      <w:r>
        <w:rPr>
          <w:rStyle w:val="CharSectno"/>
        </w:rPr>
        <w:t>27</w:t>
      </w:r>
      <w:r>
        <w:rPr>
          <w:snapToGrid w:val="0"/>
        </w:rPr>
        <w:t>.</w:t>
      </w:r>
      <w:r>
        <w:rPr>
          <w:snapToGrid w:val="0"/>
        </w:rPr>
        <w:tab/>
        <w:t>Governor may permit Board to allow leave of absence</w:t>
      </w:r>
      <w:bookmarkEnd w:id="96"/>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97" w:name="_Toc493065135"/>
      <w:r>
        <w:rPr>
          <w:rStyle w:val="CharSectno"/>
        </w:rPr>
        <w:t>28</w:t>
      </w:r>
      <w:r>
        <w:rPr>
          <w:snapToGrid w:val="0"/>
        </w:rPr>
        <w:t>.</w:t>
      </w:r>
      <w:r>
        <w:rPr>
          <w:snapToGrid w:val="0"/>
        </w:rPr>
        <w:tab/>
        <w:t>If allowed, Board may grant leave of absence</w:t>
      </w:r>
      <w:bookmarkEnd w:id="97"/>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98" w:name="_Toc493065136"/>
      <w:r>
        <w:rPr>
          <w:rStyle w:val="CharSectno"/>
        </w:rPr>
        <w:t>29</w:t>
      </w:r>
      <w:r>
        <w:rPr>
          <w:snapToGrid w:val="0"/>
        </w:rPr>
        <w:t>.</w:t>
      </w:r>
      <w:r>
        <w:rPr>
          <w:snapToGrid w:val="0"/>
        </w:rPr>
        <w:tab/>
        <w:t>Board may cancel leave of absence</w:t>
      </w:r>
      <w:bookmarkEnd w:id="98"/>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99" w:name="_Toc493065137"/>
      <w:r>
        <w:rPr>
          <w:rStyle w:val="CharSectno"/>
        </w:rPr>
        <w:t>30</w:t>
      </w:r>
      <w:r>
        <w:rPr>
          <w:snapToGrid w:val="0"/>
        </w:rPr>
        <w:t>.</w:t>
      </w:r>
      <w:r>
        <w:rPr>
          <w:snapToGrid w:val="0"/>
        </w:rPr>
        <w:tab/>
        <w:t>Status of mentally impaired accused on leave of absence</w:t>
      </w:r>
      <w:bookmarkEnd w:id="9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00" w:name="_Toc493065138"/>
      <w:r>
        <w:rPr>
          <w:rStyle w:val="CharSectno"/>
        </w:rPr>
        <w:t>31</w:t>
      </w:r>
      <w:r>
        <w:rPr>
          <w:snapToGrid w:val="0"/>
        </w:rPr>
        <w:t>.</w:t>
      </w:r>
      <w:r>
        <w:rPr>
          <w:snapToGrid w:val="0"/>
        </w:rPr>
        <w:tab/>
        <w:t>Absence without leave</w:t>
      </w:r>
      <w:bookmarkEnd w:id="10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 No. 25 of 2014 s. 17.]</w:t>
      </w:r>
    </w:p>
    <w:p>
      <w:pPr>
        <w:pStyle w:val="Heading5"/>
        <w:rPr>
          <w:snapToGrid w:val="0"/>
        </w:rPr>
      </w:pPr>
      <w:bookmarkStart w:id="101" w:name="_Toc493065139"/>
      <w:r>
        <w:rPr>
          <w:rStyle w:val="CharSectno"/>
        </w:rPr>
        <w:t>32</w:t>
      </w:r>
      <w:r>
        <w:rPr>
          <w:snapToGrid w:val="0"/>
        </w:rPr>
        <w:t>.</w:t>
      </w:r>
      <w:r>
        <w:rPr>
          <w:snapToGrid w:val="0"/>
        </w:rPr>
        <w:tab/>
        <w:t>Other Acts do not apply</w:t>
      </w:r>
      <w:bookmarkEnd w:id="101"/>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02" w:name="_Toc435710504"/>
      <w:bookmarkStart w:id="103" w:name="_Toc435710577"/>
      <w:bookmarkStart w:id="104" w:name="_Toc435776001"/>
      <w:bookmarkStart w:id="105" w:name="_Toc436040246"/>
      <w:bookmarkStart w:id="106" w:name="_Toc436040491"/>
      <w:bookmarkStart w:id="107" w:name="_Toc493065140"/>
      <w:r>
        <w:rPr>
          <w:rStyle w:val="CharDivNo"/>
        </w:rPr>
        <w:t>Division 4</w:t>
      </w:r>
      <w:r>
        <w:rPr>
          <w:snapToGrid w:val="0"/>
        </w:rPr>
        <w:t> — </w:t>
      </w:r>
      <w:r>
        <w:rPr>
          <w:rStyle w:val="CharDivText"/>
        </w:rPr>
        <w:t>Reports about mentally impaired accused</w:t>
      </w:r>
      <w:bookmarkEnd w:id="102"/>
      <w:bookmarkEnd w:id="103"/>
      <w:bookmarkEnd w:id="104"/>
      <w:bookmarkEnd w:id="105"/>
      <w:bookmarkEnd w:id="106"/>
      <w:bookmarkEnd w:id="107"/>
    </w:p>
    <w:p>
      <w:pPr>
        <w:pStyle w:val="Footnoteheading"/>
        <w:tabs>
          <w:tab w:val="left" w:pos="851"/>
        </w:tabs>
      </w:pPr>
      <w:r>
        <w:tab/>
        <w:t>[Heading amended by No. 84 of 2004 s. 82.]</w:t>
      </w:r>
    </w:p>
    <w:p>
      <w:pPr>
        <w:pStyle w:val="Heading5"/>
        <w:rPr>
          <w:snapToGrid w:val="0"/>
        </w:rPr>
      </w:pPr>
      <w:bookmarkStart w:id="108" w:name="_Toc493065141"/>
      <w:r>
        <w:rPr>
          <w:rStyle w:val="CharSectno"/>
        </w:rPr>
        <w:t>33</w:t>
      </w:r>
      <w:r>
        <w:rPr>
          <w:snapToGrid w:val="0"/>
        </w:rPr>
        <w:t>.</w:t>
      </w:r>
      <w:r>
        <w:rPr>
          <w:snapToGrid w:val="0"/>
        </w:rPr>
        <w:tab/>
        <w:t>Reports to Minister</w:t>
      </w:r>
      <w:bookmarkEnd w:id="108"/>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09" w:name="_Toc493065142"/>
      <w:r>
        <w:rPr>
          <w:rStyle w:val="CharSectno"/>
        </w:rPr>
        <w:t>34</w:t>
      </w:r>
      <w:r>
        <w:rPr>
          <w:snapToGrid w:val="0"/>
        </w:rPr>
        <w:t>.</w:t>
      </w:r>
      <w:r>
        <w:rPr>
          <w:snapToGrid w:val="0"/>
        </w:rPr>
        <w:tab/>
        <w:t>Reports to be given to accused, Police and DPP</w:t>
      </w:r>
      <w:bookmarkEnd w:id="109"/>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10" w:name="_Toc435710507"/>
      <w:bookmarkStart w:id="111" w:name="_Toc435710580"/>
      <w:bookmarkStart w:id="112" w:name="_Toc435776004"/>
      <w:bookmarkStart w:id="113" w:name="_Toc436040249"/>
      <w:bookmarkStart w:id="114" w:name="_Toc436040494"/>
      <w:bookmarkStart w:id="115" w:name="_Toc493065143"/>
      <w:r>
        <w:rPr>
          <w:rStyle w:val="CharDivNo"/>
        </w:rPr>
        <w:t>Division 5</w:t>
      </w:r>
      <w:r>
        <w:rPr>
          <w:snapToGrid w:val="0"/>
        </w:rPr>
        <w:t> — </w:t>
      </w:r>
      <w:r>
        <w:rPr>
          <w:rStyle w:val="CharDivText"/>
        </w:rPr>
        <w:t>Releasing mentally impaired accused</w:t>
      </w:r>
      <w:bookmarkEnd w:id="110"/>
      <w:bookmarkEnd w:id="111"/>
      <w:bookmarkEnd w:id="112"/>
      <w:bookmarkEnd w:id="113"/>
      <w:bookmarkEnd w:id="114"/>
      <w:bookmarkEnd w:id="115"/>
    </w:p>
    <w:p>
      <w:pPr>
        <w:pStyle w:val="Footnoteheading"/>
        <w:keepNext/>
        <w:tabs>
          <w:tab w:val="left" w:pos="851"/>
        </w:tabs>
      </w:pPr>
      <w:r>
        <w:tab/>
        <w:t>[Heading amended by No. 84 of 2004 s. 82.]</w:t>
      </w:r>
    </w:p>
    <w:p>
      <w:pPr>
        <w:pStyle w:val="Heading5"/>
        <w:spacing w:before="180"/>
        <w:rPr>
          <w:snapToGrid w:val="0"/>
        </w:rPr>
      </w:pPr>
      <w:bookmarkStart w:id="116" w:name="_Toc493065144"/>
      <w:r>
        <w:rPr>
          <w:rStyle w:val="CharSectno"/>
        </w:rPr>
        <w:t>35</w:t>
      </w:r>
      <w:r>
        <w:rPr>
          <w:snapToGrid w:val="0"/>
        </w:rPr>
        <w:t>.</w:t>
      </w:r>
      <w:r>
        <w:rPr>
          <w:snapToGrid w:val="0"/>
        </w:rPr>
        <w:tab/>
        <w:t>Governor may release mentally impaired accused</w:t>
      </w:r>
      <w:bookmarkEnd w:id="116"/>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17" w:name="_Toc493065145"/>
      <w:r>
        <w:rPr>
          <w:rStyle w:val="CharSectno"/>
        </w:rPr>
        <w:t>36</w:t>
      </w:r>
      <w:r>
        <w:rPr>
          <w:snapToGrid w:val="0"/>
        </w:rPr>
        <w:t>.</w:t>
      </w:r>
      <w:r>
        <w:rPr>
          <w:snapToGrid w:val="0"/>
        </w:rPr>
        <w:tab/>
        <w:t>Order to be given to accused, Police and DPP</w:t>
      </w:r>
      <w:bookmarkEnd w:id="117"/>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18" w:name="_Toc493065146"/>
      <w:r>
        <w:rPr>
          <w:rStyle w:val="CharSectno"/>
        </w:rPr>
        <w:t>37</w:t>
      </w:r>
      <w:r>
        <w:rPr>
          <w:snapToGrid w:val="0"/>
        </w:rPr>
        <w:t>.</w:t>
      </w:r>
      <w:r>
        <w:rPr>
          <w:snapToGrid w:val="0"/>
        </w:rPr>
        <w:tab/>
        <w:t>Breach of conditions of release</w:t>
      </w:r>
      <w:bookmarkEnd w:id="11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19" w:name="_Toc435710511"/>
      <w:bookmarkStart w:id="120" w:name="_Toc435710584"/>
      <w:bookmarkStart w:id="121" w:name="_Toc435776008"/>
      <w:bookmarkStart w:id="122" w:name="_Toc436040253"/>
      <w:bookmarkStart w:id="123" w:name="_Toc436040498"/>
      <w:bookmarkStart w:id="124" w:name="_Toc493065147"/>
      <w:r>
        <w:rPr>
          <w:rStyle w:val="CharDivNo"/>
        </w:rPr>
        <w:t>Division 6</w:t>
      </w:r>
      <w:r>
        <w:rPr>
          <w:snapToGrid w:val="0"/>
        </w:rPr>
        <w:t> — </w:t>
      </w:r>
      <w:r>
        <w:rPr>
          <w:rStyle w:val="CharDivText"/>
        </w:rPr>
        <w:t>Miscellaneous</w:t>
      </w:r>
      <w:bookmarkEnd w:id="119"/>
      <w:bookmarkEnd w:id="120"/>
      <w:bookmarkEnd w:id="121"/>
      <w:bookmarkEnd w:id="122"/>
      <w:bookmarkEnd w:id="123"/>
      <w:bookmarkEnd w:id="124"/>
    </w:p>
    <w:p>
      <w:pPr>
        <w:pStyle w:val="Heading5"/>
        <w:rPr>
          <w:snapToGrid w:val="0"/>
        </w:rPr>
      </w:pPr>
      <w:bookmarkStart w:id="125" w:name="_Toc493065148"/>
      <w:r>
        <w:rPr>
          <w:rStyle w:val="CharSectno"/>
        </w:rPr>
        <w:t>38</w:t>
      </w:r>
      <w:r>
        <w:rPr>
          <w:snapToGrid w:val="0"/>
        </w:rPr>
        <w:t>.</w:t>
      </w:r>
      <w:r>
        <w:rPr>
          <w:snapToGrid w:val="0"/>
        </w:rPr>
        <w:tab/>
        <w:t>When discharge occurs</w:t>
      </w:r>
      <w:bookmarkEnd w:id="125"/>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26" w:name="_Toc493065149"/>
      <w:r>
        <w:rPr>
          <w:rStyle w:val="CharSectno"/>
        </w:rPr>
        <w:t>39</w:t>
      </w:r>
      <w:r>
        <w:rPr>
          <w:snapToGrid w:val="0"/>
        </w:rPr>
        <w:t>.</w:t>
      </w:r>
      <w:r>
        <w:rPr>
          <w:snapToGrid w:val="0"/>
        </w:rPr>
        <w:tab/>
        <w:t>Released mentally impaired accused may be made involuntary patient</w:t>
      </w:r>
      <w:bookmarkEnd w:id="12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27" w:name="_Toc493065150"/>
      <w:r>
        <w:rPr>
          <w:rStyle w:val="CharSectno"/>
        </w:rPr>
        <w:t>40</w:t>
      </w:r>
      <w:r>
        <w:rPr>
          <w:snapToGrid w:val="0"/>
        </w:rPr>
        <w:t>.</w:t>
      </w:r>
      <w:r>
        <w:rPr>
          <w:snapToGrid w:val="0"/>
        </w:rPr>
        <w:tab/>
        <w:t>Board may require examination etc.</w:t>
      </w:r>
      <w:bookmarkEnd w:id="127"/>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28" w:name="_Toc435710515"/>
      <w:bookmarkStart w:id="129" w:name="_Toc435710588"/>
      <w:bookmarkStart w:id="130" w:name="_Toc435776012"/>
      <w:bookmarkStart w:id="131" w:name="_Toc436040257"/>
      <w:bookmarkStart w:id="132" w:name="_Toc436040502"/>
      <w:bookmarkStart w:id="133" w:name="_Toc493065151"/>
      <w:r>
        <w:rPr>
          <w:rStyle w:val="CharPartNo"/>
        </w:rPr>
        <w:t>Part 6</w:t>
      </w:r>
      <w:r>
        <w:rPr>
          <w:rStyle w:val="CharDivNo"/>
        </w:rPr>
        <w:t> </w:t>
      </w:r>
      <w:r>
        <w:t>—</w:t>
      </w:r>
      <w:r>
        <w:rPr>
          <w:rStyle w:val="CharDivText"/>
        </w:rPr>
        <w:t> </w:t>
      </w:r>
      <w:r>
        <w:rPr>
          <w:rStyle w:val="CharPartText"/>
        </w:rPr>
        <w:t>Mentally Impaired Accused Review Board</w:t>
      </w:r>
      <w:bookmarkEnd w:id="128"/>
      <w:bookmarkEnd w:id="129"/>
      <w:bookmarkEnd w:id="130"/>
      <w:bookmarkEnd w:id="131"/>
      <w:bookmarkEnd w:id="132"/>
      <w:bookmarkEnd w:id="133"/>
    </w:p>
    <w:p>
      <w:pPr>
        <w:pStyle w:val="Footnoteheading"/>
        <w:tabs>
          <w:tab w:val="left" w:pos="851"/>
        </w:tabs>
      </w:pPr>
      <w:r>
        <w:tab/>
        <w:t>[Heading amended by No. 84 of 2004 s. 82.]</w:t>
      </w:r>
    </w:p>
    <w:p>
      <w:pPr>
        <w:pStyle w:val="Heading5"/>
        <w:rPr>
          <w:snapToGrid w:val="0"/>
        </w:rPr>
      </w:pPr>
      <w:bookmarkStart w:id="134" w:name="_Toc493065152"/>
      <w:r>
        <w:rPr>
          <w:rStyle w:val="CharSectno"/>
        </w:rPr>
        <w:t>41</w:t>
      </w:r>
      <w:r>
        <w:rPr>
          <w:snapToGrid w:val="0"/>
        </w:rPr>
        <w:t>.</w:t>
      </w:r>
      <w:r>
        <w:rPr>
          <w:snapToGrid w:val="0"/>
        </w:rPr>
        <w:tab/>
        <w:t>Board established</w:t>
      </w:r>
      <w:bookmarkEnd w:id="134"/>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35" w:name="_Toc493065153"/>
      <w:r>
        <w:rPr>
          <w:rStyle w:val="CharSectno"/>
        </w:rPr>
        <w:t>42</w:t>
      </w:r>
      <w:r>
        <w:t>.</w:t>
      </w:r>
      <w:r>
        <w:tab/>
        <w:t>Members</w:t>
      </w:r>
      <w:bookmarkEnd w:id="135"/>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136" w:name="_Toc493065154"/>
      <w:r>
        <w:rPr>
          <w:rStyle w:val="CharSectno"/>
        </w:rPr>
        <w:t>42A</w:t>
      </w:r>
      <w:r>
        <w:t>.</w:t>
      </w:r>
      <w:r>
        <w:tab/>
        <w:t>Meetings</w:t>
      </w:r>
      <w:bookmarkEnd w:id="13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37" w:name="_Toc493065155"/>
      <w:r>
        <w:rPr>
          <w:rStyle w:val="CharSectno"/>
        </w:rPr>
        <w:t>43</w:t>
      </w:r>
      <w:r>
        <w:t>.</w:t>
      </w:r>
      <w:r>
        <w:tab/>
        <w:t>Registrar and staff</w:t>
      </w:r>
      <w:bookmarkEnd w:id="13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38" w:name="_Toc493065156"/>
      <w:r>
        <w:rPr>
          <w:rStyle w:val="CharSectno"/>
        </w:rPr>
        <w:t>44</w:t>
      </w:r>
      <w:r>
        <w:rPr>
          <w:snapToGrid w:val="0"/>
        </w:rPr>
        <w:t>.</w:t>
      </w:r>
      <w:r>
        <w:rPr>
          <w:snapToGrid w:val="0"/>
        </w:rPr>
        <w:tab/>
        <w:t>Functions</w:t>
      </w:r>
      <w:bookmarkEnd w:id="13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39" w:name="_Toc493065157"/>
      <w:r>
        <w:rPr>
          <w:rStyle w:val="CharSectno"/>
        </w:rPr>
        <w:t>45</w:t>
      </w:r>
      <w:r>
        <w:rPr>
          <w:snapToGrid w:val="0"/>
        </w:rPr>
        <w:t>.</w:t>
      </w:r>
      <w:r>
        <w:rPr>
          <w:snapToGrid w:val="0"/>
        </w:rPr>
        <w:tab/>
        <w:t>Supervising officers</w:t>
      </w:r>
      <w:bookmarkEnd w:id="139"/>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40" w:name="_Toc493065158"/>
      <w:r>
        <w:rPr>
          <w:rStyle w:val="CharSectno"/>
        </w:rPr>
        <w:t>46</w:t>
      </w:r>
      <w:r>
        <w:rPr>
          <w:snapToGrid w:val="0"/>
        </w:rPr>
        <w:t>.</w:t>
      </w:r>
      <w:r>
        <w:rPr>
          <w:snapToGrid w:val="0"/>
        </w:rPr>
        <w:tab/>
        <w:t>Decisions, orders and warrants</w:t>
      </w:r>
      <w:bookmarkEnd w:id="14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41" w:name="_Toc493065159"/>
      <w:r>
        <w:rPr>
          <w:rStyle w:val="CharSectno"/>
        </w:rPr>
        <w:t>47</w:t>
      </w:r>
      <w:r>
        <w:rPr>
          <w:snapToGrid w:val="0"/>
        </w:rPr>
        <w:t>.</w:t>
      </w:r>
      <w:r>
        <w:rPr>
          <w:snapToGrid w:val="0"/>
        </w:rPr>
        <w:tab/>
        <w:t>Judicial notice of appointment and signature</w:t>
      </w:r>
      <w:bookmarkEnd w:id="141"/>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42" w:name="_Toc493065160"/>
      <w:r>
        <w:rPr>
          <w:rStyle w:val="CharSectno"/>
        </w:rPr>
        <w:t>48</w:t>
      </w:r>
      <w:r>
        <w:rPr>
          <w:snapToGrid w:val="0"/>
        </w:rPr>
        <w:t>.</w:t>
      </w:r>
      <w:r>
        <w:rPr>
          <w:snapToGrid w:val="0"/>
        </w:rPr>
        <w:tab/>
        <w:t>Annual report to Minister</w:t>
      </w:r>
      <w:bookmarkEnd w:id="14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43" w:name="_Toc435710525"/>
      <w:bookmarkStart w:id="144" w:name="_Toc435710598"/>
      <w:bookmarkStart w:id="145" w:name="_Toc435776022"/>
      <w:bookmarkStart w:id="146" w:name="_Toc436040267"/>
      <w:bookmarkStart w:id="147" w:name="_Toc436040512"/>
      <w:bookmarkStart w:id="148" w:name="_Toc493065161"/>
      <w:r>
        <w:rPr>
          <w:rStyle w:val="CharPartNo"/>
        </w:rPr>
        <w:t>Part 7</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p>
    <w:p>
      <w:pPr>
        <w:pStyle w:val="Heading5"/>
        <w:rPr>
          <w:snapToGrid w:val="0"/>
        </w:rPr>
      </w:pPr>
      <w:bookmarkStart w:id="149" w:name="_Toc493065162"/>
      <w:r>
        <w:rPr>
          <w:rStyle w:val="CharSectno"/>
        </w:rPr>
        <w:t>49</w:t>
      </w:r>
      <w:r>
        <w:rPr>
          <w:snapToGrid w:val="0"/>
        </w:rPr>
        <w:t>.</w:t>
      </w:r>
      <w:r>
        <w:rPr>
          <w:snapToGrid w:val="0"/>
        </w:rPr>
        <w:tab/>
        <w:t>Issue and execution of warrants</w:t>
      </w:r>
      <w:bookmarkEnd w:id="149"/>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50" w:name="_Toc493065163"/>
      <w:r>
        <w:rPr>
          <w:rStyle w:val="CharSectno"/>
        </w:rPr>
        <w:t>50A</w:t>
      </w:r>
      <w:r>
        <w:t>.</w:t>
      </w:r>
      <w:r>
        <w:tab/>
        <w:t>Protection from personal liability</w:t>
      </w:r>
      <w:bookmarkEnd w:id="150"/>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151" w:name="_Toc493065164"/>
      <w:r>
        <w:rPr>
          <w:rStyle w:val="CharSectno"/>
        </w:rPr>
        <w:t>50</w:t>
      </w:r>
      <w:r>
        <w:rPr>
          <w:snapToGrid w:val="0"/>
        </w:rPr>
        <w:t>.</w:t>
      </w:r>
      <w:r>
        <w:rPr>
          <w:snapToGrid w:val="0"/>
        </w:rPr>
        <w:tab/>
        <w:t>Regulations</w:t>
      </w:r>
      <w:bookmarkEnd w:id="15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52" w:name="_Toc435710529"/>
      <w:bookmarkStart w:id="153" w:name="_Toc435710602"/>
      <w:bookmarkStart w:id="154" w:name="_Toc435776026"/>
      <w:bookmarkStart w:id="155" w:name="_Toc436040271"/>
      <w:bookmarkStart w:id="156" w:name="_Toc436040516"/>
      <w:bookmarkStart w:id="157" w:name="_Toc493065165"/>
      <w:r>
        <w:rPr>
          <w:rStyle w:val="CharSchNo"/>
        </w:rPr>
        <w:t>Schedule 1</w:t>
      </w:r>
      <w:r>
        <w:t> — </w:t>
      </w:r>
      <w:r>
        <w:rPr>
          <w:rStyle w:val="CharSchText"/>
        </w:rPr>
        <w:t>Offences for which a custody order must be made</w:t>
      </w:r>
      <w:bookmarkEnd w:id="152"/>
      <w:bookmarkEnd w:id="153"/>
      <w:bookmarkEnd w:id="154"/>
      <w:bookmarkEnd w:id="155"/>
      <w:bookmarkEnd w:id="156"/>
      <w:bookmarkEnd w:id="157"/>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 No. 6 of 2017 s. 5(2).]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59" w:name="_Toc435710530"/>
      <w:bookmarkStart w:id="160" w:name="_Toc435710603"/>
      <w:bookmarkStart w:id="161" w:name="_Toc435776027"/>
      <w:bookmarkStart w:id="162" w:name="_Toc436040272"/>
      <w:bookmarkStart w:id="163" w:name="_Toc436040517"/>
      <w:bookmarkStart w:id="164" w:name="_Toc493065166"/>
      <w:r>
        <w:t>Notes</w:t>
      </w:r>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w:t>
      </w:r>
      <w:r>
        <w:rPr>
          <w:snapToGrid w:val="0"/>
          <w:vertAlign w:val="superscript"/>
        </w:rPr>
        <w:t xml:space="preserve">  </w:t>
      </w:r>
      <w:r>
        <w:rPr>
          <w:snapToGrid w:val="0"/>
        </w:rPr>
        <w:t>The table also contains information about any reprint.</w:t>
      </w:r>
    </w:p>
    <w:p>
      <w:pPr>
        <w:pStyle w:val="nHeading3"/>
      </w:pPr>
      <w:bookmarkStart w:id="165" w:name="_Toc493065167"/>
      <w:r>
        <w:t>Compilation table</w:t>
      </w:r>
      <w:bookmarkEnd w:id="165"/>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57"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rPr>
                <w:vertAlign w:val="superscript"/>
              </w:rPr>
            </w:pPr>
            <w:r>
              <w:rPr>
                <w:i/>
              </w:rPr>
              <w:t>Criminal Law (Mentally Impaired Defendants) Act 1996 </w:t>
            </w:r>
            <w:r>
              <w:rPr>
                <w:vertAlign w:val="superscript"/>
              </w:rPr>
              <w:t>2</w:t>
            </w:r>
          </w:p>
        </w:tc>
        <w:tc>
          <w:tcPr>
            <w:tcW w:w="1131" w:type="dxa"/>
          </w:tcPr>
          <w:p>
            <w:pPr>
              <w:pStyle w:val="nTable"/>
              <w:spacing w:after="40"/>
            </w:pPr>
            <w:r>
              <w:t>70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cantSplit/>
        </w:trPr>
        <w:tc>
          <w:tcPr>
            <w:tcW w:w="2264" w:type="dxa"/>
          </w:tcPr>
          <w:p>
            <w:pPr>
              <w:pStyle w:val="nTable"/>
              <w:spacing w:after="40"/>
              <w:ind w:right="113"/>
            </w:pPr>
            <w:r>
              <w:rPr>
                <w:i/>
              </w:rPr>
              <w:t>Statutes (Repeals and Minor Amendments) Act (No. 2) 1998</w:t>
            </w:r>
            <w:r>
              <w:t xml:space="preserve"> s. 26</w:t>
            </w:r>
          </w:p>
        </w:tc>
        <w:tc>
          <w:tcPr>
            <w:tcW w:w="1131" w:type="dxa"/>
          </w:tcPr>
          <w:p>
            <w:pPr>
              <w:pStyle w:val="nTable"/>
              <w:spacing w:after="40"/>
            </w:pPr>
            <w:r>
              <w:t>10 of 1998</w:t>
            </w:r>
          </w:p>
        </w:tc>
        <w:tc>
          <w:tcPr>
            <w:tcW w:w="1132" w:type="dxa"/>
            <w:gridSpan w:val="2"/>
          </w:tcPr>
          <w:p>
            <w:pPr>
              <w:pStyle w:val="nTable"/>
              <w:spacing w:after="40"/>
            </w:pPr>
            <w:r>
              <w:t>30 Apr 1998</w:t>
            </w:r>
          </w:p>
        </w:tc>
        <w:tc>
          <w:tcPr>
            <w:tcW w:w="2557" w:type="dxa"/>
            <w:gridSpan w:val="2"/>
          </w:tcPr>
          <w:p>
            <w:pPr>
              <w:pStyle w:val="nTable"/>
              <w:spacing w:after="40"/>
            </w:pPr>
            <w:r>
              <w:t>30 Apr 1998 (see s. 2(1))</w:t>
            </w:r>
          </w:p>
        </w:tc>
      </w:tr>
      <w:tr>
        <w:trPr>
          <w:cantSplit/>
        </w:trPr>
        <w:tc>
          <w:tcPr>
            <w:tcW w:w="2264" w:type="dxa"/>
          </w:tcPr>
          <w:p>
            <w:pPr>
              <w:pStyle w:val="nTable"/>
              <w:spacing w:after="40"/>
              <w:ind w:right="113"/>
            </w:pPr>
            <w:r>
              <w:rPr>
                <w:i/>
              </w:rPr>
              <w:t>Criminal Law Amendment Act (No. 1) 1998</w:t>
            </w:r>
            <w:r>
              <w:t xml:space="preserve"> s. 4(3)</w:t>
            </w:r>
          </w:p>
        </w:tc>
        <w:tc>
          <w:tcPr>
            <w:tcW w:w="1131" w:type="dxa"/>
          </w:tcPr>
          <w:p>
            <w:pPr>
              <w:pStyle w:val="nTable"/>
              <w:spacing w:after="40"/>
            </w:pPr>
            <w:r>
              <w:t>38 of 1998</w:t>
            </w:r>
          </w:p>
        </w:tc>
        <w:tc>
          <w:tcPr>
            <w:tcW w:w="1132" w:type="dxa"/>
            <w:gridSpan w:val="2"/>
          </w:tcPr>
          <w:p>
            <w:pPr>
              <w:pStyle w:val="nTable"/>
              <w:spacing w:after="40"/>
            </w:pPr>
            <w:r>
              <w:t>25 Sep 1998</w:t>
            </w:r>
          </w:p>
        </w:tc>
        <w:tc>
          <w:tcPr>
            <w:tcW w:w="2557" w:type="dxa"/>
            <w:gridSpan w:val="2"/>
          </w:tcPr>
          <w:p>
            <w:pPr>
              <w:pStyle w:val="nTable"/>
              <w:spacing w:after="40"/>
            </w:pPr>
            <w:r>
              <w:t>23 Oct 1998</w:t>
            </w:r>
          </w:p>
        </w:tc>
      </w:tr>
      <w:tr>
        <w:trPr>
          <w:cantSplit/>
        </w:trPr>
        <w:tc>
          <w:tcPr>
            <w:tcW w:w="2264" w:type="dxa"/>
          </w:tcPr>
          <w:p>
            <w:pPr>
              <w:pStyle w:val="nTable"/>
              <w:spacing w:after="40"/>
              <w:ind w:right="113"/>
              <w:rPr>
                <w:i/>
              </w:rPr>
            </w:pPr>
            <w:r>
              <w:rPr>
                <w:i/>
              </w:rPr>
              <w:t xml:space="preserve">Criminal Law Amendment Act 2001 </w:t>
            </w:r>
            <w:r>
              <w:t>s. 10(2)</w:t>
            </w:r>
          </w:p>
        </w:tc>
        <w:tc>
          <w:tcPr>
            <w:tcW w:w="1131" w:type="dxa"/>
          </w:tcPr>
          <w:p>
            <w:pPr>
              <w:pStyle w:val="nTable"/>
              <w:spacing w:after="40"/>
            </w:pPr>
            <w:r>
              <w:t>23 of 2001</w:t>
            </w:r>
          </w:p>
        </w:tc>
        <w:tc>
          <w:tcPr>
            <w:tcW w:w="1132" w:type="dxa"/>
            <w:gridSpan w:val="2"/>
          </w:tcPr>
          <w:p>
            <w:pPr>
              <w:pStyle w:val="nTable"/>
              <w:spacing w:after="40"/>
            </w:pPr>
            <w:r>
              <w:t>26 Nov 2001</w:t>
            </w:r>
          </w:p>
        </w:tc>
        <w:tc>
          <w:tcPr>
            <w:tcW w:w="2557"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4" w:type="dxa"/>
          </w:tcPr>
          <w:p>
            <w:pPr>
              <w:pStyle w:val="nTable"/>
              <w:spacing w:after="40"/>
              <w:rPr>
                <w:spacing w:val="-4"/>
              </w:rPr>
            </w:pPr>
            <w:r>
              <w:rPr>
                <w:i/>
                <w:spacing w:val="-4"/>
              </w:rPr>
              <w:t>Criminal Law (Procedure) Amendment Act 2002</w:t>
            </w:r>
            <w:r>
              <w:rPr>
                <w:spacing w:val="-4"/>
              </w:rPr>
              <w:t xml:space="preserve"> Pt. 4 Div. 3</w:t>
            </w:r>
          </w:p>
        </w:tc>
        <w:tc>
          <w:tcPr>
            <w:tcW w:w="1131" w:type="dxa"/>
          </w:tcPr>
          <w:p>
            <w:pPr>
              <w:pStyle w:val="nTable"/>
              <w:spacing w:after="40"/>
              <w:rPr>
                <w:spacing w:val="-4"/>
              </w:rPr>
            </w:pPr>
            <w:r>
              <w:rPr>
                <w:spacing w:val="-4"/>
              </w:rPr>
              <w:t>27 of 2002</w:t>
            </w:r>
          </w:p>
        </w:tc>
        <w:tc>
          <w:tcPr>
            <w:tcW w:w="1132" w:type="dxa"/>
            <w:gridSpan w:val="2"/>
          </w:tcPr>
          <w:p>
            <w:pPr>
              <w:pStyle w:val="nTable"/>
              <w:spacing w:after="40"/>
              <w:rPr>
                <w:spacing w:val="-4"/>
              </w:rPr>
            </w:pPr>
            <w:r>
              <w:rPr>
                <w:spacing w:val="-4"/>
              </w:rPr>
              <w:t>25 Sep 2002</w:t>
            </w:r>
          </w:p>
        </w:tc>
        <w:tc>
          <w:tcPr>
            <w:tcW w:w="2557"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4" w:type="dxa"/>
          </w:tcPr>
          <w:p>
            <w:pPr>
              <w:pStyle w:val="nTable"/>
              <w:spacing w:after="40"/>
              <w:rPr>
                <w:i/>
                <w:spacing w:val="-4"/>
              </w:rPr>
            </w:pPr>
            <w:r>
              <w:rPr>
                <w:i/>
                <w:spacing w:val="-4"/>
              </w:rPr>
              <w:t>Sentencing Legislation Amendment and Repeal Act 2003</w:t>
            </w:r>
            <w:r>
              <w:rPr>
                <w:spacing w:val="-4"/>
              </w:rPr>
              <w:t xml:space="preserve"> s. 29(3)</w:t>
            </w:r>
          </w:p>
        </w:tc>
        <w:tc>
          <w:tcPr>
            <w:tcW w:w="1131" w:type="dxa"/>
          </w:tcPr>
          <w:p>
            <w:pPr>
              <w:pStyle w:val="nTable"/>
              <w:spacing w:after="40"/>
              <w:rPr>
                <w:spacing w:val="-4"/>
              </w:rPr>
            </w:pPr>
            <w:r>
              <w:rPr>
                <w:spacing w:val="-4"/>
              </w:rPr>
              <w:t>50 of 2003</w:t>
            </w:r>
          </w:p>
        </w:tc>
        <w:tc>
          <w:tcPr>
            <w:tcW w:w="1132" w:type="dxa"/>
            <w:gridSpan w:val="2"/>
          </w:tcPr>
          <w:p>
            <w:pPr>
              <w:pStyle w:val="nTable"/>
              <w:spacing w:after="40"/>
              <w:rPr>
                <w:spacing w:val="-4"/>
              </w:rPr>
            </w:pPr>
            <w:r>
              <w:rPr>
                <w:spacing w:val="-4"/>
              </w:rPr>
              <w:t>9 Jul 2003</w:t>
            </w:r>
          </w:p>
        </w:tc>
        <w:tc>
          <w:tcPr>
            <w:tcW w:w="2557"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4" w:type="dxa"/>
          </w:tcPr>
          <w:p>
            <w:pPr>
              <w:pStyle w:val="nTable"/>
              <w:spacing w:after="40"/>
              <w:rPr>
                <w:vertAlign w:val="superscript"/>
              </w:rPr>
            </w:pPr>
            <w:r>
              <w:rPr>
                <w:i/>
              </w:rPr>
              <w:t>Criminal Code Amendment Act 2004</w:t>
            </w:r>
            <w:r>
              <w:t xml:space="preserve"> s. 24, 26 and 58</w:t>
            </w:r>
          </w:p>
        </w:tc>
        <w:tc>
          <w:tcPr>
            <w:tcW w:w="1131" w:type="dxa"/>
          </w:tcPr>
          <w:p>
            <w:pPr>
              <w:pStyle w:val="nTable"/>
              <w:spacing w:after="40"/>
            </w:pPr>
            <w:r>
              <w:t>4 of 2004</w:t>
            </w:r>
          </w:p>
        </w:tc>
        <w:tc>
          <w:tcPr>
            <w:tcW w:w="1132" w:type="dxa"/>
            <w:gridSpan w:val="2"/>
          </w:tcPr>
          <w:p>
            <w:pPr>
              <w:pStyle w:val="nTable"/>
              <w:spacing w:after="40"/>
            </w:pPr>
            <w:r>
              <w:t>23 Apr 2004</w:t>
            </w:r>
          </w:p>
        </w:tc>
        <w:tc>
          <w:tcPr>
            <w:tcW w:w="2557" w:type="dxa"/>
            <w:gridSpan w:val="2"/>
          </w:tcPr>
          <w:p>
            <w:pPr>
              <w:pStyle w:val="nTable"/>
              <w:spacing w:after="40"/>
            </w:pPr>
            <w:r>
              <w:t>21 May 2004 (see s. 2)</w:t>
            </w:r>
          </w:p>
        </w:tc>
      </w:tr>
      <w:tr>
        <w:trPr>
          <w:cantSplit/>
        </w:trPr>
        <w:tc>
          <w:tcPr>
            <w:tcW w:w="2264" w:type="dxa"/>
          </w:tcPr>
          <w:p>
            <w:pPr>
              <w:pStyle w:val="nTable"/>
              <w:spacing w:after="40"/>
              <w:rPr>
                <w:i/>
              </w:rPr>
            </w:pPr>
            <w:r>
              <w:rPr>
                <w:i/>
                <w:snapToGrid w:val="0"/>
              </w:rPr>
              <w:t>Courts Legislation Amendment and Repeal Act 2004</w:t>
            </w:r>
            <w:r>
              <w:rPr>
                <w:snapToGrid w:val="0"/>
              </w:rPr>
              <w:t xml:space="preserve"> s. 141</w:t>
            </w:r>
          </w:p>
        </w:tc>
        <w:tc>
          <w:tcPr>
            <w:tcW w:w="1131" w:type="dxa"/>
          </w:tcPr>
          <w:p>
            <w:pPr>
              <w:pStyle w:val="nTable"/>
              <w:spacing w:after="40"/>
            </w:pPr>
            <w:r>
              <w:rPr>
                <w:snapToGrid w:val="0"/>
              </w:rPr>
              <w:t>59 of 2004</w:t>
            </w:r>
          </w:p>
        </w:tc>
        <w:tc>
          <w:tcPr>
            <w:tcW w:w="1132" w:type="dxa"/>
            <w:gridSpan w:val="2"/>
          </w:tcPr>
          <w:p>
            <w:pPr>
              <w:pStyle w:val="nTable"/>
              <w:spacing w:after="40"/>
            </w:pPr>
            <w:r>
              <w:t>23 Nov 2004</w:t>
            </w:r>
          </w:p>
        </w:tc>
        <w:tc>
          <w:tcPr>
            <w:tcW w:w="255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4"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1" w:type="dxa"/>
          </w:tcPr>
          <w:p>
            <w:pPr>
              <w:pStyle w:val="nTable"/>
              <w:spacing w:after="40"/>
              <w:rPr>
                <w:snapToGrid w:val="0"/>
              </w:rPr>
            </w:pPr>
            <w:r>
              <w:rPr>
                <w:snapToGrid w:val="0"/>
              </w:rPr>
              <w:t>84 of 2004</w:t>
            </w:r>
          </w:p>
        </w:tc>
        <w:tc>
          <w:tcPr>
            <w:tcW w:w="1132" w:type="dxa"/>
            <w:gridSpan w:val="2"/>
          </w:tcPr>
          <w:p>
            <w:pPr>
              <w:pStyle w:val="nTable"/>
              <w:spacing w:after="40"/>
            </w:pPr>
            <w:r>
              <w:t>16 Dec 2004</w:t>
            </w:r>
          </w:p>
        </w:tc>
        <w:tc>
          <w:tcPr>
            <w:tcW w:w="2557"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1" w:type="dxa"/>
            <w:tcBorders>
              <w:top w:val="nil"/>
              <w:bottom w:val="nil"/>
            </w:tcBorders>
          </w:tcPr>
          <w:p>
            <w:pPr>
              <w:pStyle w:val="nTable"/>
              <w:spacing w:after="40"/>
              <w:rPr>
                <w:snapToGrid w:val="0"/>
              </w:rPr>
            </w:pPr>
            <w:r>
              <w:rPr>
                <w:snapToGrid w:val="0"/>
              </w:rPr>
              <w:t>41 of 2006</w:t>
            </w:r>
          </w:p>
        </w:tc>
        <w:tc>
          <w:tcPr>
            <w:tcW w:w="1132" w:type="dxa"/>
            <w:gridSpan w:val="2"/>
            <w:tcBorders>
              <w:top w:val="nil"/>
              <w:bottom w:val="nil"/>
            </w:tcBorders>
          </w:tcPr>
          <w:p>
            <w:pPr>
              <w:pStyle w:val="nTable"/>
              <w:spacing w:after="40"/>
              <w:rPr>
                <w:snapToGrid w:val="0"/>
              </w:rPr>
            </w:pPr>
            <w:r>
              <w:rPr>
                <w:snapToGrid w:val="0"/>
              </w:rPr>
              <w:t>22 Sep 2006</w:t>
            </w:r>
          </w:p>
        </w:tc>
        <w:tc>
          <w:tcPr>
            <w:tcW w:w="2557"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1" w:type="dxa"/>
            <w:tcBorders>
              <w:top w:val="nil"/>
              <w:bottom w:val="nil"/>
            </w:tcBorders>
          </w:tcPr>
          <w:p>
            <w:pPr>
              <w:pStyle w:val="nTable"/>
              <w:spacing w:after="40"/>
              <w:rPr>
                <w:snapToGrid w:val="0"/>
              </w:rPr>
            </w:pPr>
            <w:r>
              <w:rPr>
                <w:snapToGrid w:val="0"/>
              </w:rPr>
              <w:t>65 of 2006</w:t>
            </w:r>
          </w:p>
        </w:tc>
        <w:tc>
          <w:tcPr>
            <w:tcW w:w="1132" w:type="dxa"/>
            <w:gridSpan w:val="2"/>
            <w:tcBorders>
              <w:top w:val="nil"/>
              <w:bottom w:val="nil"/>
            </w:tcBorders>
          </w:tcPr>
          <w:p>
            <w:pPr>
              <w:pStyle w:val="nTable"/>
              <w:spacing w:after="40"/>
              <w:rPr>
                <w:snapToGrid w:val="0"/>
              </w:rPr>
            </w:pPr>
            <w:r>
              <w:rPr>
                <w:snapToGrid w:val="0"/>
              </w:rPr>
              <w:t>8 Dec 2006</w:t>
            </w:r>
          </w:p>
        </w:tc>
        <w:tc>
          <w:tcPr>
            <w:tcW w:w="2557"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1" w:type="dxa"/>
            <w:tcBorders>
              <w:top w:val="nil"/>
              <w:bottom w:val="nil"/>
            </w:tcBorders>
          </w:tcPr>
          <w:p>
            <w:pPr>
              <w:pStyle w:val="nTable"/>
              <w:spacing w:after="40"/>
              <w:rPr>
                <w:snapToGrid w:val="0"/>
              </w:rPr>
            </w:pPr>
            <w:r>
              <w:t>2 of 2008</w:t>
            </w:r>
          </w:p>
        </w:tc>
        <w:tc>
          <w:tcPr>
            <w:tcW w:w="1132" w:type="dxa"/>
            <w:gridSpan w:val="2"/>
            <w:tcBorders>
              <w:top w:val="nil"/>
              <w:bottom w:val="nil"/>
            </w:tcBorders>
          </w:tcPr>
          <w:p>
            <w:pPr>
              <w:pStyle w:val="nTable"/>
              <w:spacing w:after="40"/>
              <w:rPr>
                <w:snapToGrid w:val="0"/>
              </w:rPr>
            </w:pPr>
            <w:r>
              <w:t>12 Mar 2008</w:t>
            </w:r>
          </w:p>
        </w:tc>
        <w:tc>
          <w:tcPr>
            <w:tcW w:w="2557"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4"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1" w:type="dxa"/>
            <w:tcBorders>
              <w:top w:val="nil"/>
              <w:bottom w:val="nil"/>
            </w:tcBorders>
          </w:tcPr>
          <w:p>
            <w:pPr>
              <w:pStyle w:val="nTable"/>
              <w:spacing w:after="40"/>
            </w:pPr>
            <w:r>
              <w:t>29 of 2008</w:t>
            </w:r>
          </w:p>
        </w:tc>
        <w:tc>
          <w:tcPr>
            <w:tcW w:w="1132" w:type="dxa"/>
            <w:gridSpan w:val="2"/>
            <w:tcBorders>
              <w:top w:val="nil"/>
              <w:bottom w:val="nil"/>
            </w:tcBorders>
          </w:tcPr>
          <w:p>
            <w:pPr>
              <w:pStyle w:val="nTable"/>
              <w:spacing w:after="40"/>
            </w:pPr>
            <w:r>
              <w:t>27 Jun 2008</w:t>
            </w:r>
          </w:p>
        </w:tc>
        <w:tc>
          <w:tcPr>
            <w:tcW w:w="2557"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4"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1" w:type="dxa"/>
            <w:shd w:val="clear" w:color="auto" w:fill="auto"/>
          </w:tcPr>
          <w:p>
            <w:pPr>
              <w:pStyle w:val="nTable"/>
              <w:spacing w:after="40"/>
              <w:rPr>
                <w:snapToGrid w:val="0"/>
              </w:rPr>
            </w:pPr>
            <w:r>
              <w:rPr>
                <w:snapToGrid w:val="0"/>
              </w:rPr>
              <w:t>20 of 2013</w:t>
            </w:r>
          </w:p>
        </w:tc>
        <w:tc>
          <w:tcPr>
            <w:tcW w:w="1126" w:type="dxa"/>
            <w:shd w:val="clear" w:color="auto" w:fill="auto"/>
          </w:tcPr>
          <w:p>
            <w:pPr>
              <w:pStyle w:val="nTable"/>
              <w:spacing w:after="40"/>
            </w:pPr>
            <w:r>
              <w:t>4 Nov 2013</w:t>
            </w:r>
          </w:p>
        </w:tc>
        <w:tc>
          <w:tcPr>
            <w:tcW w:w="2535" w:type="dxa"/>
            <w:gridSpan w:val="2"/>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gridAfter w:val="1"/>
          <w:wAfter w:w="28" w:type="dxa"/>
          <w:cantSplit/>
        </w:trPr>
        <w:tc>
          <w:tcPr>
            <w:tcW w:w="2264" w:type="dxa"/>
            <w:shd w:val="clear" w:color="auto" w:fill="auto"/>
          </w:tcPr>
          <w:p>
            <w:pPr>
              <w:pStyle w:val="nTable"/>
              <w:spacing w:after="40"/>
              <w:rPr>
                <w:i/>
              </w:rPr>
            </w:pPr>
            <w:r>
              <w:rPr>
                <w:i/>
              </w:rPr>
              <w:t xml:space="preserve">Mental Health Legislation Amendment Act 2014 </w:t>
            </w:r>
            <w:r>
              <w:t>Pt. 4 Div. 1</w:t>
            </w:r>
          </w:p>
        </w:tc>
        <w:tc>
          <w:tcPr>
            <w:tcW w:w="1131" w:type="dxa"/>
            <w:shd w:val="clear" w:color="auto" w:fill="auto"/>
          </w:tcPr>
          <w:p>
            <w:pPr>
              <w:pStyle w:val="nTable"/>
              <w:spacing w:after="40"/>
              <w:rPr>
                <w:snapToGrid w:val="0"/>
              </w:rPr>
            </w:pPr>
            <w:r>
              <w:rPr>
                <w:snapToGrid w:val="0"/>
              </w:rPr>
              <w:t>25 of 2014</w:t>
            </w:r>
          </w:p>
        </w:tc>
        <w:tc>
          <w:tcPr>
            <w:tcW w:w="1126" w:type="dxa"/>
            <w:shd w:val="clear" w:color="auto" w:fill="auto"/>
          </w:tcPr>
          <w:p>
            <w:pPr>
              <w:pStyle w:val="nTable"/>
              <w:spacing w:after="40"/>
            </w:pPr>
            <w:r>
              <w:t>3 Nov 2014</w:t>
            </w:r>
          </w:p>
        </w:tc>
        <w:tc>
          <w:tcPr>
            <w:tcW w:w="2535" w:type="dxa"/>
            <w:gridSpan w:val="2"/>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28" w:type="dxa"/>
          <w:cantSplit/>
        </w:trPr>
        <w:tc>
          <w:tcPr>
            <w:tcW w:w="2264" w:type="dxa"/>
            <w:shd w:val="clear" w:color="auto" w:fill="auto"/>
          </w:tcPr>
          <w:p>
            <w:pPr>
              <w:pStyle w:val="nTable"/>
              <w:spacing w:after="40"/>
              <w:rPr>
                <w:i/>
                <w:snapToGrid w:val="0"/>
              </w:rPr>
            </w:pPr>
            <w:r>
              <w:rPr>
                <w:i/>
              </w:rPr>
              <w:t>Declared Places (Mentally Impaired Accused) Act 2015</w:t>
            </w:r>
            <w:r>
              <w:t xml:space="preserve"> Pt. 12 Div. 1</w:t>
            </w:r>
          </w:p>
        </w:tc>
        <w:tc>
          <w:tcPr>
            <w:tcW w:w="1131" w:type="dxa"/>
            <w:shd w:val="clear" w:color="auto" w:fill="auto"/>
          </w:tcPr>
          <w:p>
            <w:pPr>
              <w:pStyle w:val="nTable"/>
              <w:spacing w:after="40"/>
              <w:rPr>
                <w:snapToGrid w:val="0"/>
              </w:rPr>
            </w:pPr>
            <w:r>
              <w:rPr>
                <w:snapToGrid w:val="0"/>
              </w:rPr>
              <w:t>4 of 2015</w:t>
            </w:r>
          </w:p>
        </w:tc>
        <w:tc>
          <w:tcPr>
            <w:tcW w:w="1126" w:type="dxa"/>
            <w:shd w:val="clear" w:color="auto" w:fill="auto"/>
          </w:tcPr>
          <w:p>
            <w:pPr>
              <w:pStyle w:val="nTable"/>
              <w:spacing w:after="40"/>
            </w:pPr>
            <w:r>
              <w:t>3 Mar 2015</w:t>
            </w:r>
          </w:p>
        </w:tc>
        <w:tc>
          <w:tcPr>
            <w:tcW w:w="2535" w:type="dxa"/>
            <w:gridSpan w:val="2"/>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28" w:type="dxa"/>
          <w:cantSplit/>
        </w:trPr>
        <w:tc>
          <w:tcPr>
            <w:tcW w:w="2264" w:type="dxa"/>
            <w:tcBorders>
              <w:bottom w:val="single" w:sz="4" w:space="0" w:color="auto"/>
            </w:tcBorders>
            <w:shd w:val="clear" w:color="auto" w:fill="auto"/>
          </w:tcPr>
          <w:p>
            <w:pPr>
              <w:pStyle w:val="nTable"/>
              <w:spacing w:after="40"/>
              <w:rPr>
                <w:i/>
              </w:rPr>
            </w:pPr>
            <w:r>
              <w:rPr>
                <w:i/>
                <w:snapToGrid w:val="0"/>
              </w:rPr>
              <w:t>Statutes (Minor Amendments) Act 2017</w:t>
            </w:r>
            <w:r>
              <w:rPr>
                <w:snapToGrid w:val="0"/>
              </w:rPr>
              <w:t xml:space="preserve"> s. 5</w:t>
            </w:r>
          </w:p>
        </w:tc>
        <w:tc>
          <w:tcPr>
            <w:tcW w:w="1131" w:type="dxa"/>
            <w:tcBorders>
              <w:bottom w:val="single" w:sz="4" w:space="0" w:color="auto"/>
            </w:tcBorders>
            <w:shd w:val="clear" w:color="auto" w:fill="auto"/>
          </w:tcPr>
          <w:p>
            <w:pPr>
              <w:pStyle w:val="nTable"/>
              <w:spacing w:after="40"/>
              <w:rPr>
                <w:snapToGrid w:val="0"/>
              </w:rPr>
            </w:pPr>
            <w:r>
              <w:rPr>
                <w:snapToGrid w:val="0"/>
              </w:rPr>
              <w:t>6 of 2017</w:t>
            </w:r>
          </w:p>
        </w:tc>
        <w:tc>
          <w:tcPr>
            <w:tcW w:w="1126" w:type="dxa"/>
            <w:tcBorders>
              <w:bottom w:val="single" w:sz="4" w:space="0" w:color="auto"/>
            </w:tcBorders>
            <w:shd w:val="clear" w:color="auto" w:fill="auto"/>
          </w:tcPr>
          <w:p>
            <w:pPr>
              <w:pStyle w:val="nTable"/>
              <w:spacing w:after="40"/>
            </w:pPr>
            <w:r>
              <w:rPr>
                <w:snapToGrid w:val="0"/>
              </w:rPr>
              <w:t>12 Sep 2017</w:t>
            </w:r>
          </w:p>
        </w:tc>
        <w:tc>
          <w:tcPr>
            <w:tcW w:w="2535" w:type="dxa"/>
            <w:gridSpan w:val="2"/>
            <w:tcBorders>
              <w:bottom w:val="single" w:sz="4" w:space="0" w:color="auto"/>
            </w:tcBorders>
          </w:tcPr>
          <w:p>
            <w:pPr>
              <w:pStyle w:val="nTable"/>
              <w:spacing w:after="40"/>
              <w:rPr>
                <w:b/>
                <w:snapToGrid w:val="0"/>
              </w:rPr>
            </w:pPr>
            <w:r>
              <w:rPr>
                <w:snapToGrid w:val="0"/>
              </w:rPr>
              <w:t>13 Sep 2017 (see s. 2(b))</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67" w:name="_Toc436040519"/>
      <w:bookmarkStart w:id="168" w:name="_Toc493065168"/>
      <w:r>
        <w:rPr>
          <w:sz w:val="28"/>
        </w:rPr>
        <w:t>Defined terms</w:t>
      </w:r>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5344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9536</Words>
  <Characters>43775</Characters>
  <Application>Microsoft Office Word</Application>
  <DocSecurity>0</DocSecurity>
  <Lines>1326</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52408</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1996 - 03-i0-00</dc:title>
  <dc:subject/>
  <dc:creator/>
  <cp:keywords/>
  <dc:description/>
  <cp:lastModifiedBy>svcMRProcess</cp:lastModifiedBy>
  <cp:revision>4</cp:revision>
  <cp:lastPrinted>2009-03-04T02:00:00Z</cp:lastPrinted>
  <dcterms:created xsi:type="dcterms:W3CDTF">2018-08-23T02:10:00Z</dcterms:created>
  <dcterms:modified xsi:type="dcterms:W3CDTF">2018-08-23T02:10:00Z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No">
    <vt:lpwstr>3</vt:lpwstr>
  </property>
  <property fmtid="{D5CDD505-2E9C-101B-9397-08002B2CF9AE}" pid="6" name="AsAtDate">
    <vt:lpwstr>13 Sep 2017</vt:lpwstr>
  </property>
  <property fmtid="{D5CDD505-2E9C-101B-9397-08002B2CF9AE}" pid="7" name="Suffix">
    <vt:lpwstr>03-i0-00</vt:lpwstr>
  </property>
  <property fmtid="{D5CDD505-2E9C-101B-9397-08002B2CF9AE}" pid="8" name="CommencementDate">
    <vt:lpwstr>20170913</vt:lpwstr>
  </property>
</Properties>
</file>