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Statutes (Minor Amendments) Act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Statutes (Minor Amendments) Act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_Toc493079665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_Toc493079666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Administration Act 1903</w:t>
      </w:r>
      <w:r>
        <w:t xml:space="preserve"> amended</w:t>
      </w:r>
      <w:r>
        <w:tab/>
      </w:r>
      <w:r>
        <w:fldChar w:fldCharType="begin"/>
      </w:r>
      <w:r>
        <w:instrText xml:space="preserve"> PAGEREF _Toc493079668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>
        <w:rPr>
          <w:i/>
        </w:rPr>
        <w:t>Criminal Code Amendment (Unlawful Possession) Act 2014</w:t>
      </w:r>
      <w:r>
        <w:t xml:space="preserve"> amended</w:t>
      </w:r>
      <w:r>
        <w:tab/>
      </w:r>
      <w:r>
        <w:fldChar w:fldCharType="begin"/>
      </w:r>
      <w:r>
        <w:instrText xml:space="preserve"> PAGEREF _Toc493079669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Criminal Law (Mentally Impaired Accused) Act 1996</w:t>
      </w:r>
      <w:r>
        <w:t xml:space="preserve"> amended</w:t>
      </w:r>
      <w:r>
        <w:tab/>
      </w:r>
      <w:r>
        <w:fldChar w:fldCharType="begin"/>
      </w:r>
      <w:r>
        <w:instrText xml:space="preserve"> PAGEREF _Toc493079670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i/>
        </w:rPr>
        <w:t>Criminal Organisations Control Act 2012</w:t>
      </w:r>
      <w:r>
        <w:t xml:space="preserve"> amended</w:t>
      </w:r>
      <w:r>
        <w:tab/>
      </w:r>
      <w:r>
        <w:fldChar w:fldCharType="begin"/>
      </w:r>
      <w:r>
        <w:instrText xml:space="preserve"> PAGEREF _Toc493079671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Criminal Procedure Act 2004</w:t>
      </w:r>
      <w:r>
        <w:t xml:space="preserve"> amended</w:t>
      </w:r>
      <w:r>
        <w:tab/>
      </w:r>
      <w:r>
        <w:fldChar w:fldCharType="begin"/>
      </w:r>
      <w:r>
        <w:instrText xml:space="preserve"> PAGEREF _Toc493079672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</w:r>
      <w:r>
        <w:rPr>
          <w:i/>
        </w:rPr>
        <w:t>Equal Opportunity Act 1984</w:t>
      </w:r>
      <w:r>
        <w:t xml:space="preserve"> amended</w:t>
      </w:r>
      <w:r>
        <w:tab/>
      </w:r>
      <w:r>
        <w:fldChar w:fldCharType="begin"/>
      </w:r>
      <w:r>
        <w:instrText xml:space="preserve"> PAGEREF _Toc493079673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</w:r>
      <w:r>
        <w:rPr>
          <w:i/>
        </w:rPr>
        <w:t>Evidence Act 1906</w:t>
      </w:r>
      <w:r>
        <w:t xml:space="preserve"> amended</w:t>
      </w:r>
      <w:r>
        <w:tab/>
      </w:r>
      <w:r>
        <w:fldChar w:fldCharType="begin"/>
      </w:r>
      <w:r>
        <w:instrText xml:space="preserve"> PAGEREF _Toc493079674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</w:r>
      <w:r>
        <w:rPr>
          <w:i/>
        </w:rPr>
        <w:t>Family Provision Act 1972</w:t>
      </w:r>
      <w:r>
        <w:t xml:space="preserve"> amended</w:t>
      </w:r>
      <w:r>
        <w:tab/>
      </w:r>
      <w:r>
        <w:fldChar w:fldCharType="begin"/>
      </w:r>
      <w:r>
        <w:instrText xml:space="preserve"> PAGEREF _Toc493079675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</w:r>
      <w:r>
        <w:rPr>
          <w:i/>
        </w:rPr>
        <w:t>Juries Act 1957</w:t>
      </w:r>
      <w:r>
        <w:t xml:space="preserve"> amended</w:t>
      </w:r>
      <w:r>
        <w:tab/>
      </w:r>
      <w:r>
        <w:fldChar w:fldCharType="begin"/>
      </w:r>
      <w:r>
        <w:instrText xml:space="preserve"> PAGEREF _Toc493079676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</w:r>
      <w:r>
        <w:rPr>
          <w:i/>
        </w:rPr>
        <w:t>Sentencing Act 1995</w:t>
      </w:r>
      <w:r>
        <w:t xml:space="preserve"> amended</w:t>
      </w:r>
      <w:r>
        <w:tab/>
      </w:r>
      <w:r>
        <w:fldChar w:fldCharType="begin"/>
      </w:r>
      <w:r>
        <w:instrText xml:space="preserve"> PAGEREF _Toc493079677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</w:r>
      <w:r>
        <w:rPr>
          <w:i/>
        </w:rPr>
        <w:t>State Administrative Tribunal Act 2004</w:t>
      </w:r>
      <w:r>
        <w:t xml:space="preserve"> amended</w:t>
      </w:r>
      <w:r>
        <w:tab/>
      </w:r>
      <w:r>
        <w:fldChar w:fldCharType="begin"/>
      </w:r>
      <w:r>
        <w:instrText xml:space="preserve"> PAGEREF _Toc493079678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7504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Statutes (Minor Amendments) Act 2017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6 of 2017</w:t>
      </w:r>
    </w:p>
    <w:p>
      <w:pPr>
        <w:pStyle w:val="LongTitle"/>
        <w:suppressLineNumbers/>
      </w:pPr>
      <w:r>
        <w:t xml:space="preserve">An Act to amend the </w:t>
      </w:r>
      <w:r>
        <w:rPr>
          <w:snapToGrid w:val="0"/>
        </w:rPr>
        <w:t>statute law by making minor amendments to various enactments</w:t>
      </w:r>
      <w:r>
        <w:t>.</w:t>
      </w:r>
    </w:p>
    <w:p>
      <w:pPr>
        <w:pStyle w:val="AssentNote"/>
      </w:pPr>
      <w:r>
        <w:t>[Assented to 12 September 2017]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82084493"/>
      <w:bookmarkStart w:id="5" w:name="_Toc482084508"/>
      <w:bookmarkStart w:id="6" w:name="_Toc490729286"/>
      <w:bookmarkStart w:id="7" w:name="_Toc490729498"/>
      <w:bookmarkStart w:id="8" w:name="_Toc490740632"/>
      <w:bookmarkStart w:id="9" w:name="_Toc490740853"/>
      <w:bookmarkStart w:id="10" w:name="_Toc492457146"/>
      <w:bookmarkStart w:id="11" w:name="_Toc493056960"/>
      <w:bookmarkStart w:id="12" w:name="_Toc493079525"/>
      <w:bookmarkStart w:id="13" w:name="_Toc493079649"/>
      <w:bookmarkStart w:id="14" w:name="_Toc49307966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493056961"/>
      <w:bookmarkStart w:id="16" w:name="_Toc493079665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15"/>
      <w:bookmarkEnd w:id="16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Statutes (Minor Amendments) Act 2017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7" w:name="_Toc493056962"/>
      <w:bookmarkStart w:id="18" w:name="_Toc49307966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17"/>
      <w:bookmarkEnd w:id="1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 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— on the day after that day.</w:t>
      </w:r>
    </w:p>
    <w:p>
      <w:pPr>
        <w:pStyle w:val="Heading2"/>
      </w:pPr>
      <w:bookmarkStart w:id="19" w:name="_Toc482084496"/>
      <w:bookmarkStart w:id="20" w:name="_Toc482084511"/>
      <w:bookmarkStart w:id="21" w:name="_Toc490729289"/>
      <w:bookmarkStart w:id="22" w:name="_Toc490729501"/>
      <w:bookmarkStart w:id="23" w:name="_Toc490740635"/>
      <w:bookmarkStart w:id="24" w:name="_Toc490740856"/>
      <w:bookmarkStart w:id="25" w:name="_Toc492457149"/>
      <w:bookmarkStart w:id="26" w:name="_Toc493056963"/>
      <w:bookmarkStart w:id="27" w:name="_Toc493079528"/>
      <w:bookmarkStart w:id="28" w:name="_Toc493079652"/>
      <w:bookmarkStart w:id="29" w:name="_Toc49307966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Amendments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Heading5"/>
      </w:pPr>
      <w:bookmarkStart w:id="30" w:name="_Toc493056964"/>
      <w:bookmarkStart w:id="31" w:name="_Toc49307966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Administration Act 1903</w:t>
      </w:r>
      <w:r>
        <w:t xml:space="preserve"> amended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Administration Act 1903</w:t>
      </w:r>
      <w:r>
        <w:t>.</w:t>
      </w:r>
    </w:p>
    <w:p>
      <w:pPr>
        <w:pStyle w:val="Subsection"/>
      </w:pPr>
      <w:r>
        <w:tab/>
        <w:t>(2)</w:t>
      </w:r>
      <w:r>
        <w:tab/>
        <w:t>In section 60A after “o</w:t>
      </w:r>
      <w:r>
        <w:rPr>
          <w:spacing w:val="32"/>
        </w:rPr>
        <w:t>f”</w:t>
      </w:r>
      <w:r>
        <w:t xml:space="preserve">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</w:t>
      </w:r>
    </w:p>
    <w:p>
      <w:pPr>
        <w:pStyle w:val="BlankClose"/>
      </w:pPr>
    </w:p>
    <w:p>
      <w:pPr>
        <w:pStyle w:val="Heading5"/>
      </w:pPr>
      <w:bookmarkStart w:id="32" w:name="_Toc493056965"/>
      <w:bookmarkStart w:id="33" w:name="_Toc493079669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Criminal Code Amendment (Unlawful Possession) Act 2014</w:t>
      </w:r>
      <w:r>
        <w:t xml:space="preserve"> amended</w:t>
      </w:r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Criminal Code Amendment (Unlawful Possession) Act 2014</w:t>
      </w:r>
      <w:r>
        <w:t>.</w:t>
      </w:r>
    </w:p>
    <w:p>
      <w:pPr>
        <w:pStyle w:val="Subsection"/>
      </w:pPr>
      <w:r>
        <w:tab/>
        <w:t>(2)</w:t>
      </w:r>
      <w:r>
        <w:tab/>
        <w:t>Delete section 8(2).</w:t>
      </w:r>
    </w:p>
    <w:p>
      <w:pPr>
        <w:pStyle w:val="Heading5"/>
      </w:pPr>
      <w:bookmarkStart w:id="34" w:name="_Toc493056966"/>
      <w:bookmarkStart w:id="35" w:name="_Toc493079670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Criminal Law (Mentally Impaired Accused) Act 1996</w:t>
      </w:r>
      <w:r>
        <w:t xml:space="preserve"> amended</w:t>
      </w:r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Criminal Law (Mentally Impaired Accused) Act 1996</w:t>
      </w:r>
      <w:r>
        <w:t>.</w:t>
      </w:r>
    </w:p>
    <w:p>
      <w:pPr>
        <w:pStyle w:val="Subsection"/>
      </w:pPr>
      <w:r>
        <w:tab/>
        <w:t>(2)</w:t>
      </w:r>
      <w:r>
        <w:tab/>
        <w:t>In Schedule 1 item 1 delete “</w:t>
      </w:r>
      <w:r>
        <w:rPr>
          <w:sz w:val="22"/>
        </w:rPr>
        <w:t>s. 388E(1)(a)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tab/>
      </w:r>
      <w:r>
        <w:tab/>
      </w:r>
      <w:r>
        <w:rPr>
          <w:sz w:val="22"/>
        </w:rPr>
        <w:t>s. 338E(1)(a)</w:t>
      </w:r>
    </w:p>
    <w:p>
      <w:pPr>
        <w:pStyle w:val="BlankClose"/>
      </w:pPr>
    </w:p>
    <w:p>
      <w:pPr>
        <w:pStyle w:val="Heading5"/>
      </w:pPr>
      <w:bookmarkStart w:id="36" w:name="_Toc493056967"/>
      <w:bookmarkStart w:id="37" w:name="_Toc493079671"/>
      <w:r>
        <w:rPr>
          <w:rStyle w:val="CharSectno"/>
        </w:rPr>
        <w:t>6</w:t>
      </w:r>
      <w:r>
        <w:t>.</w:t>
      </w:r>
      <w:r>
        <w:tab/>
      </w:r>
      <w:r>
        <w:rPr>
          <w:i/>
        </w:rPr>
        <w:t>Criminal Organisations Control Act 2012</w:t>
      </w:r>
      <w:r>
        <w:t xml:space="preserve"> amended</w:t>
      </w:r>
      <w:bookmarkEnd w:id="36"/>
      <w:bookmarkEnd w:id="37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Criminal Organisations Control Act 2012</w:t>
      </w:r>
      <w:r>
        <w:t>.</w:t>
      </w:r>
    </w:p>
    <w:p>
      <w:pPr>
        <w:pStyle w:val="Subsection"/>
        <w:keepNext/>
      </w:pPr>
      <w:r>
        <w:tab/>
        <w:t>(2)</w:t>
      </w:r>
      <w:r>
        <w:tab/>
        <w:t>In section 142(1)(b) delete “sections 149, 151 and 152;”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sections 149 and 152;</w:t>
      </w:r>
    </w:p>
    <w:p>
      <w:pPr>
        <w:pStyle w:val="BlankClose"/>
        <w:keepNext/>
      </w:pPr>
    </w:p>
    <w:p>
      <w:pPr>
        <w:pStyle w:val="Subsection"/>
      </w:pPr>
      <w:r>
        <w:tab/>
        <w:t>(3)</w:t>
      </w:r>
      <w:r>
        <w:tab/>
        <w:t>Delete section 176(5).</w:t>
      </w:r>
    </w:p>
    <w:p>
      <w:pPr>
        <w:pStyle w:val="Heading5"/>
      </w:pPr>
      <w:bookmarkStart w:id="38" w:name="_Toc493056968"/>
      <w:bookmarkStart w:id="39" w:name="_Toc493079672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Criminal Procedure Act 2004</w:t>
      </w:r>
      <w:r>
        <w:t xml:space="preserve"> amended</w:t>
      </w:r>
      <w:bookmarkEnd w:id="38"/>
      <w:bookmarkEnd w:id="39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>In the provisions listed in the Table delete “must”.</w:t>
      </w:r>
    </w:p>
    <w:p>
      <w:pPr>
        <w:pStyle w:val="THeading"/>
      </w:pPr>
      <w:r>
        <w:t>Table</w:t>
      </w:r>
    </w:p>
    <w:tbl>
      <w:tblPr>
        <w:tblW w:w="0" w:type="auto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692"/>
        <w:gridCol w:w="2624"/>
      </w:tblGrid>
      <w:tr>
        <w:trPr>
          <w:cantSplit/>
          <w:jc w:val="center"/>
        </w:trPr>
        <w:tc>
          <w:tcPr>
            <w:tcW w:w="2692" w:type="dxa"/>
          </w:tcPr>
          <w:p>
            <w:pPr>
              <w:pStyle w:val="TableAm"/>
            </w:pPr>
            <w:r>
              <w:t>s. 31(1)(b)</w:t>
            </w:r>
          </w:p>
        </w:tc>
        <w:tc>
          <w:tcPr>
            <w:tcW w:w="2624" w:type="dxa"/>
          </w:tcPr>
          <w:p>
            <w:pPr>
              <w:pStyle w:val="TableAm"/>
            </w:pPr>
            <w:r>
              <w:t>s. 31(1)(c)</w:t>
            </w:r>
          </w:p>
        </w:tc>
      </w:tr>
      <w:tr>
        <w:trPr>
          <w:cantSplit/>
          <w:jc w:val="center"/>
        </w:trPr>
        <w:tc>
          <w:tcPr>
            <w:tcW w:w="2692" w:type="dxa"/>
          </w:tcPr>
          <w:p>
            <w:pPr>
              <w:pStyle w:val="TableAm"/>
            </w:pPr>
            <w:r>
              <w:t>s. 32(1)(b)</w:t>
            </w:r>
          </w:p>
        </w:tc>
        <w:tc>
          <w:tcPr>
            <w:tcW w:w="2624" w:type="dxa"/>
          </w:tcPr>
          <w:p>
            <w:pPr>
              <w:pStyle w:val="TableAm"/>
            </w:pPr>
            <w:r>
              <w:t>s. 32(1)(c)</w:t>
            </w:r>
          </w:p>
        </w:tc>
      </w:tr>
      <w:tr>
        <w:trPr>
          <w:cantSplit/>
          <w:jc w:val="center"/>
        </w:trPr>
        <w:tc>
          <w:tcPr>
            <w:tcW w:w="2692" w:type="dxa"/>
          </w:tcPr>
          <w:p>
            <w:pPr>
              <w:pStyle w:val="TableAm"/>
            </w:pPr>
            <w:r>
              <w:t>s. 33(1)(b)</w:t>
            </w:r>
          </w:p>
        </w:tc>
        <w:tc>
          <w:tcPr>
            <w:tcW w:w="2624" w:type="dxa"/>
          </w:tcPr>
          <w:p>
            <w:pPr>
              <w:pStyle w:val="TableAm"/>
            </w:pPr>
            <w:r>
              <w:t>s. 33(1)(c)</w:t>
            </w:r>
          </w:p>
        </w:tc>
      </w:tr>
    </w:tbl>
    <w:p>
      <w:pPr>
        <w:pStyle w:val="Heading5"/>
      </w:pPr>
      <w:bookmarkStart w:id="40" w:name="_Toc493056969"/>
      <w:bookmarkStart w:id="41" w:name="_Toc493079673"/>
      <w:r>
        <w:rPr>
          <w:rStyle w:val="CharSectno"/>
        </w:rPr>
        <w:t>8</w:t>
      </w:r>
      <w:r>
        <w:t>.</w:t>
      </w:r>
      <w:r>
        <w:tab/>
      </w:r>
      <w:r>
        <w:rPr>
          <w:i/>
        </w:rPr>
        <w:t>Equal Opportunity Act 1984</w:t>
      </w:r>
      <w:r>
        <w:t xml:space="preserve"> amended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Equal Opportunity Act 1984</w:t>
      </w:r>
      <w:r>
        <w:t>.</w:t>
      </w:r>
    </w:p>
    <w:p>
      <w:pPr>
        <w:pStyle w:val="Subsection"/>
      </w:pPr>
      <w:r>
        <w:tab/>
        <w:t>(2)</w:t>
      </w:r>
      <w:r>
        <w:tab/>
        <w:t>In section 69(1):</w:t>
      </w:r>
    </w:p>
    <w:p>
      <w:pPr>
        <w:pStyle w:val="Indenta"/>
      </w:pPr>
      <w:r>
        <w:tab/>
        <w:t>(a)</w:t>
      </w:r>
      <w:r>
        <w:tab/>
        <w:t>delete paragraphs (a) and (b);</w:t>
      </w:r>
    </w:p>
    <w:p>
      <w:pPr>
        <w:pStyle w:val="Indenta"/>
      </w:pPr>
      <w:r>
        <w:tab/>
        <w:t>(b)</w:t>
      </w:r>
      <w:r>
        <w:tab/>
        <w:t>in paragraph (d) delete “court; or”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court.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paragraph (e).</w:t>
      </w:r>
    </w:p>
    <w:p>
      <w:pPr>
        <w:pStyle w:val="Subsection"/>
      </w:pPr>
      <w:r>
        <w:tab/>
        <w:t>(3)</w:t>
      </w:r>
      <w:r>
        <w:tab/>
        <w:t>Delete section 69(2) and (3).</w:t>
      </w:r>
    </w:p>
    <w:p>
      <w:pPr>
        <w:pStyle w:val="Heading5"/>
      </w:pPr>
      <w:bookmarkStart w:id="42" w:name="_Toc493056970"/>
      <w:bookmarkStart w:id="43" w:name="_Toc493079674"/>
      <w:r>
        <w:rPr>
          <w:rStyle w:val="CharSectno"/>
        </w:rPr>
        <w:t>9</w:t>
      </w:r>
      <w:r>
        <w:t>.</w:t>
      </w:r>
      <w:r>
        <w:tab/>
      </w:r>
      <w:r>
        <w:rPr>
          <w:i/>
        </w:rPr>
        <w:t>Evidence Act 1906</w:t>
      </w:r>
      <w:r>
        <w:t xml:space="preserve"> amended</w:t>
      </w:r>
      <w:bookmarkEnd w:id="42"/>
      <w:bookmarkEnd w:id="43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Evidence Act 1906</w:t>
      </w:r>
      <w:r>
        <w:t>.</w:t>
      </w:r>
    </w:p>
    <w:p>
      <w:pPr>
        <w:pStyle w:val="Subsection"/>
      </w:pPr>
      <w:r>
        <w:tab/>
        <w:t>(2)</w:t>
      </w:r>
      <w:r>
        <w:tab/>
        <w:t>In section 19L(3) delete “subsections (4) and (4a),”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subsections (4) and (5A),</w:t>
      </w:r>
    </w:p>
    <w:p>
      <w:pPr>
        <w:pStyle w:val="BlankClose"/>
      </w:pPr>
    </w:p>
    <w:p>
      <w:pPr>
        <w:pStyle w:val="Heading5"/>
      </w:pPr>
      <w:bookmarkStart w:id="44" w:name="_Toc493056971"/>
      <w:bookmarkStart w:id="45" w:name="_Toc493079675"/>
      <w:r>
        <w:rPr>
          <w:rStyle w:val="CharSectno"/>
        </w:rPr>
        <w:t>10</w:t>
      </w:r>
      <w:r>
        <w:t>.</w:t>
      </w:r>
      <w:r>
        <w:tab/>
      </w:r>
      <w:r>
        <w:rPr>
          <w:i/>
        </w:rPr>
        <w:t>Family Provision Act 1972</w:t>
      </w:r>
      <w:r>
        <w:t xml:space="preserve"> amended</w:t>
      </w:r>
      <w:bookmarkEnd w:id="44"/>
      <w:bookmarkEnd w:id="45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Family Provision Act 1972</w:t>
      </w:r>
      <w:r>
        <w:t>.</w:t>
      </w:r>
    </w:p>
    <w:p>
      <w:pPr>
        <w:pStyle w:val="Subsection"/>
      </w:pPr>
      <w:r>
        <w:tab/>
        <w:t>(2)</w:t>
      </w:r>
      <w:r>
        <w:tab/>
        <w:t>In section 11 delete “immediately before the distribution”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at the time of the distribution</w:t>
      </w:r>
    </w:p>
    <w:p>
      <w:pPr>
        <w:pStyle w:val="BlankClose"/>
      </w:pPr>
    </w:p>
    <w:p>
      <w:pPr>
        <w:pStyle w:val="Heading5"/>
      </w:pPr>
      <w:bookmarkStart w:id="46" w:name="_Toc493056972"/>
      <w:bookmarkStart w:id="47" w:name="_Toc493079676"/>
      <w:r>
        <w:rPr>
          <w:rStyle w:val="CharSectno"/>
        </w:rPr>
        <w:t>11</w:t>
      </w:r>
      <w:r>
        <w:t>.</w:t>
      </w:r>
      <w:r>
        <w:tab/>
      </w:r>
      <w:r>
        <w:rPr>
          <w:i/>
        </w:rPr>
        <w:t>Juries Act 1957</w:t>
      </w:r>
      <w:r>
        <w:t xml:space="preserve"> amended</w:t>
      </w:r>
      <w:bookmarkEnd w:id="46"/>
      <w:bookmarkEnd w:id="47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Juries Act 1957</w:t>
      </w:r>
      <w:r>
        <w:t>.</w:t>
      </w:r>
    </w:p>
    <w:p>
      <w:pPr>
        <w:pStyle w:val="Subsection"/>
      </w:pPr>
      <w:r>
        <w:tab/>
        <w:t>(2)</w:t>
      </w:r>
      <w:r>
        <w:tab/>
        <w:t>In section 56C(2)(ba) and (bb) delete “to the”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by the</w:t>
      </w:r>
    </w:p>
    <w:p>
      <w:pPr>
        <w:pStyle w:val="BlankClose"/>
      </w:pPr>
    </w:p>
    <w:p>
      <w:pPr>
        <w:pStyle w:val="Heading5"/>
      </w:pPr>
      <w:bookmarkStart w:id="48" w:name="_Toc493056973"/>
      <w:bookmarkStart w:id="49" w:name="_Toc493079677"/>
      <w:r>
        <w:rPr>
          <w:rStyle w:val="CharSectno"/>
        </w:rPr>
        <w:t>12</w:t>
      </w:r>
      <w:r>
        <w:t>.</w:t>
      </w:r>
      <w:r>
        <w:tab/>
      </w:r>
      <w:r>
        <w:rPr>
          <w:i/>
        </w:rPr>
        <w:t>Sentencing Act 1995</w:t>
      </w:r>
      <w:r>
        <w:t xml:space="preserve"> amended</w:t>
      </w:r>
      <w:bookmarkEnd w:id="48"/>
      <w:bookmarkEnd w:id="49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Sentencing Act 1995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In section 97A(1) delete the definition of </w:t>
      </w:r>
      <w:r>
        <w:rPr>
          <w:b/>
          <w:i/>
        </w:rPr>
        <w:t>family and domestic relationship</w:t>
      </w:r>
      <w:r>
        <w:t>.</w:t>
      </w:r>
    </w:p>
    <w:p>
      <w:pPr>
        <w:pStyle w:val="Subsection"/>
      </w:pPr>
      <w:r>
        <w:tab/>
        <w:t>(3)</w:t>
      </w:r>
      <w:r>
        <w:tab/>
        <w:t>In section 97A(1) insert in alphabetical order:</w:t>
      </w:r>
    </w:p>
    <w:p>
      <w:pPr>
        <w:pStyle w:val="BlankOpen"/>
      </w:pPr>
    </w:p>
    <w:p>
      <w:pPr>
        <w:pStyle w:val="zDefstart"/>
        <w:rPr>
          <w:rStyle w:val="CharDefText"/>
          <w:b w:val="0"/>
          <w:i w:val="0"/>
        </w:rPr>
      </w:pPr>
      <w:r>
        <w:tab/>
      </w:r>
      <w:r>
        <w:rPr>
          <w:rStyle w:val="CharDefText"/>
        </w:rPr>
        <w:t>family relationship</w:t>
      </w:r>
      <w:r>
        <w:rPr>
          <w:rStyle w:val="CharDefText"/>
          <w:b w:val="0"/>
          <w:i w:val="0"/>
        </w:rPr>
        <w:t xml:space="preserve"> has the meaning given in the </w:t>
      </w:r>
      <w:r>
        <w:rPr>
          <w:rStyle w:val="CharDefText"/>
          <w:b w:val="0"/>
        </w:rPr>
        <w:t xml:space="preserve">Restraining Orders Act 1997 </w:t>
      </w:r>
      <w:r>
        <w:rPr>
          <w:rStyle w:val="CharDefText"/>
          <w:b w:val="0"/>
          <w:i w:val="0"/>
        </w:rPr>
        <w:t>section 4(1);</w:t>
      </w:r>
    </w:p>
    <w:p>
      <w:pPr>
        <w:pStyle w:val="BlankClose"/>
      </w:pPr>
    </w:p>
    <w:p>
      <w:pPr>
        <w:pStyle w:val="Subsection"/>
        <w:keepNext/>
      </w:pPr>
      <w:r>
        <w:tab/>
        <w:t>(4)</w:t>
      </w:r>
      <w:r>
        <w:tab/>
        <w:t>In section 97A(4)(b) delete “family and domestic relationship”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family relationship</w:t>
      </w:r>
    </w:p>
    <w:p>
      <w:pPr>
        <w:pStyle w:val="BlankClose"/>
      </w:pPr>
    </w:p>
    <w:p>
      <w:pPr>
        <w:pStyle w:val="Subsection"/>
      </w:pPr>
      <w:r>
        <w:tab/>
        <w:t>(5)</w:t>
      </w:r>
      <w:r>
        <w:tab/>
        <w:t>In Schedule 1A Part 2 item 1 delete the row relating to</w:t>
      </w:r>
      <w:r>
        <w:rPr>
          <w:sz w:val="22"/>
          <w:szCs w:val="22"/>
        </w:rPr>
        <w:t xml:space="preserve"> </w:t>
      </w:r>
      <w:r>
        <w:rPr>
          <w:szCs w:val="24"/>
        </w:rPr>
        <w:t>s. 428</w:t>
      </w:r>
      <w:r>
        <w:t>.</w:t>
      </w:r>
    </w:p>
    <w:p>
      <w:pPr>
        <w:pStyle w:val="Heading5"/>
      </w:pPr>
      <w:bookmarkStart w:id="50" w:name="_Toc493056974"/>
      <w:bookmarkStart w:id="51" w:name="_Toc493079678"/>
      <w:r>
        <w:rPr>
          <w:rStyle w:val="CharSectno"/>
        </w:rPr>
        <w:t>13</w:t>
      </w:r>
      <w:r>
        <w:t>.</w:t>
      </w:r>
      <w:r>
        <w:tab/>
      </w:r>
      <w:r>
        <w:rPr>
          <w:i/>
        </w:rPr>
        <w:t>State Administrative Tribunal Act 2004</w:t>
      </w:r>
      <w:r>
        <w:t xml:space="preserve"> amended</w:t>
      </w:r>
      <w:bookmarkEnd w:id="50"/>
      <w:bookmarkEnd w:id="51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State Administrative Tribunal Act 2004</w:t>
      </w:r>
      <w:r>
        <w:t>.</w:t>
      </w:r>
    </w:p>
    <w:p>
      <w:pPr>
        <w:pStyle w:val="Subsection"/>
      </w:pPr>
      <w:r>
        <w:tab/>
        <w:t>(2)</w:t>
      </w:r>
      <w:r>
        <w:tab/>
        <w:t>In Schedule 1 delete “</w:t>
      </w:r>
      <w:r>
        <w:rPr>
          <w:i/>
          <w:sz w:val="22"/>
        </w:rPr>
        <w:t>Hairdressers Registration Act 1946</w:t>
      </w:r>
      <w:r>
        <w:t>”.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1457608</wp:posOffset>
                </wp:positionH>
                <wp:positionV relativeFrom="page">
                  <wp:posOffset>8211493</wp:posOffset>
                </wp:positionV>
                <wp:extent cx="4644427" cy="715224"/>
                <wp:effectExtent l="0" t="0" r="381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4427" cy="715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  <w:p>
                            <w:pPr>
                              <w:pBdr>
                                <w:top w:val="double" w:sz="4" w:space="0" w:color="auto"/>
                              </w:pBdr>
                              <w:spacing w:before="160"/>
                              <w:rPr>
                                <w:rFonts w:ascii="C39HrP24DmTt" w:hAnsi="C39HrP24DmTt" w:cs="Arial"/>
                                <w:sz w:val="48"/>
                              </w:rPr>
                            </w:pP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instrText xml:space="preserve"> DOCPROPERTY "KitandImprint"  \* MERGEFORMAT </w:instrTex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separate"/>
                            </w:r>
                            <w:r>
                              <w:rPr>
                                <w:rFonts w:ascii="C39HrP24DmTt" w:hAnsi="C39HrP24DmTt" w:cs="Arial"/>
                                <w:b/>
                                <w:bCs/>
                                <w:sz w:val="48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75pt;margin-top:646.55pt;width:365.7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" stroked="f">
                <v:stroke joinstyle="round"/>
                <v:path arrowok="t"/>
                <v:textbox inset="7.09pt,3.69pt,7.09pt,3.69pt">
                  <w:txbxContent>
                    <w:p w:rsidR="00BB00EB" w:rsidRDefault="00BB00EB" w:rsidP="00BB00EB">
                      <w:pPr>
                        <w:pBdr>
                          <w:top w:val="double" w:sz="4" w:space="0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BB00EB"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 w:rsidRPr="00BB00EB"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 w:rsidRPr="00BB00EB"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  <w:p w:rsidR="00BB00EB" w:rsidRPr="00BB00EB" w:rsidRDefault="00BB00EB" w:rsidP="00BB00EB">
                      <w:pPr>
                        <w:pBdr>
                          <w:top w:val="double" w:sz="4" w:space="0" w:color="auto"/>
                        </w:pBdr>
                        <w:spacing w:before="160"/>
                        <w:rPr>
                          <w:rFonts w:ascii="C39HrP24DmTt" w:hAnsi="C39HrP24DmTt" w:cs="Arial"/>
                          <w:sz w:val="48"/>
                        </w:rPr>
                      </w:pP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begin"/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instrText xml:space="preserve"> DOCPROPERTY "KitandImprint"  \* MERGEFORMAT </w:instrTex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separate"/>
                      </w:r>
                      <w:r w:rsidR="006829A1">
                        <w:rPr>
                          <w:rFonts w:ascii="C39HrP24DmTt" w:hAnsi="C39HrP24DmTt" w:cs="Arial"/>
                          <w:b/>
                          <w:bCs/>
                          <w:sz w:val="48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820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hority" o:spid="_x0000_s1027" type="#_x0000_t202" style="position:absolute;margin-left:0;margin-top:0;width:10.05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" stroked="f" strokeweight=".5pt">
                <v:textbox>
                  <w:txbxContent>
                    <w:p w:rsidR="00CE5CBB" w:rsidRDefault="00CE5CBB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HrP24Dm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2017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2017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2" w:name="Coversheet"/>
    <w:bookmarkEnd w:id="5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(Minor Amendments) Act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50909075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70427142347" w:val="RemoveTocBookmarks,RemoveUnusedBookmarks,RemoveLanguageTags,UsedStyles,ResetPageSize"/>
    <w:docVar w:name="WAFER_20170427142347_GUID" w:val="1cfe30ad-4ed1-4921-8c0c-0037d334deb9"/>
    <w:docVar w:name="WAFER_20170509090756" w:val="RemoveTocBookmarks,RemoveUnusedBookmarks,RemoveLanguageTags,UsedStyles,ResetPageSize"/>
    <w:docVar w:name="WAFER_20170509090756_GUID" w:val="5ae33a06-134e-4907-95cf-910d24b64b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B4B-2F4F-4999-B63D-EC21CFCA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727</Words>
  <Characters>3776</Characters>
  <Application>Microsoft Office Word</Application>
  <DocSecurity>0</DocSecurity>
  <Lines>164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4371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 (Minor Amendments) Act 2017 - 00-00-00</dc:title>
  <dc:subject/>
  <dc:creator/>
  <cp:keywords/>
  <dc:description/>
  <cp:lastModifiedBy>svcMRProcess</cp:lastModifiedBy>
  <cp:revision>4</cp:revision>
  <cp:lastPrinted>2017-09-13T01:07:00Z</cp:lastPrinted>
  <dcterms:created xsi:type="dcterms:W3CDTF">2017-09-13T08:01:00Z</dcterms:created>
  <dcterms:modified xsi:type="dcterms:W3CDTF">2017-09-13T08:01:00Z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2532</vt:lpwstr>
  </property>
  <property fmtid="{D5CDD505-2E9C-101B-9397-08002B2CF9AE}" pid="3" name="ActNo">
    <vt:lpwstr>6 of 2017</vt:lpwstr>
  </property>
  <property fmtid="{D5CDD505-2E9C-101B-9397-08002B2CF9AE}" pid="4" name="DocumentType">
    <vt:lpwstr>Act</vt:lpwstr>
  </property>
  <property fmtid="{D5CDD505-2E9C-101B-9397-08002B2CF9AE}" pid="5" name="AsAtDate">
    <vt:lpwstr>12 Sep 2017</vt:lpwstr>
  </property>
  <property fmtid="{D5CDD505-2E9C-101B-9397-08002B2CF9AE}" pid="6" name="Suffix">
    <vt:lpwstr>00-00-00</vt:lpwstr>
  </property>
  <property fmtid="{D5CDD505-2E9C-101B-9397-08002B2CF9AE}" pid="7" name="ActNoFooter">
    <vt:lpwstr>No. 6 of 2017</vt:lpwstr>
  </property>
  <property fmtid="{D5CDD505-2E9C-101B-9397-08002B2CF9AE}" pid="8" name="CommencementDate">
    <vt:lpwstr>20170912</vt:lpwstr>
  </property>
</Properties>
</file>