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_Toc493584175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_Toc493584176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_Toc493584177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_Toc493584179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_Toc493584180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_Toc493584181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_Toc493584182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_Toc493584184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_Toc493584185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_Toc493584186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_Toc493584188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_Toc493584189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_Toc493584191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_Toc493584192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_Toc493584194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_Toc493584195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_Toc493584196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_Toc493584198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_Toc493584199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_Toc493584200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_Toc493584201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_Toc493584205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9358417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9358417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93584177"/>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bookmarkStart w:id="14" w:name="_Toc472517543"/>
      <w:bookmarkStart w:id="15" w:name="_Toc472689122"/>
      <w:bookmarkStart w:id="16" w:name="_Toc476659325"/>
      <w:bookmarkStart w:id="17" w:name="_Toc493497541"/>
      <w:bookmarkStart w:id="18" w:name="_Toc493497857"/>
      <w:bookmarkStart w:id="19" w:name="_Toc493497974"/>
      <w:bookmarkStart w:id="20" w:name="_Toc493584178"/>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4937236"/>
      <w:bookmarkStart w:id="22" w:name="_Toc493584179"/>
      <w:r>
        <w:rPr>
          <w:rStyle w:val="CharSectno"/>
        </w:rPr>
        <w:t>4</w:t>
      </w:r>
      <w:r>
        <w:rPr>
          <w:snapToGrid w:val="0"/>
        </w:rPr>
        <w:t>.</w:t>
      </w:r>
      <w:r>
        <w:rPr>
          <w:snapToGrid w:val="0"/>
        </w:rPr>
        <w:tab/>
        <w:t>Application for licence</w:t>
      </w:r>
      <w:bookmarkEnd w:id="21"/>
      <w:bookmarkEnd w:id="22"/>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10 Jan 2017 p. 249.] </w:t>
      </w:r>
    </w:p>
    <w:p>
      <w:pPr>
        <w:pStyle w:val="Heading5"/>
        <w:rPr>
          <w:snapToGrid w:val="0"/>
        </w:rPr>
      </w:pPr>
      <w:bookmarkStart w:id="23" w:name="_Toc404937237"/>
      <w:bookmarkStart w:id="24" w:name="_Toc493584180"/>
      <w:r>
        <w:rPr>
          <w:rStyle w:val="CharSectno"/>
        </w:rPr>
        <w:t>5</w:t>
      </w:r>
      <w:r>
        <w:rPr>
          <w:snapToGrid w:val="0"/>
        </w:rPr>
        <w:t>.</w:t>
      </w:r>
      <w:r>
        <w:rPr>
          <w:snapToGrid w:val="0"/>
        </w:rPr>
        <w:tab/>
        <w:t>Form of licence</w:t>
      </w:r>
      <w:bookmarkEnd w:id="23"/>
      <w:bookmarkEnd w:id="2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5" w:name="_Toc404937238"/>
      <w:bookmarkStart w:id="26" w:name="_Toc493584181"/>
      <w:r>
        <w:rPr>
          <w:rStyle w:val="CharSectno"/>
        </w:rPr>
        <w:t>6</w:t>
      </w:r>
      <w:r>
        <w:rPr>
          <w:snapToGrid w:val="0"/>
        </w:rPr>
        <w:t>.</w:t>
      </w:r>
      <w:r>
        <w:rPr>
          <w:snapToGrid w:val="0"/>
        </w:rPr>
        <w:tab/>
        <w:t>Compliance certificate</w:t>
      </w:r>
      <w:bookmarkEnd w:id="25"/>
      <w:bookmarkEnd w:id="26"/>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in Gazette 29 Jun 1984 p. 1781; 10 Jan 2017 p. 249.] </w:t>
      </w:r>
    </w:p>
    <w:p>
      <w:pPr>
        <w:pStyle w:val="Heading5"/>
        <w:rPr>
          <w:snapToGrid w:val="0"/>
        </w:rPr>
      </w:pPr>
      <w:bookmarkStart w:id="27" w:name="_Toc404937239"/>
      <w:bookmarkStart w:id="28" w:name="_Toc493584182"/>
      <w:r>
        <w:rPr>
          <w:rStyle w:val="CharSectno"/>
        </w:rPr>
        <w:t>7</w:t>
      </w:r>
      <w:r>
        <w:rPr>
          <w:snapToGrid w:val="0"/>
        </w:rPr>
        <w:t>.</w:t>
      </w:r>
      <w:r>
        <w:rPr>
          <w:snapToGrid w:val="0"/>
        </w:rPr>
        <w:tab/>
        <w:t>Form of certificate</w:t>
      </w:r>
      <w:bookmarkEnd w:id="27"/>
      <w:bookmarkEnd w:id="28"/>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 10 Jan 2017 p. 249</w:t>
      </w:r>
      <w:r>
        <w:noBreakHyphen/>
        <w:t xml:space="preserve">50.] </w:t>
      </w:r>
    </w:p>
    <w:p>
      <w:pPr>
        <w:pStyle w:val="Heading2"/>
      </w:pPr>
      <w:bookmarkStart w:id="29" w:name="_Toc404937240"/>
      <w:bookmarkStart w:id="30" w:name="_Toc415646383"/>
      <w:bookmarkStart w:id="31" w:name="_Toc415646421"/>
      <w:bookmarkStart w:id="32" w:name="_Toc417294861"/>
      <w:bookmarkStart w:id="33" w:name="_Toc417294969"/>
      <w:bookmarkStart w:id="34" w:name="_Toc472517548"/>
      <w:bookmarkStart w:id="35" w:name="_Toc472689127"/>
      <w:bookmarkStart w:id="36" w:name="_Toc476659330"/>
      <w:bookmarkStart w:id="37" w:name="_Toc493497546"/>
      <w:bookmarkStart w:id="38" w:name="_Toc493497862"/>
      <w:bookmarkStart w:id="39" w:name="_Toc493497979"/>
      <w:bookmarkStart w:id="40" w:name="_Toc493584183"/>
      <w:r>
        <w:rPr>
          <w:rStyle w:val="CharPartNo"/>
        </w:rPr>
        <w:t>Part II</w:t>
      </w:r>
      <w:r>
        <w:rPr>
          <w:rStyle w:val="CharDivNo"/>
        </w:rPr>
        <w:t> </w:t>
      </w:r>
      <w:r>
        <w:t>—</w:t>
      </w:r>
      <w:r>
        <w:rPr>
          <w:rStyle w:val="CharDivText"/>
        </w:rPr>
        <w:t> </w:t>
      </w:r>
      <w:r>
        <w:rPr>
          <w:rStyle w:val="CharPartText"/>
        </w:rPr>
        <w:t>Maintenance and inspection of crematoria</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04937241"/>
      <w:bookmarkStart w:id="42" w:name="_Toc493584184"/>
      <w:r>
        <w:rPr>
          <w:rStyle w:val="CharSectno"/>
        </w:rPr>
        <w:t>8</w:t>
      </w:r>
      <w:r>
        <w:rPr>
          <w:snapToGrid w:val="0"/>
        </w:rPr>
        <w:t>.</w:t>
      </w:r>
      <w:r>
        <w:rPr>
          <w:snapToGrid w:val="0"/>
        </w:rPr>
        <w:tab/>
        <w:t>Crematoria to be maintained</w:t>
      </w:r>
      <w:bookmarkEnd w:id="41"/>
      <w:bookmarkEnd w:id="4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in Gazette 29 Jun 1984 p. 1781; 10 Jan 2017 p. 249</w:t>
      </w:r>
      <w:r>
        <w:noBreakHyphen/>
        <w:t xml:space="preserve">50.] </w:t>
      </w:r>
    </w:p>
    <w:p>
      <w:pPr>
        <w:pStyle w:val="Heading5"/>
        <w:rPr>
          <w:snapToGrid w:val="0"/>
        </w:rPr>
      </w:pPr>
      <w:bookmarkStart w:id="43" w:name="_Toc404937242"/>
      <w:bookmarkStart w:id="44" w:name="_Toc493584185"/>
      <w:r>
        <w:rPr>
          <w:rStyle w:val="CharSectno"/>
        </w:rPr>
        <w:t>9</w:t>
      </w:r>
      <w:r>
        <w:rPr>
          <w:snapToGrid w:val="0"/>
        </w:rPr>
        <w:t>.</w:t>
      </w:r>
      <w:r>
        <w:rPr>
          <w:snapToGrid w:val="0"/>
        </w:rPr>
        <w:tab/>
        <w:t>Inspection</w:t>
      </w:r>
      <w:bookmarkEnd w:id="43"/>
      <w:bookmarkEnd w:id="44"/>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in Gazette 29 Jun 1984 p. 1781; 10 Jan 2017 p. 249</w:t>
      </w:r>
      <w:r>
        <w:noBreakHyphen/>
        <w:t xml:space="preserve">50.] </w:t>
      </w:r>
    </w:p>
    <w:p>
      <w:pPr>
        <w:pStyle w:val="Heading5"/>
        <w:rPr>
          <w:snapToGrid w:val="0"/>
        </w:rPr>
      </w:pPr>
      <w:bookmarkStart w:id="45" w:name="_Toc404937243"/>
      <w:bookmarkStart w:id="46" w:name="_Toc493584186"/>
      <w:r>
        <w:rPr>
          <w:rStyle w:val="CharSectno"/>
        </w:rPr>
        <w:t>10</w:t>
      </w:r>
      <w:r>
        <w:rPr>
          <w:snapToGrid w:val="0"/>
        </w:rPr>
        <w:t>.</w:t>
      </w:r>
      <w:r>
        <w:rPr>
          <w:snapToGrid w:val="0"/>
        </w:rPr>
        <w:tab/>
        <w:t>Notice requiring work to be carried out</w:t>
      </w:r>
      <w:bookmarkEnd w:id="45"/>
      <w:bookmarkEnd w:id="46"/>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 10 Jan 2017 p. 249</w:t>
      </w:r>
      <w:r>
        <w:noBreakHyphen/>
        <w:t xml:space="preserve">50.] </w:t>
      </w:r>
    </w:p>
    <w:p>
      <w:pPr>
        <w:pStyle w:val="Heading2"/>
      </w:pPr>
      <w:bookmarkStart w:id="47" w:name="_Toc404937244"/>
      <w:bookmarkStart w:id="48" w:name="_Toc415646387"/>
      <w:bookmarkStart w:id="49" w:name="_Toc415646425"/>
      <w:bookmarkStart w:id="50" w:name="_Toc417294865"/>
      <w:bookmarkStart w:id="51" w:name="_Toc417294973"/>
      <w:bookmarkStart w:id="52" w:name="_Toc472517552"/>
      <w:bookmarkStart w:id="53" w:name="_Toc472689131"/>
      <w:bookmarkStart w:id="54" w:name="_Toc476659334"/>
      <w:bookmarkStart w:id="55" w:name="_Toc493497550"/>
      <w:bookmarkStart w:id="56" w:name="_Toc493497866"/>
      <w:bookmarkStart w:id="57" w:name="_Toc493497983"/>
      <w:bookmarkStart w:id="58" w:name="_Toc493584187"/>
      <w:r>
        <w:rPr>
          <w:rStyle w:val="CharPartNo"/>
        </w:rPr>
        <w:t>Part III</w:t>
      </w:r>
      <w:r>
        <w:rPr>
          <w:rStyle w:val="CharDivNo"/>
        </w:rPr>
        <w:t> </w:t>
      </w:r>
      <w:r>
        <w:t>—</w:t>
      </w:r>
      <w:r>
        <w:rPr>
          <w:rStyle w:val="CharDivText"/>
        </w:rPr>
        <w:t> </w:t>
      </w:r>
      <w:r>
        <w:rPr>
          <w:rStyle w:val="CharPartText"/>
        </w:rPr>
        <w:t>Application for permit to cremate</w:t>
      </w:r>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04937245"/>
      <w:bookmarkStart w:id="60" w:name="_Toc493584188"/>
      <w:r>
        <w:rPr>
          <w:rStyle w:val="CharSectno"/>
        </w:rPr>
        <w:t>11</w:t>
      </w:r>
      <w:r>
        <w:rPr>
          <w:snapToGrid w:val="0"/>
        </w:rPr>
        <w:t>.</w:t>
      </w:r>
      <w:r>
        <w:rPr>
          <w:snapToGrid w:val="0"/>
        </w:rPr>
        <w:tab/>
        <w:t>Form of permit application</w:t>
      </w:r>
      <w:bookmarkEnd w:id="59"/>
      <w:bookmarkEnd w:id="6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61" w:name="_Toc404937246"/>
      <w:bookmarkStart w:id="62" w:name="_Toc493584189"/>
      <w:r>
        <w:rPr>
          <w:rStyle w:val="CharSectno"/>
        </w:rPr>
        <w:t>12</w:t>
      </w:r>
      <w:r>
        <w:t>.</w:t>
      </w:r>
      <w:r>
        <w:tab/>
        <w:t>Other requirements for permit</w:t>
      </w:r>
      <w:bookmarkEnd w:id="61"/>
      <w:bookmarkEnd w:id="62"/>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63" w:name="_Toc404937247"/>
      <w:bookmarkStart w:id="64" w:name="_Toc415646390"/>
      <w:bookmarkStart w:id="65" w:name="_Toc415646428"/>
      <w:bookmarkStart w:id="66" w:name="_Toc417294868"/>
      <w:bookmarkStart w:id="67" w:name="_Toc417294976"/>
      <w:bookmarkStart w:id="68" w:name="_Toc472517555"/>
      <w:bookmarkStart w:id="69" w:name="_Toc472689134"/>
      <w:bookmarkStart w:id="70" w:name="_Toc476659337"/>
      <w:bookmarkStart w:id="71" w:name="_Toc493497553"/>
      <w:bookmarkStart w:id="72" w:name="_Toc493497869"/>
      <w:bookmarkStart w:id="73" w:name="_Toc493497986"/>
      <w:bookmarkStart w:id="74" w:name="_Toc493584190"/>
      <w:r>
        <w:rPr>
          <w:rStyle w:val="CharPartNo"/>
        </w:rPr>
        <w:t>Part IV</w:t>
      </w:r>
      <w:r>
        <w:rPr>
          <w:rStyle w:val="CharDivNo"/>
        </w:rPr>
        <w:t> </w:t>
      </w:r>
      <w:r>
        <w:t>—</w:t>
      </w:r>
      <w:r>
        <w:rPr>
          <w:rStyle w:val="CharDivText"/>
        </w:rPr>
        <w:t> </w:t>
      </w:r>
      <w:r>
        <w:rPr>
          <w:rStyle w:val="CharPartText"/>
        </w:rPr>
        <w:t>The medical referee</w:t>
      </w:r>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04937248"/>
      <w:bookmarkStart w:id="76" w:name="_Toc493584191"/>
      <w:r>
        <w:rPr>
          <w:rStyle w:val="CharSectno"/>
        </w:rPr>
        <w:t>13</w:t>
      </w:r>
      <w:r>
        <w:rPr>
          <w:snapToGrid w:val="0"/>
        </w:rPr>
        <w:t>.</w:t>
      </w:r>
      <w:r>
        <w:rPr>
          <w:snapToGrid w:val="0"/>
        </w:rPr>
        <w:tab/>
        <w:t>Referee to be medical practitioner</w:t>
      </w:r>
      <w:bookmarkEnd w:id="75"/>
      <w:bookmarkEnd w:id="7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77" w:name="_Toc404937249"/>
      <w:bookmarkStart w:id="78" w:name="_Toc493584192"/>
      <w:r>
        <w:rPr>
          <w:rStyle w:val="CharSectno"/>
        </w:rPr>
        <w:t>14</w:t>
      </w:r>
      <w:r>
        <w:rPr>
          <w:snapToGrid w:val="0"/>
        </w:rPr>
        <w:t>.</w:t>
      </w:r>
      <w:r>
        <w:rPr>
          <w:snapToGrid w:val="0"/>
        </w:rPr>
        <w:tab/>
        <w:t>Conditions for medical referee</w:t>
      </w:r>
      <w:bookmarkEnd w:id="77"/>
      <w:bookmarkEnd w:id="7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in Gazette 29 Jun 1984 p. 1781; 30 Dec 2004 p. 6933; 10 Jan 2017 p. 249</w:t>
      </w:r>
      <w:r>
        <w:noBreakHyphen/>
        <w:t>50.]</w:t>
      </w:r>
    </w:p>
    <w:p>
      <w:pPr>
        <w:pStyle w:val="Heading2"/>
      </w:pPr>
      <w:bookmarkStart w:id="79" w:name="_Toc404937250"/>
      <w:bookmarkStart w:id="80" w:name="_Toc415646393"/>
      <w:bookmarkStart w:id="81" w:name="_Toc415646431"/>
      <w:bookmarkStart w:id="82" w:name="_Toc417294871"/>
      <w:bookmarkStart w:id="83" w:name="_Toc417294979"/>
      <w:bookmarkStart w:id="84" w:name="_Toc472517558"/>
      <w:bookmarkStart w:id="85" w:name="_Toc472689137"/>
      <w:bookmarkStart w:id="86" w:name="_Toc476659340"/>
      <w:bookmarkStart w:id="87" w:name="_Toc493497556"/>
      <w:bookmarkStart w:id="88" w:name="_Toc493497872"/>
      <w:bookmarkStart w:id="89" w:name="_Toc493497989"/>
      <w:bookmarkStart w:id="90" w:name="_Toc493584193"/>
      <w:r>
        <w:rPr>
          <w:rStyle w:val="CharPartNo"/>
        </w:rPr>
        <w:t>Part V</w:t>
      </w:r>
      <w:r>
        <w:rPr>
          <w:rStyle w:val="CharDivNo"/>
        </w:rPr>
        <w:t> </w:t>
      </w:r>
      <w:r>
        <w:t>—</w:t>
      </w:r>
      <w:r>
        <w:rPr>
          <w:rStyle w:val="CharDivText"/>
        </w:rPr>
        <w:t> </w:t>
      </w:r>
      <w:r>
        <w:rPr>
          <w:rStyle w:val="CharPartText"/>
        </w:rPr>
        <w:t>Cremation elsewhere than in a crematorium</w:t>
      </w:r>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04937251"/>
      <w:bookmarkStart w:id="92" w:name="_Toc493584194"/>
      <w:r>
        <w:rPr>
          <w:rStyle w:val="CharSectno"/>
        </w:rPr>
        <w:t>15</w:t>
      </w:r>
      <w:r>
        <w:rPr>
          <w:snapToGrid w:val="0"/>
        </w:rPr>
        <w:t>.</w:t>
      </w:r>
      <w:r>
        <w:rPr>
          <w:snapToGrid w:val="0"/>
        </w:rPr>
        <w:tab/>
        <w:t>Cremation elsewhere for religious reasons</w:t>
      </w:r>
      <w:bookmarkEnd w:id="91"/>
      <w:bookmarkEnd w:id="9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in Gazette 29 Jun 1984 p. 1781; 10 Jan 2017 p. 247.] </w:t>
      </w:r>
    </w:p>
    <w:p>
      <w:pPr>
        <w:pStyle w:val="Heading5"/>
        <w:rPr>
          <w:snapToGrid w:val="0"/>
        </w:rPr>
      </w:pPr>
      <w:bookmarkStart w:id="93" w:name="_Toc404937252"/>
      <w:bookmarkStart w:id="94" w:name="_Toc493584195"/>
      <w:r>
        <w:rPr>
          <w:rStyle w:val="CharSectno"/>
        </w:rPr>
        <w:t>16</w:t>
      </w:r>
      <w:r>
        <w:rPr>
          <w:snapToGrid w:val="0"/>
        </w:rPr>
        <w:t>.</w:t>
      </w:r>
      <w:r>
        <w:rPr>
          <w:snapToGrid w:val="0"/>
        </w:rPr>
        <w:tab/>
        <w:t>Cremation in cemetery</w:t>
      </w:r>
      <w:bookmarkEnd w:id="93"/>
      <w:bookmarkEnd w:id="9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95" w:name="_Toc404937253"/>
      <w:bookmarkStart w:id="96" w:name="_Toc493584196"/>
      <w:r>
        <w:rPr>
          <w:rStyle w:val="CharSectno"/>
        </w:rPr>
        <w:t>17</w:t>
      </w:r>
      <w:r>
        <w:rPr>
          <w:snapToGrid w:val="0"/>
        </w:rPr>
        <w:t>.</w:t>
      </w:r>
      <w:r>
        <w:rPr>
          <w:snapToGrid w:val="0"/>
        </w:rPr>
        <w:tab/>
        <w:t>Permission required for cremation elsewhere</w:t>
      </w:r>
      <w:bookmarkEnd w:id="95"/>
      <w:bookmarkEnd w:id="96"/>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in Gazette 29 Jun 1984 p. 1781; 10 Jan 2017 p. 247 and 249</w:t>
      </w:r>
      <w:r>
        <w:noBreakHyphen/>
        <w:t xml:space="preserve">50; 19 Sep 2017 p. 4884.] </w:t>
      </w:r>
    </w:p>
    <w:p>
      <w:pPr>
        <w:pStyle w:val="Heading2"/>
      </w:pPr>
      <w:bookmarkStart w:id="97" w:name="_Toc404937254"/>
      <w:bookmarkStart w:id="98" w:name="_Toc415646397"/>
      <w:bookmarkStart w:id="99" w:name="_Toc415646435"/>
      <w:bookmarkStart w:id="100" w:name="_Toc417294875"/>
      <w:bookmarkStart w:id="101" w:name="_Toc417294983"/>
      <w:bookmarkStart w:id="102" w:name="_Toc472517562"/>
      <w:bookmarkStart w:id="103" w:name="_Toc472689141"/>
      <w:bookmarkStart w:id="104" w:name="_Toc476659344"/>
      <w:bookmarkStart w:id="105" w:name="_Toc493497560"/>
      <w:bookmarkStart w:id="106" w:name="_Toc493497876"/>
      <w:bookmarkStart w:id="107" w:name="_Toc493497993"/>
      <w:bookmarkStart w:id="108" w:name="_Toc493584197"/>
      <w:r>
        <w:rPr>
          <w:rStyle w:val="CharPartNo"/>
        </w:rPr>
        <w:t>Part VI</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04937255"/>
      <w:bookmarkStart w:id="110" w:name="_Toc493584198"/>
      <w:r>
        <w:rPr>
          <w:rStyle w:val="CharSectno"/>
        </w:rPr>
        <w:t>18</w:t>
      </w:r>
      <w:r>
        <w:rPr>
          <w:snapToGrid w:val="0"/>
        </w:rPr>
        <w:t>.</w:t>
      </w:r>
      <w:r>
        <w:rPr>
          <w:snapToGrid w:val="0"/>
        </w:rPr>
        <w:tab/>
        <w:t>Register of cremation to be kept</w:t>
      </w:r>
      <w:bookmarkEnd w:id="109"/>
      <w:bookmarkEnd w:id="110"/>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11" w:name="_Toc404937256"/>
      <w:bookmarkStart w:id="112" w:name="_Toc493584199"/>
      <w:r>
        <w:rPr>
          <w:rStyle w:val="CharSectno"/>
        </w:rPr>
        <w:t>19</w:t>
      </w:r>
      <w:r>
        <w:rPr>
          <w:snapToGrid w:val="0"/>
        </w:rPr>
        <w:t>.</w:t>
      </w:r>
      <w:r>
        <w:rPr>
          <w:snapToGrid w:val="0"/>
        </w:rPr>
        <w:tab/>
        <w:t>Inspection of register</w:t>
      </w:r>
      <w:bookmarkEnd w:id="111"/>
      <w:bookmarkEnd w:id="11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13" w:name="_Toc404937257"/>
      <w:bookmarkStart w:id="114" w:name="_Toc493584200"/>
      <w:r>
        <w:rPr>
          <w:rStyle w:val="CharSectno"/>
        </w:rPr>
        <w:t>20</w:t>
      </w:r>
      <w:r>
        <w:rPr>
          <w:snapToGrid w:val="0"/>
        </w:rPr>
        <w:t>.</w:t>
      </w:r>
      <w:r>
        <w:rPr>
          <w:snapToGrid w:val="0"/>
        </w:rPr>
        <w:tab/>
        <w:t>Notice of cremation to be given</w:t>
      </w:r>
      <w:bookmarkEnd w:id="113"/>
      <w:bookmarkEnd w:id="114"/>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in Gazette 29 Jun 1984 p. 1781; 10 Jan 2017 p. 249</w:t>
      </w:r>
      <w:r>
        <w:noBreakHyphen/>
        <w:t xml:space="preserve">50.] </w:t>
      </w:r>
    </w:p>
    <w:p>
      <w:pPr>
        <w:pStyle w:val="Heading5"/>
        <w:rPr>
          <w:snapToGrid w:val="0"/>
        </w:rPr>
      </w:pPr>
      <w:bookmarkStart w:id="115" w:name="_Toc404937258"/>
      <w:bookmarkStart w:id="116" w:name="_Toc493584201"/>
      <w:r>
        <w:rPr>
          <w:rStyle w:val="CharSectno"/>
        </w:rPr>
        <w:t>20A</w:t>
      </w:r>
      <w:r>
        <w:rPr>
          <w:snapToGrid w:val="0"/>
        </w:rPr>
        <w:t>.</w:t>
      </w:r>
      <w:r>
        <w:rPr>
          <w:snapToGrid w:val="0"/>
        </w:rPr>
        <w:tab/>
        <w:t>Post mortem certificate</w:t>
      </w:r>
      <w:bookmarkEnd w:id="115"/>
      <w:bookmarkEnd w:id="116"/>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7" w:name="_Toc404937259"/>
      <w:bookmarkStart w:id="118" w:name="_Toc415646402"/>
      <w:bookmarkStart w:id="119" w:name="_Toc415646440"/>
      <w:bookmarkStart w:id="120" w:name="_Toc417294880"/>
      <w:bookmarkStart w:id="121" w:name="_Toc417294988"/>
      <w:bookmarkStart w:id="122" w:name="_Toc472517567"/>
      <w:bookmarkStart w:id="123" w:name="_Toc472689146"/>
      <w:bookmarkStart w:id="124" w:name="_Toc476659349"/>
      <w:bookmarkStart w:id="125" w:name="_Toc493497565"/>
      <w:bookmarkStart w:id="126" w:name="_Toc493497881"/>
      <w:bookmarkStart w:id="127" w:name="_Toc493497998"/>
      <w:bookmarkStart w:id="128" w:name="_Toc493584202"/>
      <w:r>
        <w:rPr>
          <w:rStyle w:val="CharSchNo"/>
        </w:rPr>
        <w:t>Appendix “A”</w:t>
      </w:r>
      <w:bookmarkEnd w:id="117"/>
      <w:bookmarkEnd w:id="118"/>
      <w:bookmarkEnd w:id="119"/>
      <w:bookmarkEnd w:id="120"/>
      <w:bookmarkEnd w:id="121"/>
      <w:bookmarkEnd w:id="122"/>
      <w:bookmarkEnd w:id="123"/>
      <w:bookmarkEnd w:id="124"/>
      <w:bookmarkEnd w:id="125"/>
      <w:bookmarkEnd w:id="126"/>
      <w:bookmarkEnd w:id="127"/>
      <w:bookmarkEnd w:id="128"/>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30" w:name="_Toc404937260"/>
      <w:bookmarkStart w:id="131" w:name="_Toc415646403"/>
      <w:bookmarkStart w:id="132" w:name="_Toc415646441"/>
      <w:bookmarkStart w:id="133" w:name="_Toc417294881"/>
      <w:bookmarkStart w:id="134" w:name="_Toc417294989"/>
      <w:bookmarkStart w:id="135" w:name="_Toc472517568"/>
      <w:bookmarkStart w:id="136" w:name="_Toc472689147"/>
      <w:bookmarkStart w:id="137" w:name="_Toc476659350"/>
      <w:bookmarkStart w:id="138" w:name="_Toc493497566"/>
      <w:bookmarkStart w:id="139" w:name="_Toc493497882"/>
      <w:bookmarkStart w:id="140" w:name="_Toc493497999"/>
      <w:bookmarkStart w:id="141" w:name="_Toc493584203"/>
      <w:r>
        <w:rPr>
          <w:rStyle w:val="CharSchNo"/>
        </w:rPr>
        <w:t>Appendix “B”</w:t>
      </w:r>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67.10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110.00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10 Jan 2017 p. 249-50; 7 Mar 2017 p. 1526.]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42" w:name="_Toc404937261"/>
      <w:bookmarkStart w:id="143" w:name="_Toc415646404"/>
      <w:bookmarkStart w:id="144" w:name="_Toc415646442"/>
      <w:bookmarkStart w:id="145" w:name="_Toc417294882"/>
      <w:bookmarkStart w:id="146" w:name="_Toc417294990"/>
      <w:bookmarkStart w:id="147" w:name="_Toc472517569"/>
      <w:bookmarkStart w:id="148" w:name="_Toc472689148"/>
      <w:bookmarkStart w:id="149" w:name="_Toc476659351"/>
      <w:bookmarkStart w:id="150" w:name="_Toc493497567"/>
      <w:bookmarkStart w:id="151" w:name="_Toc493497883"/>
      <w:bookmarkStart w:id="152" w:name="_Toc493498000"/>
      <w:bookmarkStart w:id="153" w:name="_Toc493584204"/>
      <w:r>
        <w:t>Notes</w:t>
      </w:r>
      <w:bookmarkEnd w:id="142"/>
      <w:bookmarkEnd w:id="143"/>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404937262"/>
      <w:bookmarkStart w:id="155" w:name="_Toc493584205"/>
      <w:r>
        <w:rPr>
          <w:snapToGrid w:val="0"/>
        </w:rPr>
        <w:t>Compilation table</w:t>
      </w:r>
      <w:bookmarkEnd w:id="154"/>
      <w:bookmarkEnd w:id="155"/>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tcBorders>
              <w:bottom w:val="single" w:sz="4" w:space="0" w:color="auto"/>
            </w:tcBorders>
            <w:shd w:val="clear" w:color="auto" w:fill="auto"/>
          </w:tcPr>
          <w:p>
            <w:pPr>
              <w:pStyle w:val="nTable"/>
              <w:spacing w:after="40"/>
            </w:pPr>
            <w:r>
              <w:t>19 Sep 2017 p. 4883</w:t>
            </w:r>
            <w:r>
              <w:noBreakHyphen/>
              <w:t>5</w:t>
            </w:r>
          </w:p>
        </w:tc>
        <w:tc>
          <w:tcPr>
            <w:tcW w:w="2694" w:type="dxa"/>
            <w:tcBorders>
              <w:bottom w:val="single" w:sz="4" w:space="0" w:color="auto"/>
            </w:tcBorders>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57" w:name="_Toc415646444"/>
      <w:bookmarkStart w:id="158" w:name="_Toc417294884"/>
      <w:bookmarkStart w:id="159" w:name="_Toc417294992"/>
      <w:bookmarkStart w:id="160" w:name="_Toc472517571"/>
      <w:bookmarkStart w:id="161" w:name="_Toc472689150"/>
      <w:bookmarkStart w:id="162" w:name="_Toc476659353"/>
      <w:bookmarkStart w:id="163" w:name="_Toc493497569"/>
      <w:bookmarkStart w:id="164" w:name="_Toc493497885"/>
      <w:bookmarkStart w:id="165" w:name="_Toc493498002"/>
      <w:bookmarkStart w:id="166" w:name="_Toc493584206"/>
      <w:r>
        <w:rPr>
          <w:sz w:val="28"/>
        </w:rPr>
        <w:t>Defined terms</w:t>
      </w:r>
      <w:bookmarkEnd w:id="157"/>
      <w:bookmarkEnd w:id="158"/>
      <w:bookmarkEnd w:id="159"/>
      <w:bookmarkEnd w:id="160"/>
      <w:bookmarkEnd w:id="161"/>
      <w:bookmarkEnd w:id="162"/>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D4E5-2D87-4993-936E-EE55F91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6890</Words>
  <Characters>41065</Characters>
  <Application>Microsoft Office Word</Application>
  <DocSecurity>0</DocSecurity>
  <Lines>1283</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1954 - 04-g0-00</dc:title>
  <dc:subject/>
  <dc:creator/>
  <cp:keywords/>
  <dc:description/>
  <cp:lastModifiedBy>svcMRProcess</cp:lastModifiedBy>
  <cp:revision>4</cp:revision>
  <cp:lastPrinted>2014-12-08T23:29:00Z</cp:lastPrinted>
  <dcterms:created xsi:type="dcterms:W3CDTF">2020-02-22T18:04:00Z</dcterms:created>
  <dcterms:modified xsi:type="dcterms:W3CDTF">2020-02-22T18:04:00Z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20 Sep 2017</vt:lpwstr>
  </property>
  <property fmtid="{D5CDD505-2E9C-101B-9397-08002B2CF9AE}" pid="8" name="Suffix">
    <vt:lpwstr>04-g0-00</vt:lpwstr>
  </property>
  <property fmtid="{D5CDD505-2E9C-101B-9397-08002B2CF9AE}" pid="9" name="CommencementDate">
    <vt:lpwstr>20170920</vt:lpwstr>
  </property>
</Properties>
</file>