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_Toc493601278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_Toc493601279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_Toc493601281 \h </w:instrText>
      </w:r>
      <w:r>
        <w:fldChar w:fldCharType="separate"/>
      </w:r>
      <w:r>
        <w:t>2</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_Toc493601282 \h </w:instrText>
      </w:r>
      <w:r>
        <w:fldChar w:fldCharType="separate"/>
      </w:r>
      <w:r>
        <w:t>8</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_Toc493601283 \h </w:instrText>
      </w:r>
      <w:r>
        <w:fldChar w:fldCharType="separate"/>
      </w:r>
      <w:r>
        <w:t>9</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_Toc493601284 \h </w:instrText>
      </w:r>
      <w:r>
        <w:fldChar w:fldCharType="separate"/>
      </w:r>
      <w:r>
        <w:t>9</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_Toc493601285 \h </w:instrText>
      </w:r>
      <w:r>
        <w:fldChar w:fldCharType="separate"/>
      </w:r>
      <w:r>
        <w:t>11</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_Toc493601286 \h </w:instrText>
      </w:r>
      <w:r>
        <w:fldChar w:fldCharType="separate"/>
      </w:r>
      <w:r>
        <w:t>11</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_Toc493601287 \h </w:instrText>
      </w:r>
      <w:r>
        <w:fldChar w:fldCharType="separate"/>
      </w:r>
      <w:r>
        <w:t>12</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_Toc493601288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_Toc493601290 \h </w:instrText>
      </w:r>
      <w:r>
        <w:fldChar w:fldCharType="separate"/>
      </w:r>
      <w:r>
        <w:t>14</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_Toc493601291 \h </w:instrText>
      </w:r>
      <w:r>
        <w:fldChar w:fldCharType="separate"/>
      </w:r>
      <w:r>
        <w:t>14</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_Toc493601292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_Toc493601294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_Toc493601296 \h </w:instrText>
      </w:r>
      <w:r>
        <w:fldChar w:fldCharType="separate"/>
      </w:r>
      <w:r>
        <w:t>16</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_Toc493601297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_Toc493601299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_Toc493601301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Public Health Act 2016</w:t>
      </w:r>
    </w:p>
    <w:p>
      <w:pPr>
        <w:pStyle w:val="NameofActReg"/>
      </w:pPr>
      <w:r>
        <w:t>Public Health Regulations 2017</w:t>
      </w:r>
    </w:p>
    <w:p>
      <w:pPr>
        <w:pStyle w:val="Heading2"/>
        <w:pageBreakBefore w:val="0"/>
        <w:spacing w:before="240"/>
      </w:pPr>
      <w:bookmarkStart w:id="3" w:name="_Toc490638457"/>
      <w:bookmarkStart w:id="4" w:name="_Toc490660327"/>
      <w:bookmarkStart w:id="5" w:name="_Toc493600288"/>
      <w:bookmarkStart w:id="6" w:name="_Toc493600969"/>
      <w:bookmarkStart w:id="7" w:name="_Toc493601190"/>
      <w:bookmarkStart w:id="8" w:name="_Toc49360127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90660328"/>
      <w:bookmarkStart w:id="10" w:name="_Toc493600289"/>
      <w:bookmarkStart w:id="11" w:name="_Toc493601278"/>
      <w:r>
        <w:rPr>
          <w:rStyle w:val="CharSectno"/>
        </w:rPr>
        <w:t>1</w:t>
      </w:r>
      <w:r>
        <w:t>.</w:t>
      </w:r>
      <w:r>
        <w:tab/>
        <w:t>Citation</w:t>
      </w:r>
      <w:bookmarkEnd w:id="9"/>
      <w:bookmarkEnd w:id="10"/>
      <w:bookmarkEnd w:id="11"/>
    </w:p>
    <w:p>
      <w:pPr>
        <w:pStyle w:val="Subsection"/>
      </w:pPr>
      <w:r>
        <w:tab/>
      </w:r>
      <w:r>
        <w:tab/>
      </w:r>
      <w:bookmarkStart w:id="12" w:name="Start_Cursor"/>
      <w:bookmarkEnd w:id="12"/>
      <w:r>
        <w:t xml:space="preserve">These </w:t>
      </w:r>
      <w:r>
        <w:rPr>
          <w:spacing w:val="-2"/>
        </w:rPr>
        <w:t>regulations</w:t>
      </w:r>
      <w:r>
        <w:t xml:space="preserve"> are the </w:t>
      </w:r>
      <w:r>
        <w:rPr>
          <w:i/>
        </w:rPr>
        <w:t>Public Health Regulations 2017</w:t>
      </w:r>
      <w:r>
        <w:t>.</w:t>
      </w:r>
    </w:p>
    <w:p>
      <w:pPr>
        <w:pStyle w:val="Heading5"/>
        <w:rPr>
          <w:spacing w:val="-2"/>
        </w:rPr>
      </w:pPr>
      <w:bookmarkStart w:id="13" w:name="_Toc490660329"/>
      <w:bookmarkStart w:id="14" w:name="_Toc493600290"/>
      <w:bookmarkStart w:id="15" w:name="_Toc493601279"/>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6" w:name="_Toc490638460"/>
      <w:bookmarkStart w:id="17" w:name="_Toc490660330"/>
      <w:bookmarkStart w:id="18" w:name="_Toc493600291"/>
      <w:bookmarkStart w:id="19" w:name="_Toc493600972"/>
      <w:bookmarkStart w:id="20" w:name="_Toc493601193"/>
      <w:bookmarkStart w:id="21" w:name="_Toc493601280"/>
      <w:r>
        <w:rPr>
          <w:rStyle w:val="CharPartNo"/>
        </w:rPr>
        <w:t>Part 2</w:t>
      </w:r>
      <w:r>
        <w:rPr>
          <w:rStyle w:val="CharDivNo"/>
        </w:rPr>
        <w:t> </w:t>
      </w:r>
      <w:r>
        <w:t>—</w:t>
      </w:r>
      <w:r>
        <w:rPr>
          <w:rStyle w:val="CharDivText"/>
        </w:rPr>
        <w:t> </w:t>
      </w:r>
      <w:r>
        <w:rPr>
          <w:rStyle w:val="CharPartText"/>
        </w:rPr>
        <w:t>Notifiable infectious diseases and related conditions</w:t>
      </w:r>
      <w:bookmarkEnd w:id="16"/>
      <w:bookmarkEnd w:id="17"/>
      <w:bookmarkEnd w:id="18"/>
      <w:bookmarkEnd w:id="19"/>
      <w:bookmarkEnd w:id="20"/>
      <w:bookmarkEnd w:id="21"/>
    </w:p>
    <w:p>
      <w:pPr>
        <w:pStyle w:val="Heading5"/>
      </w:pPr>
      <w:bookmarkStart w:id="22" w:name="_Toc490660331"/>
      <w:bookmarkStart w:id="23" w:name="_Toc493600292"/>
      <w:bookmarkStart w:id="24" w:name="_Toc493601281"/>
      <w:r>
        <w:rPr>
          <w:rStyle w:val="CharSectno"/>
        </w:rPr>
        <w:t>3</w:t>
      </w:r>
      <w:r>
        <w:t>.</w:t>
      </w:r>
      <w:r>
        <w:tab/>
        <w:t>Notifiable infectious diseases</w:t>
      </w:r>
      <w:bookmarkEnd w:id="22"/>
      <w:bookmarkEnd w:id="23"/>
      <w:bookmarkEnd w:id="24"/>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25" w:name="_Toc490660332"/>
      <w:bookmarkStart w:id="26" w:name="_Toc493600293"/>
      <w:bookmarkStart w:id="27" w:name="_Toc493601282"/>
      <w:r>
        <w:rPr>
          <w:rStyle w:val="CharSectno"/>
        </w:rPr>
        <w:t>4</w:t>
      </w:r>
      <w:r>
        <w:t>.</w:t>
      </w:r>
      <w:r>
        <w:tab/>
        <w:t>Notifiable infectious disease</w:t>
      </w:r>
      <w:r>
        <w:noBreakHyphen/>
        <w:t>related conditions</w:t>
      </w:r>
      <w:bookmarkEnd w:id="25"/>
      <w:bookmarkEnd w:id="26"/>
      <w:bookmarkEnd w:id="27"/>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28" w:name="_Toc490660333"/>
      <w:bookmarkStart w:id="29" w:name="_Toc493600294"/>
      <w:bookmarkStart w:id="30" w:name="_Toc493601283"/>
      <w:r>
        <w:rPr>
          <w:rStyle w:val="CharSectno"/>
        </w:rPr>
        <w:t>5</w:t>
      </w:r>
      <w:r>
        <w:t>.</w:t>
      </w:r>
      <w:r>
        <w:tab/>
        <w:t>Notification of notifiable infectious diseases and notifiable infectious disease</w:t>
      </w:r>
      <w:r>
        <w:noBreakHyphen/>
        <w:t>related conditions: information not required</w:t>
      </w:r>
      <w:bookmarkEnd w:id="28"/>
      <w:bookmarkEnd w:id="29"/>
      <w:bookmarkEnd w:id="30"/>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31" w:name="_Toc490660334"/>
      <w:bookmarkStart w:id="32" w:name="_Toc493600295"/>
      <w:bookmarkStart w:id="33" w:name="_Toc493601284"/>
      <w:r>
        <w:rPr>
          <w:rStyle w:val="CharSectno"/>
        </w:rPr>
        <w:t>6</w:t>
      </w:r>
      <w:r>
        <w:t>.</w:t>
      </w:r>
      <w:r>
        <w:tab/>
        <w:t>Notification of notifiable infectious diseases and notifiable infectious disease</w:t>
      </w:r>
      <w:r>
        <w:noBreakHyphen/>
        <w:t>related conditions: information prescribed</w:t>
      </w:r>
      <w:bookmarkEnd w:id="31"/>
      <w:bookmarkEnd w:id="32"/>
      <w:bookmarkEnd w:id="33"/>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dated 1 September 2017 and accessible on the website maintained by or on behalf of the Department.</w:t>
      </w:r>
    </w:p>
    <w:p>
      <w:pPr>
        <w:pStyle w:val="Heading5"/>
        <w:pageBreakBefore/>
        <w:spacing w:before="0"/>
      </w:pPr>
      <w:bookmarkStart w:id="34" w:name="_Toc490660335"/>
      <w:bookmarkStart w:id="35" w:name="_Toc493600296"/>
      <w:bookmarkStart w:id="36" w:name="_Toc493601285"/>
      <w:r>
        <w:rPr>
          <w:rStyle w:val="CharSectno"/>
        </w:rPr>
        <w:t>7</w:t>
      </w:r>
      <w:r>
        <w:t>.</w:t>
      </w:r>
      <w:r>
        <w:tab/>
        <w:t>Authorised officers may request further information</w:t>
      </w:r>
      <w:bookmarkEnd w:id="34"/>
      <w:bookmarkEnd w:id="35"/>
      <w:bookmarkEnd w:id="36"/>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37" w:name="_Toc490660336"/>
      <w:bookmarkStart w:id="38" w:name="_Toc493600297"/>
      <w:bookmarkStart w:id="39" w:name="_Toc493601286"/>
      <w:r>
        <w:rPr>
          <w:rStyle w:val="CharSectno"/>
        </w:rPr>
        <w:t>8</w:t>
      </w:r>
      <w:r>
        <w:t>.</w:t>
      </w:r>
      <w:r>
        <w:tab/>
        <w:t>Protection from liability</w:t>
      </w:r>
      <w:bookmarkEnd w:id="37"/>
      <w:bookmarkEnd w:id="38"/>
      <w:bookmarkEnd w:id="39"/>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0" w:name="_Toc490660337"/>
      <w:bookmarkStart w:id="41" w:name="_Toc493600298"/>
      <w:bookmarkStart w:id="42" w:name="_Toc493601287"/>
      <w:r>
        <w:rPr>
          <w:rStyle w:val="CharSectno"/>
        </w:rPr>
        <w:t>9</w:t>
      </w:r>
      <w:r>
        <w:t>.</w:t>
      </w:r>
      <w:r>
        <w:tab/>
        <w:t>Disclosure and use of information</w:t>
      </w:r>
      <w:bookmarkEnd w:id="40"/>
      <w:bookmarkEnd w:id="41"/>
      <w:bookmarkEnd w:id="42"/>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3" w:name="_Toc490660338"/>
      <w:bookmarkStart w:id="44" w:name="_Toc493600299"/>
      <w:bookmarkStart w:id="45" w:name="_Toc493601288"/>
      <w:r>
        <w:rPr>
          <w:rStyle w:val="CharSectno"/>
        </w:rPr>
        <w:t>10</w:t>
      </w:r>
      <w:r>
        <w:t>.</w:t>
      </w:r>
      <w:r>
        <w:tab/>
        <w:t>Recognition of interstate public health orders</w:t>
      </w:r>
      <w:bookmarkEnd w:id="43"/>
      <w:bookmarkEnd w:id="44"/>
      <w:bookmarkEnd w:id="45"/>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46" w:name="_Toc490638469"/>
      <w:bookmarkStart w:id="47" w:name="_Toc490660339"/>
      <w:bookmarkStart w:id="48" w:name="_Toc493600300"/>
      <w:bookmarkStart w:id="49" w:name="_Toc493600981"/>
      <w:bookmarkStart w:id="50" w:name="_Toc493601202"/>
      <w:bookmarkStart w:id="51" w:name="_Toc493601289"/>
      <w:r>
        <w:rPr>
          <w:rStyle w:val="CharPartNo"/>
        </w:rPr>
        <w:t>Part 3</w:t>
      </w:r>
      <w:r>
        <w:rPr>
          <w:rStyle w:val="CharDivNo"/>
        </w:rPr>
        <w:t> </w:t>
      </w:r>
      <w:r>
        <w:t>—</w:t>
      </w:r>
      <w:r>
        <w:rPr>
          <w:rStyle w:val="CharDivText"/>
        </w:rPr>
        <w:t> </w:t>
      </w:r>
      <w:r>
        <w:rPr>
          <w:rStyle w:val="CharPartText"/>
        </w:rPr>
        <w:t>Public health emergencies</w:t>
      </w:r>
      <w:bookmarkEnd w:id="46"/>
      <w:bookmarkEnd w:id="47"/>
      <w:bookmarkEnd w:id="48"/>
      <w:bookmarkEnd w:id="49"/>
      <w:bookmarkEnd w:id="50"/>
      <w:bookmarkEnd w:id="51"/>
    </w:p>
    <w:p>
      <w:pPr>
        <w:pStyle w:val="Heading5"/>
      </w:pPr>
      <w:bookmarkStart w:id="52" w:name="_Toc490660340"/>
      <w:bookmarkStart w:id="53" w:name="_Toc493600301"/>
      <w:bookmarkStart w:id="54" w:name="_Toc493601290"/>
      <w:r>
        <w:rPr>
          <w:rStyle w:val="CharSectno"/>
        </w:rPr>
        <w:t>11</w:t>
      </w:r>
      <w:r>
        <w:t>.</w:t>
      </w:r>
      <w:r>
        <w:tab/>
        <w:t>Relevant information</w:t>
      </w:r>
      <w:bookmarkEnd w:id="52"/>
      <w:bookmarkEnd w:id="53"/>
      <w:bookmarkEnd w:id="54"/>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55" w:name="_Toc490660341"/>
      <w:bookmarkStart w:id="56" w:name="_Toc493600302"/>
      <w:bookmarkStart w:id="57" w:name="_Toc493601291"/>
      <w:r>
        <w:rPr>
          <w:rStyle w:val="CharSectno"/>
        </w:rPr>
        <w:t>12</w:t>
      </w:r>
      <w:r>
        <w:t>.</w:t>
      </w:r>
      <w:r>
        <w:tab/>
        <w:t>Disclosure of relevant information</w:t>
      </w:r>
      <w:bookmarkEnd w:id="55"/>
      <w:bookmarkEnd w:id="56"/>
      <w:bookmarkEnd w:id="57"/>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58" w:name="_Toc490660342"/>
      <w:bookmarkStart w:id="59" w:name="_Toc493600303"/>
      <w:bookmarkStart w:id="60" w:name="_Toc493601292"/>
      <w:r>
        <w:rPr>
          <w:rStyle w:val="CharSectno"/>
        </w:rPr>
        <w:t>13</w:t>
      </w:r>
      <w:r>
        <w:t>.</w:t>
      </w:r>
      <w:r>
        <w:tab/>
        <w:t>Keeping disclosed relevant information secure</w:t>
      </w:r>
      <w:bookmarkEnd w:id="58"/>
      <w:bookmarkEnd w:id="59"/>
      <w:bookmarkEnd w:id="60"/>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2"/>
      </w:pPr>
      <w:bookmarkStart w:id="61" w:name="_Toc490638473"/>
      <w:bookmarkStart w:id="62" w:name="_Toc490660343"/>
      <w:bookmarkStart w:id="63" w:name="_Toc493600304"/>
      <w:bookmarkStart w:id="64" w:name="_Toc493600985"/>
      <w:bookmarkStart w:id="65" w:name="_Toc493601206"/>
      <w:bookmarkStart w:id="66" w:name="_Toc493601293"/>
      <w:r>
        <w:rPr>
          <w:rStyle w:val="CharPartNo"/>
        </w:rPr>
        <w:t>Part 4</w:t>
      </w:r>
      <w:r>
        <w:rPr>
          <w:rStyle w:val="CharDivNo"/>
        </w:rPr>
        <w:t> </w:t>
      </w:r>
      <w:r>
        <w:t>—</w:t>
      </w:r>
      <w:r>
        <w:rPr>
          <w:rStyle w:val="CharDivText"/>
        </w:rPr>
        <w:t> </w:t>
      </w:r>
      <w:r>
        <w:rPr>
          <w:rStyle w:val="CharPartText"/>
        </w:rPr>
        <w:t>Inquiries</w:t>
      </w:r>
      <w:bookmarkEnd w:id="61"/>
      <w:bookmarkEnd w:id="62"/>
      <w:bookmarkEnd w:id="63"/>
      <w:bookmarkEnd w:id="64"/>
      <w:bookmarkEnd w:id="65"/>
      <w:bookmarkEnd w:id="66"/>
    </w:p>
    <w:p>
      <w:pPr>
        <w:pStyle w:val="Heading5"/>
      </w:pPr>
      <w:bookmarkStart w:id="67" w:name="_Toc490660344"/>
      <w:bookmarkStart w:id="68" w:name="_Toc493600305"/>
      <w:bookmarkStart w:id="69" w:name="_Toc493601294"/>
      <w:r>
        <w:rPr>
          <w:rStyle w:val="CharSectno"/>
        </w:rPr>
        <w:t>14</w:t>
      </w:r>
      <w:r>
        <w:t>.</w:t>
      </w:r>
      <w:r>
        <w:tab/>
        <w:t>Allowances and expenses of a person required to attend</w:t>
      </w:r>
      <w:bookmarkEnd w:id="67"/>
      <w:bookmarkEnd w:id="68"/>
      <w:bookmarkEnd w:id="69"/>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70" w:name="_Toc490638475"/>
      <w:bookmarkStart w:id="71" w:name="_Toc490660345"/>
      <w:bookmarkStart w:id="72" w:name="_Toc493600306"/>
      <w:bookmarkStart w:id="73" w:name="_Toc493600987"/>
      <w:bookmarkStart w:id="74" w:name="_Toc493601208"/>
      <w:bookmarkStart w:id="75" w:name="_Toc493601295"/>
      <w:r>
        <w:rPr>
          <w:rStyle w:val="CharPartNo"/>
        </w:rPr>
        <w:t>Part 5</w:t>
      </w:r>
      <w:r>
        <w:rPr>
          <w:rStyle w:val="CharDivNo"/>
        </w:rPr>
        <w:t> </w:t>
      </w:r>
      <w:r>
        <w:t>—</w:t>
      </w:r>
      <w:r>
        <w:rPr>
          <w:rStyle w:val="CharDivText"/>
        </w:rPr>
        <w:t> </w:t>
      </w:r>
      <w:r>
        <w:rPr>
          <w:rStyle w:val="CharPartText"/>
        </w:rPr>
        <w:t>Miscellaneous</w:t>
      </w:r>
      <w:bookmarkEnd w:id="70"/>
      <w:bookmarkEnd w:id="71"/>
      <w:bookmarkEnd w:id="72"/>
      <w:bookmarkEnd w:id="73"/>
      <w:bookmarkEnd w:id="74"/>
      <w:bookmarkEnd w:id="75"/>
    </w:p>
    <w:p>
      <w:pPr>
        <w:pStyle w:val="Heading5"/>
      </w:pPr>
      <w:bookmarkStart w:id="76" w:name="_Toc490660346"/>
      <w:bookmarkStart w:id="77" w:name="_Toc493600307"/>
      <w:bookmarkStart w:id="78" w:name="_Toc493601296"/>
      <w:r>
        <w:rPr>
          <w:rStyle w:val="CharSectno"/>
        </w:rPr>
        <w:t>15</w:t>
      </w:r>
      <w:r>
        <w:t>.</w:t>
      </w:r>
      <w:r>
        <w:tab/>
        <w:t>Disclosure and use of information provided under Part 9 or 10 of the Act</w:t>
      </w:r>
      <w:bookmarkEnd w:id="76"/>
      <w:bookmarkEnd w:id="77"/>
      <w:bookmarkEnd w:id="78"/>
    </w:p>
    <w:p>
      <w:pPr>
        <w:pStyle w:val="Subsection"/>
      </w:pPr>
      <w:r>
        <w:tab/>
      </w:r>
      <w:r>
        <w:tab/>
        <w:t>A public health official may disclose or use specified information under section 298 of the Act in the course of duty.</w:t>
      </w:r>
    </w:p>
    <w:p>
      <w:pPr>
        <w:pStyle w:val="Heading5"/>
      </w:pPr>
      <w:bookmarkStart w:id="79" w:name="_Toc490660347"/>
      <w:bookmarkStart w:id="80" w:name="_Toc493600308"/>
      <w:bookmarkStart w:id="81" w:name="_Toc493601297"/>
      <w:r>
        <w:rPr>
          <w:rStyle w:val="CharSectno"/>
        </w:rPr>
        <w:t>16</w:t>
      </w:r>
      <w:r>
        <w:t>.</w:t>
      </w:r>
      <w:r>
        <w:tab/>
        <w:t>Regulations repealed</w:t>
      </w:r>
      <w:bookmarkEnd w:id="79"/>
      <w:bookmarkEnd w:id="80"/>
      <w:bookmarkEnd w:id="81"/>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82" w:name="_Toc490638478"/>
      <w:bookmarkStart w:id="83" w:name="_Toc490660348"/>
      <w:bookmarkStart w:id="84" w:name="_Toc493600309"/>
      <w:bookmarkStart w:id="85" w:name="_Toc493600990"/>
      <w:bookmarkStart w:id="86" w:name="_Toc493601211"/>
      <w:bookmarkStart w:id="87" w:name="_Toc493601298"/>
      <w:r>
        <w:rPr>
          <w:rStyle w:val="CharPartNo"/>
        </w:rPr>
        <w:t>Part 6</w:t>
      </w:r>
      <w:r>
        <w:rPr>
          <w:rStyle w:val="CharDivNo"/>
        </w:rPr>
        <w:t> </w:t>
      </w:r>
      <w:r>
        <w:t>—</w:t>
      </w:r>
      <w:r>
        <w:rPr>
          <w:rStyle w:val="CharDivText"/>
        </w:rPr>
        <w:t> </w:t>
      </w:r>
      <w:r>
        <w:rPr>
          <w:rStyle w:val="CharPartText"/>
        </w:rPr>
        <w:t>Transitional provisions</w:t>
      </w:r>
      <w:bookmarkEnd w:id="82"/>
      <w:bookmarkEnd w:id="83"/>
      <w:bookmarkEnd w:id="84"/>
      <w:bookmarkEnd w:id="85"/>
      <w:bookmarkEnd w:id="86"/>
      <w:bookmarkEnd w:id="87"/>
    </w:p>
    <w:p>
      <w:pPr>
        <w:pStyle w:val="Heading5"/>
      </w:pPr>
      <w:bookmarkStart w:id="88" w:name="_Toc490660349"/>
      <w:bookmarkStart w:id="89" w:name="_Toc493600310"/>
      <w:bookmarkStart w:id="90" w:name="_Toc493601299"/>
      <w:r>
        <w:rPr>
          <w:rStyle w:val="CharSectno"/>
        </w:rPr>
        <w:t>17</w:t>
      </w:r>
      <w:r>
        <w:t>.</w:t>
      </w:r>
      <w:r>
        <w:tab/>
        <w:t xml:space="preserve">Inquiries or investigations under the </w:t>
      </w:r>
      <w:r>
        <w:rPr>
          <w:i/>
        </w:rPr>
        <w:t>Health (Miscellaneous Provisions) Act 1911</w:t>
      </w:r>
      <w:r>
        <w:t xml:space="preserve"> section 13</w:t>
      </w:r>
      <w:bookmarkEnd w:id="88"/>
      <w:bookmarkEnd w:id="89"/>
      <w:bookmarkEnd w:id="90"/>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Subsection"/>
      </w:pPr>
    </w:p>
    <w:p>
      <w:pPr>
        <w:pStyle w:val="Subsection"/>
      </w:pPr>
    </w:p>
    <w:p>
      <w:pPr>
        <w:sectPr>
          <w:headerReference w:type="even" r:id="rId22"/>
          <w:headerReference w:type="default" r:id="rId23"/>
          <w:footerReference w:type="even" r:id="rId24"/>
          <w:footerReference w:type="default" r:id="rId25"/>
          <w:endnotePr>
            <w:numFmt w:val="decimal"/>
          </w:endnotePr>
          <w:pgSz w:w="11907" w:h="16840" w:code="9"/>
          <w:pgMar w:top="2381" w:right="2410" w:bottom="3544" w:left="2410" w:header="720" w:footer="3544" w:gutter="0"/>
          <w:pgNumType w:start="1"/>
          <w:cols w:space="720"/>
          <w:noEndnote/>
          <w:titlePg/>
        </w:sectPr>
      </w:pPr>
    </w:p>
    <w:p>
      <w:pPr>
        <w:pStyle w:val="nHeading2"/>
      </w:pPr>
      <w:bookmarkStart w:id="91" w:name="_Toc493600992"/>
      <w:bookmarkStart w:id="92" w:name="_Toc493601213"/>
      <w:bookmarkStart w:id="93" w:name="_Toc493601300"/>
      <w:r>
        <w:t>Notes</w:t>
      </w:r>
      <w:bookmarkEnd w:id="91"/>
      <w:bookmarkEnd w:id="92"/>
      <w:bookmarkEnd w:id="93"/>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Public Health Regulations 2017</w:t>
      </w:r>
      <w:r>
        <w:rPr>
          <w:i/>
        </w:rPr>
        <w:fldChar w:fldCharType="end"/>
      </w:r>
      <w:r>
        <w:t>.  The following table contains information about those regulations.</w:t>
      </w:r>
    </w:p>
    <w:p>
      <w:pPr>
        <w:pStyle w:val="nHeading3"/>
      </w:pPr>
      <w:bookmarkStart w:id="94" w:name="_Toc493601301"/>
      <w:r>
        <w:t>Compilation table</w:t>
      </w:r>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Public Health Regulations 2017</w:t>
            </w:r>
          </w:p>
        </w:tc>
        <w:tc>
          <w:tcPr>
            <w:tcW w:w="1276" w:type="dxa"/>
          </w:tcPr>
          <w:p>
            <w:pPr>
              <w:pStyle w:val="nTable"/>
              <w:spacing w:after="40"/>
            </w:pPr>
            <w:r>
              <w:t>19 Sep 2017 p. 4909</w:t>
            </w:r>
            <w:r>
              <w:noBreakHyphen/>
              <w:t>29</w:t>
            </w:r>
          </w:p>
        </w:tc>
        <w:tc>
          <w:tcPr>
            <w:tcW w:w="2693" w:type="dxa"/>
          </w:tcPr>
          <w:p>
            <w:pPr>
              <w:pStyle w:val="nTable"/>
              <w:spacing w:after="40"/>
            </w:pPr>
            <w:r>
              <w:t>Pt. 1: 19 Sep 2017 (see r. 2(a));</w:t>
            </w:r>
            <w:r>
              <w:br/>
              <w:t>Pt. 2</w:t>
            </w:r>
            <w:r>
              <w:noBreakHyphen/>
              <w:t xml:space="preserve">6: 20 Sep 2017 (see r. 2(b) and </w:t>
            </w:r>
            <w:r>
              <w:rPr>
                <w:i/>
              </w:rPr>
              <w:t>Gazette</w:t>
            </w:r>
            <w:r>
              <w:t xml:space="preserve"> 19 Sep 2017 p. 4879)</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96" w:name="_Toc493601215"/>
      <w:bookmarkStart w:id="97" w:name="_Toc493601302"/>
      <w:r>
        <w:rPr>
          <w:sz w:val="28"/>
        </w:rPr>
        <w:t>Defined terms</w:t>
      </w:r>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HIV infection notification form</w:t>
      </w:r>
      <w:r>
        <w:tab/>
        <w:t>6(5)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91602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ABBA-F19C-4CA4-B9E4-CAC05D61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2363</Words>
  <Characters>13616</Characters>
  <Application>Microsoft Office Word</Application>
  <DocSecurity>0</DocSecurity>
  <Lines>618</Lines>
  <Paragraphs>355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2017 - 00-a0-00</dc:title>
  <dc:subject/>
  <dc:creator/>
  <cp:keywords/>
  <dc:description/>
  <cp:lastModifiedBy>svcMRProcess</cp:lastModifiedBy>
  <cp:revision>4</cp:revision>
  <cp:lastPrinted>2017-08-15T05:24:00Z</cp:lastPrinted>
  <dcterms:created xsi:type="dcterms:W3CDTF">2017-09-19T08:55:00Z</dcterms:created>
  <dcterms:modified xsi:type="dcterms:W3CDTF">2017-09-19T08:55:00Z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20 Sep 2017</vt:lpwstr>
  </property>
  <property fmtid="{D5CDD505-2E9C-101B-9397-08002B2CF9AE}" pid="4" name="Suffix">
    <vt:lpwstr>00-a0-00</vt:lpwstr>
  </property>
  <property fmtid="{D5CDD505-2E9C-101B-9397-08002B2CF9AE}" pid="5" name="CommencementDate">
    <vt:lpwstr>20170920</vt:lpwstr>
  </property>
</Properties>
</file>