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Adverse Event After Immunization) Regulations 1995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Public Health Regulations 2017</w:t>
      </w:r>
      <w:r>
        <w:t xml:space="preserve"> r. 16(b) as at 20 Sep 2017 (see r. 2(b) and </w:t>
      </w:r>
      <w:r>
        <w:rPr>
          <w:i/>
        </w:rPr>
        <w:t>Gazette</w:t>
      </w:r>
      <w:r>
        <w:t xml:space="preserve"> 19 Sep 2017 p. 4879).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Adverse Event After Immunization) Regulations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_Toc493668803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_Toc493668804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Adverse event after immunization prescribed as condition of health</w:t>
      </w:r>
      <w:r>
        <w:tab/>
      </w:r>
      <w:r>
        <w:fldChar w:fldCharType="begin"/>
      </w:r>
      <w:r>
        <w:instrText xml:space="preserve"> PAGEREF _Toc493668805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by medical practitioner</w:t>
      </w:r>
      <w:r>
        <w:tab/>
      </w:r>
      <w:r>
        <w:fldChar w:fldCharType="begin"/>
      </w:r>
      <w:r>
        <w:instrText xml:space="preserve"> PAGEREF _Toc493668806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Fee for notification</w:t>
      </w:r>
      <w:r>
        <w:tab/>
      </w:r>
      <w:r>
        <w:fldChar w:fldCharType="begin"/>
      </w:r>
      <w:r>
        <w:instrText xml:space="preserve"> PAGEREF _Toc493668807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Chief Health Officer may request provision of information</w:t>
      </w:r>
      <w:r>
        <w:tab/>
      </w:r>
      <w:r>
        <w:fldChar w:fldCharType="begin"/>
      </w:r>
      <w:r>
        <w:instrText xml:space="preserve"> PAGEREF _Toc493668808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_Toc493668810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spacing w:before="400" w:after="520"/>
      </w:pPr>
      <w:r>
        <w:t>Health (Notification of Adverse Event After Immunization) Regulations 1995</w:t>
      </w:r>
    </w:p>
    <w:p>
      <w:pPr>
        <w:pStyle w:val="Heading5"/>
        <w:rPr>
          <w:snapToGrid w:val="0"/>
        </w:rPr>
      </w:pPr>
      <w:bookmarkStart w:id="3" w:name="_Toc378671098"/>
      <w:bookmarkStart w:id="4" w:name="_Toc380141596"/>
      <w:bookmarkStart w:id="5" w:name="_Toc49366880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 of Adverse Event After Immunization)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671099"/>
      <w:bookmarkStart w:id="7" w:name="_Toc380141597"/>
      <w:bookmarkStart w:id="8" w:name="_Toc4936688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adverse event after immunization</w:t>
      </w:r>
      <w:r>
        <w:t xml:space="preserve"> means an event that — </w:t>
      </w:r>
    </w:p>
    <w:p>
      <w:pPr>
        <w:pStyle w:val="Defpara"/>
      </w:pPr>
      <w:r>
        <w:tab/>
        <w:t>(a)</w:t>
      </w:r>
      <w:r>
        <w:tab/>
        <w:t>is of a kind listed in Appendix 7 of the National Health and Medical Research Council publication “The Australian Immunisation Handbook 7</w:t>
      </w:r>
      <w:r>
        <w:rPr>
          <w:vertAlign w:val="superscript"/>
        </w:rPr>
        <w:t>th</w:t>
      </w:r>
      <w:r>
        <w:t> Edition”; and</w:t>
      </w:r>
    </w:p>
    <w:p>
      <w:pPr>
        <w:pStyle w:val="Defpara"/>
      </w:pPr>
      <w:r>
        <w:tab/>
        <w:t>(b)</w:t>
      </w:r>
      <w:r>
        <w:tab/>
        <w:t>occurs following the administration of a vaccine to a person.</w:t>
      </w:r>
    </w:p>
    <w:p>
      <w:pPr>
        <w:pStyle w:val="Footnotesection"/>
      </w:pPr>
      <w:r>
        <w:tab/>
        <w:t>[Regulation 2 amended in Gazette 8 Aug 2000 p. 4549.]</w:t>
      </w:r>
    </w:p>
    <w:p>
      <w:pPr>
        <w:pStyle w:val="Heading5"/>
        <w:rPr>
          <w:snapToGrid w:val="0"/>
        </w:rPr>
      </w:pPr>
      <w:bookmarkStart w:id="9" w:name="_Toc378671100"/>
      <w:bookmarkStart w:id="10" w:name="_Toc380141598"/>
      <w:bookmarkStart w:id="11" w:name="_Toc4936688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Adverse event after immunization prescribed as condition of health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 adverse event after immunization is prescribed as a condition of health to which Part IXA of the Act applies.</w:t>
      </w:r>
    </w:p>
    <w:p>
      <w:pPr>
        <w:pStyle w:val="Heading5"/>
        <w:rPr>
          <w:snapToGrid w:val="0"/>
        </w:rPr>
      </w:pPr>
      <w:bookmarkStart w:id="12" w:name="_Toc378671101"/>
      <w:bookmarkStart w:id="13" w:name="_Toc380141599"/>
      <w:bookmarkStart w:id="14" w:name="_Toc49366880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by medical practitioner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medical practitioner must notify the </w:t>
      </w:r>
      <w:r>
        <w:t>Chief Health Officer</w:t>
      </w:r>
      <w:r>
        <w:rPr>
          <w:snapToGrid w:val="0"/>
        </w:rPr>
        <w:t xml:space="preserve"> of an adverse event after immunization within 14 days of becoming aware of that adverse event.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notification under subregulation (1) must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in writing in a form approved by the </w:t>
      </w:r>
      <w:r>
        <w:t>Chief Health Officer;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include the following information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full description of the adverse event after immunization;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full name of the person who suffered the adverse event after immunization and that person’s address or telephone number;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where the adverse event after immunization is the death of a person, the full name, and the address or telephone number, of the next of kin or personal representative of the deceased person (if known);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the name, dose and batch number of the vaccine administered;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(v)</w:t>
      </w:r>
      <w:r>
        <w:rPr>
          <w:snapToGrid w:val="0"/>
        </w:rPr>
        <w:tab/>
        <w:t>the date on which the vaccine was administered;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(vi)</w:t>
      </w:r>
      <w:r>
        <w:rPr>
          <w:snapToGrid w:val="0"/>
        </w:rPr>
        <w:tab/>
        <w:t>the name and address of the place where the vaccine was administered;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(vii)</w:t>
      </w:r>
      <w:r>
        <w:rPr>
          <w:snapToGrid w:val="0"/>
        </w:rPr>
        <w:tab/>
        <w:t>the full name, address and telephone number of the medical practitioner giving the notification.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medical practitioner who contravenes subregulation (1) commits an offence and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pStyle w:val="Footnotesection"/>
      </w:pPr>
      <w:r>
        <w:tab/>
        <w:t>[Regulation 4 amended in Gazette 10 Jan 2017 p. 267.]</w:t>
      </w:r>
    </w:p>
    <w:p>
      <w:pPr>
        <w:pStyle w:val="Heading5"/>
        <w:rPr>
          <w:snapToGrid w:val="0"/>
        </w:rPr>
      </w:pPr>
      <w:bookmarkStart w:id="15" w:name="_Toc378671102"/>
      <w:bookmarkStart w:id="16" w:name="_Toc380141600"/>
      <w:bookmarkStart w:id="17" w:name="_Toc49366880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Fee for notification</w:t>
      </w:r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$5 is payable to a medical practitioner who gives notification under regulation 4 but this regulation does not apply to a medical practitioner who is employed in the Public Service of the State or the Commonwealth, or is employed by an agency or instrumentality of the State or the Commonwealth.</w:t>
      </w:r>
    </w:p>
    <w:p>
      <w:pPr>
        <w:pStyle w:val="Heading5"/>
        <w:rPr>
          <w:snapToGrid w:val="0"/>
        </w:rPr>
      </w:pPr>
      <w:bookmarkStart w:id="18" w:name="_Toc378671103"/>
      <w:bookmarkStart w:id="19" w:name="_Toc380141601"/>
      <w:bookmarkStart w:id="20" w:name="_Toc49366880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Chief Health Officer may request provision of information</w:t>
      </w:r>
      <w:bookmarkEnd w:id="18"/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the </w:t>
      </w:r>
      <w:r>
        <w:t>Chief Health Officer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is notified of an adverse event after immunization;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has reasonable grounds to believe that a person is able to provide information relating to the adverse event,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Chief Health Officer</w:t>
      </w:r>
      <w:r>
        <w:rPr>
          <w:snapToGrid w:val="0"/>
        </w:rPr>
        <w:t xml:space="preserve"> may request the person to provide such information relating to the adverse event as the </w:t>
      </w:r>
      <w:r>
        <w:t>Chief Health Officer</w:t>
      </w:r>
      <w:r>
        <w:rPr>
          <w:snapToGrid w:val="0"/>
        </w:rPr>
        <w:t xml:space="preserve"> considers necessary for the purpose of achieving the objects of Part IXA of the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to whom a request is made under subregulation (1) must comply with the request within 14 days of receiving the request.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who, without reasonable excuse, contravenes subregulation (2) commits an offence and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pStyle w:val="Footnotesection"/>
      </w:pPr>
      <w:r>
        <w:tab/>
        <w:t>[Regulation 6 amended in Gazette 10 Jan 2017 p. 267.]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78671104"/>
      <w:bookmarkStart w:id="22" w:name="_Toc380141602"/>
      <w:bookmarkStart w:id="23" w:name="_Toc419453391"/>
      <w:bookmarkStart w:id="24" w:name="_Toc472582278"/>
      <w:bookmarkStart w:id="25" w:name="_Toc472957189"/>
      <w:bookmarkStart w:id="26" w:name="_Toc493668809"/>
      <w:r>
        <w:t>Notes</w:t>
      </w:r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Adverse Event After Immunization) Regulations 1995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7" w:name="_Toc378671105"/>
      <w:bookmarkStart w:id="28" w:name="_Toc380141603"/>
      <w:bookmarkStart w:id="29" w:name="_Toc493668810"/>
      <w:r>
        <w:rPr>
          <w:snapToGrid w:val="0"/>
        </w:rPr>
        <w:t>Compilation table</w:t>
      </w:r>
      <w:bookmarkEnd w:id="27"/>
      <w:bookmarkEnd w:id="28"/>
      <w:bookmarkEnd w:id="2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(Notification of Adverse Event After Immunization)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Nov 1995 p. 5287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Nov 1995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Health (Notification of Adverse Event After Immunization)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Aug 2000 p. 4549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Aug 2000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Health (Notification of Adverse Event After Immunization) Regulations 1995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Public Health Regulations 2017</w:t>
            </w:r>
            <w:r>
              <w:rPr>
                <w:b/>
                <w:color w:val="FF0000"/>
              </w:rPr>
              <w:t xml:space="preserve"> r. 16(b) as at 20 Sep 2017 (see r.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19 Sep 2017 p. 4879)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1" w:name="_Toc472957191"/>
      <w:bookmarkStart w:id="32" w:name="_Toc493668811"/>
      <w:r>
        <w:rPr>
          <w:sz w:val="28"/>
        </w:rPr>
        <w:t>Defined terms</w:t>
      </w:r>
      <w:bookmarkEnd w:id="31"/>
      <w:bookmarkEnd w:id="3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adverse event after immunization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3" w:name="DefinedTerms"/>
    <w:bookmarkEnd w:id="3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Adverse Event After Immunization)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359"/>
    <w:docVar w:name="WAFER_20140128105758" w:val="RemoveTocBookmarks,RemoveUnusedBookmarks,RemoveLanguageTags,UsedStyles,ResetPageSize,UpdateArrangement"/>
    <w:docVar w:name="WAFER_20140128105758_GUID" w:val="f10c0289-4d8f-46cd-a2a6-464b21f45861"/>
    <w:docVar w:name="WAFER_20140128105803" w:val="RemoveTocBookmarks,RunningHeaders"/>
    <w:docVar w:name="WAFER_20140128105803_GUID" w:val="30997759-d8fe-4a36-8e79-4605da0a4b10"/>
    <w:docVar w:name="WAFER_20140214112126" w:val="ResetStyles"/>
    <w:docVar w:name="WAFER_20140214112126_GUID" w:val="45315f63-17a4-42e6-a8d6-d0cdb2acad2c"/>
    <w:docVar w:name="WAFER_20150515103704" w:val="ResetPageSize,UpdateArrangement,UpdateNTable"/>
    <w:docVar w:name="WAFER_20150515103704_GUID" w:val="3edabc5f-e950-45b7-93b5-bd9f7c43feb5"/>
    <w:docVar w:name="WAFER_20151105145359" w:val="UpdateStyles,UsedStyles"/>
    <w:docVar w:name="WAFER_20151105145359_GUID" w:val="9813ff7c-9fee-4690-b2fc-edcb11cd509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1000</Words>
  <Characters>5075</Characters>
  <Application>Microsoft Office Word</Application>
  <DocSecurity>0</DocSecurity>
  <Lines>169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5969</CharactersWithSpaces>
  <SharedDoc>false</SharedDoc>
  <HLinks>
    <vt:vector size="18" baseType="variant">
      <vt:variant>
        <vt:i4>65542</vt:i4>
      </vt:variant>
      <vt:variant>
        <vt:i4>2021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Adverse Event After Immunization) Regulations 1995 - 01-d0-00</dc:title>
  <dc:subject/>
  <dc:creator/>
  <cp:keywords/>
  <dc:description/>
  <cp:lastModifiedBy>svcMRProcess</cp:lastModifiedBy>
  <cp:revision>4</cp:revision>
  <cp:lastPrinted>2004-02-24T01:04:00Z</cp:lastPrinted>
  <dcterms:created xsi:type="dcterms:W3CDTF">2017-09-20T04:47:00Z</dcterms:created>
  <dcterms:modified xsi:type="dcterms:W3CDTF">2017-09-20T04:47:00Z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14-Nov-1995 pp.5287-9</vt:lpwstr>
  </property>
  <property fmtid="{D5CDD505-2E9C-101B-9397-08002B2CF9AE}" pid="3" name="DocumentType">
    <vt:lpwstr>Reg</vt:lpwstr>
  </property>
  <property fmtid="{D5CDD505-2E9C-101B-9397-08002B2CF9AE}" pid="4" name="OwlsUID">
    <vt:i4>4484</vt:i4>
  </property>
  <property fmtid="{D5CDD505-2E9C-101B-9397-08002B2CF9AE}" pid="5" name="ReprintedAsAt">
    <vt:filetime>2004-03-04T16:00:00Z</vt:filetime>
  </property>
  <property fmtid="{D5CDD505-2E9C-101B-9397-08002B2CF9AE}" pid="6" name="ReprintNo">
    <vt:lpwstr>1</vt:lpwstr>
  </property>
  <property fmtid="{D5CDD505-2E9C-101B-9397-08002B2CF9AE}" pid="7" name="AsAtDate">
    <vt:lpwstr>20 Sep 2017</vt:lpwstr>
  </property>
  <property fmtid="{D5CDD505-2E9C-101B-9397-08002B2CF9AE}" pid="8" name="Suffix">
    <vt:lpwstr>01-d0-00</vt:lpwstr>
  </property>
  <property fmtid="{D5CDD505-2E9C-101B-9397-08002B2CF9AE}" pid="9" name="Status">
    <vt:lpwstr>NIF</vt:lpwstr>
  </property>
  <property fmtid="{D5CDD505-2E9C-101B-9397-08002B2CF9AE}" pid="10" name="CommencementDate">
    <vt:lpwstr>20170920</vt:lpwstr>
  </property>
</Properties>
</file>