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Intussusception) Regulations 2007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Public Health Regulations 2017</w:t>
      </w:r>
      <w:r>
        <w:t xml:space="preserve"> r. 16(c) as at 20 Sep 2017 (see r. 2(b) and </w:t>
      </w:r>
      <w:r>
        <w:rPr>
          <w:i/>
        </w:rPr>
        <w:t>Gazette</w:t>
      </w:r>
      <w:r>
        <w:t xml:space="preserve"> 19 Sep 2017 p. 4879).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Intussusception) Regulations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_Toc493669042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_Toc493669043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</w:r>
      <w:r>
        <w:rPr>
          <w:snapToGrid w:val="0"/>
        </w:rPr>
        <w:t>Interpretation</w:t>
      </w:r>
      <w:r>
        <w:tab/>
      </w:r>
      <w:r>
        <w:fldChar w:fldCharType="begin"/>
      </w:r>
      <w:r>
        <w:instrText xml:space="preserve"> PAGEREF _Toc493669044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</w:r>
      <w:r>
        <w:rPr>
          <w:snapToGrid w:val="0"/>
        </w:rPr>
        <w:t>Intussusception a prescribed condition of health</w:t>
      </w:r>
      <w:r>
        <w:tab/>
      </w:r>
      <w:r>
        <w:fldChar w:fldCharType="begin"/>
      </w:r>
      <w:r>
        <w:instrText xml:space="preserve"> PAGEREF _Toc493669045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</w:r>
      <w:r>
        <w:rPr>
          <w:snapToGrid w:val="0"/>
        </w:rPr>
        <w:t>Notification by medical practitioner</w:t>
      </w:r>
      <w:r>
        <w:tab/>
      </w:r>
      <w:r>
        <w:fldChar w:fldCharType="begin"/>
      </w:r>
      <w:r>
        <w:instrText xml:space="preserve"> PAGEREF _Toc493669046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6.</w:t>
      </w:r>
      <w:r>
        <w:tab/>
        <w:t>Notification by other persons</w:t>
      </w:r>
      <w:r>
        <w:tab/>
      </w:r>
      <w:r>
        <w:fldChar w:fldCharType="begin"/>
      </w:r>
      <w:r>
        <w:instrText xml:space="preserve"> PAGEREF _Toc493669047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_Toc493669049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</w:pPr>
      <w:r>
        <w:t>Health (Notification of Intussusception) Regulations 2007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170714314"/>
      <w:bookmarkStart w:id="11" w:name="_Toc49366904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(Notification of Intussusception) Regulations 2007</w:t>
      </w:r>
      <w:r>
        <w:rPr>
          <w:iCs/>
        </w:rPr>
        <w:t xml:space="preserve"> 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170714315"/>
      <w:bookmarkStart w:id="21" w:name="_Toc4936690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</w:t>
      </w:r>
      <w:r>
        <w:t>1 July 2007.</w:t>
      </w:r>
    </w:p>
    <w:p>
      <w:pPr>
        <w:pStyle w:val="Heading5"/>
        <w:rPr>
          <w:snapToGrid w:val="0"/>
        </w:rPr>
      </w:pPr>
      <w:bookmarkStart w:id="22" w:name="_Toc170714316"/>
      <w:bookmarkStart w:id="23" w:name="_Toc493669044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Interpretation</w:t>
      </w:r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approved form</w:t>
      </w:r>
      <w:r>
        <w:t xml:space="preserve"> means a form approved by the Chief Health Officer;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intussusception</w:t>
      </w:r>
      <w:r>
        <w:t xml:space="preserve"> means the invagination of a proximal portion of the small bowel into a distal small bowel resulting in presentation with an acute abdominal condition.</w:t>
      </w:r>
    </w:p>
    <w:p>
      <w:pPr>
        <w:pStyle w:val="Footnotesection"/>
      </w:pPr>
      <w:r>
        <w:tab/>
        <w:t>[Regulation 3 amended in Gazette 10 Jan 2017 p. 268.]</w:t>
      </w:r>
    </w:p>
    <w:p>
      <w:pPr>
        <w:pStyle w:val="Heading5"/>
        <w:rPr>
          <w:snapToGrid w:val="0"/>
        </w:rPr>
      </w:pPr>
      <w:bookmarkStart w:id="24" w:name="_Toc170714317"/>
      <w:bookmarkStart w:id="25" w:name="_Toc493669045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Intussusception a prescribed condition of health</w:t>
      </w:r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Intussusception is prescribed as a condition of health to which the Act Part IXA applies.</w:t>
      </w:r>
    </w:p>
    <w:p>
      <w:pPr>
        <w:pStyle w:val="Heading5"/>
        <w:rPr>
          <w:snapToGrid w:val="0"/>
        </w:rPr>
      </w:pPr>
      <w:bookmarkStart w:id="26" w:name="_Toc170714318"/>
      <w:bookmarkStart w:id="27" w:name="_Toc493669046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Notification by medical practitioner</w:t>
      </w:r>
      <w:bookmarkEnd w:id="26"/>
      <w:bookmarkEnd w:id="27"/>
    </w:p>
    <w:p>
      <w:pPr>
        <w:pStyle w:val="Subsection"/>
      </w:pPr>
      <w:r>
        <w:tab/>
        <w:t>(1)</w:t>
      </w:r>
      <w:r>
        <w:tab/>
        <w:t>In this regulation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initial consultation</w:t>
      </w:r>
      <w:r>
        <w:t>, in relation to a person who is diagnosed by a medical practitioner as suffering intussusception, means the first consultation with the medical practitioner leading to that diagnosis.</w:t>
      </w:r>
    </w:p>
    <w:p>
      <w:pPr>
        <w:pStyle w:val="Subsection"/>
        <w:spacing w:before="14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 medical practitioner who diagnoses a person as suffering intussusception must, in accordance with subregulation (3), notify the </w:t>
      </w:r>
      <w:r>
        <w:t>Chief Health Officer;</w:t>
      </w:r>
      <w:r>
        <w:rPr>
          <w:snapToGrid w:val="0"/>
        </w:rPr>
        <w:t xml:space="preserve">of the diagnosis within 14 days after that diagnosis is confirmed </w:t>
      </w:r>
      <w:r>
        <w:t>by ultrasound, barium, air enema or other medical imaging</w:t>
      </w:r>
      <w:r>
        <w:rPr>
          <w:snapToGrid w:val="0"/>
        </w:rPr>
        <w:t>.</w:t>
      </w:r>
    </w:p>
    <w:p>
      <w:pPr>
        <w:pStyle w:val="Penstart"/>
      </w:pPr>
      <w:r>
        <w:tab/>
        <w:t xml:space="preserve">Penalty: a fine of </w:t>
      </w:r>
      <w:r>
        <w:rPr>
          <w:snapToGrid w:val="0"/>
        </w:rPr>
        <w:t>not more than $1 000 and not less than —</w:t>
      </w:r>
    </w:p>
    <w:p>
      <w:pPr>
        <w:pStyle w:val="Penpara"/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Subsection"/>
        <w:spacing w:before="14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notice must be in an approved form and must include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full name and address of the person;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sex and date of birth of the person;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indigenous status of the person; and</w:t>
      </w:r>
    </w:p>
    <w:p>
      <w:pPr>
        <w:pStyle w:val="Indenta"/>
      </w:pPr>
      <w:r>
        <w:tab/>
        <w:t>(d)</w:t>
      </w:r>
      <w:r>
        <w:tab/>
        <w:t>the full vaccination history of the person; and</w:t>
      </w:r>
    </w:p>
    <w:p>
      <w:pPr>
        <w:pStyle w:val="Indenta"/>
      </w:pPr>
      <w:r>
        <w:tab/>
        <w:t>(e)</w:t>
      </w:r>
      <w:r>
        <w:tab/>
        <w:t>the date of the person’s initial consultation; and</w:t>
      </w:r>
    </w:p>
    <w:p>
      <w:pPr>
        <w:pStyle w:val="Indenta"/>
      </w:pPr>
      <w:r>
        <w:tab/>
        <w:t>(f)</w:t>
      </w:r>
      <w:r>
        <w:tab/>
        <w:t>the grounds for the diagnosis; and</w:t>
      </w:r>
    </w:p>
    <w:p>
      <w:pPr>
        <w:pStyle w:val="Indenta"/>
      </w:pPr>
      <w:r>
        <w:rPr>
          <w:snapToGrid w:val="0"/>
        </w:rPr>
        <w:tab/>
        <w:t>(g)</w:t>
      </w:r>
      <w:r>
        <w:rPr>
          <w:snapToGrid w:val="0"/>
        </w:rPr>
        <w:tab/>
        <w:t>any other information relevant to establishing the underlying cause or predisposing factors for the development of the intussusception, including any</w:t>
      </w:r>
      <w:r>
        <w:t xml:space="preserve"> radiological examinations, pathology investigations or other clinical information.</w:t>
      </w:r>
    </w:p>
    <w:p>
      <w:pPr>
        <w:pStyle w:val="Footnotesection"/>
      </w:pPr>
      <w:r>
        <w:tab/>
        <w:t>[Regulation 5 amended in Gazette 10 Jan 2017 p. 268.]</w:t>
      </w:r>
    </w:p>
    <w:p>
      <w:pPr>
        <w:pStyle w:val="Heading5"/>
      </w:pPr>
      <w:bookmarkStart w:id="28" w:name="_Toc170714319"/>
      <w:bookmarkStart w:id="29" w:name="_Toc493669047"/>
      <w:r>
        <w:rPr>
          <w:rStyle w:val="CharSectno"/>
        </w:rPr>
        <w:t>6</w:t>
      </w:r>
      <w:r>
        <w:t>.</w:t>
      </w:r>
      <w:r>
        <w:tab/>
        <w:t>Notification by other persons</w:t>
      </w:r>
      <w:bookmarkEnd w:id="28"/>
      <w:bookmarkEnd w:id="29"/>
    </w:p>
    <w:p>
      <w:pPr>
        <w:pStyle w:val="Subsection"/>
      </w:pPr>
      <w:r>
        <w:tab/>
        <w:t>(1)</w:t>
      </w:r>
      <w:r>
        <w:tab/>
        <w:t>Where —</w:t>
      </w:r>
    </w:p>
    <w:p>
      <w:pPr>
        <w:pStyle w:val="Indenta"/>
        <w:rPr>
          <w:snapToGrid w:val="0"/>
        </w:rPr>
      </w:pPr>
      <w:r>
        <w:tab/>
        <w:t>(a)</w:t>
      </w:r>
      <w:r>
        <w:tab/>
        <w:t xml:space="preserve">under regulation 5 the Chief Health Officer has been notified of a diagnosis of </w:t>
      </w:r>
      <w:r>
        <w:rPr>
          <w:snapToGrid w:val="0"/>
        </w:rPr>
        <w:t>intussusception; and</w:t>
      </w:r>
    </w:p>
    <w:p>
      <w:pPr>
        <w:pStyle w:val="Indenta"/>
      </w:pPr>
      <w:r>
        <w:tab/>
        <w:t>(b)</w:t>
      </w:r>
      <w:r>
        <w:tab/>
        <w:t xml:space="preserve">the Chief Health Officer suspects, on reasonable grounds, that a person is able to provide any relevant information </w:t>
      </w:r>
      <w:r>
        <w:rPr>
          <w:snapToGrid w:val="0"/>
        </w:rPr>
        <w:t xml:space="preserve">that would assist the </w:t>
      </w:r>
      <w:r>
        <w:t>Chief Health Officer</w:t>
      </w:r>
      <w:r>
        <w:rPr>
          <w:snapToGrid w:val="0"/>
        </w:rPr>
        <w:t xml:space="preserve"> in facilitating the objects of the Act Part IXA</w:t>
      </w:r>
      <w:r>
        <w:t>,</w:t>
      </w:r>
    </w:p>
    <w:p>
      <w:pPr>
        <w:pStyle w:val="Subsection"/>
      </w:pPr>
      <w:r>
        <w:tab/>
      </w:r>
      <w:r>
        <w:tab/>
        <w:t>the Chief Health Officer may request that person to provide the information.</w:t>
      </w:r>
    </w:p>
    <w:p>
      <w:pPr>
        <w:pStyle w:val="Subsection"/>
      </w:pPr>
      <w:r>
        <w:tab/>
        <w:t>(2)</w:t>
      </w:r>
      <w:r>
        <w:tab/>
        <w:t>The person must, within 14 days after receiving the request, provide the information to the Chief Health Officer.</w:t>
      </w:r>
    </w:p>
    <w:p>
      <w:pPr>
        <w:pStyle w:val="Penstart"/>
      </w:pPr>
      <w:r>
        <w:tab/>
        <w:t xml:space="preserve">Penalty: a fine of </w:t>
      </w:r>
      <w:r>
        <w:rPr>
          <w:snapToGrid w:val="0"/>
        </w:rPr>
        <w:t>not more than $1 000 and not less than —</w:t>
      </w:r>
    </w:p>
    <w:p>
      <w:pPr>
        <w:pStyle w:val="Penpara"/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Footnotesection"/>
      </w:pPr>
      <w:r>
        <w:tab/>
        <w:t>[Regulation 6 amended in Gazette 10 Jan 2017 p. 268.]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113695922"/>
      <w:bookmarkStart w:id="31" w:name="_Toc167175343"/>
      <w:bookmarkStart w:id="32" w:name="_Toc170192026"/>
      <w:bookmarkStart w:id="33" w:name="_Toc170714320"/>
      <w:bookmarkStart w:id="34" w:name="_Toc419459751"/>
      <w:bookmarkStart w:id="35" w:name="_Toc472583525"/>
      <w:bookmarkStart w:id="36" w:name="_Toc473023073"/>
      <w:bookmarkStart w:id="37" w:name="_Toc493669048"/>
      <w:r>
        <w:t>Notes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Health (Notification of Intussusception) Regulations 2007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8" w:name="_Toc70311430"/>
      <w:bookmarkStart w:id="39" w:name="_Toc113695923"/>
      <w:bookmarkStart w:id="40" w:name="_Toc170714321"/>
      <w:bookmarkStart w:id="41" w:name="_Toc493669049"/>
      <w:r>
        <w:t>Compilation table</w:t>
      </w:r>
      <w:bookmarkEnd w:id="38"/>
      <w:bookmarkEnd w:id="39"/>
      <w:bookmarkEnd w:id="40"/>
      <w:bookmarkEnd w:id="4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Health (Notification of Intussusception) Regulations 2007</w:t>
            </w:r>
            <w: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18 May 2007 p. 2254-6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 Jul 2007 (see r. 2)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Health Regulations Amendment (Public Health) Regulations 2016 </w:t>
            </w:r>
            <w:r>
              <w:t>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Public Health Regulations 2017</w:t>
            </w:r>
            <w:r>
              <w:rPr>
                <w:b/>
                <w:color w:val="FF0000"/>
              </w:rPr>
              <w:t xml:space="preserve"> r. 16(c) as at 20 Sep 2017 (see r.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19 Sep 2017 p. 4879)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3" w:name="_Toc473023075"/>
      <w:bookmarkStart w:id="44" w:name="_Toc493669050"/>
      <w:r>
        <w:rPr>
          <w:sz w:val="28"/>
        </w:rPr>
        <w:t>Defined terms</w:t>
      </w:r>
      <w:bookmarkEnd w:id="43"/>
      <w:bookmarkEnd w:id="4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approved form</w:t>
      </w:r>
      <w:r>
        <w:tab/>
        <w:t>3</w:t>
      </w:r>
    </w:p>
    <w:p>
      <w:pPr>
        <w:pStyle w:val="DefinedTerms"/>
      </w:pPr>
      <w:r>
        <w:t>initial consultation</w:t>
      </w:r>
      <w:r>
        <w:tab/>
        <w:t>5(1)</w:t>
      </w:r>
    </w:p>
    <w:p>
      <w:pPr>
        <w:pStyle w:val="DefinedTerms"/>
      </w:pPr>
      <w:r>
        <w:t>intussusception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Intussusception)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Intussusception)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Compilation"/>
    <w:bookmarkEnd w:id="4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Intussusception)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Intussusception)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5" w:name="DefinedTerms"/>
    <w:bookmarkEnd w:id="4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6" w:name="Coversheet"/>
    <w:bookmarkEnd w:id="4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Intussusception)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Intussusception)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Intussusception)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Intussusception)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684E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8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340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00D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DEA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25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4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AE9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40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FAF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38C391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409"/>
    <w:docVar w:name="WAFER_20150515103712" w:val="ResetPageSize,UpdateArrangement,UpdateNTable"/>
    <w:docVar w:name="WAFER_20150515103712_GUID" w:val="baaeaddd-2f35-4ae4-b717-c88ba4e7a98c"/>
    <w:docVar w:name="WAFER_20151105145409" w:val="UpdateStyles,UsedStyles"/>
    <w:docVar w:name="WAFER_20151105145409_GUID" w:val="07269520-4a70-4741-a6f8-20a52d54be5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Ednotedivision">
    <w:name w:val="Ednote(division)"/>
    <w:basedOn w:val="Ednotepart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Ednotedivision">
    <w:name w:val="Ednote(division)"/>
    <w:basedOn w:val="Ednotepart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800</Words>
  <Characters>4238</Characters>
  <Application>Microsoft Office Word</Application>
  <DocSecurity>0</DocSecurity>
  <Lines>146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Intussusception) Regulations 2007 - 00-e0-00</dc:title>
  <dc:subject/>
  <dc:creator/>
  <cp:keywords/>
  <dc:description/>
  <cp:lastModifiedBy>svcMRProcess</cp:lastModifiedBy>
  <cp:revision>4</cp:revision>
  <cp:lastPrinted>2007-04-05T06:26:00Z</cp:lastPrinted>
  <dcterms:created xsi:type="dcterms:W3CDTF">2017-09-20T04:47:00Z</dcterms:created>
  <dcterms:modified xsi:type="dcterms:W3CDTF">2017-09-20T04:47:00Z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May 2007 p 2254-6</vt:lpwstr>
  </property>
  <property fmtid="{D5CDD505-2E9C-101B-9397-08002B2CF9AE}" pid="3" name="DocumentType">
    <vt:lpwstr>Reg</vt:lpwstr>
  </property>
  <property fmtid="{D5CDD505-2E9C-101B-9397-08002B2CF9AE}" pid="4" name="OwlsUID">
    <vt:i4>39680</vt:i4>
  </property>
  <property fmtid="{D5CDD505-2E9C-101B-9397-08002B2CF9AE}" pid="5" name="AsAtDate">
    <vt:lpwstr>20 Sep 2017</vt:lpwstr>
  </property>
  <property fmtid="{D5CDD505-2E9C-101B-9397-08002B2CF9AE}" pid="6" name="Suffix">
    <vt:lpwstr>00-e0-00</vt:lpwstr>
  </property>
  <property fmtid="{D5CDD505-2E9C-101B-9397-08002B2CF9AE}" pid="7" name="Status">
    <vt:lpwstr>NIF</vt:lpwstr>
  </property>
  <property fmtid="{D5CDD505-2E9C-101B-9397-08002B2CF9AE}" pid="8" name="CommencementDate">
    <vt:lpwstr>20170920</vt:lpwstr>
  </property>
</Properties>
</file>