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_Toc493603253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_Toc493603254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_Toc493603255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_Toc493603256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_Toc493603257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_Toc493603258 \h </w:instrText>
      </w:r>
      <w:r>
        <w:fldChar w:fldCharType="separate"/>
      </w:r>
      <w:r>
        <w:t>2</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_Toc493603259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_Toc493603260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_Toc493603261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_Toc493603262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_Toc493603263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_Toc493603264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_Toc493603265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_Toc493603266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_Toc493603267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_Toc493603268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_Toc493603269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_Toc493603271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49360325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93603254"/>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5" w:name="_Toc493603255"/>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No. 77 of 2006 Sch. 1 cl. 151(1); No. 8 of 2012 s. 171.]</w:t>
      </w:r>
    </w:p>
    <w:p>
      <w:pPr>
        <w:pStyle w:val="Heading5"/>
      </w:pPr>
      <w:bookmarkStart w:id="6" w:name="_Toc493603256"/>
      <w:r>
        <w:rPr>
          <w:rStyle w:val="CharSectno"/>
        </w:rPr>
        <w:t>4</w:t>
      </w:r>
      <w:r>
        <w:t>.</w:t>
      </w:r>
      <w:r>
        <w:tab/>
        <w:t>Establishment</w:t>
      </w:r>
      <w:bookmarkEnd w:id="6"/>
    </w:p>
    <w:p>
      <w:pPr>
        <w:pStyle w:val="Subsection"/>
      </w:pPr>
      <w:r>
        <w:tab/>
      </w:r>
      <w:r>
        <w:tab/>
        <w:t>There is to be a body called the Road Safety Council.</w:t>
      </w:r>
    </w:p>
    <w:p>
      <w:pPr>
        <w:pStyle w:val="Heading5"/>
      </w:pPr>
      <w:bookmarkStart w:id="7" w:name="_Toc493603257"/>
      <w:r>
        <w:rPr>
          <w:rStyle w:val="CharSectno"/>
        </w:rPr>
        <w:t>5</w:t>
      </w:r>
      <w:r>
        <w:t>.</w:t>
      </w:r>
      <w:r>
        <w:tab/>
        <w:t>Functions</w:t>
      </w:r>
      <w:bookmarkEnd w:id="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No. 30 of 2011 s. 4.]</w:t>
      </w:r>
    </w:p>
    <w:p>
      <w:pPr>
        <w:pStyle w:val="Heading5"/>
      </w:pPr>
      <w:bookmarkStart w:id="8" w:name="_Toc493603258"/>
      <w:r>
        <w:rPr>
          <w:rStyle w:val="CharSectno"/>
        </w:rPr>
        <w:t>6A</w:t>
      </w:r>
      <w:r>
        <w:t>.</w:t>
      </w:r>
      <w:r>
        <w:tab/>
        <w:t>Minister may give directions</w:t>
      </w:r>
      <w:bookmarkEnd w:id="8"/>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No. 30 of 2011 s. 5.]</w:t>
      </w:r>
    </w:p>
    <w:p>
      <w:pPr>
        <w:pStyle w:val="Heading5"/>
        <w:spacing w:before="240"/>
      </w:pPr>
      <w:bookmarkStart w:id="9" w:name="_Toc493603259"/>
      <w:r>
        <w:rPr>
          <w:rStyle w:val="CharSectno"/>
        </w:rPr>
        <w:t>6</w:t>
      </w:r>
      <w:r>
        <w:t>.</w:t>
      </w:r>
      <w:r>
        <w:tab/>
        <w:t>Membership</w:t>
      </w:r>
      <w:bookmarkEnd w:id="9"/>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iCs/>
        </w:rPr>
        <w:t>Public Health Act 2016</w:t>
      </w:r>
      <w:r>
        <w:rPr>
          <w:iCs/>
        </w:rPr>
        <w:t>;</w:t>
      </w:r>
      <w:r>
        <w:t xml:space="preserve">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No. 49 of 2004 s. 13; No. 38 of 2005 s. 15; No. 8 of 2012 s. 172; No. 19 of 2016 s. 101 and s. 324.]</w:t>
      </w:r>
    </w:p>
    <w:p>
      <w:pPr>
        <w:pStyle w:val="Heading5"/>
      </w:pPr>
      <w:bookmarkStart w:id="10" w:name="_Toc493603260"/>
      <w:r>
        <w:rPr>
          <w:rStyle w:val="CharSectno"/>
        </w:rPr>
        <w:t>7</w:t>
      </w:r>
      <w:r>
        <w:t>.</w:t>
      </w:r>
      <w:r>
        <w:tab/>
        <w:t>Deputy of member</w:t>
      </w:r>
      <w:bookmarkEnd w:id="1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1" w:name="_Toc493603261"/>
      <w:r>
        <w:rPr>
          <w:rStyle w:val="CharSectno"/>
        </w:rPr>
        <w:t>8</w:t>
      </w:r>
      <w:r>
        <w:t>.</w:t>
      </w:r>
      <w:r>
        <w:tab/>
        <w:t>Nomination for appointment</w:t>
      </w:r>
      <w:bookmarkEnd w:id="1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2" w:name="_Toc493603262"/>
      <w:r>
        <w:rPr>
          <w:rStyle w:val="CharSectno"/>
        </w:rPr>
        <w:t>9</w:t>
      </w:r>
      <w:r>
        <w:t>.</w:t>
      </w:r>
      <w:r>
        <w:tab/>
        <w:t>Duration of appointment as member or deputy</w:t>
      </w:r>
      <w:bookmarkEnd w:id="1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No. 18 of 2009 s. 76.]</w:t>
      </w:r>
    </w:p>
    <w:p>
      <w:pPr>
        <w:pStyle w:val="Heading5"/>
      </w:pPr>
      <w:bookmarkStart w:id="13" w:name="_Toc493603263"/>
      <w:r>
        <w:rPr>
          <w:rStyle w:val="CharSectno"/>
        </w:rPr>
        <w:t>10</w:t>
      </w:r>
      <w:r>
        <w:t>.</w:t>
      </w:r>
      <w:r>
        <w:tab/>
        <w:t>Remuneration and allowances</w:t>
      </w:r>
      <w:bookmarkEnd w:id="13"/>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No. 39 of 2010 s. 89.]</w:t>
      </w:r>
    </w:p>
    <w:p>
      <w:pPr>
        <w:pStyle w:val="Heading5"/>
      </w:pPr>
      <w:bookmarkStart w:id="14" w:name="_Toc493603264"/>
      <w:r>
        <w:rPr>
          <w:rStyle w:val="CharSectno"/>
        </w:rPr>
        <w:t>11</w:t>
      </w:r>
      <w:r>
        <w:t>.</w:t>
      </w:r>
      <w:r>
        <w:tab/>
        <w:t>Meetings</w:t>
      </w:r>
      <w:bookmarkEnd w:id="14"/>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15" w:name="_Toc493603265"/>
      <w:r>
        <w:rPr>
          <w:rStyle w:val="CharSectno"/>
        </w:rPr>
        <w:t>12</w:t>
      </w:r>
      <w:r>
        <w:t>.</w:t>
      </w:r>
      <w:r>
        <w:tab/>
        <w:t>Road Trauma Trust Account</w:t>
      </w:r>
      <w:bookmarkEnd w:id="1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and 80V(4)(e) require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No. 77 of 2006 Sch. 1 cl. 151(2)-(4); No. 23 of 2009 s. 29; No. 30 of 2011 s. 6; No. 8 of 2012 s. 173; No. 51 of 2016 s. 52.]</w:t>
      </w:r>
    </w:p>
    <w:p>
      <w:pPr>
        <w:pStyle w:val="Heading5"/>
      </w:pPr>
      <w:bookmarkStart w:id="16" w:name="_Toc493603266"/>
      <w:r>
        <w:rPr>
          <w:rStyle w:val="CharSectno"/>
        </w:rPr>
        <w:t>13</w:t>
      </w:r>
      <w:r>
        <w:t>.</w:t>
      </w:r>
      <w:r>
        <w:tab/>
        <w:t>Annual report</w:t>
      </w:r>
      <w:bookmarkEnd w:id="1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7" w:name="_Toc493603267"/>
      <w:r>
        <w:rPr>
          <w:rStyle w:val="CharSectno"/>
        </w:rPr>
        <w:t>14</w:t>
      </w:r>
      <w:r>
        <w:t>.</w:t>
      </w:r>
      <w:r>
        <w:tab/>
        <w:t>Protection from liability for wrongdoing</w:t>
      </w:r>
      <w:bookmarkEnd w:id="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18" w:name="_Toc493603268"/>
      <w:r>
        <w:rPr>
          <w:rStyle w:val="CharSectno"/>
        </w:rPr>
        <w:t>15</w:t>
      </w:r>
      <w:r>
        <w:t>.</w:t>
      </w:r>
      <w:r>
        <w:tab/>
        <w:t>Supplementary provision about laying directions before Parliament</w:t>
      </w:r>
      <w:bookmarkEnd w:id="18"/>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No. 30 of 2011 s. 7.]</w:t>
      </w:r>
    </w:p>
    <w:p>
      <w:pPr>
        <w:pStyle w:val="Heading5"/>
      </w:pPr>
      <w:bookmarkStart w:id="19" w:name="_Toc493603269"/>
      <w:r>
        <w:rPr>
          <w:rStyle w:val="CharSectno"/>
        </w:rPr>
        <w:t>16</w:t>
      </w:r>
      <w:r>
        <w:t>.</w:t>
      </w:r>
      <w:r>
        <w:tab/>
        <w:t>Transitional provision: credits of prescribed penalties to Account</w:t>
      </w:r>
      <w:bookmarkEnd w:id="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20" w:name="_Toc473105451"/>
      <w:bookmarkStart w:id="21" w:name="_Toc493591113"/>
      <w:bookmarkStart w:id="22" w:name="_Toc493603270"/>
      <w:r>
        <w:t>Notes</w:t>
      </w:r>
      <w:bookmarkEnd w:id="20"/>
      <w:bookmarkEnd w:id="21"/>
      <w:bookmarkEnd w:id="22"/>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  The table also contains information about any reprint.</w:t>
      </w:r>
    </w:p>
    <w:p>
      <w:pPr>
        <w:pStyle w:val="nHeading3"/>
        <w:rPr>
          <w:snapToGrid w:val="0"/>
        </w:rPr>
      </w:pPr>
      <w:bookmarkStart w:id="23" w:name="_Toc493603271"/>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trPr>
        <w:tc>
          <w:tcPr>
            <w:tcW w:w="2273" w:type="dxa"/>
            <w:shd w:val="clear" w:color="auto" w:fill="auto"/>
          </w:tcPr>
          <w:p>
            <w:pPr>
              <w:pStyle w:val="nTable"/>
              <w:spacing w:after="40"/>
            </w:pPr>
            <w:r>
              <w:rPr>
                <w:i/>
              </w:rPr>
              <w:t xml:space="preserve">Public Health (Consequential Provisions) Act 2016 </w:t>
            </w:r>
            <w:r>
              <w:t>s. 101 and Pt. 5 Div. 20</w:t>
            </w:r>
          </w:p>
        </w:tc>
        <w:tc>
          <w:tcPr>
            <w:tcW w:w="1135" w:type="dxa"/>
            <w:shd w:val="clear" w:color="auto" w:fill="auto"/>
          </w:tcPr>
          <w:p>
            <w:pPr>
              <w:pStyle w:val="nTable"/>
              <w:spacing w:after="40"/>
            </w:pPr>
            <w:r>
              <w:t>19 of 2016</w:t>
            </w:r>
          </w:p>
        </w:tc>
        <w:tc>
          <w:tcPr>
            <w:tcW w:w="1135" w:type="dxa"/>
            <w:shd w:val="clear" w:color="auto" w:fill="auto"/>
          </w:tcPr>
          <w:p>
            <w:pPr>
              <w:pStyle w:val="nTable"/>
              <w:spacing w:after="40"/>
            </w:pPr>
            <w:r>
              <w:t>25 Jul 2016</w:t>
            </w:r>
          </w:p>
        </w:tc>
        <w:tc>
          <w:tcPr>
            <w:tcW w:w="2556" w:type="dxa"/>
            <w:shd w:val="clear" w:color="auto" w:fill="auto"/>
          </w:tcPr>
          <w:p>
            <w:pPr>
              <w:pStyle w:val="nTable"/>
              <w:spacing w:after="40"/>
            </w:pPr>
            <w:r>
              <w:t xml:space="preserve">s. 101: 24 Jan 2017 (see s. 2(1)(c) and </w:t>
            </w:r>
            <w:r>
              <w:rPr>
                <w:i/>
              </w:rPr>
              <w:t>Gazette</w:t>
            </w:r>
            <w:r>
              <w:t xml:space="preserve"> 10 Jan 2017 p. 165);</w:t>
            </w:r>
            <w:r>
              <w:br/>
              <w:t>Pt. 5 Div. 20: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73" w:type="dxa"/>
            <w:tcBorders>
              <w:bottom w:val="single" w:sz="8" w:space="0" w:color="auto"/>
            </w:tcBorders>
            <w:shd w:val="clear" w:color="auto" w:fill="auto"/>
          </w:tcPr>
          <w:p>
            <w:pPr>
              <w:pStyle w:val="nTable"/>
              <w:spacing w:after="40"/>
              <w:rPr>
                <w:i/>
                <w:iCs/>
                <w:snapToGrid w:val="0"/>
              </w:rPr>
            </w:pPr>
            <w:r>
              <w:rPr>
                <w:i/>
              </w:rPr>
              <w:t>Road Traffic Amendment (Impounding and Confiscation of Vehicles) Act 2016</w:t>
            </w:r>
            <w:r>
              <w:t xml:space="preserve"> Pt. 3 Div. 2 </w:t>
            </w:r>
          </w:p>
        </w:tc>
        <w:tc>
          <w:tcPr>
            <w:tcW w:w="1135" w:type="dxa"/>
            <w:tcBorders>
              <w:bottom w:val="single" w:sz="8" w:space="0" w:color="auto"/>
            </w:tcBorders>
            <w:shd w:val="clear" w:color="auto" w:fill="auto"/>
          </w:tcPr>
          <w:p>
            <w:pPr>
              <w:pStyle w:val="nTable"/>
              <w:spacing w:after="40"/>
              <w:rPr>
                <w:snapToGrid w:val="0"/>
              </w:rPr>
            </w:pPr>
            <w:r>
              <w:t>51 of 2016</w:t>
            </w:r>
          </w:p>
        </w:tc>
        <w:tc>
          <w:tcPr>
            <w:tcW w:w="1135" w:type="dxa"/>
            <w:tcBorders>
              <w:bottom w:val="single" w:sz="8" w:space="0" w:color="auto"/>
            </w:tcBorders>
            <w:shd w:val="clear" w:color="auto" w:fill="auto"/>
          </w:tcPr>
          <w:p>
            <w:pPr>
              <w:pStyle w:val="nTable"/>
              <w:spacing w:after="40"/>
              <w:rPr>
                <w:snapToGrid w:val="0"/>
              </w:rPr>
            </w:pPr>
            <w:r>
              <w:t>28 Nov 2016</w:t>
            </w:r>
          </w:p>
        </w:tc>
        <w:tc>
          <w:tcPr>
            <w:tcW w:w="2556" w:type="dxa"/>
            <w:tcBorders>
              <w:bottom w:val="single" w:sz="8" w:space="0" w:color="auto"/>
            </w:tcBorders>
            <w:shd w:val="clear" w:color="auto" w:fill="auto"/>
          </w:tcPr>
          <w:p>
            <w:pPr>
              <w:pStyle w:val="nTable"/>
              <w:spacing w:after="40"/>
              <w:rPr>
                <w:snapToGrid w:val="0"/>
              </w:rPr>
            </w:pPr>
            <w:r>
              <w:t xml:space="preserve">14 Jan 2017 (see s. 2(1)(b) and </w:t>
            </w:r>
            <w:r>
              <w:rPr>
                <w:i/>
              </w:rPr>
              <w:t>Gazette</w:t>
            </w:r>
            <w:r>
              <w:t xml:space="preserve"> 13 Jan 2017 p. 338)</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5" w:name="_Toc473105454"/>
      <w:bookmarkStart w:id="26" w:name="_Toc493591115"/>
      <w:bookmarkStart w:id="27" w:name="_Toc493603272"/>
      <w:r>
        <w:rPr>
          <w:sz w:val="28"/>
        </w:rPr>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414"/>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 w:name="WAFER_20170120160414" w:val="RemoveTocBookmarks,RemoveUnusedBookmarks,RemoveLanguageTags,UsedStyles,ResetPageSize"/>
    <w:docVar w:name="WAFER_20170120160414_GUID" w:val="5443a147-c662-4ae5-a350-9210b77d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3633</Words>
  <Characters>17115</Characters>
  <Application>Microsoft Office Word</Application>
  <DocSecurity>0</DocSecurity>
  <Lines>534</Lines>
  <Paragraphs>309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2002 - 02-f0-01</dc:title>
  <dc:subject/>
  <dc:creator/>
  <cp:keywords/>
  <dc:description/>
  <cp:lastModifiedBy>svcMRProcess</cp:lastModifiedBy>
  <cp:revision>4</cp:revision>
  <cp:lastPrinted>2017-09-19T08:51:00Z</cp:lastPrinted>
  <dcterms:created xsi:type="dcterms:W3CDTF">2019-01-23T05:09:00Z</dcterms:created>
  <dcterms:modified xsi:type="dcterms:W3CDTF">2019-01-23T05:09:00Z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02-f0-01</vt:lpwstr>
  </property>
</Properties>
</file>