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Edith Cowan University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Edith Cowan University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_Toc494452082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_Toc494452083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_Toc494452084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Edith Cowan University</w:t>
      </w:r>
    </w:p>
    <w:p>
      <w:pPr>
        <w:pStyle w:val="TOC8"/>
        <w:rPr>
          <w:rFonts w:asciiTheme="minorHAnsi" w:eastAsiaTheme="minorEastAsia" w:hAnsiTheme="minorHAnsi" w:cstheme="minorBidi"/>
          <w:szCs w:val="22"/>
        </w:rPr>
      </w:pPr>
      <w:r>
        <w:t>4</w:t>
      </w:r>
      <w:r>
        <w:rPr>
          <w:snapToGrid w:val="0"/>
        </w:rPr>
        <w:t>.</w:t>
      </w:r>
      <w:r>
        <w:rPr>
          <w:snapToGrid w:val="0"/>
        </w:rPr>
        <w:tab/>
        <w:t>Establishment</w:t>
      </w:r>
      <w:r>
        <w:tab/>
      </w:r>
      <w:r>
        <w:fldChar w:fldCharType="begin"/>
      </w:r>
      <w:r>
        <w:instrText xml:space="preserve"> PAGEREF _Toc494452086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Constitution and powers</w:t>
      </w:r>
      <w:r>
        <w:tab/>
      </w:r>
      <w:r>
        <w:fldChar w:fldCharType="begin"/>
      </w:r>
      <w:r>
        <w:instrText xml:space="preserve"> PAGEREF _Toc494452087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w:t>
      </w:r>
      <w:r>
        <w:tab/>
      </w:r>
      <w:r>
        <w:fldChar w:fldCharType="begin"/>
      </w:r>
      <w:r>
        <w:instrText xml:space="preserve"> PAGEREF _Toc494452088 \h </w:instrText>
      </w:r>
      <w:r>
        <w:fldChar w:fldCharType="separate"/>
      </w:r>
      <w:r>
        <w:t>6</w:t>
      </w:r>
      <w:r>
        <w:fldChar w:fldCharType="end"/>
      </w:r>
    </w:p>
    <w:p>
      <w:pPr>
        <w:pStyle w:val="TOC8"/>
        <w:rPr>
          <w:rFonts w:asciiTheme="minorHAnsi" w:eastAsiaTheme="minorEastAsia" w:hAnsiTheme="minorHAnsi" w:cstheme="minorBidi"/>
          <w:szCs w:val="22"/>
        </w:rPr>
      </w:pPr>
      <w:r>
        <w:t>7.</w:t>
      </w:r>
      <w:r>
        <w:tab/>
        <w:t>Functions of the University</w:t>
      </w:r>
      <w:r>
        <w:tab/>
      </w:r>
      <w:r>
        <w:fldChar w:fldCharType="begin"/>
      </w:r>
      <w:r>
        <w:instrText xml:space="preserve"> PAGEREF _Toc494452089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The Council of the University</w:t>
      </w:r>
    </w:p>
    <w:p>
      <w:pPr>
        <w:pStyle w:val="TOC8"/>
        <w:rPr>
          <w:rFonts w:asciiTheme="minorHAnsi" w:eastAsiaTheme="minorEastAsia" w:hAnsiTheme="minorHAnsi" w:cstheme="minorBidi"/>
          <w:szCs w:val="22"/>
        </w:rPr>
      </w:pPr>
      <w:r>
        <w:t>8</w:t>
      </w:r>
      <w:r>
        <w:rPr>
          <w:snapToGrid w:val="0"/>
        </w:rPr>
        <w:t>.</w:t>
      </w:r>
      <w:r>
        <w:rPr>
          <w:snapToGrid w:val="0"/>
        </w:rPr>
        <w:tab/>
        <w:t>The Council</w:t>
      </w:r>
      <w:r>
        <w:tab/>
      </w:r>
      <w:r>
        <w:fldChar w:fldCharType="begin"/>
      </w:r>
      <w:r>
        <w:instrText xml:space="preserve"> PAGEREF _Toc494452091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the Council</w:t>
      </w:r>
      <w:r>
        <w:tab/>
      </w:r>
      <w:r>
        <w:fldChar w:fldCharType="begin"/>
      </w:r>
      <w:r>
        <w:instrText xml:space="preserve"> PAGEREF _Toc494452092 \h </w:instrText>
      </w:r>
      <w:r>
        <w:fldChar w:fldCharType="separate"/>
      </w:r>
      <w:r>
        <w:t>9</w:t>
      </w:r>
      <w:r>
        <w:fldChar w:fldCharType="end"/>
      </w:r>
    </w:p>
    <w:p>
      <w:pPr>
        <w:pStyle w:val="TOC8"/>
        <w:rPr>
          <w:rFonts w:asciiTheme="minorHAnsi" w:eastAsiaTheme="minorEastAsia" w:hAnsiTheme="minorHAnsi" w:cstheme="minorBidi"/>
          <w:szCs w:val="22"/>
        </w:rPr>
      </w:pPr>
      <w:r>
        <w:t>9A.</w:t>
      </w:r>
      <w:r>
        <w:tab/>
        <w:t>Nominations Committee</w:t>
      </w:r>
      <w:r>
        <w:tab/>
      </w:r>
      <w:r>
        <w:fldChar w:fldCharType="begin"/>
      </w:r>
      <w:r>
        <w:instrText xml:space="preserve"> PAGEREF _Toc494452093 \h </w:instrText>
      </w:r>
      <w:r>
        <w:fldChar w:fldCharType="separate"/>
      </w:r>
      <w:r>
        <w:t>11</w:t>
      </w:r>
      <w:r>
        <w:fldChar w:fldCharType="end"/>
      </w:r>
    </w:p>
    <w:p>
      <w:pPr>
        <w:pStyle w:val="TOC8"/>
        <w:rPr>
          <w:rFonts w:asciiTheme="minorHAnsi" w:eastAsiaTheme="minorEastAsia" w:hAnsiTheme="minorHAnsi" w:cstheme="minorBidi"/>
          <w:szCs w:val="22"/>
        </w:rPr>
      </w:pPr>
      <w:r>
        <w:t>10.</w:t>
      </w:r>
      <w:r>
        <w:tab/>
        <w:t>Term of office</w:t>
      </w:r>
      <w:r>
        <w:tab/>
      </w:r>
      <w:r>
        <w:fldChar w:fldCharType="begin"/>
      </w:r>
      <w:r>
        <w:instrText xml:space="preserve"> PAGEREF _Toc494452094 \h </w:instrText>
      </w:r>
      <w:r>
        <w:fldChar w:fldCharType="separate"/>
      </w:r>
      <w:r>
        <w:t>12</w:t>
      </w:r>
      <w:r>
        <w:fldChar w:fldCharType="end"/>
      </w:r>
    </w:p>
    <w:p>
      <w:pPr>
        <w:pStyle w:val="TOC8"/>
        <w:rPr>
          <w:rFonts w:asciiTheme="minorHAnsi" w:eastAsiaTheme="minorEastAsia" w:hAnsiTheme="minorHAnsi" w:cstheme="minorBidi"/>
          <w:szCs w:val="22"/>
        </w:rPr>
      </w:pPr>
      <w:r>
        <w:t>10A.</w:t>
      </w:r>
      <w:r>
        <w:tab/>
        <w:t>Members’ duties</w:t>
      </w:r>
      <w:r>
        <w:tab/>
      </w:r>
      <w:r>
        <w:fldChar w:fldCharType="begin"/>
      </w:r>
      <w:r>
        <w:instrText xml:space="preserve"> PAGEREF _Toc494452095 \h </w:instrText>
      </w:r>
      <w:r>
        <w:fldChar w:fldCharType="separate"/>
      </w:r>
      <w:r>
        <w:t>13</w:t>
      </w:r>
      <w:r>
        <w:fldChar w:fldCharType="end"/>
      </w:r>
    </w:p>
    <w:p>
      <w:pPr>
        <w:pStyle w:val="TOC8"/>
        <w:rPr>
          <w:rFonts w:asciiTheme="minorHAnsi" w:eastAsiaTheme="minorEastAsia" w:hAnsiTheme="minorHAnsi" w:cstheme="minorBidi"/>
          <w:szCs w:val="22"/>
        </w:rPr>
      </w:pPr>
      <w:r>
        <w:t>11.</w:t>
      </w:r>
      <w:r>
        <w:tab/>
        <w:t>Vacation of office</w:t>
      </w:r>
      <w:r>
        <w:tab/>
      </w:r>
      <w:r>
        <w:fldChar w:fldCharType="begin"/>
      </w:r>
      <w:r>
        <w:instrText xml:space="preserve"> PAGEREF _Toc494452096 \h </w:instrText>
      </w:r>
      <w:r>
        <w:fldChar w:fldCharType="separate"/>
      </w:r>
      <w:r>
        <w:t>13</w:t>
      </w:r>
      <w:r>
        <w:fldChar w:fldCharType="end"/>
      </w:r>
    </w:p>
    <w:p>
      <w:pPr>
        <w:pStyle w:val="TOC8"/>
        <w:rPr>
          <w:rFonts w:asciiTheme="minorHAnsi" w:eastAsiaTheme="minorEastAsia" w:hAnsiTheme="minorHAnsi" w:cstheme="minorBidi"/>
          <w:szCs w:val="22"/>
        </w:rPr>
      </w:pPr>
      <w:r>
        <w:t>11A.</w:t>
      </w:r>
      <w:r>
        <w:tab/>
        <w:t>Removal of members for breach of certain duties and suspension pending removal</w:t>
      </w:r>
      <w:r>
        <w:tab/>
      </w:r>
      <w:r>
        <w:fldChar w:fldCharType="begin"/>
      </w:r>
      <w:r>
        <w:instrText xml:space="preserve"> PAGEREF _Toc494452097 \h </w:instrText>
      </w:r>
      <w:r>
        <w:fldChar w:fldCharType="separate"/>
      </w:r>
      <w:r>
        <w:t>14</w:t>
      </w:r>
      <w:r>
        <w:fldChar w:fldCharType="end"/>
      </w:r>
    </w:p>
    <w:p>
      <w:pPr>
        <w:pStyle w:val="TOC8"/>
        <w:rPr>
          <w:rFonts w:asciiTheme="minorHAnsi" w:eastAsiaTheme="minorEastAsia" w:hAnsiTheme="minorHAnsi" w:cstheme="minorBidi"/>
          <w:szCs w:val="22"/>
        </w:rPr>
      </w:pPr>
      <w:r>
        <w:t>11B.</w:t>
      </w:r>
      <w:r>
        <w:tab/>
        <w:t>Casual vacancies</w:t>
      </w:r>
      <w:r>
        <w:tab/>
      </w:r>
      <w:r>
        <w:fldChar w:fldCharType="begin"/>
      </w:r>
      <w:r>
        <w:instrText xml:space="preserve"> PAGEREF _Toc494452098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Chancellor and meetings of Council</w:t>
      </w:r>
      <w:r>
        <w:tab/>
      </w:r>
      <w:r>
        <w:fldChar w:fldCharType="begin"/>
      </w:r>
      <w:r>
        <w:instrText xml:space="preserve"> PAGEREF _Toc494452099 \h </w:instrText>
      </w:r>
      <w:r>
        <w:fldChar w:fldCharType="separate"/>
      </w:r>
      <w:r>
        <w:t>16</w:t>
      </w:r>
      <w:r>
        <w:fldChar w:fldCharType="end"/>
      </w:r>
    </w:p>
    <w:p>
      <w:pPr>
        <w:pStyle w:val="TOC8"/>
        <w:rPr>
          <w:rFonts w:asciiTheme="minorHAnsi" w:eastAsiaTheme="minorEastAsia" w:hAnsiTheme="minorHAnsi" w:cstheme="minorBidi"/>
          <w:szCs w:val="22"/>
        </w:rPr>
      </w:pPr>
      <w:r>
        <w:t>13.</w:t>
      </w:r>
      <w:r>
        <w:tab/>
        <w:t>Disclosure of interests</w:t>
      </w:r>
      <w:r>
        <w:tab/>
      </w:r>
      <w:r>
        <w:fldChar w:fldCharType="begin"/>
      </w:r>
      <w:r>
        <w:instrText xml:space="preserve"> PAGEREF _Toc494452100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Quorum</w:t>
      </w:r>
      <w:r>
        <w:tab/>
      </w:r>
      <w:r>
        <w:fldChar w:fldCharType="begin"/>
      </w:r>
      <w:r>
        <w:instrText xml:space="preserve"> PAGEREF _Toc494452101 \h </w:instrText>
      </w:r>
      <w:r>
        <w:fldChar w:fldCharType="separate"/>
      </w:r>
      <w:r>
        <w:t>17</w:t>
      </w:r>
      <w:r>
        <w:fldChar w:fldCharType="end"/>
      </w:r>
    </w:p>
    <w:p>
      <w:pPr>
        <w:pStyle w:val="TOC8"/>
        <w:rPr>
          <w:rFonts w:asciiTheme="minorHAnsi" w:eastAsiaTheme="minorEastAsia" w:hAnsiTheme="minorHAnsi" w:cstheme="minorBidi"/>
          <w:szCs w:val="22"/>
        </w:rPr>
      </w:pPr>
      <w:r>
        <w:t>15A.</w:t>
      </w:r>
      <w:r>
        <w:tab/>
        <w:t>Remuneration and allowances for Council members</w:t>
      </w:r>
      <w:r>
        <w:tab/>
      </w:r>
      <w:r>
        <w:fldChar w:fldCharType="begin"/>
      </w:r>
      <w:r>
        <w:instrText xml:space="preserve"> PAGEREF _Toc494452102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Delegation by Council</w:t>
      </w:r>
      <w:r>
        <w:tab/>
      </w:r>
      <w:r>
        <w:fldChar w:fldCharType="begin"/>
      </w:r>
      <w:r>
        <w:instrText xml:space="preserve"> PAGEREF _Toc494452103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IV — Functions, duties and powers of the Council</w:t>
      </w:r>
    </w:p>
    <w:p>
      <w:pPr>
        <w:pStyle w:val="TOC8"/>
        <w:rPr>
          <w:rFonts w:asciiTheme="minorHAnsi" w:eastAsiaTheme="minorEastAsia" w:hAnsiTheme="minorHAnsi" w:cstheme="minorBidi"/>
          <w:szCs w:val="22"/>
        </w:rPr>
      </w:pPr>
      <w:r>
        <w:t>16</w:t>
      </w:r>
      <w:r>
        <w:rPr>
          <w:snapToGrid w:val="0"/>
        </w:rPr>
        <w:t>.</w:t>
      </w:r>
      <w:r>
        <w:rPr>
          <w:snapToGrid w:val="0"/>
        </w:rPr>
        <w:tab/>
        <w:t>Functions and duties of the Council</w:t>
      </w:r>
      <w:r>
        <w:tab/>
      </w:r>
      <w:r>
        <w:fldChar w:fldCharType="begin"/>
      </w:r>
      <w:r>
        <w:instrText xml:space="preserve"> PAGEREF _Toc494452105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Council</w:t>
      </w:r>
      <w:r>
        <w:tab/>
      </w:r>
      <w:r>
        <w:fldChar w:fldCharType="begin"/>
      </w:r>
      <w:r>
        <w:instrText xml:space="preserve"> PAGEREF _Toc494452106 \h </w:instrText>
      </w:r>
      <w:r>
        <w:fldChar w:fldCharType="separate"/>
      </w:r>
      <w:r>
        <w:t>19</w:t>
      </w:r>
      <w:r>
        <w:fldChar w:fldCharType="end"/>
      </w:r>
    </w:p>
    <w:p>
      <w:pPr>
        <w:pStyle w:val="TOC8"/>
        <w:rPr>
          <w:rFonts w:asciiTheme="minorHAnsi" w:eastAsiaTheme="minorEastAsia" w:hAnsiTheme="minorHAnsi" w:cstheme="minorBidi"/>
          <w:szCs w:val="22"/>
        </w:rPr>
      </w:pPr>
      <w:r>
        <w:t>17A.</w:t>
      </w:r>
      <w:r>
        <w:tab/>
        <w:t>Relief of members from liability</w:t>
      </w:r>
      <w:r>
        <w:tab/>
      </w:r>
      <w:r>
        <w:fldChar w:fldCharType="begin"/>
      </w:r>
      <w:r>
        <w:instrText xml:space="preserve"> PAGEREF _Toc494452107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Academic Board</w:t>
      </w:r>
      <w:r>
        <w:tab/>
      </w:r>
      <w:r>
        <w:fldChar w:fldCharType="begin"/>
      </w:r>
      <w:r>
        <w:instrText xml:space="preserve"> PAGEREF _Toc494452108 \h </w:instrText>
      </w:r>
      <w:r>
        <w:fldChar w:fldCharType="separate"/>
      </w:r>
      <w:r>
        <w:t>21</w:t>
      </w:r>
      <w:r>
        <w:fldChar w:fldCharType="end"/>
      </w:r>
    </w:p>
    <w:p>
      <w:pPr>
        <w:pStyle w:val="TOC8"/>
        <w:rPr>
          <w:rFonts w:asciiTheme="minorHAnsi" w:eastAsiaTheme="minorEastAsia" w:hAnsiTheme="minorHAnsi" w:cstheme="minorBidi"/>
          <w:szCs w:val="22"/>
        </w:rPr>
      </w:pPr>
      <w:r>
        <w:t>19.</w:t>
      </w:r>
      <w:r>
        <w:tab/>
        <w:t>ECU South West Campus (Bunbury)</w:t>
      </w:r>
      <w:r>
        <w:tab/>
      </w:r>
      <w:r>
        <w:fldChar w:fldCharType="begin"/>
      </w:r>
      <w:r>
        <w:instrText xml:space="preserve"> PAGEREF _Toc494452109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 xml:space="preserve">ECU South West Campus (Bunbury) </w:t>
      </w:r>
      <w:r>
        <w:rPr>
          <w:snapToGrid w:val="0"/>
        </w:rPr>
        <w:t>Advisory Board</w:t>
      </w:r>
      <w:r>
        <w:tab/>
      </w:r>
      <w:r>
        <w:fldChar w:fldCharType="begin"/>
      </w:r>
      <w:r>
        <w:instrText xml:space="preserve"> PAGEREF _Toc494452110 \h </w:instrText>
      </w:r>
      <w:r>
        <w:fldChar w:fldCharType="separate"/>
      </w:r>
      <w:r>
        <w:t>22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Western Australian Academy of Performing Arts</w:t>
      </w:r>
      <w:r>
        <w:tab/>
      </w:r>
      <w:r>
        <w:fldChar w:fldCharType="begin"/>
      </w:r>
      <w:r>
        <w:instrText xml:space="preserve"> PAGEREF _Toc494452111 \h </w:instrText>
      </w:r>
      <w:r>
        <w:fldChar w:fldCharType="separate"/>
      </w:r>
      <w:r>
        <w:t>23</w:t>
      </w:r>
      <w:r>
        <w:fldChar w:fldCharType="end"/>
      </w:r>
    </w:p>
    <w:p>
      <w:pPr>
        <w:pStyle w:val="TOC8"/>
        <w:rPr>
          <w:rFonts w:asciiTheme="minorHAnsi" w:eastAsiaTheme="minorEastAsia" w:hAnsiTheme="minorHAnsi" w:cstheme="minorBidi"/>
          <w:szCs w:val="22"/>
        </w:rPr>
      </w:pPr>
      <w:r>
        <w:t>25.</w:t>
      </w:r>
      <w:r>
        <w:tab/>
        <w:t>Advisory Board of Academy</w:t>
      </w:r>
      <w:r>
        <w:tab/>
      </w:r>
      <w:r>
        <w:fldChar w:fldCharType="begin"/>
      </w:r>
      <w:r>
        <w:instrText xml:space="preserve"> PAGEREF _Toc494452112 \h </w:instrText>
      </w:r>
      <w:r>
        <w:fldChar w:fldCharType="separate"/>
      </w:r>
      <w:r>
        <w:t>24</w:t>
      </w:r>
      <w:r>
        <w:fldChar w:fldCharType="end"/>
      </w:r>
    </w:p>
    <w:p>
      <w:pPr>
        <w:pStyle w:val="TOC8"/>
        <w:rPr>
          <w:rFonts w:asciiTheme="minorHAnsi" w:eastAsiaTheme="minorEastAsia" w:hAnsiTheme="minorHAnsi" w:cstheme="minorBidi"/>
          <w:szCs w:val="22"/>
        </w:rPr>
      </w:pPr>
      <w:r>
        <w:t>25A.</w:t>
      </w:r>
      <w:r>
        <w:tab/>
        <w:t>Remuneration and allowances for Advisory Board members</w:t>
      </w:r>
      <w:r>
        <w:tab/>
      </w:r>
      <w:r>
        <w:fldChar w:fldCharType="begin"/>
      </w:r>
      <w:r>
        <w:instrText xml:space="preserve"> PAGEREF _Toc494452113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 — Statutes</w:t>
      </w:r>
    </w:p>
    <w:p>
      <w:pPr>
        <w:pStyle w:val="TOC8"/>
        <w:rPr>
          <w:rFonts w:asciiTheme="minorHAnsi" w:eastAsiaTheme="minorEastAsia" w:hAnsiTheme="minorHAnsi" w:cstheme="minorBidi"/>
          <w:szCs w:val="22"/>
        </w:rPr>
      </w:pPr>
      <w:r>
        <w:t>26</w:t>
      </w:r>
      <w:r>
        <w:rPr>
          <w:snapToGrid w:val="0"/>
        </w:rPr>
        <w:t>.</w:t>
      </w:r>
      <w:r>
        <w:rPr>
          <w:snapToGrid w:val="0"/>
        </w:rPr>
        <w:tab/>
        <w:t>Power to make Statutes</w:t>
      </w:r>
      <w:r>
        <w:tab/>
      </w:r>
      <w:r>
        <w:fldChar w:fldCharType="begin"/>
      </w:r>
      <w:r>
        <w:instrText xml:space="preserve"> PAGEREF _Toc494452115 \h </w:instrText>
      </w:r>
      <w:r>
        <w:fldChar w:fldCharType="separate"/>
      </w:r>
      <w:r>
        <w:t>26</w:t>
      </w:r>
      <w:r>
        <w:fldChar w:fldCharType="end"/>
      </w:r>
    </w:p>
    <w:p>
      <w:pPr>
        <w:pStyle w:val="TOC8"/>
        <w:rPr>
          <w:rFonts w:asciiTheme="minorHAnsi" w:eastAsiaTheme="minorEastAsia" w:hAnsiTheme="minorHAnsi" w:cstheme="minorBidi"/>
          <w:szCs w:val="22"/>
        </w:rPr>
      </w:pPr>
      <w:r>
        <w:t>27.</w:t>
      </w:r>
      <w:r>
        <w:tab/>
        <w:t>Approval, publication, disallowance and proof of Statutes</w:t>
      </w:r>
      <w:r>
        <w:tab/>
      </w:r>
      <w:r>
        <w:fldChar w:fldCharType="begin"/>
      </w:r>
      <w:r>
        <w:instrText xml:space="preserve"> PAGEREF _Toc494452116 \h </w:instrText>
      </w:r>
      <w:r>
        <w:fldChar w:fldCharType="separate"/>
      </w:r>
      <w:r>
        <w:t>30</w:t>
      </w:r>
      <w:r>
        <w:fldChar w:fldCharType="end"/>
      </w:r>
    </w:p>
    <w:p>
      <w:pPr>
        <w:pStyle w:val="TOC8"/>
        <w:rPr>
          <w:rFonts w:asciiTheme="minorHAnsi" w:eastAsiaTheme="minorEastAsia" w:hAnsiTheme="minorHAnsi" w:cstheme="minorBidi"/>
          <w:szCs w:val="22"/>
        </w:rPr>
      </w:pPr>
      <w:r>
        <w:t>28A.</w:t>
      </w:r>
      <w:r>
        <w:tab/>
        <w:t>Statutes to be made readily available to public</w:t>
      </w:r>
      <w:r>
        <w:tab/>
      </w:r>
      <w:r>
        <w:fldChar w:fldCharType="begin"/>
      </w:r>
      <w:r>
        <w:instrText xml:space="preserve"> PAGEREF _Toc494452117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VI — University lands</w:t>
      </w:r>
    </w:p>
    <w:p>
      <w:pPr>
        <w:pStyle w:val="TOC4"/>
        <w:tabs>
          <w:tab w:val="right" w:leader="dot" w:pos="7077"/>
        </w:tabs>
        <w:rPr>
          <w:rFonts w:asciiTheme="minorHAnsi" w:eastAsiaTheme="minorEastAsia" w:hAnsiTheme="minorHAnsi" w:cstheme="minorBidi"/>
          <w:b w:val="0"/>
          <w:szCs w:val="22"/>
        </w:rPr>
      </w:pPr>
      <w:r>
        <w:t>Division 1 — Vesting of land in University and by</w:t>
      </w:r>
      <w:r>
        <w:noBreakHyphen/>
        <w:t>laws applicable to University lands</w:t>
      </w:r>
    </w:p>
    <w:p>
      <w:pPr>
        <w:pStyle w:val="TOC8"/>
        <w:rPr>
          <w:rFonts w:asciiTheme="minorHAnsi" w:eastAsiaTheme="minorEastAsia" w:hAnsiTheme="minorHAnsi" w:cstheme="minorBidi"/>
          <w:szCs w:val="22"/>
        </w:rPr>
      </w:pPr>
      <w:r>
        <w:t>28</w:t>
      </w:r>
      <w:r>
        <w:rPr>
          <w:snapToGrid w:val="0"/>
        </w:rPr>
        <w:t>.</w:t>
      </w:r>
      <w:r>
        <w:rPr>
          <w:snapToGrid w:val="0"/>
        </w:rPr>
        <w:tab/>
        <w:t>Land may be vested in the University</w:t>
      </w:r>
      <w:r>
        <w:tab/>
      </w:r>
      <w:r>
        <w:fldChar w:fldCharType="begin"/>
      </w:r>
      <w:r>
        <w:instrText xml:space="preserve"> PAGEREF _Toc494452120 \h </w:instrText>
      </w:r>
      <w:r>
        <w:fldChar w:fldCharType="separate"/>
      </w:r>
      <w:r>
        <w:t>32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 to make by</w:t>
      </w:r>
      <w:r>
        <w:rPr>
          <w:snapToGrid w:val="0"/>
        </w:rPr>
        <w:noBreakHyphen/>
        <w:t>laws applicable to lands</w:t>
      </w:r>
      <w:r>
        <w:tab/>
      </w:r>
      <w:r>
        <w:fldChar w:fldCharType="begin"/>
      </w:r>
      <w:r>
        <w:instrText xml:space="preserve"> PAGEREF _Toc494452121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Leasing University land for commercial purposes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30A.</w:t>
      </w:r>
      <w:r>
        <w:tab/>
        <w:t>Terms used</w:t>
      </w:r>
      <w:r>
        <w:tab/>
      </w:r>
      <w:r>
        <w:fldChar w:fldCharType="begin"/>
      </w:r>
      <w:r>
        <w:instrText xml:space="preserve"> PAGEREF _Toc494452124 \h </w:instrText>
      </w:r>
      <w:r>
        <w:fldChar w:fldCharType="separate"/>
      </w:r>
      <w:r>
        <w:t>37</w:t>
      </w:r>
      <w:r>
        <w:fldChar w:fldCharType="end"/>
      </w:r>
    </w:p>
    <w:p>
      <w:pPr>
        <w:pStyle w:val="TOC8"/>
        <w:rPr>
          <w:rFonts w:asciiTheme="minorHAnsi" w:eastAsiaTheme="minorEastAsia" w:hAnsiTheme="minorHAnsi" w:cstheme="minorBidi"/>
          <w:szCs w:val="22"/>
        </w:rPr>
      </w:pPr>
      <w:r>
        <w:t>30B.</w:t>
      </w:r>
      <w:r>
        <w:tab/>
        <w:t>Object of this Division</w:t>
      </w:r>
      <w:r>
        <w:tab/>
      </w:r>
      <w:r>
        <w:fldChar w:fldCharType="begin"/>
      </w:r>
      <w:r>
        <w:instrText xml:space="preserve"> PAGEREF _Toc494452125 \h </w:instrText>
      </w:r>
      <w:r>
        <w:fldChar w:fldCharType="separate"/>
      </w:r>
      <w:r>
        <w:t>38</w:t>
      </w:r>
      <w:r>
        <w:fldChar w:fldCharType="end"/>
      </w:r>
    </w:p>
    <w:p>
      <w:pPr>
        <w:pStyle w:val="TOC8"/>
        <w:rPr>
          <w:rFonts w:asciiTheme="minorHAnsi" w:eastAsiaTheme="minorEastAsia" w:hAnsiTheme="minorHAnsi" w:cstheme="minorBidi"/>
          <w:szCs w:val="22"/>
        </w:rPr>
      </w:pPr>
      <w:r>
        <w:t>30C.</w:t>
      </w:r>
      <w:r>
        <w:tab/>
        <w:t>Effect of Division on University functions, powers and obligations</w:t>
      </w:r>
      <w:r>
        <w:tab/>
      </w:r>
      <w:r>
        <w:fldChar w:fldCharType="begin"/>
      </w:r>
      <w:r>
        <w:instrText xml:space="preserve"> PAGEREF _Toc494452126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 to lease University land for commercial purposes</w:t>
      </w:r>
    </w:p>
    <w:p>
      <w:pPr>
        <w:pStyle w:val="TOC8"/>
        <w:rPr>
          <w:rFonts w:asciiTheme="minorHAnsi" w:eastAsiaTheme="minorEastAsia" w:hAnsiTheme="minorHAnsi" w:cstheme="minorBidi"/>
          <w:szCs w:val="22"/>
        </w:rPr>
      </w:pPr>
      <w:r>
        <w:t>30D.</w:t>
      </w:r>
      <w:r>
        <w:tab/>
        <w:t>University may lease University land for commercial purposes with Ministerial approval</w:t>
      </w:r>
      <w:r>
        <w:tab/>
      </w:r>
      <w:r>
        <w:fldChar w:fldCharType="begin"/>
      </w:r>
      <w:r>
        <w:instrText xml:space="preserve"> PAGEREF _Toc494452128 \h </w:instrText>
      </w:r>
      <w:r>
        <w:fldChar w:fldCharType="separate"/>
      </w:r>
      <w:r>
        <w:t>39</w:t>
      </w:r>
      <w:r>
        <w:fldChar w:fldCharType="end"/>
      </w:r>
    </w:p>
    <w:p>
      <w:pPr>
        <w:pStyle w:val="TOC8"/>
        <w:rPr>
          <w:rFonts w:asciiTheme="minorHAnsi" w:eastAsiaTheme="minorEastAsia" w:hAnsiTheme="minorHAnsi" w:cstheme="minorBidi"/>
          <w:szCs w:val="22"/>
        </w:rPr>
      </w:pPr>
      <w:r>
        <w:t>30E.</w:t>
      </w:r>
      <w:r>
        <w:tab/>
        <w:t>Effect of approval to lease University land</w:t>
      </w:r>
      <w:r>
        <w:tab/>
      </w:r>
      <w:r>
        <w:fldChar w:fldCharType="begin"/>
      </w:r>
      <w:r>
        <w:instrText xml:space="preserve"> PAGEREF _Toc494452129 \h </w:instrText>
      </w:r>
      <w:r>
        <w:fldChar w:fldCharType="separate"/>
      </w:r>
      <w:r>
        <w:t>40</w:t>
      </w:r>
      <w:r>
        <w:fldChar w:fldCharType="end"/>
      </w:r>
    </w:p>
    <w:p>
      <w:pPr>
        <w:pStyle w:val="TOC8"/>
        <w:rPr>
          <w:rFonts w:asciiTheme="minorHAnsi" w:eastAsiaTheme="minorEastAsia" w:hAnsiTheme="minorHAnsi" w:cstheme="minorBidi"/>
          <w:szCs w:val="22"/>
        </w:rPr>
      </w:pPr>
      <w:r>
        <w:t>30F.</w:t>
      </w:r>
      <w:r>
        <w:tab/>
        <w:t>Approval in principle of university development proposal</w:t>
      </w:r>
      <w:r>
        <w:tab/>
      </w:r>
      <w:r>
        <w:fldChar w:fldCharType="begin"/>
      </w:r>
      <w:r>
        <w:instrText xml:space="preserve"> PAGEREF _Toc494452130 \h </w:instrText>
      </w:r>
      <w:r>
        <w:fldChar w:fldCharType="separate"/>
      </w:r>
      <w:r>
        <w:t>41</w:t>
      </w:r>
      <w:r>
        <w:fldChar w:fldCharType="end"/>
      </w:r>
    </w:p>
    <w:p>
      <w:pPr>
        <w:pStyle w:val="TOC8"/>
        <w:rPr>
          <w:rFonts w:asciiTheme="minorHAnsi" w:eastAsiaTheme="minorEastAsia" w:hAnsiTheme="minorHAnsi" w:cstheme="minorBidi"/>
          <w:szCs w:val="22"/>
        </w:rPr>
      </w:pPr>
      <w:r>
        <w:t>30G.</w:t>
      </w:r>
      <w:r>
        <w:tab/>
        <w:t>Application for advance determination of approval</w:t>
      </w:r>
      <w:r>
        <w:tab/>
      </w:r>
      <w:r>
        <w:fldChar w:fldCharType="begin"/>
      </w:r>
      <w:r>
        <w:instrText xml:space="preserve"> PAGEREF _Toc494452131 \h </w:instrText>
      </w:r>
      <w:r>
        <w:fldChar w:fldCharType="separate"/>
      </w:r>
      <w:r>
        <w:t>42</w:t>
      </w:r>
      <w:r>
        <w:fldChar w:fldCharType="end"/>
      </w:r>
    </w:p>
    <w:p>
      <w:pPr>
        <w:pStyle w:val="TOC8"/>
        <w:rPr>
          <w:rFonts w:asciiTheme="minorHAnsi" w:eastAsiaTheme="minorEastAsia" w:hAnsiTheme="minorHAnsi" w:cstheme="minorBidi"/>
          <w:szCs w:val="22"/>
        </w:rPr>
      </w:pPr>
      <w:r>
        <w:t>30H.</w:t>
      </w:r>
      <w:r>
        <w:tab/>
        <w:t>Advance determination of approval</w:t>
      </w:r>
      <w:r>
        <w:tab/>
      </w:r>
      <w:r>
        <w:fldChar w:fldCharType="begin"/>
      </w:r>
      <w:r>
        <w:instrText xml:space="preserve"> PAGEREF _Toc494452132 \h </w:instrText>
      </w:r>
      <w:r>
        <w:fldChar w:fldCharType="separate"/>
      </w:r>
      <w:r>
        <w:t>43</w:t>
      </w:r>
      <w:r>
        <w:fldChar w:fldCharType="end"/>
      </w:r>
    </w:p>
    <w:p>
      <w:pPr>
        <w:pStyle w:val="TOC8"/>
        <w:rPr>
          <w:rFonts w:asciiTheme="minorHAnsi" w:eastAsiaTheme="minorEastAsia" w:hAnsiTheme="minorHAnsi" w:cstheme="minorBidi"/>
          <w:szCs w:val="22"/>
        </w:rPr>
      </w:pPr>
      <w:r>
        <w:t>30I.</w:t>
      </w:r>
      <w:r>
        <w:tab/>
        <w:t>Approvals</w:t>
      </w:r>
      <w:r>
        <w:tab/>
      </w:r>
      <w:r>
        <w:fldChar w:fldCharType="begin"/>
      </w:r>
      <w:r>
        <w:instrText xml:space="preserve"> PAGEREF _Toc494452133 \h </w:instrText>
      </w:r>
      <w:r>
        <w:fldChar w:fldCharType="separate"/>
      </w:r>
      <w:r>
        <w:t>44</w:t>
      </w:r>
      <w:r>
        <w:fldChar w:fldCharType="end"/>
      </w:r>
    </w:p>
    <w:p>
      <w:pPr>
        <w:pStyle w:val="TOC8"/>
        <w:rPr>
          <w:rFonts w:asciiTheme="minorHAnsi" w:eastAsiaTheme="minorEastAsia" w:hAnsiTheme="minorHAnsi" w:cstheme="minorBidi"/>
          <w:szCs w:val="22"/>
        </w:rPr>
      </w:pPr>
      <w:r>
        <w:t>30J.</w:t>
      </w:r>
      <w:r>
        <w:tab/>
        <w:t>Notification of decision on application for approval</w:t>
      </w:r>
      <w:r>
        <w:tab/>
      </w:r>
      <w:r>
        <w:fldChar w:fldCharType="begin"/>
      </w:r>
      <w:r>
        <w:instrText xml:space="preserve"> PAGEREF _Toc494452134 \h </w:instrText>
      </w:r>
      <w:r>
        <w:fldChar w:fldCharType="separate"/>
      </w:r>
      <w:r>
        <w:t>45</w:t>
      </w:r>
      <w:r>
        <w:fldChar w:fldCharType="end"/>
      </w:r>
    </w:p>
    <w:p>
      <w:pPr>
        <w:pStyle w:val="TOC8"/>
        <w:rPr>
          <w:rFonts w:asciiTheme="minorHAnsi" w:eastAsiaTheme="minorEastAsia" w:hAnsiTheme="minorHAnsi" w:cstheme="minorBidi"/>
          <w:szCs w:val="22"/>
        </w:rPr>
      </w:pPr>
      <w:r>
        <w:t>30K.</w:t>
      </w:r>
      <w:r>
        <w:tab/>
        <w:t>Alteration of approval</w:t>
      </w:r>
      <w:r>
        <w:tab/>
      </w:r>
      <w:r>
        <w:fldChar w:fldCharType="begin"/>
      </w:r>
      <w:r>
        <w:instrText xml:space="preserve"> PAGEREF _Toc494452135 \h </w:instrText>
      </w:r>
      <w:r>
        <w:fldChar w:fldCharType="separate"/>
      </w:r>
      <w:r>
        <w:t>45</w:t>
      </w:r>
      <w:r>
        <w:fldChar w:fldCharType="end"/>
      </w:r>
    </w:p>
    <w:p>
      <w:pPr>
        <w:pStyle w:val="TOC8"/>
        <w:rPr>
          <w:rFonts w:asciiTheme="minorHAnsi" w:eastAsiaTheme="minorEastAsia" w:hAnsiTheme="minorHAnsi" w:cstheme="minorBidi"/>
          <w:szCs w:val="22"/>
        </w:rPr>
      </w:pPr>
      <w:r>
        <w:t>30L.</w:t>
      </w:r>
      <w:r>
        <w:tab/>
        <w:t>Payment agreements</w:t>
      </w:r>
      <w:r>
        <w:tab/>
      </w:r>
      <w:r>
        <w:fldChar w:fldCharType="begin"/>
      </w:r>
      <w:r>
        <w:instrText xml:space="preserve"> PAGEREF _Toc494452136 \h </w:instrText>
      </w:r>
      <w:r>
        <w:fldChar w:fldCharType="separate"/>
      </w:r>
      <w:r>
        <w:t>46</w:t>
      </w:r>
      <w:r>
        <w:fldChar w:fldCharType="end"/>
      </w:r>
    </w:p>
    <w:p>
      <w:pPr>
        <w:pStyle w:val="TOC8"/>
        <w:rPr>
          <w:rFonts w:asciiTheme="minorHAnsi" w:eastAsiaTheme="minorEastAsia" w:hAnsiTheme="minorHAnsi" w:cstheme="minorBidi"/>
          <w:szCs w:val="22"/>
        </w:rPr>
      </w:pPr>
      <w:r>
        <w:t>30M.</w:t>
      </w:r>
      <w:r>
        <w:tab/>
        <w:t>Minister may delegate functions under this Division</w:t>
      </w:r>
      <w:r>
        <w:tab/>
      </w:r>
      <w:r>
        <w:fldChar w:fldCharType="begin"/>
      </w:r>
      <w:r>
        <w:instrText xml:space="preserve"> PAGEREF _Toc494452137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VII — Staff</w:t>
      </w:r>
    </w:p>
    <w:p>
      <w:pPr>
        <w:pStyle w:val="TOC8"/>
        <w:rPr>
          <w:rFonts w:asciiTheme="minorHAnsi" w:eastAsiaTheme="minorEastAsia" w:hAnsiTheme="minorHAnsi" w:cstheme="minorBidi"/>
          <w:szCs w:val="22"/>
        </w:rPr>
      </w:pPr>
      <w:r>
        <w:t>30.</w:t>
      </w:r>
      <w:r>
        <w:tab/>
        <w:t>Vice</w:t>
      </w:r>
      <w:r>
        <w:noBreakHyphen/>
        <w:t>Chancellor</w:t>
      </w:r>
      <w:r>
        <w:tab/>
      </w:r>
      <w:r>
        <w:fldChar w:fldCharType="begin"/>
      </w:r>
      <w:r>
        <w:instrText xml:space="preserve"> PAGEREF _Toc494452139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Academic and other staff</w:t>
      </w:r>
      <w:r>
        <w:tab/>
      </w:r>
      <w:r>
        <w:fldChar w:fldCharType="begin"/>
      </w:r>
      <w:r>
        <w:instrText xml:space="preserve"> PAGEREF _Toc494452140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Continuation of existing rights</w:t>
      </w:r>
      <w:r>
        <w:tab/>
      </w:r>
      <w:r>
        <w:fldChar w:fldCharType="begin"/>
      </w:r>
      <w:r>
        <w:instrText xml:space="preserve"> PAGEREF _Toc494452141 \h </w:instrText>
      </w:r>
      <w:r>
        <w:fldChar w:fldCharType="separate"/>
      </w:r>
      <w:r>
        <w:t>49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Superannuation</w:t>
      </w:r>
      <w:r>
        <w:tab/>
      </w:r>
      <w:r>
        <w:fldChar w:fldCharType="begin"/>
      </w:r>
      <w:r>
        <w:instrText xml:space="preserve"> PAGEREF _Toc494452142 \h </w:instrText>
      </w:r>
      <w:r>
        <w:fldChar w:fldCharType="separate"/>
      </w:r>
      <w:r>
        <w:t>49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Staff associations</w:t>
      </w:r>
      <w:r>
        <w:tab/>
      </w:r>
      <w:r>
        <w:fldChar w:fldCharType="begin"/>
      </w:r>
      <w:r>
        <w:instrText xml:space="preserve"> PAGEREF _Toc494452143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VIII — Financial provisions</w:t>
      </w:r>
    </w:p>
    <w:p>
      <w:pPr>
        <w:pStyle w:val="TOC8"/>
        <w:rPr>
          <w:rFonts w:asciiTheme="minorHAnsi" w:eastAsiaTheme="minorEastAsia" w:hAnsiTheme="minorHAnsi" w:cstheme="minorBidi"/>
          <w:szCs w:val="22"/>
        </w:rPr>
      </w:pPr>
      <w:r>
        <w:t>36</w:t>
      </w:r>
      <w:r>
        <w:rPr>
          <w:snapToGrid w:val="0"/>
        </w:rPr>
        <w:t>.</w:t>
      </w:r>
      <w:r>
        <w:rPr>
          <w:snapToGrid w:val="0"/>
        </w:rPr>
        <w:tab/>
        <w:t>Funds of the University</w:t>
      </w:r>
      <w:r>
        <w:tab/>
      </w:r>
      <w:r>
        <w:fldChar w:fldCharType="begin"/>
      </w:r>
      <w:r>
        <w:instrText xml:space="preserve"> PAGEREF _Toc494452145 \h </w:instrText>
      </w:r>
      <w:r>
        <w:fldChar w:fldCharType="separate"/>
      </w:r>
      <w:r>
        <w:t>52</w:t>
      </w:r>
      <w:r>
        <w:fldChar w:fldCharType="end"/>
      </w:r>
    </w:p>
    <w:p>
      <w:pPr>
        <w:pStyle w:val="TOC8"/>
        <w:rPr>
          <w:rFonts w:asciiTheme="minorHAnsi" w:eastAsiaTheme="minorEastAsia" w:hAnsiTheme="minorHAnsi" w:cstheme="minorBidi"/>
          <w:szCs w:val="22"/>
        </w:rPr>
      </w:pPr>
      <w:r>
        <w:t>37.</w:t>
      </w:r>
      <w:r>
        <w:tab/>
        <w:t>Borrowing and other ways of raising money</w:t>
      </w:r>
      <w:r>
        <w:tab/>
      </w:r>
      <w:r>
        <w:fldChar w:fldCharType="begin"/>
      </w:r>
      <w:r>
        <w:instrText xml:space="preserve"> PAGEREF _Toc494452146 \h </w:instrText>
      </w:r>
      <w:r>
        <w:fldChar w:fldCharType="separate"/>
      </w:r>
      <w:r>
        <w:t>53</w:t>
      </w:r>
      <w:r>
        <w:fldChar w:fldCharType="end"/>
      </w:r>
    </w:p>
    <w:p>
      <w:pPr>
        <w:pStyle w:val="TOC8"/>
        <w:rPr>
          <w:rFonts w:asciiTheme="minorHAnsi" w:eastAsiaTheme="minorEastAsia" w:hAnsiTheme="minorHAnsi" w:cstheme="minorBidi"/>
          <w:szCs w:val="22"/>
        </w:rPr>
      </w:pPr>
      <w:r>
        <w:t>37A.</w:t>
      </w:r>
      <w:r>
        <w:tab/>
        <w:t>Notice of borrowing</w:t>
      </w:r>
      <w:r>
        <w:tab/>
      </w:r>
      <w:r>
        <w:fldChar w:fldCharType="begin"/>
      </w:r>
      <w:r>
        <w:instrText xml:space="preserve"> PAGEREF _Toc494452147 \h </w:instrText>
      </w:r>
      <w:r>
        <w:fldChar w:fldCharType="separate"/>
      </w:r>
      <w:r>
        <w:t>53</w:t>
      </w:r>
      <w:r>
        <w:fldChar w:fldCharType="end"/>
      </w:r>
    </w:p>
    <w:p>
      <w:pPr>
        <w:pStyle w:val="TOC8"/>
        <w:rPr>
          <w:rFonts w:asciiTheme="minorHAnsi" w:eastAsiaTheme="minorEastAsia" w:hAnsiTheme="minorHAnsi" w:cstheme="minorBidi"/>
          <w:szCs w:val="22"/>
        </w:rPr>
      </w:pPr>
      <w:r>
        <w:t>37B.</w:t>
      </w:r>
      <w:r>
        <w:tab/>
        <w:t>Guarantees</w:t>
      </w:r>
      <w:r>
        <w:tab/>
      </w:r>
      <w:r>
        <w:fldChar w:fldCharType="begin"/>
      </w:r>
      <w:r>
        <w:instrText xml:space="preserve"> PAGEREF _Toc494452148 \h </w:instrText>
      </w:r>
      <w:r>
        <w:fldChar w:fldCharType="separate"/>
      </w:r>
      <w:r>
        <w:t>54</w:t>
      </w:r>
      <w:r>
        <w:fldChar w:fldCharType="end"/>
      </w:r>
    </w:p>
    <w:p>
      <w:pPr>
        <w:pStyle w:val="TOC8"/>
        <w:rPr>
          <w:rFonts w:asciiTheme="minorHAnsi" w:eastAsiaTheme="minorEastAsia" w:hAnsiTheme="minorHAnsi" w:cstheme="minorBidi"/>
          <w:szCs w:val="22"/>
        </w:rPr>
      </w:pPr>
      <w:r>
        <w:t>37C.</w:t>
      </w:r>
      <w:r>
        <w:tab/>
        <w:t>Charges for guarantee</w:t>
      </w:r>
      <w:r>
        <w:tab/>
      </w:r>
      <w:r>
        <w:fldChar w:fldCharType="begin"/>
      </w:r>
      <w:r>
        <w:instrText xml:space="preserve"> PAGEREF _Toc494452149 \h </w:instrText>
      </w:r>
      <w:r>
        <w:fldChar w:fldCharType="separate"/>
      </w:r>
      <w:r>
        <w:t>55</w:t>
      </w:r>
      <w:r>
        <w:fldChar w:fldCharType="end"/>
      </w:r>
    </w:p>
    <w:p>
      <w:pPr>
        <w:pStyle w:val="TOC8"/>
        <w:rPr>
          <w:rFonts w:asciiTheme="minorHAnsi" w:eastAsiaTheme="minorEastAsia" w:hAnsiTheme="minorHAnsi" w:cstheme="minorBidi"/>
          <w:szCs w:val="22"/>
        </w:rPr>
      </w:pPr>
      <w:r>
        <w:t>38.</w:t>
      </w:r>
      <w:r>
        <w:tab/>
        <w:t>Powers of Council to invest</w:t>
      </w:r>
      <w:r>
        <w:tab/>
      </w:r>
      <w:r>
        <w:fldChar w:fldCharType="begin"/>
      </w:r>
      <w:r>
        <w:instrText xml:space="preserve"> PAGEREF _Toc494452150 \h </w:instrText>
      </w:r>
      <w:r>
        <w:fldChar w:fldCharType="separate"/>
      </w:r>
      <w:r>
        <w:t>55</w:t>
      </w:r>
      <w:r>
        <w:fldChar w:fldCharType="end"/>
      </w:r>
    </w:p>
    <w:p>
      <w:pPr>
        <w:pStyle w:val="TOC8"/>
        <w:rPr>
          <w:rFonts w:asciiTheme="minorHAnsi" w:eastAsiaTheme="minorEastAsia" w:hAnsiTheme="minorHAnsi" w:cstheme="minorBidi"/>
          <w:szCs w:val="22"/>
        </w:rPr>
      </w:pPr>
      <w:r>
        <w:t>38A.</w:t>
      </w:r>
      <w:r>
        <w:tab/>
        <w:t>Trust property and trust moneys</w:t>
      </w:r>
      <w:r>
        <w:tab/>
      </w:r>
      <w:r>
        <w:fldChar w:fldCharType="begin"/>
      </w:r>
      <w:r>
        <w:instrText xml:space="preserve"> PAGEREF _Toc494452151 \h </w:instrText>
      </w:r>
      <w:r>
        <w:fldChar w:fldCharType="separate"/>
      </w:r>
      <w:r>
        <w:t>56</w:t>
      </w:r>
      <w:r>
        <w:fldChar w:fldCharType="end"/>
      </w:r>
    </w:p>
    <w:p>
      <w:pPr>
        <w:pStyle w:val="TOC8"/>
        <w:rPr>
          <w:rFonts w:asciiTheme="minorHAnsi" w:eastAsiaTheme="minorEastAsia" w:hAnsiTheme="minorHAnsi" w:cstheme="minorBidi"/>
          <w:szCs w:val="22"/>
        </w:rPr>
      </w:pPr>
      <w:r>
        <w:t>38B.</w:t>
      </w:r>
      <w:r>
        <w:tab/>
        <w:t>Repayment of trust moneys</w:t>
      </w:r>
      <w:r>
        <w:tab/>
      </w:r>
      <w:r>
        <w:fldChar w:fldCharType="begin"/>
      </w:r>
      <w:r>
        <w:instrText xml:space="preserve"> PAGEREF _Toc494452152 \h </w:instrText>
      </w:r>
      <w:r>
        <w:fldChar w:fldCharType="separate"/>
      </w:r>
      <w:r>
        <w:t>56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_Toc494452153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Student Guild</w:t>
      </w:r>
    </w:p>
    <w:p>
      <w:pPr>
        <w:pStyle w:val="TOC8"/>
        <w:rPr>
          <w:rFonts w:asciiTheme="minorHAnsi" w:eastAsiaTheme="minorEastAsia" w:hAnsiTheme="minorHAnsi" w:cstheme="minorBidi"/>
          <w:szCs w:val="22"/>
        </w:rPr>
      </w:pPr>
      <w:r>
        <w:t>41</w:t>
      </w:r>
      <w:r>
        <w:rPr>
          <w:snapToGrid w:val="0"/>
        </w:rPr>
        <w:t>.</w:t>
      </w:r>
      <w:r>
        <w:rPr>
          <w:snapToGrid w:val="0"/>
        </w:rPr>
        <w:tab/>
        <w:t>Establishment of Student Guild</w:t>
      </w:r>
      <w:r>
        <w:tab/>
      </w:r>
      <w:r>
        <w:fldChar w:fldCharType="begin"/>
      </w:r>
      <w:r>
        <w:instrText xml:space="preserve"> PAGEREF _Toc494452155 \h </w:instrText>
      </w:r>
      <w:r>
        <w:fldChar w:fldCharType="separate"/>
      </w:r>
      <w:r>
        <w:t>58</w:t>
      </w:r>
      <w:r>
        <w:fldChar w:fldCharType="end"/>
      </w:r>
    </w:p>
    <w:p>
      <w:pPr>
        <w:pStyle w:val="TOC8"/>
        <w:rPr>
          <w:rFonts w:asciiTheme="minorHAnsi" w:eastAsiaTheme="minorEastAsia" w:hAnsiTheme="minorHAnsi" w:cstheme="minorBidi"/>
          <w:szCs w:val="22"/>
        </w:rPr>
      </w:pPr>
      <w:r>
        <w:t>41A.</w:t>
      </w:r>
      <w:r>
        <w:tab/>
        <w:t>Amenities and services fee</w:t>
      </w:r>
      <w:r>
        <w:tab/>
      </w:r>
      <w:r>
        <w:fldChar w:fldCharType="begin"/>
      </w:r>
      <w:r>
        <w:instrText xml:space="preserve"> PAGEREF _Toc494452156 \h </w:instrText>
      </w:r>
      <w:r>
        <w:fldChar w:fldCharType="separate"/>
      </w:r>
      <w:r>
        <w:t>60</w:t>
      </w:r>
      <w:r>
        <w:fldChar w:fldCharType="end"/>
      </w:r>
    </w:p>
    <w:p>
      <w:pPr>
        <w:pStyle w:val="TOC8"/>
        <w:rPr>
          <w:rFonts w:asciiTheme="minorHAnsi" w:eastAsiaTheme="minorEastAsia" w:hAnsiTheme="minorHAnsi" w:cstheme="minorBidi"/>
          <w:szCs w:val="22"/>
        </w:rPr>
      </w:pPr>
      <w:r>
        <w:t>41B.</w:t>
      </w:r>
      <w:r>
        <w:tab/>
        <w:t>Council to include detail in Statute</w:t>
      </w:r>
      <w:r>
        <w:tab/>
      </w:r>
      <w:r>
        <w:fldChar w:fldCharType="begin"/>
      </w:r>
      <w:r>
        <w:instrText xml:space="preserve"> PAGEREF _Toc494452157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42</w:t>
      </w:r>
      <w:r>
        <w:rPr>
          <w:snapToGrid w:val="0"/>
        </w:rPr>
        <w:t>.</w:t>
      </w:r>
      <w:r>
        <w:rPr>
          <w:snapToGrid w:val="0"/>
        </w:rPr>
        <w:tab/>
        <w:t>Governor to be Visitor</w:t>
      </w:r>
      <w:r>
        <w:tab/>
      </w:r>
      <w:r>
        <w:fldChar w:fldCharType="begin"/>
      </w:r>
      <w:r>
        <w:instrText xml:space="preserve"> PAGEREF _Toc494452159 \h </w:instrText>
      </w:r>
      <w:r>
        <w:fldChar w:fldCharType="separate"/>
      </w:r>
      <w:r>
        <w:t>62</w:t>
      </w:r>
      <w:r>
        <w:fldChar w:fldCharType="end"/>
      </w:r>
    </w:p>
    <w:p>
      <w:pPr>
        <w:pStyle w:val="TOC8"/>
        <w:rPr>
          <w:rFonts w:asciiTheme="minorHAnsi" w:eastAsiaTheme="minorEastAsia" w:hAnsiTheme="minorHAnsi" w:cstheme="minorBidi"/>
          <w:szCs w:val="22"/>
        </w:rPr>
      </w:pPr>
      <w:r>
        <w:t>43.</w:t>
      </w:r>
      <w:r>
        <w:tab/>
        <w:t>Exemption from rate or tax</w:t>
      </w:r>
      <w:r>
        <w:tab/>
      </w:r>
      <w:r>
        <w:fldChar w:fldCharType="begin"/>
      </w:r>
      <w:r>
        <w:instrText xml:space="preserve"> PAGEREF _Toc494452160 \h </w:instrText>
      </w:r>
      <w:r>
        <w:fldChar w:fldCharType="separate"/>
      </w:r>
      <w:r>
        <w:t>62</w:t>
      </w:r>
      <w:r>
        <w:fldChar w:fldCharType="end"/>
      </w:r>
    </w:p>
    <w:p>
      <w:pPr>
        <w:pStyle w:val="TOC8"/>
        <w:rPr>
          <w:rFonts w:asciiTheme="minorHAnsi" w:eastAsiaTheme="minorEastAsia" w:hAnsiTheme="minorHAnsi" w:cstheme="minorBidi"/>
          <w:szCs w:val="22"/>
        </w:rPr>
      </w:pPr>
      <w:r>
        <w:t>44A.</w:t>
      </w:r>
      <w:r>
        <w:tab/>
        <w:t>Regulations</w:t>
      </w:r>
      <w:r>
        <w:tab/>
      </w:r>
      <w:r>
        <w:fldChar w:fldCharType="begin"/>
      </w:r>
      <w:r>
        <w:instrText xml:space="preserve"> PAGEREF _Toc494452161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XI — Transitional and savings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rPr>
          <w:snapToGrid w:val="0"/>
        </w:rPr>
        <w:t>.</w:t>
      </w:r>
      <w:r>
        <w:rPr>
          <w:snapToGrid w:val="0"/>
        </w:rPr>
        <w:tab/>
        <w:t>Continuation of Statutes, by</w:t>
      </w:r>
      <w:r>
        <w:rPr>
          <w:snapToGrid w:val="0"/>
        </w:rPr>
        <w:noBreakHyphen/>
        <w:t>laws and rules</w:t>
      </w:r>
      <w:r>
        <w:tab/>
      </w:r>
      <w:r>
        <w:fldChar w:fldCharType="begin"/>
      </w:r>
      <w:r>
        <w:instrText xml:space="preserve"> PAGEREF _Toc494452164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Staff</w:t>
      </w:r>
      <w:r>
        <w:tab/>
      </w:r>
      <w:r>
        <w:fldChar w:fldCharType="begin"/>
      </w:r>
      <w:r>
        <w:instrText xml:space="preserve"> PAGEREF _Toc494452165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Property</w:t>
      </w:r>
      <w:r>
        <w:tab/>
      </w:r>
      <w:r>
        <w:fldChar w:fldCharType="begin"/>
      </w:r>
      <w:r>
        <w:instrText xml:space="preserve"> PAGEREF _Toc494452166 \h </w:instrText>
      </w:r>
      <w:r>
        <w:fldChar w:fldCharType="separate"/>
      </w:r>
      <w:r>
        <w:t>65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Superannuation</w:t>
      </w:r>
      <w:r>
        <w:tab/>
      </w:r>
      <w:r>
        <w:fldChar w:fldCharType="begin"/>
      </w:r>
      <w:r>
        <w:instrText xml:space="preserve"> PAGEREF _Toc494452167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Associations continued</w:t>
      </w:r>
      <w:r>
        <w:tab/>
      </w:r>
      <w:r>
        <w:fldChar w:fldCharType="begin"/>
      </w:r>
      <w:r>
        <w:instrText xml:space="preserve"> PAGEREF _Toc494452168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Continuation of rights of students</w:t>
      </w:r>
      <w:r>
        <w:tab/>
      </w:r>
      <w:r>
        <w:fldChar w:fldCharType="begin"/>
      </w:r>
      <w:r>
        <w:instrText xml:space="preserve"> PAGEREF _Toc494452169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rPr>
        <w:t>Universities Legislation Amendment Act 2016</w:t>
      </w:r>
    </w:p>
    <w:p>
      <w:pPr>
        <w:pStyle w:val="TOC8"/>
        <w:rPr>
          <w:rFonts w:asciiTheme="minorHAnsi" w:eastAsiaTheme="minorEastAsia" w:hAnsiTheme="minorHAnsi" w:cstheme="minorBidi"/>
          <w:szCs w:val="22"/>
        </w:rPr>
      </w:pPr>
      <w:r>
        <w:t>54.</w:t>
      </w:r>
      <w:r>
        <w:tab/>
        <w:t>Term used: commencement day</w:t>
      </w:r>
      <w:r>
        <w:tab/>
      </w:r>
      <w:r>
        <w:fldChar w:fldCharType="begin"/>
      </w:r>
      <w:r>
        <w:instrText xml:space="preserve"> PAGEREF _Toc494452171 \h </w:instrText>
      </w:r>
      <w:r>
        <w:fldChar w:fldCharType="separate"/>
      </w:r>
      <w:r>
        <w:t>66</w:t>
      </w:r>
      <w:r>
        <w:fldChar w:fldCharType="end"/>
      </w:r>
    </w:p>
    <w:p>
      <w:pPr>
        <w:pStyle w:val="TOC8"/>
        <w:rPr>
          <w:rFonts w:asciiTheme="minorHAnsi" w:eastAsiaTheme="minorEastAsia" w:hAnsiTheme="minorHAnsi" w:cstheme="minorBidi"/>
          <w:szCs w:val="22"/>
        </w:rPr>
      </w:pPr>
      <w:r>
        <w:t>55.</w:t>
      </w:r>
      <w:r>
        <w:tab/>
        <w:t>Transitional provisions (Council)</w:t>
      </w:r>
      <w:r>
        <w:tab/>
      </w:r>
      <w:r>
        <w:fldChar w:fldCharType="begin"/>
      </w:r>
      <w:r>
        <w:instrText xml:space="preserve"> PAGEREF _Toc494452172 \h </w:instrText>
      </w:r>
      <w:r>
        <w:fldChar w:fldCharType="separate"/>
      </w:r>
      <w:r>
        <w:t>66</w:t>
      </w:r>
      <w:r>
        <w:fldChar w:fldCharType="end"/>
      </w:r>
    </w:p>
    <w:p>
      <w:pPr>
        <w:pStyle w:val="TOC8"/>
        <w:rPr>
          <w:rFonts w:asciiTheme="minorHAnsi" w:eastAsiaTheme="minorEastAsia" w:hAnsiTheme="minorHAnsi" w:cstheme="minorBidi"/>
          <w:szCs w:val="22"/>
        </w:rPr>
      </w:pPr>
      <w:r>
        <w:t>56.</w:t>
      </w:r>
      <w:r>
        <w:tab/>
        <w:t>Transitional provisions (Deputy Chancellor)</w:t>
      </w:r>
      <w:r>
        <w:tab/>
      </w:r>
      <w:r>
        <w:fldChar w:fldCharType="begin"/>
      </w:r>
      <w:r>
        <w:instrText xml:space="preserve"> PAGEREF _Toc494452173 \h </w:instrText>
      </w:r>
      <w:r>
        <w:fldChar w:fldCharType="separate"/>
      </w:r>
      <w:r>
        <w:t>67</w:t>
      </w:r>
      <w:r>
        <w:fldChar w:fldCharType="end"/>
      </w:r>
    </w:p>
    <w:p>
      <w:pPr>
        <w:pStyle w:val="TOC8"/>
        <w:rPr>
          <w:rFonts w:asciiTheme="minorHAnsi" w:eastAsiaTheme="minorEastAsia" w:hAnsiTheme="minorHAnsi" w:cstheme="minorBidi"/>
          <w:szCs w:val="22"/>
        </w:rPr>
      </w:pPr>
      <w:r>
        <w:t>57.</w:t>
      </w:r>
      <w:r>
        <w:tab/>
        <w:t>Transitional provisions (Vice</w:t>
      </w:r>
      <w:r>
        <w:noBreakHyphen/>
        <w:t>Chancellor)</w:t>
      </w:r>
      <w:r>
        <w:tab/>
      </w:r>
      <w:r>
        <w:fldChar w:fldCharType="begin"/>
      </w:r>
      <w:r>
        <w:instrText xml:space="preserve"> PAGEREF _Toc494452174 \h </w:instrText>
      </w:r>
      <w:r>
        <w:fldChar w:fldCharType="separate"/>
      </w:r>
      <w:r>
        <w:t>68</w:t>
      </w:r>
      <w:r>
        <w:fldChar w:fldCharType="end"/>
      </w:r>
    </w:p>
    <w:p>
      <w:pPr>
        <w:pStyle w:val="TOC8"/>
        <w:rPr>
          <w:rFonts w:asciiTheme="minorHAnsi" w:eastAsiaTheme="minorEastAsia" w:hAnsiTheme="minorHAnsi" w:cstheme="minorBidi"/>
          <w:szCs w:val="22"/>
        </w:rPr>
      </w:pPr>
      <w:r>
        <w:t>58.</w:t>
      </w:r>
      <w:r>
        <w:tab/>
        <w:t>Transitional provisions (Advisory Board of the Academy)</w:t>
      </w:r>
      <w:r>
        <w:tab/>
      </w:r>
      <w:r>
        <w:fldChar w:fldCharType="begin"/>
      </w:r>
      <w:r>
        <w:instrText xml:space="preserve"> PAGEREF _Toc494452175 \h </w:instrText>
      </w:r>
      <w:r>
        <w:fldChar w:fldCharType="separate"/>
      </w:r>
      <w:r>
        <w:t>68</w:t>
      </w:r>
      <w:r>
        <w:fldChar w:fldCharType="end"/>
      </w:r>
    </w:p>
    <w:p>
      <w:pPr>
        <w:pStyle w:val="TOC8"/>
        <w:rPr>
          <w:rFonts w:asciiTheme="minorHAnsi" w:eastAsiaTheme="minorEastAsia" w:hAnsiTheme="minorHAnsi" w:cstheme="minorBidi"/>
          <w:szCs w:val="22"/>
        </w:rPr>
      </w:pPr>
      <w:r>
        <w:t>59.</w:t>
      </w:r>
      <w:r>
        <w:tab/>
        <w:t>Transitional provisions (Statutes)</w:t>
      </w:r>
      <w:r>
        <w:tab/>
      </w:r>
      <w:r>
        <w:fldChar w:fldCharType="begin"/>
      </w:r>
      <w:r>
        <w:instrText xml:space="preserve"> PAGEREF _Toc494452176 \h </w:instrText>
      </w:r>
      <w:r>
        <w:fldChar w:fldCharType="separate"/>
      </w:r>
      <w:r>
        <w:t>69</w:t>
      </w:r>
      <w:r>
        <w:fldChar w:fldCharType="end"/>
      </w:r>
    </w:p>
    <w:p>
      <w:pPr>
        <w:pStyle w:val="TOC8"/>
        <w:rPr>
          <w:rFonts w:asciiTheme="minorHAnsi" w:eastAsiaTheme="minorEastAsia" w:hAnsiTheme="minorHAnsi" w:cstheme="minorBidi"/>
          <w:szCs w:val="22"/>
        </w:rPr>
      </w:pPr>
      <w:r>
        <w:t>60.</w:t>
      </w:r>
      <w:r>
        <w:tab/>
        <w:t>Transitional provisions (guarantees)</w:t>
      </w:r>
      <w:r>
        <w:tab/>
      </w:r>
      <w:r>
        <w:fldChar w:fldCharType="begin"/>
      </w:r>
      <w:r>
        <w:instrText xml:space="preserve"> PAGEREF _Toc494452177 \h </w:instrText>
      </w:r>
      <w:r>
        <w:fldChar w:fldCharType="separate"/>
      </w:r>
      <w:r>
        <w:t>70</w:t>
      </w:r>
      <w:r>
        <w:fldChar w:fldCharType="end"/>
      </w:r>
    </w:p>
    <w:p>
      <w:pPr>
        <w:pStyle w:val="TOC8"/>
        <w:rPr>
          <w:rFonts w:asciiTheme="minorHAnsi" w:eastAsiaTheme="minorEastAsia" w:hAnsiTheme="minorHAnsi" w:cstheme="minorBidi"/>
          <w:szCs w:val="22"/>
        </w:rPr>
      </w:pPr>
      <w:r>
        <w:t>61.</w:t>
      </w:r>
      <w:r>
        <w:tab/>
        <w:t>Transitional provisions (amenities and services fee)</w:t>
      </w:r>
      <w:r>
        <w:tab/>
      </w:r>
      <w:r>
        <w:fldChar w:fldCharType="begin"/>
      </w:r>
      <w:r>
        <w:instrText xml:space="preserve"> PAGEREF _Toc494452178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Schedule 1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_Toc494452181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_Toc494452183 \h </w:instrText>
      </w:r>
      <w:r>
        <w:fldChar w:fldCharType="separate"/>
      </w:r>
      <w:r>
        <w:t>72</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_Toc494452184 \h </w:instrText>
      </w:r>
      <w:r>
        <w:fldChar w:fldCharType="separate"/>
      </w:r>
      <w:r>
        <w:t>72</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_Toc494452185 \h </w:instrText>
      </w:r>
      <w:r>
        <w:fldChar w:fldCharType="separate"/>
      </w:r>
      <w:r>
        <w:t>72</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_Toc494452186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_Toc494452188 \h </w:instrText>
      </w:r>
      <w:r>
        <w:fldChar w:fldCharType="separate"/>
      </w:r>
      <w:r>
        <w:t>74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_Toc494452189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600"/>
      </w:pPr>
      <w:r>
        <w:t xml:space="preserve">Edith Cowan University Act 1984 </w:t>
      </w:r>
    </w:p>
    <w:p>
      <w:pPr>
        <w:pStyle w:val="LongTitle"/>
        <w:spacing w:before="480"/>
        <w:rPr>
          <w:snapToGrid w:val="0"/>
        </w:rPr>
      </w:pPr>
      <w:r>
        <w:rPr>
          <w:snapToGrid w:val="0"/>
        </w:rPr>
        <w:t xml:space="preserve">An Act to establish and incorporate Edith Cowan University and for incidental and other purposes. </w:t>
      </w:r>
    </w:p>
    <w:p>
      <w:pPr>
        <w:pStyle w:val="Footnotelongtitle"/>
      </w:pPr>
      <w:r>
        <w:tab/>
        <w:t>[Long title inserted by No. 63 of 1990 s. 4; amended by No. 32 of 2016 s. 49.]</w:t>
      </w:r>
    </w:p>
    <w:p>
      <w:pPr>
        <w:pStyle w:val="Heading2"/>
      </w:pPr>
      <w:bookmarkStart w:id="3" w:name="_Toc494452081"/>
      <w:r>
        <w:rPr>
          <w:rStyle w:val="CharPartNo"/>
        </w:rPr>
        <w:t>Part I</w:t>
      </w:r>
      <w:r>
        <w:rPr>
          <w:rStyle w:val="CharDivNo"/>
        </w:rPr>
        <w:t> </w:t>
      </w:r>
      <w:r>
        <w:t>—</w:t>
      </w:r>
      <w:r>
        <w:rPr>
          <w:rStyle w:val="CharDivText"/>
        </w:rPr>
        <w:t> </w:t>
      </w:r>
      <w:r>
        <w:rPr>
          <w:rStyle w:val="CharPartText"/>
        </w:rPr>
        <w:t>Preliminary</w:t>
      </w:r>
      <w:bookmarkEnd w:id="3"/>
      <w:r>
        <w:rPr>
          <w:rStyle w:val="CharPartText"/>
        </w:rPr>
        <w:t xml:space="preserve"> </w:t>
      </w:r>
    </w:p>
    <w:p>
      <w:pPr>
        <w:pStyle w:val="Heading5"/>
        <w:rPr>
          <w:snapToGrid w:val="0"/>
        </w:rPr>
      </w:pPr>
      <w:bookmarkStart w:id="4" w:name="_Toc494452082"/>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Edith Cowan University Act 1984</w:t>
      </w:r>
      <w:r>
        <w:rPr>
          <w:snapToGrid w:val="0"/>
          <w:vertAlign w:val="superscript"/>
        </w:rPr>
        <w:t xml:space="preserve"> 1</w:t>
      </w:r>
      <w:r>
        <w:rPr>
          <w:snapToGrid w:val="0"/>
        </w:rPr>
        <w:t>.</w:t>
      </w:r>
    </w:p>
    <w:p>
      <w:pPr>
        <w:pStyle w:val="Footnotesection"/>
      </w:pPr>
      <w:r>
        <w:tab/>
        <w:t xml:space="preserve">[Section 1 amended by No. 63 of 1990 s. 19.] </w:t>
      </w:r>
    </w:p>
    <w:p>
      <w:pPr>
        <w:pStyle w:val="Heading5"/>
        <w:rPr>
          <w:snapToGrid w:val="0"/>
        </w:rPr>
      </w:pPr>
      <w:bookmarkStart w:id="5" w:name="_Toc494452083"/>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 w:name="_Toc494452084"/>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Academic Board</w:t>
      </w:r>
      <w:r>
        <w:t xml:space="preserve"> means the Board established in accordance with section 18;</w:t>
      </w:r>
    </w:p>
    <w:p>
      <w:pPr>
        <w:pStyle w:val="Defstart"/>
      </w:pPr>
      <w:r>
        <w:rPr>
          <w:b/>
        </w:rPr>
        <w:tab/>
      </w:r>
      <w:r>
        <w:rPr>
          <w:rStyle w:val="CharDefText"/>
        </w:rPr>
        <w:t>Academy</w:t>
      </w:r>
      <w:r>
        <w:t xml:space="preserve"> means the Western Australian Academy of Performing Arts referred to in section 24;</w:t>
      </w:r>
    </w:p>
    <w:p>
      <w:pPr>
        <w:pStyle w:val="Defstart"/>
      </w:pPr>
      <w:r>
        <w:tab/>
      </w:r>
      <w:r>
        <w:rPr>
          <w:rStyle w:val="CharDefText"/>
        </w:rPr>
        <w:t>Advisory Board</w:t>
      </w:r>
      <w:r>
        <w:t xml:space="preserve"> means — </w:t>
      </w:r>
    </w:p>
    <w:p>
      <w:pPr>
        <w:pStyle w:val="Defpara"/>
      </w:pPr>
      <w:r>
        <w:tab/>
        <w:t>(a)</w:t>
      </w:r>
      <w:r>
        <w:tab/>
        <w:t>the ECU South West Campus (Bunbury) Advisory Board referred to in section 20(1); or</w:t>
      </w:r>
    </w:p>
    <w:p>
      <w:pPr>
        <w:pStyle w:val="Indenta"/>
      </w:pPr>
      <w:r>
        <w:tab/>
        <w:t>(b)</w:t>
      </w:r>
      <w:r>
        <w:tab/>
        <w:t>the Advisory Board of the Academy referred to in section 25(1);</w:t>
      </w:r>
    </w:p>
    <w:p>
      <w:pPr>
        <w:pStyle w:val="Defstart"/>
      </w:pPr>
      <w:r>
        <w:rPr>
          <w:b/>
        </w:rPr>
        <w:tab/>
      </w:r>
      <w:r>
        <w:rPr>
          <w:rStyle w:val="CharDefText"/>
        </w:rPr>
        <w:t>Alumni</w:t>
      </w:r>
      <w:r>
        <w:t xml:space="preserve"> means graduates of — </w:t>
      </w:r>
    </w:p>
    <w:p>
      <w:pPr>
        <w:pStyle w:val="Defpara"/>
      </w:pPr>
      <w:r>
        <w:tab/>
        <w:t>(a)</w:t>
      </w:r>
      <w:r>
        <w:tab/>
        <w:t>the University;</w:t>
      </w:r>
    </w:p>
    <w:p>
      <w:pPr>
        <w:pStyle w:val="Defpara"/>
      </w:pPr>
      <w:r>
        <w:tab/>
        <w:t>(b)</w:t>
      </w:r>
      <w:r>
        <w:tab/>
        <w:t>a constituent college or a college referred to in section 47 of the Colleges Act; or</w:t>
      </w:r>
    </w:p>
    <w:p>
      <w:pPr>
        <w:pStyle w:val="Defpara"/>
      </w:pPr>
      <w:r>
        <w:tab/>
        <w:t>(c)</w:t>
      </w:r>
      <w:r>
        <w:tab/>
        <w:t xml:space="preserve">a college established and maintained by the Minister at Churchlands, Claremont, Graylands, Mount Lawley or Nedlands under section 10 of the </w:t>
      </w:r>
      <w:r>
        <w:rPr>
          <w:i/>
        </w:rPr>
        <w:t>Education Act 1928 </w:t>
      </w:r>
      <w:r>
        <w:rPr>
          <w:iCs/>
          <w:vertAlign w:val="superscript"/>
        </w:rPr>
        <w:t>2</w:t>
      </w:r>
      <w:r>
        <w:t xml:space="preserve"> as in force immediately before the appointed day as defined in section 4 of the </w:t>
      </w:r>
      <w:r>
        <w:rPr>
          <w:i/>
        </w:rPr>
        <w:t>Teacher Education Act 1972</w:t>
      </w:r>
      <w:r>
        <w:t> </w:t>
      </w:r>
      <w:r>
        <w:rPr>
          <w:vertAlign w:val="superscript"/>
        </w:rPr>
        <w:t>3</w:t>
      </w:r>
      <w:r>
        <w:t>;</w:t>
      </w:r>
    </w:p>
    <w:p>
      <w:pPr>
        <w:pStyle w:val="Defstart"/>
      </w:pPr>
      <w:r>
        <w:rPr>
          <w:b/>
        </w:rPr>
        <w:tab/>
      </w:r>
      <w:r>
        <w:rPr>
          <w:rStyle w:val="CharDefText"/>
        </w:rPr>
        <w:t>casual vacancy</w:t>
      </w:r>
      <w:r>
        <w:t xml:space="preserve"> means a vacancy arising in the office of a member of the Council otherwise than by reason of the effluxion of time;</w:t>
      </w:r>
    </w:p>
    <w:p>
      <w:pPr>
        <w:pStyle w:val="Defstart"/>
      </w:pPr>
      <w:r>
        <w:rPr>
          <w:b/>
        </w:rPr>
        <w:tab/>
      </w:r>
      <w:r>
        <w:rPr>
          <w:rStyle w:val="CharDefText"/>
        </w:rPr>
        <w:t>Chancellor</w:t>
      </w:r>
      <w:r>
        <w:t xml:space="preserve"> means the Chancellor of the University;</w:t>
      </w:r>
    </w:p>
    <w:p>
      <w:pPr>
        <w:pStyle w:val="Defstart"/>
      </w:pPr>
      <w:r>
        <w:rPr>
          <w:b/>
        </w:rPr>
        <w:tab/>
      </w:r>
      <w:r>
        <w:rPr>
          <w:rStyle w:val="CharDefText"/>
        </w:rPr>
        <w:t>Colleges Act</w:t>
      </w:r>
      <w:r>
        <w:t xml:space="preserve"> means the </w:t>
      </w:r>
      <w:r>
        <w:rPr>
          <w:i/>
        </w:rPr>
        <w:t>Colleges Act 1978</w:t>
      </w:r>
      <w:r>
        <w:rPr>
          <w:vertAlign w:val="superscript"/>
        </w:rPr>
        <w:t xml:space="preserve">  4</w:t>
      </w:r>
      <w:r>
        <w:t>;</w:t>
      </w:r>
    </w:p>
    <w:p>
      <w:pPr>
        <w:pStyle w:val="Defstart"/>
      </w:pPr>
      <w:r>
        <w:rPr>
          <w:b/>
        </w:rPr>
        <w:tab/>
      </w:r>
      <w:r>
        <w:rPr>
          <w:rStyle w:val="CharDefText"/>
        </w:rPr>
        <w:t>commencement date</w:t>
      </w:r>
      <w:r>
        <w:t xml:space="preserve"> means the date on which this Act comes into operation</w:t>
      </w:r>
      <w:r>
        <w:rPr>
          <w:vertAlign w:val="superscript"/>
        </w:rPr>
        <w:t xml:space="preserve"> 1</w:t>
      </w:r>
      <w:r>
        <w:t>;</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Deputy Chancellor</w:t>
      </w:r>
      <w:r>
        <w:t xml:space="preserve"> means the Deputy Chancellor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member</w:t>
      </w:r>
      <w:r>
        <w:t xml:space="preserve"> means a member of the Council;</w:t>
      </w:r>
    </w:p>
    <w:p>
      <w:pPr>
        <w:pStyle w:val="Defstart"/>
      </w:pPr>
      <w:r>
        <w:rPr>
          <w:b/>
        </w:rPr>
        <w:tab/>
      </w:r>
      <w:r>
        <w:rPr>
          <w:rStyle w:val="CharDefText"/>
        </w:rPr>
        <w:t>member of the staff</w:t>
      </w:r>
      <w:r>
        <w:t xml:space="preserve"> means the Vice</w:t>
      </w:r>
      <w:r>
        <w:noBreakHyphen/>
        <w:t>Chancellor, a member of the academic or other staff, an officer or employee of the University;</w:t>
      </w:r>
    </w:p>
    <w:p>
      <w:pPr>
        <w:pStyle w:val="Defstart"/>
      </w:pPr>
      <w:r>
        <w:rPr>
          <w:b/>
        </w:rPr>
        <w:tab/>
      </w:r>
      <w:r>
        <w:rPr>
          <w:rStyle w:val="CharDefText"/>
        </w:rPr>
        <w:t>prescribed</w:t>
      </w:r>
      <w:r>
        <w:t xml:space="preserve"> means prescribed by this Act, by a by</w:t>
      </w:r>
      <w:r>
        <w:noBreakHyphen/>
        <w:t>law made under this Act, by a Statute or by a rule made under a Statute;</w:t>
      </w:r>
    </w:p>
    <w:p>
      <w:pPr>
        <w:pStyle w:val="Defstar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members of the staff, or enrolled students, or both;</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Edith Cowan University Student Guild referred to in section 41;</w:t>
      </w:r>
    </w:p>
    <w:p>
      <w:pPr>
        <w:pStyle w:val="Defstart"/>
      </w:pPr>
      <w:r>
        <w:rPr>
          <w:b/>
        </w:rPr>
        <w:tab/>
      </w:r>
      <w:r>
        <w:rPr>
          <w:rStyle w:val="CharDefText"/>
        </w:rPr>
        <w:t>University</w:t>
      </w:r>
      <w:r>
        <w:t xml:space="preserve"> means Edith Cowan University referred to in this Act;</w:t>
      </w:r>
    </w:p>
    <w:p>
      <w:pPr>
        <w:pStyle w:val="Defstart"/>
      </w:pPr>
      <w:r>
        <w:tab/>
      </w:r>
      <w:r>
        <w:rPr>
          <w:rStyle w:val="CharDefText"/>
        </w:rPr>
        <w:t>Vice</w:t>
      </w:r>
      <w:r>
        <w:rPr>
          <w:rStyle w:val="CharDefText"/>
        </w:rPr>
        <w:noBreakHyphen/>
        <w:t>Chancellor</w:t>
      </w:r>
      <w:r>
        <w:t xml:space="preserve"> means the Vice</w:t>
      </w:r>
      <w:r>
        <w:noBreakHyphen/>
        <w:t>Chancellor of the University.</w:t>
      </w:r>
    </w:p>
    <w:p>
      <w:pPr>
        <w:pStyle w:val="Subsection"/>
        <w:rPr>
          <w:snapToGrid w:val="0"/>
        </w:rPr>
      </w:pPr>
      <w:r>
        <w:rPr>
          <w:snapToGrid w:val="0"/>
        </w:rPr>
        <w:tab/>
        <w:t>(2)</w:t>
      </w:r>
      <w:r>
        <w:rPr>
          <w:snapToGrid w:val="0"/>
        </w:rPr>
        <w:tab/>
        <w:t>Any question arising as to whether a person is or is not a member of the academic staff, or a member of the salaried staff, or an officer or employee of the University shall be determined by the Council and the decision of the Council is final.</w:t>
      </w:r>
    </w:p>
    <w:p>
      <w:pPr>
        <w:pStyle w:val="Subsection"/>
        <w:rPr>
          <w:snapToGrid w:val="0"/>
        </w:rPr>
      </w:pPr>
      <w:r>
        <w:rPr>
          <w:snapToGrid w:val="0"/>
        </w:rPr>
        <w:tab/>
        <w:t>(3)</w:t>
      </w:r>
      <w:r>
        <w:rPr>
          <w:snapToGrid w:val="0"/>
        </w:rPr>
        <w:tab/>
        <w:t>Any question arising as to whether a person — </w:t>
      </w:r>
    </w:p>
    <w:p>
      <w:pPr>
        <w:pStyle w:val="Indenta"/>
        <w:rPr>
          <w:snapToGrid w:val="0"/>
        </w:rPr>
      </w:pPr>
      <w:r>
        <w:rPr>
          <w:snapToGrid w:val="0"/>
        </w:rPr>
        <w:tab/>
        <w:t>(a)</w:t>
      </w:r>
      <w:r>
        <w:rPr>
          <w:snapToGrid w:val="0"/>
        </w:rPr>
        <w:tab/>
        <w:t>is a member of the staff at the Academy or at a particular campus of the University; or</w:t>
      </w:r>
    </w:p>
    <w:p>
      <w:pPr>
        <w:pStyle w:val="Indenta"/>
        <w:keepNext/>
        <w:rPr>
          <w:snapToGrid w:val="0"/>
        </w:rPr>
      </w:pPr>
      <w:r>
        <w:rPr>
          <w:snapToGrid w:val="0"/>
        </w:rPr>
        <w:tab/>
        <w:t>(b)</w:t>
      </w:r>
      <w:r>
        <w:rPr>
          <w:snapToGrid w:val="0"/>
        </w:rPr>
        <w:tab/>
        <w:t>is an enrolled student at the Academy or at a particular campus of the University,</w:t>
      </w:r>
    </w:p>
    <w:p>
      <w:pPr>
        <w:pStyle w:val="Subsection"/>
        <w:rPr>
          <w:snapToGrid w:val="0"/>
        </w:rPr>
      </w:pPr>
      <w:r>
        <w:rPr>
          <w:snapToGrid w:val="0"/>
        </w:rPr>
        <w:tab/>
      </w:r>
      <w:r>
        <w:rPr>
          <w:snapToGrid w:val="0"/>
        </w:rPr>
        <w:tab/>
        <w:t>shall be determined by the Council and the decision of the Council is final.</w:t>
      </w:r>
    </w:p>
    <w:p>
      <w:pPr>
        <w:pStyle w:val="Footnotesection"/>
      </w:pPr>
      <w:r>
        <w:tab/>
        <w:t xml:space="preserve">[Section 3 amended by No. 77 of 1985 s. 11; No. 48 of 1989 s. 21; No. 63 of 1990 s. 5 and 19; No. 32 of 2016 s. 50.] </w:t>
      </w:r>
    </w:p>
    <w:p>
      <w:pPr>
        <w:pStyle w:val="Heading2"/>
      </w:pPr>
      <w:bookmarkStart w:id="7" w:name="_Toc494452085"/>
      <w:r>
        <w:rPr>
          <w:rStyle w:val="CharPartNo"/>
        </w:rPr>
        <w:t>Part II</w:t>
      </w:r>
      <w:r>
        <w:rPr>
          <w:rStyle w:val="CharDivNo"/>
        </w:rPr>
        <w:t> </w:t>
      </w:r>
      <w:r>
        <w:t>—</w:t>
      </w:r>
      <w:r>
        <w:rPr>
          <w:rStyle w:val="CharDivText"/>
        </w:rPr>
        <w:t> </w:t>
      </w:r>
      <w:r>
        <w:rPr>
          <w:rStyle w:val="CharPartText"/>
        </w:rPr>
        <w:t>Edith Cowan University</w:t>
      </w:r>
      <w:bookmarkEnd w:id="7"/>
      <w:r>
        <w:rPr>
          <w:rStyle w:val="CharPartText"/>
        </w:rPr>
        <w:t xml:space="preserve"> </w:t>
      </w:r>
    </w:p>
    <w:p>
      <w:pPr>
        <w:pStyle w:val="Footnoteheading"/>
        <w:ind w:left="890"/>
        <w:rPr>
          <w:snapToGrid w:val="0"/>
        </w:rPr>
      </w:pPr>
      <w:r>
        <w:rPr>
          <w:snapToGrid w:val="0"/>
        </w:rPr>
        <w:tab/>
        <w:t xml:space="preserve">[Heading amended by No. 63 of 1990 s. 19; No. 32 of 2016 s. 51.] </w:t>
      </w:r>
    </w:p>
    <w:p>
      <w:pPr>
        <w:pStyle w:val="Heading5"/>
        <w:rPr>
          <w:snapToGrid w:val="0"/>
        </w:rPr>
      </w:pPr>
      <w:bookmarkStart w:id="8" w:name="_Toc494452086"/>
      <w:r>
        <w:rPr>
          <w:rStyle w:val="CharSectno"/>
        </w:rPr>
        <w:t>4</w:t>
      </w:r>
      <w:r>
        <w:rPr>
          <w:snapToGrid w:val="0"/>
        </w:rPr>
        <w:t>.</w:t>
      </w:r>
      <w:r>
        <w:rPr>
          <w:snapToGrid w:val="0"/>
        </w:rPr>
        <w:tab/>
        <w:t>Establishment</w:t>
      </w:r>
      <w:bookmarkEnd w:id="8"/>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xml:space="preserve">) the body corporate, consisting of the Council, the members of the staff and the enrolled students, that was continued in existence under this Act as if on the coming into operation of this Act it had been established under this Act by the name of the “Western Australian College of Advanced Education” is preserved and continues in existence as a body corporate under and subject to the provisions of this Act to be </w:t>
      </w:r>
      <w:r>
        <w:t>called</w:t>
      </w:r>
      <w:r>
        <w:rPr>
          <w:snapToGrid w:val="0"/>
        </w:rPr>
        <w:t xml:space="preserve"> “Edith Cowan University”, but so that the corporate identity of the body corporate and its rights and obligations are not affected by the change in name.</w:t>
      </w:r>
    </w:p>
    <w:p>
      <w:pPr>
        <w:pStyle w:val="Subsection"/>
        <w:rPr>
          <w:snapToGrid w:val="0"/>
        </w:rPr>
      </w:pPr>
      <w:r>
        <w:rPr>
          <w:snapToGrid w:val="0"/>
        </w:rPr>
        <w:tab/>
        <w:t>(2)</w:t>
      </w:r>
      <w:r>
        <w:rPr>
          <w:snapToGrid w:val="0"/>
        </w:rPr>
        <w:tab/>
        <w:t>A reference to the Western Australian College of Advanced Education,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 or</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 xml:space="preserve">shall be construed as if it had been amended to be a reference to </w:t>
      </w:r>
      <w:r>
        <w:t>Edith</w:t>
      </w:r>
      <w:r>
        <w:rPr>
          <w:snapToGrid w:val="0"/>
        </w:rPr>
        <w:t xml:space="preserve"> Cowan University, unless because of the context it would be inappropriate to construe the reference in that manner.</w:t>
      </w:r>
    </w:p>
    <w:p>
      <w:pPr>
        <w:pStyle w:val="Footnotesection"/>
      </w:pPr>
      <w:r>
        <w:tab/>
        <w:t xml:space="preserve">[Section 4 inserted by No. 63 of 1990 s. 6; amended by No. 32 of 2016 s. 52.] </w:t>
      </w:r>
    </w:p>
    <w:p>
      <w:pPr>
        <w:pStyle w:val="Heading5"/>
        <w:rPr>
          <w:snapToGrid w:val="0"/>
        </w:rPr>
      </w:pPr>
      <w:bookmarkStart w:id="9" w:name="_Toc494452087"/>
      <w:r>
        <w:rPr>
          <w:rStyle w:val="CharSectno"/>
        </w:rPr>
        <w:t>5</w:t>
      </w:r>
      <w:r>
        <w:rPr>
          <w:snapToGrid w:val="0"/>
        </w:rPr>
        <w:t>.</w:t>
      </w:r>
      <w:r>
        <w:rPr>
          <w:snapToGrid w:val="0"/>
        </w:rPr>
        <w:tab/>
        <w:t>Constitution and powers</w:t>
      </w:r>
      <w:bookmarkEnd w:id="9"/>
      <w:r>
        <w:rPr>
          <w:snapToGrid w:val="0"/>
        </w:rPr>
        <w:t xml:space="preserve"> </w:t>
      </w:r>
    </w:p>
    <w:p>
      <w:pPr>
        <w:pStyle w:val="Subsection"/>
        <w:rPr>
          <w:snapToGrid w:val="0"/>
        </w:rPr>
      </w:pPr>
      <w:r>
        <w:rPr>
          <w:snapToGrid w:val="0"/>
        </w:rPr>
        <w:tab/>
        <w:t>(1)</w:t>
      </w:r>
      <w:r>
        <w:rPr>
          <w:snapToGrid w:val="0"/>
        </w:rPr>
        <w:tab/>
        <w:t>Subject to this Act, the University shall consist of the Council, the members of the staff and the enrolled students.</w:t>
      </w:r>
    </w:p>
    <w:p>
      <w:pPr>
        <w:pStyle w:val="Subsection"/>
        <w:rPr>
          <w:snapToGrid w:val="0"/>
        </w:rPr>
      </w:pPr>
      <w:r>
        <w:rPr>
          <w:snapToGrid w:val="0"/>
        </w:rPr>
        <w:tab/>
        <w:t>(2)</w:t>
      </w:r>
      <w:r>
        <w:rPr>
          <w:snapToGrid w:val="0"/>
        </w:rPr>
        <w:tab/>
        <w:t>The University shall be a body corporate and under its corporate name — </w:t>
      </w:r>
    </w:p>
    <w:p>
      <w:pPr>
        <w:pStyle w:val="Indenta"/>
        <w:spacing w:before="100"/>
        <w:rPr>
          <w:snapToGrid w:val="0"/>
        </w:rPr>
      </w:pPr>
      <w:r>
        <w:rPr>
          <w:snapToGrid w:val="0"/>
        </w:rPr>
        <w:tab/>
        <w:t>(a)</w:t>
      </w:r>
      <w:r>
        <w:rPr>
          <w:snapToGrid w:val="0"/>
        </w:rPr>
        <w:tab/>
        <w:t>has perpetual succession;</w:t>
      </w:r>
      <w:r>
        <w:t xml:space="preserve"> and</w:t>
      </w:r>
    </w:p>
    <w:p>
      <w:pPr>
        <w:pStyle w:val="Indenta"/>
        <w:spacing w:before="100"/>
        <w:rPr>
          <w:snapToGrid w:val="0"/>
        </w:rPr>
      </w:pPr>
      <w:r>
        <w:rPr>
          <w:snapToGrid w:val="0"/>
        </w:rPr>
        <w:tab/>
        <w:t>(b)</w:t>
      </w:r>
      <w:r>
        <w:rPr>
          <w:snapToGrid w:val="0"/>
        </w:rPr>
        <w:tab/>
        <w:t>shall have a common seal;</w:t>
      </w:r>
      <w:r>
        <w:t xml:space="preserve"> and</w:t>
      </w:r>
    </w:p>
    <w:p>
      <w:pPr>
        <w:pStyle w:val="Indenta"/>
        <w:spacing w:before="100"/>
        <w:rPr>
          <w:snapToGrid w:val="0"/>
        </w:rPr>
      </w:pPr>
      <w:r>
        <w:rPr>
          <w:snapToGrid w:val="0"/>
        </w:rPr>
        <w:tab/>
        <w:t>(c)</w:t>
      </w:r>
      <w:r>
        <w:rPr>
          <w:snapToGrid w:val="0"/>
        </w:rPr>
        <w:tab/>
        <w:t>may sue and be sued in any court;</w:t>
      </w:r>
      <w:r>
        <w:t xml:space="preserve"> and</w:t>
      </w:r>
    </w:p>
    <w:p>
      <w:pPr>
        <w:pStyle w:val="Indenta"/>
        <w:spacing w:before="100"/>
        <w:rPr>
          <w:snapToGrid w:val="0"/>
        </w:rPr>
      </w:pPr>
      <w:r>
        <w:rPr>
          <w:snapToGrid w:val="0"/>
        </w:rPr>
        <w:tab/>
        <w:t>(d)</w:t>
      </w:r>
      <w:r>
        <w:rPr>
          <w:snapToGrid w:val="0"/>
        </w:rPr>
        <w:tab/>
        <w:t>may take, purchase and hold real and personal property, including property devised, bequeathed or given to the University;</w:t>
      </w:r>
      <w:r>
        <w:t xml:space="preserve"> and</w:t>
      </w:r>
    </w:p>
    <w:p>
      <w:pPr>
        <w:pStyle w:val="Indenta"/>
        <w:spacing w:before="100"/>
        <w:rPr>
          <w:snapToGrid w:val="0"/>
        </w:rPr>
      </w:pPr>
      <w:r>
        <w:rPr>
          <w:snapToGrid w:val="0"/>
        </w:rPr>
        <w:tab/>
        <w:t>(e)</w:t>
      </w:r>
      <w:r>
        <w:rPr>
          <w:snapToGrid w:val="0"/>
        </w:rPr>
        <w:tab/>
        <w:t xml:space="preserve">may grant, sell, alienate, assign and demise real and personal property </w:t>
      </w:r>
      <w:r>
        <w:t>acquired or held by the University as it thinks fit subject only, in respect of property</w:t>
      </w:r>
      <w:r>
        <w:rPr>
          <w:snapToGrid w:val="0"/>
        </w:rPr>
        <w:t xml:space="preserve"> devised, bequeathed or given to the </w:t>
      </w:r>
      <w:r>
        <w:t xml:space="preserve">University, </w:t>
      </w:r>
      <w:r>
        <w:rPr>
          <w:snapToGrid w:val="0"/>
        </w:rPr>
        <w:t>to the express trusts of any deed, will, or instrument under which the property was acquired;</w:t>
      </w:r>
      <w:r>
        <w:t xml:space="preserve"> and</w:t>
      </w:r>
    </w:p>
    <w:p>
      <w:pPr>
        <w:pStyle w:val="Indenta"/>
        <w:spacing w:before="100"/>
        <w:rPr>
          <w:snapToGrid w:val="0"/>
        </w:rPr>
      </w:pPr>
      <w:r>
        <w:rPr>
          <w:snapToGrid w:val="0"/>
        </w:rPr>
        <w:tab/>
        <w:t>(ea)</w:t>
      </w:r>
      <w:r>
        <w:rPr>
          <w:snapToGrid w:val="0"/>
        </w:rPr>
        <w:tab/>
        <w:t xml:space="preserve">may grant leases of land vested in the University under section 28 for a term not exceeding 99 years subject, where the term exceeds 21 years, to the approval of the </w:t>
      </w:r>
      <w:r>
        <w:t>Minister; and</w:t>
      </w:r>
    </w:p>
    <w:p>
      <w:pPr>
        <w:pStyle w:val="Indenta"/>
      </w:pPr>
      <w:r>
        <w:tab/>
        <w:t>(eb)</w:t>
      </w:r>
      <w:r>
        <w:tab/>
        <w:t>may enter into business arrangements; and</w:t>
      </w:r>
    </w:p>
    <w:p>
      <w:pPr>
        <w:pStyle w:val="Indenta"/>
        <w:spacing w:before="100"/>
        <w:rPr>
          <w:snapToGrid w:val="0"/>
        </w:rPr>
      </w:pPr>
      <w:r>
        <w:rPr>
          <w:snapToGrid w:val="0"/>
        </w:rPr>
        <w:tab/>
        <w:t>(f)</w:t>
      </w:r>
      <w:r>
        <w:rPr>
          <w:snapToGrid w:val="0"/>
        </w:rPr>
        <w:tab/>
        <w:t>may do and suffer all other acts and things that bodies corporate may by law do and suffer.</w:t>
      </w:r>
    </w:p>
    <w:p>
      <w:pPr>
        <w:pStyle w:val="Footnotesection"/>
      </w:pPr>
      <w:r>
        <w:tab/>
        <w:t>[Section 5 amended by No. 63 of 1990 s. 7 and 19; No.</w:t>
      </w:r>
      <w:r>
        <w:rPr>
          <w:sz w:val="28"/>
        </w:rPr>
        <w:t> </w:t>
      </w:r>
      <w:r>
        <w:t xml:space="preserve">8 of 2005 s. 14; No. 32 of 2016 s. 53.] </w:t>
      </w:r>
    </w:p>
    <w:p>
      <w:pPr>
        <w:pStyle w:val="Heading5"/>
        <w:rPr>
          <w:snapToGrid w:val="0"/>
        </w:rPr>
      </w:pPr>
      <w:bookmarkStart w:id="10" w:name="_Toc494452088"/>
      <w:r>
        <w:rPr>
          <w:rStyle w:val="CharSectno"/>
        </w:rPr>
        <w:t>6</w:t>
      </w:r>
      <w:r>
        <w:rPr>
          <w:snapToGrid w:val="0"/>
        </w:rPr>
        <w:t>.</w:t>
      </w:r>
      <w:r>
        <w:rPr>
          <w:snapToGrid w:val="0"/>
        </w:rPr>
        <w:tab/>
        <w:t>Common seal</w:t>
      </w:r>
      <w:bookmarkEnd w:id="10"/>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63 of 1990 s. 19.] </w:t>
      </w:r>
    </w:p>
    <w:p>
      <w:pPr>
        <w:pStyle w:val="Heading5"/>
      </w:pPr>
      <w:bookmarkStart w:id="11" w:name="_Toc494452089"/>
      <w:r>
        <w:rPr>
          <w:rStyle w:val="CharSectno"/>
        </w:rPr>
        <w:t>7</w:t>
      </w:r>
      <w:r>
        <w:t>.</w:t>
      </w:r>
      <w:r>
        <w:tab/>
        <w:t>Functions of the University</w:t>
      </w:r>
      <w:bookmarkEnd w:id="11"/>
      <w:r>
        <w:t xml:space="preserve"> </w:t>
      </w:r>
    </w:p>
    <w:p>
      <w:pPr>
        <w:pStyle w:val="Subsection"/>
      </w:pPr>
      <w:r>
        <w:tab/>
        <w:t>(1)</w:t>
      </w:r>
      <w:r>
        <w:tab/>
        <w:t>The functions of the University include the following — </w:t>
      </w:r>
    </w:p>
    <w:p>
      <w:pPr>
        <w:pStyle w:val="Indenta"/>
      </w:pPr>
      <w:r>
        <w:tab/>
        <w:t>(a)</w:t>
      </w:r>
      <w:r>
        <w:tab/>
        <w:t>to provide, on a full</w:t>
      </w:r>
      <w:r>
        <w:noBreakHyphen/>
        <w:t>time or part</w:t>
      </w:r>
      <w:r>
        <w:noBreakHyphen/>
        <w:t>time basis, courses of study appropriate to a university, and other tertiary courses;</w:t>
      </w:r>
    </w:p>
    <w:p>
      <w:pPr>
        <w:pStyle w:val="Indenta"/>
      </w:pPr>
      <w:r>
        <w:tab/>
        <w:t>(b)</w:t>
      </w:r>
      <w:r>
        <w:tab/>
        <w:t>to encourage and participate in the development and improvement of tertiary education;</w:t>
      </w:r>
    </w:p>
    <w:p>
      <w:pPr>
        <w:pStyle w:val="Indenta"/>
      </w:pPr>
      <w:r>
        <w:tab/>
        <w:t>(c)</w:t>
      </w:r>
      <w:r>
        <w:tab/>
        <w:t>to provide other courses of study approved by the Council;</w:t>
      </w:r>
    </w:p>
    <w:p>
      <w:pPr>
        <w:pStyle w:val="Indenta"/>
      </w:pPr>
      <w:r>
        <w:tab/>
        <w:t>(d)</w:t>
      </w:r>
      <w:r>
        <w:tab/>
        <w:t xml:space="preserve">to undertake, aid or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(e)</w:t>
      </w:r>
      <w:r>
        <w:tab/>
        <w:t>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w:t>
      </w:r>
    </w:p>
    <w:p>
      <w:pPr>
        <w:pStyle w:val="Indenta"/>
      </w:pPr>
      <w:r>
        <w:tab/>
        <w:t>(f)</w:t>
      </w:r>
      <w:r>
        <w:tab/>
        <w:t>to generate revenue for the purposes of funding the carrying out of its functions;</w:t>
      </w:r>
    </w:p>
    <w:p>
      <w:pPr>
        <w:pStyle w:val="Indenta"/>
      </w:pPr>
      <w:r>
        <w:tab/>
        <w:t>(g)</w:t>
      </w:r>
      <w:r>
        <w:tab/>
        <w:t>to foster the general welfare and development of all enrolled students;</w:t>
      </w:r>
    </w:p>
    <w:p>
      <w:pPr>
        <w:pStyle w:val="Indenta"/>
      </w:pPr>
      <w:r>
        <w:tab/>
        <w:t>(h)</w:t>
      </w:r>
      <w:r>
        <w:tab/>
        <w:t>to promote and encourage collaboration and consultation between the University and other institutions and authorities to ensure the greatest effectiveness and economy in expenditure and the most beneficial relationship between the University and other educational institutions within and outside the State;</w:t>
      </w:r>
    </w:p>
    <w:p>
      <w:pPr>
        <w:pStyle w:val="Indenta"/>
      </w:pPr>
      <w:r>
        <w:tab/>
        <w:t>(i)</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international,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pPr>
      <w:r>
        <w:tab/>
        <w:t>(j)</w:t>
      </w:r>
      <w:r>
        <w:tab/>
        <w:t>to provide whatever facilities relating to its functions the Council thinks necessary or conducive to their attainment.</w:t>
      </w:r>
    </w:p>
    <w:p>
      <w:pPr>
        <w:pStyle w:val="Subsection"/>
      </w:pPr>
      <w:r>
        <w:tab/>
        <w:t>(2)</w:t>
      </w:r>
      <w:r>
        <w:tab/>
        <w:t>The University has all the powers, rights and privileges it reasonably needs to enable it to carry out its functions.</w:t>
      </w:r>
    </w:p>
    <w:p>
      <w:pPr>
        <w:pStyle w:val="Subsection"/>
      </w:pPr>
      <w:r>
        <w:tab/>
        <w:t>(3)</w:t>
      </w:r>
      <w:r>
        <w:tab/>
        <w:t>The University may carry out its functions and exercise its powers, including the power to enter into business arrangements, within or outside the State.</w:t>
      </w:r>
    </w:p>
    <w:p>
      <w:pPr>
        <w:pStyle w:val="Footnotesection"/>
      </w:pPr>
      <w:r>
        <w:tab/>
        <w:t xml:space="preserve">[Section 7 inserted by No. 32 of 2016 s. 54.] </w:t>
      </w:r>
    </w:p>
    <w:p>
      <w:pPr>
        <w:pStyle w:val="Heading2"/>
      </w:pPr>
      <w:bookmarkStart w:id="12" w:name="_Toc494452090"/>
      <w:r>
        <w:rPr>
          <w:rStyle w:val="CharPartNo"/>
        </w:rPr>
        <w:t>Part III</w:t>
      </w:r>
      <w:r>
        <w:rPr>
          <w:rStyle w:val="CharDivNo"/>
        </w:rPr>
        <w:t> </w:t>
      </w:r>
      <w:r>
        <w:t>—</w:t>
      </w:r>
      <w:r>
        <w:rPr>
          <w:rStyle w:val="CharDivText"/>
        </w:rPr>
        <w:t> </w:t>
      </w:r>
      <w:r>
        <w:rPr>
          <w:rStyle w:val="CharPartText"/>
        </w:rPr>
        <w:t>The Council of the University</w:t>
      </w:r>
      <w:bookmarkEnd w:id="12"/>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5"/>
        <w:spacing w:before="240"/>
        <w:rPr>
          <w:snapToGrid w:val="0"/>
        </w:rPr>
      </w:pPr>
      <w:bookmarkStart w:id="13" w:name="_Toc494452091"/>
      <w:r>
        <w:rPr>
          <w:rStyle w:val="CharSectno"/>
        </w:rPr>
        <w:t>8</w:t>
      </w:r>
      <w:r>
        <w:rPr>
          <w:snapToGrid w:val="0"/>
        </w:rPr>
        <w:t>.</w:t>
      </w:r>
      <w:r>
        <w:rPr>
          <w:snapToGrid w:val="0"/>
        </w:rPr>
        <w:tab/>
        <w:t>The Council</w:t>
      </w:r>
      <w:bookmarkEnd w:id="13"/>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63 of 1990 s. 19.] </w:t>
      </w:r>
    </w:p>
    <w:p>
      <w:pPr>
        <w:pStyle w:val="Heading5"/>
        <w:spacing w:before="240"/>
        <w:rPr>
          <w:snapToGrid w:val="0"/>
        </w:rPr>
      </w:pPr>
      <w:bookmarkStart w:id="14" w:name="_Toc494452092"/>
      <w:r>
        <w:rPr>
          <w:rStyle w:val="CharSectno"/>
        </w:rPr>
        <w:t>9</w:t>
      </w:r>
      <w:r>
        <w:rPr>
          <w:snapToGrid w:val="0"/>
        </w:rPr>
        <w:t>.</w:t>
      </w:r>
      <w:r>
        <w:rPr>
          <w:snapToGrid w:val="0"/>
        </w:rPr>
        <w:tab/>
        <w:t>Constitution of the Council</w:t>
      </w:r>
      <w:bookmarkEnd w:id="14"/>
      <w:r>
        <w:rPr>
          <w:snapToGrid w:val="0"/>
        </w:rPr>
        <w:t xml:space="preserve"> </w:t>
      </w:r>
    </w:p>
    <w:p>
      <w:pPr>
        <w:pStyle w:val="Subsection"/>
      </w:pPr>
      <w:r>
        <w:tab/>
        <w:t>(1)</w:t>
      </w:r>
      <w:r>
        <w:tab/>
        <w:t>The Council consists of the following members — </w:t>
      </w:r>
    </w:p>
    <w:p>
      <w:pPr>
        <w:pStyle w:val="Indenta"/>
      </w:pPr>
      <w:r>
        <w:tab/>
        <w:t>(a)</w:t>
      </w:r>
      <w:r>
        <w:tab/>
        <w:t xml:space="preserve">3 persons appointed by the Governor on the recommendation of the Minister; </w:t>
      </w:r>
    </w:p>
    <w:p>
      <w:pPr>
        <w:pStyle w:val="Indenta"/>
      </w:pPr>
      <w:r>
        <w:tab/>
        <w:t>(b)</w:t>
      </w:r>
      <w:r>
        <w:tab/>
        <w:t xml:space="preserve">the person for the time being the chairperson of the Academic Board; </w:t>
      </w:r>
    </w:p>
    <w:p>
      <w:pPr>
        <w:pStyle w:val="Indenta"/>
      </w:pPr>
      <w:r>
        <w:tab/>
        <w:t>(c)</w:t>
      </w:r>
      <w:r>
        <w:tab/>
        <w:t>the Vice</w:t>
      </w:r>
      <w:r>
        <w:noBreakHyphen/>
        <w:t xml:space="preserve">Chancellor; </w:t>
      </w:r>
    </w:p>
    <w:p>
      <w:pPr>
        <w:pStyle w:val="Indenta"/>
      </w:pPr>
      <w:r>
        <w:tab/>
        <w:t>(d)</w:t>
      </w:r>
      <w:r>
        <w:tab/>
        <w:t xml:space="preserve">one person who is a member of the academic staff of the University and who is elected by the academic staff of the University in the manner prescribed by Statute; </w:t>
      </w:r>
    </w:p>
    <w:p>
      <w:pPr>
        <w:pStyle w:val="Indenta"/>
      </w:pPr>
      <w:r>
        <w:tab/>
        <w:t>(e)</w:t>
      </w:r>
      <w:r>
        <w:tab/>
        <w:t>one person who is a member of the non</w:t>
      </w:r>
      <w:r>
        <w:noBreakHyphen/>
        <w:t>academic salaried staff of the University, and who is elected by the non</w:t>
      </w:r>
      <w:r>
        <w:noBreakHyphen/>
        <w:t xml:space="preserve">academic salaried staff of the University in the manner prescribed by Statute; </w:t>
      </w:r>
    </w:p>
    <w:p>
      <w:pPr>
        <w:pStyle w:val="Indenta"/>
      </w:pPr>
      <w:r>
        <w:tab/>
        <w:t>(f)</w:t>
      </w:r>
      <w:r>
        <w:tab/>
        <w:t xml:space="preserve">2 persons who are enrolled students — </w:t>
      </w:r>
    </w:p>
    <w:p>
      <w:pPr>
        <w:pStyle w:val="Indenti"/>
      </w:pPr>
      <w:r>
        <w:tab/>
        <w:t>(i)</w:t>
      </w:r>
      <w:r>
        <w:tab/>
        <w:t>one of whom is an undergraduate student and who is elected by the undergraduate students in the manner prescribed by Statute; and</w:t>
      </w:r>
    </w:p>
    <w:p>
      <w:pPr>
        <w:pStyle w:val="Indenti"/>
      </w:pPr>
      <w:r>
        <w:tab/>
        <w:t>(ii)</w:t>
      </w:r>
      <w:r>
        <w:tab/>
        <w:t xml:space="preserve">one of whom is a postgraduate student and who is elected by the postgraduate students in the manner prescribed by Statute; </w:t>
      </w:r>
    </w:p>
    <w:p>
      <w:pPr>
        <w:pStyle w:val="Indenta"/>
      </w:pPr>
      <w:r>
        <w:tab/>
        <w:t>(g)</w:t>
      </w:r>
      <w:r>
        <w:tab/>
        <w:t>2 persons who are Alumni of the University and who are elected by the Alumni of the University in the manner prescribed by Statute;</w:t>
      </w:r>
    </w:p>
    <w:p>
      <w:pPr>
        <w:pStyle w:val="Indenta"/>
      </w:pPr>
      <w:r>
        <w:tab/>
        <w:t>(h)</w:t>
      </w:r>
      <w:r>
        <w:tab/>
        <w:t>not more than 5 persons appointed from time to time by co</w:t>
      </w:r>
      <w:r>
        <w:noBreakHyphen/>
        <w:t xml:space="preserve">option by the Council; </w:t>
      </w:r>
    </w:p>
    <w:p>
      <w:pPr>
        <w:pStyle w:val="Indenta"/>
      </w:pPr>
      <w:r>
        <w:tab/>
        <w:t>(i)</w:t>
      </w:r>
      <w:r>
        <w:tab/>
        <w:t>if they are not already a member under paragraphs (a) to (h), the Chancellor.</w:t>
      </w:r>
    </w:p>
    <w:p>
      <w:pPr>
        <w:pStyle w:val="Subsection"/>
      </w:pPr>
      <w:r>
        <w:tab/>
        <w:t>(2)</w:t>
      </w:r>
      <w:r>
        <w:tab/>
        <w:t>The fact that a person holds an elective office (for example, an elective office of the Student Guild) does not disqualify that person being appointed or holding office under subsection (1).</w:t>
      </w:r>
    </w:p>
    <w:p>
      <w:pPr>
        <w:pStyle w:val="Subsection"/>
      </w:pPr>
      <w:r>
        <w:tab/>
        <w:t>(3)</w:t>
      </w:r>
      <w:r>
        <w:tab/>
        <w:t>The following persons are not eligible to be a member under subsection (1)(a) or (h) —</w:t>
      </w:r>
    </w:p>
    <w:p>
      <w:pPr>
        <w:pStyle w:val="Indenta"/>
      </w:pPr>
      <w:r>
        <w:tab/>
        <w:t>(a)</w:t>
      </w:r>
      <w:r>
        <w:tab/>
        <w:t>a person who is a member of the staff or otherwise engaged by the University;</w:t>
      </w:r>
    </w:p>
    <w:p>
      <w:pPr>
        <w:pStyle w:val="Indenta"/>
      </w:pPr>
      <w:r>
        <w:tab/>
        <w:t>(b)</w:t>
      </w:r>
      <w:r>
        <w:tab/>
        <w:t>an enrolled student.</w:t>
      </w:r>
    </w:p>
    <w:p>
      <w:pPr>
        <w:pStyle w:val="Subsection"/>
      </w:pPr>
      <w:r>
        <w:tab/>
        <w:t>(4)</w:t>
      </w:r>
      <w:r>
        <w:tab/>
        <w:t>The following persons are not eligible to be a member under subsection (1)(f)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Subsection"/>
      </w:pPr>
      <w:r>
        <w:tab/>
        <w:t>(5)</w:t>
      </w:r>
      <w:r>
        <w:tab/>
        <w:t>The following persons are not eligible to be a member under subsection (1)(g) —</w:t>
      </w:r>
    </w:p>
    <w:p>
      <w:pPr>
        <w:pStyle w:val="Indenta"/>
      </w:pPr>
      <w:r>
        <w:tab/>
        <w:t>(a)</w:t>
      </w:r>
      <w:r>
        <w:tab/>
        <w:t>a full</w:t>
      </w:r>
      <w:r>
        <w:noBreakHyphen/>
        <w:t>time member of the staff of the University;</w:t>
      </w:r>
    </w:p>
    <w:p>
      <w:pPr>
        <w:pStyle w:val="Indenta"/>
      </w:pPr>
      <w:r>
        <w:tab/>
        <w:t>(b)</w:t>
      </w:r>
      <w:r>
        <w:tab/>
        <w:t>a part</w:t>
      </w:r>
      <w:r>
        <w:noBreakHyphen/>
        <w:t>time or casual employee of the University who works for at least 50% of the minimum time required to be worked by a full</w:t>
      </w:r>
      <w:r>
        <w:noBreakHyphen/>
        <w:t>time member of staff;</w:t>
      </w:r>
    </w:p>
    <w:p>
      <w:pPr>
        <w:pStyle w:val="Indenta"/>
      </w:pPr>
      <w:r>
        <w:tab/>
        <w:t>(c)</w:t>
      </w:r>
      <w:r>
        <w:tab/>
        <w:t>an enrolled student who is enrolled on a full</w:t>
      </w:r>
      <w:r>
        <w:noBreakHyphen/>
        <w:t>time basis.</w:t>
      </w:r>
    </w:p>
    <w:p>
      <w:pPr>
        <w:pStyle w:val="Subsection"/>
      </w:pPr>
      <w:r>
        <w:tab/>
        <w:t>(6)</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[Section 9 amended by No. 63 of 1990 s. 9 and 19; No. 22 of 1996 s. 16(4); No. 10 of 1998 s. 30(1); No. 36 of 1999 s. 247; No. 74 of 2003 s. 46(4); No.</w:t>
      </w:r>
      <w:r>
        <w:rPr>
          <w:sz w:val="28"/>
        </w:rPr>
        <w:t> </w:t>
      </w:r>
      <w:r>
        <w:t xml:space="preserve">8 of 2005 s. 15; No. 32 of 2016 s. 55.] </w:t>
      </w:r>
    </w:p>
    <w:p>
      <w:pPr>
        <w:pStyle w:val="Heading5"/>
      </w:pPr>
      <w:bookmarkStart w:id="15" w:name="_Toc494452093"/>
      <w:r>
        <w:rPr>
          <w:rStyle w:val="CharSectno"/>
        </w:rPr>
        <w:t>9A</w:t>
      </w:r>
      <w:r>
        <w:t>.</w:t>
      </w:r>
      <w:r>
        <w:tab/>
        <w:t>Nominations Committee</w:t>
      </w:r>
      <w:bookmarkEnd w:id="15"/>
    </w:p>
    <w:p>
      <w:pPr>
        <w:pStyle w:val="Subsection"/>
      </w:pPr>
      <w:r>
        <w:tab/>
        <w:t>(1)</w:t>
      </w:r>
      <w:r>
        <w:tab/>
        <w:t>The Council must establish and maintain a committee of the Council called the Nominations Committee.</w:t>
      </w:r>
    </w:p>
    <w:p>
      <w:pPr>
        <w:pStyle w:val="Subsection"/>
      </w:pPr>
      <w:r>
        <w:tab/>
        <w:t>(2)</w:t>
      </w:r>
      <w:r>
        <w:tab/>
        <w:t>The Nominations Committee is to consist of not more than 6 members of the Council appointed by the Council.</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chairperson of the Academic Board;</w:t>
      </w:r>
    </w:p>
    <w:p>
      <w:pPr>
        <w:pStyle w:val="Indenta"/>
      </w:pPr>
      <w:r>
        <w:tab/>
        <w:t>(c)</w:t>
      </w:r>
      <w:r>
        <w:tab/>
        <w:t>the member referred to in section 9(1)(d);</w:t>
      </w:r>
    </w:p>
    <w:p>
      <w:pPr>
        <w:pStyle w:val="Indenta"/>
      </w:pPr>
      <w:r>
        <w:tab/>
        <w:t>(d)</w:t>
      </w:r>
      <w:r>
        <w:tab/>
        <w:t>the member referred to in section 9(1)(e);</w:t>
      </w:r>
    </w:p>
    <w:p>
      <w:pPr>
        <w:pStyle w:val="Indenta"/>
      </w:pPr>
      <w:r>
        <w:tab/>
        <w:t>(e)</w:t>
      </w:r>
      <w:r>
        <w:tab/>
        <w:t>the members referred to in section 9(1)(f);</w:t>
      </w:r>
    </w:p>
    <w:p>
      <w:pPr>
        <w:pStyle w:val="Indenta"/>
      </w:pPr>
      <w:r>
        <w:tab/>
        <w:t>(f)</w:t>
      </w:r>
      <w:r>
        <w:tab/>
        <w:t>the members referred to in section 9(1)(g).</w:t>
      </w:r>
    </w:p>
    <w:p>
      <w:pPr>
        <w:pStyle w:val="Subsection"/>
      </w:pPr>
      <w:r>
        <w:tab/>
        <w:t>(4)</w:t>
      </w:r>
      <w:r>
        <w:tab/>
        <w:t xml:space="preserve">The functions of the Nominations Committee are — </w:t>
      </w:r>
    </w:p>
    <w:p>
      <w:pPr>
        <w:pStyle w:val="Indenta"/>
      </w:pPr>
      <w:r>
        <w:tab/>
        <w:t>(a)</w:t>
      </w:r>
      <w:r>
        <w:tab/>
        <w:t xml:space="preserve">to maintain lists of persons who are eligible and willing to be appointed to any vacancy or casual vacancy in the office of — </w:t>
      </w:r>
    </w:p>
    <w:p>
      <w:pPr>
        <w:pStyle w:val="Indenti"/>
      </w:pPr>
      <w:r>
        <w:tab/>
        <w:t>(i)</w:t>
      </w:r>
      <w:r>
        <w:tab/>
        <w:t>any member of the Council who is appointed by the Governor or the Council; or</w:t>
      </w:r>
    </w:p>
    <w:p>
      <w:pPr>
        <w:pStyle w:val="Indenti"/>
      </w:pPr>
      <w:r>
        <w:tab/>
        <w:t>(ii)</w:t>
      </w:r>
      <w:r>
        <w:tab/>
        <w:t>any member of an Advisory Board who is appointed by the Council;</w:t>
      </w:r>
    </w:p>
    <w:p>
      <w:pPr>
        <w:pStyle w:val="Indenta"/>
      </w:pPr>
      <w:r>
        <w:tab/>
        <w:t>(b)</w:t>
      </w:r>
      <w:r>
        <w:tab/>
        <w:t>to recommend to the Minister suitable candidates to a vacancy or casual vacancy in the office of any member who is appointed under section 9(1)(a);</w:t>
      </w:r>
    </w:p>
    <w:p>
      <w:pPr>
        <w:pStyle w:val="Indenta"/>
      </w:pPr>
      <w:r>
        <w:tab/>
        <w:t>(c)</w:t>
      </w:r>
      <w:r>
        <w:tab/>
        <w:t>to recommend to the Council suitable candidates for appointment by co</w:t>
      </w:r>
      <w:r>
        <w:noBreakHyphen/>
        <w:t>option under section 9(1)(h).</w:t>
      </w:r>
    </w:p>
    <w:p>
      <w:pPr>
        <w:pStyle w:val="Subsection"/>
      </w:pPr>
      <w:r>
        <w:tab/>
        <w:t>(5)</w:t>
      </w:r>
      <w:r>
        <w:tab/>
        <w:t>The fact that the Nominations Committee or the Council has not recommended a person for appointment under section 9(1) does not prevent the person from being appointed or holding office under section 9(1).</w:t>
      </w:r>
    </w:p>
    <w:p>
      <w:pPr>
        <w:pStyle w:val="Subsection"/>
      </w:pPr>
      <w:r>
        <w:tab/>
        <w:t>(6)</w:t>
      </w:r>
      <w:r>
        <w:tab/>
        <w:t>The Nominations Committee may regulate its own procedure, but it must comply with any direction given by Council.</w:t>
      </w:r>
    </w:p>
    <w:p>
      <w:pPr>
        <w:pStyle w:val="Footnotesection"/>
      </w:pPr>
      <w:r>
        <w:tab/>
        <w:t xml:space="preserve">[Section 9A inserted by No. 32 of 2016 s. 56.] </w:t>
      </w:r>
    </w:p>
    <w:p>
      <w:pPr>
        <w:pStyle w:val="Heading5"/>
      </w:pPr>
      <w:bookmarkStart w:id="16" w:name="_Toc494452094"/>
      <w:r>
        <w:rPr>
          <w:rStyle w:val="CharSectno"/>
        </w:rPr>
        <w:t>10</w:t>
      </w:r>
      <w:r>
        <w:t>.</w:t>
      </w:r>
      <w:r>
        <w:tab/>
        <w:t>Term of office</w:t>
      </w:r>
      <w:bookmarkEnd w:id="16"/>
      <w:r>
        <w:t xml:space="preserve"> </w:t>
      </w:r>
    </w:p>
    <w:p>
      <w:pPr>
        <w:pStyle w:val="Subsection"/>
      </w:pPr>
      <w:r>
        <w:tab/>
        <w:t>(1)</w:t>
      </w:r>
      <w:r>
        <w:tab/>
        <w:t xml:space="preserve">Subject to section 11 — </w:t>
      </w:r>
    </w:p>
    <w:p>
      <w:pPr>
        <w:pStyle w:val="Indenta"/>
      </w:pPr>
      <w:r>
        <w:tab/>
        <w:t>(a)</w:t>
      </w:r>
      <w:r>
        <w:tab/>
        <w:t>a member appointed under section 9(1)(a) or (h) holds office for a period of 3 years, commencing on the day of their appointment, unless a shorter term of office is specified under subsection (4);</w:t>
      </w:r>
    </w:p>
    <w:p>
      <w:pPr>
        <w:pStyle w:val="Indenta"/>
      </w:pPr>
      <w:r>
        <w:tab/>
        <w:t>(b)</w:t>
      </w:r>
      <w:r>
        <w:tab/>
        <w:t>a member elected under section 9(1)(d), (e) or (g) holds office for a period of 3 years, commencing on the day their election takes effect, unless a shorter term of office is specified under subsection (5);</w:t>
      </w:r>
    </w:p>
    <w:p>
      <w:pPr>
        <w:pStyle w:val="Indenta"/>
      </w:pPr>
      <w:r>
        <w:tab/>
        <w:t>(c)</w:t>
      </w:r>
      <w:r>
        <w:tab/>
        <w:t>a member elected under section 9(1)(f) holds office for a period of one year commencing on the day their election takes effect, unless a shorter term of office is specified under subsection (5).</w:t>
      </w:r>
    </w:p>
    <w:p>
      <w:pPr>
        <w:pStyle w:val="Subsection"/>
      </w:pPr>
      <w:r>
        <w:tab/>
        <w:t>(2)</w:t>
      </w:r>
      <w:r>
        <w:tab/>
        <w:t>All retiring members are, unless otherwise disqualified, eligible for reappointment or re</w:t>
      </w:r>
      <w:r>
        <w:noBreakHyphen/>
        <w:t>election.</w:t>
      </w:r>
    </w:p>
    <w:p>
      <w:pPr>
        <w:pStyle w:val="Subsection"/>
      </w:pPr>
      <w:r>
        <w:tab/>
        <w:t>(3)</w:t>
      </w:r>
      <w:r>
        <w:tab/>
        <w:t xml:space="preserve">However — </w:t>
      </w:r>
    </w:p>
    <w:p>
      <w:pPr>
        <w:pStyle w:val="Indenta"/>
      </w:pPr>
      <w:r>
        <w:tab/>
        <w:t>(a)</w:t>
      </w:r>
      <w:r>
        <w:tab/>
        <w:t>a member elected under section 9(1)(f) is not eligible for re</w:t>
      </w:r>
      <w:r>
        <w:noBreakHyphen/>
        <w:t>election more than once;</w:t>
      </w:r>
    </w:p>
    <w:p>
      <w:pPr>
        <w:pStyle w:val="Indenta"/>
      </w:pPr>
      <w:r>
        <w:tab/>
        <w:t>(b)</w:t>
      </w:r>
      <w:r>
        <w:tab/>
        <w:t>a member other than a member elected under section 9(1)(f) is not eligible to be reappointed or re</w:t>
      </w:r>
      <w:r>
        <w:noBreakHyphen/>
        <w:t>elected on the expiry of a third successive term of office until 12 months have elapsed after that expiry;</w:t>
      </w:r>
    </w:p>
    <w:p>
      <w:pPr>
        <w:pStyle w:val="Indenta"/>
      </w:pPr>
      <w:r>
        <w:tab/>
        <w:t>(c)</w:t>
      </w:r>
      <w:r>
        <w:tab/>
        <w:t>a member who is removed from office by the Council under section 11A is not eligible to be a member again until 5 years have elapsed since the removal.</w:t>
      </w:r>
    </w:p>
    <w:p>
      <w:pPr>
        <w:pStyle w:val="Subsection"/>
      </w:pPr>
      <w:r>
        <w:tab/>
        <w:t>(4)</w:t>
      </w:r>
      <w:r>
        <w:tab/>
        <w:t>The Governor or the Council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Footnotesection"/>
      </w:pPr>
      <w:r>
        <w:tab/>
        <w:t xml:space="preserve">[Section 10 inserted by No. 32 of 2016 s. 56.] </w:t>
      </w:r>
    </w:p>
    <w:p>
      <w:pPr>
        <w:pStyle w:val="Heading5"/>
      </w:pPr>
      <w:bookmarkStart w:id="17" w:name="_Toc494452095"/>
      <w:r>
        <w:rPr>
          <w:rStyle w:val="CharSectno"/>
        </w:rPr>
        <w:t>10A</w:t>
      </w:r>
      <w:r>
        <w:t>.</w:t>
      </w:r>
      <w:r>
        <w:tab/>
        <w:t>Members’ duties</w:t>
      </w:r>
      <w:bookmarkEnd w:id="17"/>
    </w:p>
    <w:p>
      <w:pPr>
        <w:pStyle w:val="Subsection"/>
      </w:pPr>
      <w:r>
        <w:tab/>
      </w:r>
      <w:r>
        <w:tab/>
        <w:t>Schedule 1 Division 1 has effect.</w:t>
      </w:r>
    </w:p>
    <w:p>
      <w:pPr>
        <w:pStyle w:val="Footnotesection"/>
      </w:pPr>
      <w:r>
        <w:tab/>
        <w:t>[Section 10A inserted by No.</w:t>
      </w:r>
      <w:r>
        <w:rPr>
          <w:sz w:val="28"/>
        </w:rPr>
        <w:t> </w:t>
      </w:r>
      <w:r>
        <w:t>8 of 2005 s. 18.]</w:t>
      </w:r>
    </w:p>
    <w:p>
      <w:pPr>
        <w:pStyle w:val="Heading5"/>
      </w:pPr>
      <w:bookmarkStart w:id="18" w:name="_Toc494452096"/>
      <w:r>
        <w:rPr>
          <w:rStyle w:val="CharSectno"/>
        </w:rPr>
        <w:t>11</w:t>
      </w:r>
      <w:r>
        <w:t>.</w:t>
      </w:r>
      <w:r>
        <w:tab/>
        <w:t>Vacation of office</w:t>
      </w:r>
      <w:bookmarkEnd w:id="18"/>
    </w:p>
    <w:p>
      <w:pPr>
        <w:pStyle w:val="Subsection"/>
      </w:pPr>
      <w:r>
        <w:tab/>
      </w:r>
      <w:r>
        <w:tab/>
        <w:t>The office of a member becomes vacant if — </w:t>
      </w:r>
    </w:p>
    <w:p>
      <w:pPr>
        <w:pStyle w:val="Indenta"/>
      </w:pPr>
      <w:r>
        <w:tab/>
        <w:t>(a)</w:t>
      </w:r>
      <w:r>
        <w:tab/>
        <w:t>the member resigns their office by written notice given to the Minister; or</w:t>
      </w:r>
    </w:p>
    <w:p>
      <w:pPr>
        <w:pStyle w:val="Indenta"/>
      </w:pPr>
      <w:r>
        <w:tab/>
        <w:t>(b)</w:t>
      </w:r>
      <w:r>
        <w:tab/>
        <w:t xml:space="preserve">the member is a person in respect of whom an administration order is in force under the </w:t>
      </w:r>
      <w:r>
        <w:rPr>
          <w:i/>
        </w:rPr>
        <w:t>Guardianship and Administration Act 1990</w:t>
      </w:r>
      <w:r>
        <w:t xml:space="preserve"> Part 6; or</w:t>
      </w:r>
    </w:p>
    <w:p>
      <w:pPr>
        <w:pStyle w:val="Indenta"/>
      </w:pPr>
      <w:r>
        <w:tab/>
        <w:t>(c)</w:t>
      </w:r>
      <w:r>
        <w:tab/>
        <w:t xml:space="preserve">the member is, according to the </w:t>
      </w:r>
      <w:r>
        <w:rPr>
          <w:i/>
        </w:rPr>
        <w:t>Interpretation Act 1984</w:t>
      </w:r>
      <w:r>
        <w:t xml:space="preserve"> section 13D, a bankrupt or a person whose affairs are under insolvency laws; or</w:t>
      </w:r>
    </w:p>
    <w:p>
      <w:pPr>
        <w:pStyle w:val="Indenta"/>
      </w:pPr>
      <w:r>
        <w:tab/>
        <w:t>(d)</w:t>
      </w:r>
      <w:r>
        <w:tab/>
        <w:t>the member is convicted of an indictable offence; or</w:t>
      </w:r>
    </w:p>
    <w:p>
      <w:pPr>
        <w:pStyle w:val="Indenta"/>
      </w:pPr>
      <w:r>
        <w:tab/>
        <w:t>(e)</w:t>
      </w:r>
      <w:r>
        <w:tab/>
        <w:t>the member is removed from office by the Council under section 11A; or</w:t>
      </w:r>
    </w:p>
    <w:p>
      <w:pPr>
        <w:pStyle w:val="Indenta"/>
      </w:pPr>
      <w:r>
        <w:tab/>
        <w:t>(f)</w:t>
      </w:r>
      <w:r>
        <w:tab/>
        <w:t xml:space="preserve">the member is, or becomes, disqualified from managing corporations under the </w:t>
      </w:r>
      <w:r>
        <w:rPr>
          <w:i/>
        </w:rPr>
        <w:t>Corporations Act 2001</w:t>
      </w:r>
      <w:r>
        <w:t xml:space="preserve"> (Commonwealth) Part 2D.6; or</w:t>
      </w:r>
    </w:p>
    <w:p>
      <w:pPr>
        <w:pStyle w:val="Indenta"/>
      </w:pPr>
      <w:r>
        <w:tab/>
        <w:t>(g)</w:t>
      </w:r>
      <w:r>
        <w:tab/>
        <w:t>the member is absent without leave of the Council from 3 consecutive meetings of the Council; or</w:t>
      </w:r>
    </w:p>
    <w:p>
      <w:pPr>
        <w:pStyle w:val="Indenta"/>
      </w:pPr>
      <w:r>
        <w:tab/>
        <w:t>(h)</w:t>
      </w:r>
      <w:r>
        <w:tab/>
        <w:t>the member ceases to hold any qualification required for becoming or being a member; or</w:t>
      </w:r>
    </w:p>
    <w:p>
      <w:pPr>
        <w:pStyle w:val="Indenta"/>
      </w:pPr>
      <w:r>
        <w:tab/>
        <w:t>(i)</w:t>
      </w:r>
      <w:r>
        <w:tab/>
        <w:t>the member dies.</w:t>
      </w:r>
    </w:p>
    <w:p>
      <w:pPr>
        <w:pStyle w:val="Footnotesection"/>
      </w:pPr>
      <w:r>
        <w:tab/>
        <w:t xml:space="preserve">[Section 11 inserted by No. 32 of 2016 s. 57.] </w:t>
      </w:r>
    </w:p>
    <w:p>
      <w:pPr>
        <w:pStyle w:val="Heading5"/>
      </w:pPr>
      <w:bookmarkStart w:id="19" w:name="_Toc494452097"/>
      <w:r>
        <w:rPr>
          <w:rStyle w:val="CharSectno"/>
        </w:rPr>
        <w:t>11A</w:t>
      </w:r>
      <w:r>
        <w:t>.</w:t>
      </w:r>
      <w:r>
        <w:tab/>
        <w:t>Removal of members for breach of certain duties and suspension pending removal</w:t>
      </w:r>
      <w:bookmarkEnd w:id="19"/>
    </w:p>
    <w:p>
      <w:pPr>
        <w:pStyle w:val="Subsection"/>
      </w:pPr>
      <w:r>
        <w:tab/>
        <w:t>(1)</w:t>
      </w:r>
      <w:r>
        <w:tab/>
        <w:t xml:space="preserve">The Council may — </w:t>
      </w:r>
    </w:p>
    <w:p>
      <w:pPr>
        <w:pStyle w:val="Indenta"/>
      </w:pPr>
      <w:r>
        <w:tab/>
        <w:t>(a)</w:t>
      </w:r>
      <w:r>
        <w:tab/>
        <w:t>remove from office a member for breach of a duty mentioned in Schedule 1 clause 1(1), 2(1) or 3;</w:t>
      </w:r>
    </w:p>
    <w:p>
      <w:pPr>
        <w:pStyle w:val="Indenta"/>
      </w:pPr>
      <w:r>
        <w:tab/>
        <w:t>(b)</w:t>
      </w:r>
      <w:r>
        <w:tab/>
        <w:t>suspend from office a member who is alleged to have breached a duty mentioned in Schedule 1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14(1), the removal or suspension of a member from office may be effected only if the motion for removal or suspension is supported by a majority comprising enough of the members for the time being for their number to be at least two</w:t>
      </w:r>
      <w:r>
        <w:noBreakHyphen/>
        <w:t>thirds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 clause 1(1), 2(1) or 3, or be present while the matter is being considered at a meeting.</w:t>
      </w:r>
    </w:p>
    <w:p>
      <w:pPr>
        <w:pStyle w:val="Subsection"/>
        <w:rPr>
          <w:i/>
          <w:iCs/>
        </w:rPr>
      </w:pPr>
      <w:r>
        <w:tab/>
        <w:t>(8)</w:t>
      </w:r>
      <w:r>
        <w:tab/>
        <w:t xml:space="preserve">This section applies only in relation to a breach of a duty mentioned in Schedule 1 clause 1(1), 2(1) or 3 that occurs after the </w:t>
      </w:r>
      <w:r>
        <w:rPr>
          <w:i/>
          <w:iCs/>
        </w:rPr>
        <w:t xml:space="preserve">Universities Legislation Amendment Act 2005 </w:t>
      </w:r>
      <w:r>
        <w:t>comes into operation</w:t>
      </w:r>
      <w:r>
        <w:rPr>
          <w:vertAlign w:val="superscript"/>
        </w:rPr>
        <w:t> 1</w:t>
      </w:r>
      <w:r>
        <w:rPr>
          <w:i/>
          <w:iCs/>
        </w:rPr>
        <w:t>.</w:t>
      </w:r>
    </w:p>
    <w:p>
      <w:pPr>
        <w:pStyle w:val="Subsection"/>
      </w:pPr>
      <w:r>
        <w:tab/>
        <w:t>(9)</w:t>
      </w:r>
      <w:r>
        <w:tab/>
        <w:t>A person does not breach a duty mentioned in Schedule 1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11A inserted by No.</w:t>
      </w:r>
      <w:r>
        <w:rPr>
          <w:sz w:val="28"/>
        </w:rPr>
        <w:t> </w:t>
      </w:r>
      <w:r>
        <w:t>8 of 2005 s. 20; amended by No. 32 of 2016 s. 58.]</w:t>
      </w:r>
    </w:p>
    <w:p>
      <w:pPr>
        <w:pStyle w:val="Heading5"/>
      </w:pPr>
      <w:bookmarkStart w:id="20" w:name="_Toc494452098"/>
      <w:r>
        <w:rPr>
          <w:rStyle w:val="CharSectno"/>
        </w:rPr>
        <w:t>11B</w:t>
      </w:r>
      <w:r>
        <w:t>.</w:t>
      </w:r>
      <w:r>
        <w:tab/>
        <w:t>Casual vacancies</w:t>
      </w:r>
      <w:bookmarkEnd w:id="20"/>
    </w:p>
    <w:p>
      <w:pPr>
        <w:pStyle w:val="Subsection"/>
      </w:pPr>
      <w:r>
        <w:tab/>
      </w:r>
      <w:r>
        <w:tab/>
        <w:t>If a casual vacancy occurs in the office of a member, the vacancy is to be filled in the same way as if that member’s term of office had expired.</w:t>
      </w:r>
    </w:p>
    <w:p>
      <w:pPr>
        <w:pStyle w:val="Footnotesection"/>
      </w:pPr>
      <w:r>
        <w:tab/>
        <w:t>[Section 11B inserted by No. 32 of 2016 s. 59.]</w:t>
      </w:r>
    </w:p>
    <w:p>
      <w:pPr>
        <w:pStyle w:val="Heading5"/>
        <w:rPr>
          <w:snapToGrid w:val="0"/>
        </w:rPr>
      </w:pPr>
      <w:bookmarkStart w:id="21" w:name="_Toc494452099"/>
      <w:r>
        <w:rPr>
          <w:rStyle w:val="CharSectno"/>
        </w:rPr>
        <w:t>12</w:t>
      </w:r>
      <w:r>
        <w:rPr>
          <w:snapToGrid w:val="0"/>
        </w:rPr>
        <w:t>.</w:t>
      </w:r>
      <w:r>
        <w:rPr>
          <w:snapToGrid w:val="0"/>
        </w:rPr>
        <w:tab/>
        <w:t>Chancellor and meetings of Council</w:t>
      </w:r>
      <w:bookmarkEnd w:id="21"/>
      <w:r>
        <w:rPr>
          <w:snapToGrid w:val="0"/>
        </w:rPr>
        <w:t xml:space="preserve"> </w:t>
      </w:r>
    </w:p>
    <w:p>
      <w:pPr>
        <w:pStyle w:val="Subsection"/>
        <w:rPr>
          <w:snapToGrid w:val="0"/>
        </w:rPr>
      </w:pPr>
      <w:r>
        <w:rPr>
          <w:snapToGrid w:val="0"/>
        </w:rPr>
        <w:tab/>
        <w:t>(1)</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 xml:space="preserve">elect one of their number to be the </w:t>
      </w:r>
      <w:r>
        <w:t>Deputy Chancellor</w:t>
      </w:r>
      <w:r>
        <w:rPr>
          <w:snapToGrid w:val="0"/>
        </w:rPr>
        <w:t xml:space="preserve"> of the University for a term not exceeding 3 years.</w:t>
      </w:r>
    </w:p>
    <w:p>
      <w:pPr>
        <w:pStyle w:val="Subsection"/>
        <w:rPr>
          <w:snapToGrid w:val="0"/>
        </w:rPr>
      </w:pPr>
      <w:r>
        <w:rPr>
          <w:snapToGrid w:val="0"/>
        </w:rPr>
        <w:tab/>
        <w:t>(2)</w:t>
      </w:r>
      <w:r>
        <w:rPr>
          <w:snapToGrid w:val="0"/>
        </w:rPr>
        <w:tab/>
        <w:t xml:space="preserve">A person whose whole or principal employment is that of a member of the staff is not eligible to be elected Chancellor or </w:t>
      </w:r>
      <w:r>
        <w:t>Deputy Chancellor</w:t>
      </w:r>
      <w:r>
        <w:rPr>
          <w:snapToGrid w:val="0"/>
        </w:rPr>
        <w:t xml:space="preserve"> of the University.</w:t>
      </w:r>
    </w:p>
    <w:p>
      <w:pPr>
        <w:pStyle w:val="Subsection"/>
        <w:rPr>
          <w:snapToGrid w:val="0"/>
        </w:rPr>
      </w:pPr>
      <w:r>
        <w:rPr>
          <w:snapToGrid w:val="0"/>
        </w:rPr>
        <w:tab/>
        <w:t>(3)</w:t>
      </w:r>
      <w:r>
        <w:rPr>
          <w:snapToGrid w:val="0"/>
        </w:rPr>
        <w:tab/>
        <w:t>The Chancellor shall preside at all meetings of the Council at which he is present.</w:t>
      </w:r>
    </w:p>
    <w:p>
      <w:pPr>
        <w:pStyle w:val="Subsection"/>
        <w:rPr>
          <w:snapToGrid w:val="0"/>
        </w:rPr>
      </w:pPr>
      <w:r>
        <w:rPr>
          <w:snapToGrid w:val="0"/>
        </w:rPr>
        <w:tab/>
        <w:t>(4)</w:t>
      </w:r>
      <w:r>
        <w:rPr>
          <w:snapToGrid w:val="0"/>
        </w:rPr>
        <w:tab/>
        <w:t>At any meeting of the Council at which — </w:t>
      </w:r>
    </w:p>
    <w:p>
      <w:pPr>
        <w:pStyle w:val="Indenta"/>
        <w:rPr>
          <w:snapToGrid w:val="0"/>
        </w:rPr>
      </w:pPr>
      <w:r>
        <w:rPr>
          <w:snapToGrid w:val="0"/>
        </w:rPr>
        <w:tab/>
        <w:t>(a)</w:t>
      </w:r>
      <w:r>
        <w:rPr>
          <w:snapToGrid w:val="0"/>
        </w:rPr>
        <w:tab/>
        <w:t xml:space="preserve">the Chancellor is not present, the </w:t>
      </w:r>
      <w:r>
        <w:t>Deputy Chancellor</w:t>
      </w:r>
      <w:r>
        <w:rPr>
          <w:snapToGrid w:val="0"/>
        </w:rPr>
        <w:t xml:space="preserve"> of the University shall preside at the meeting;</w:t>
      </w:r>
    </w:p>
    <w:p>
      <w:pPr>
        <w:pStyle w:val="Indenta"/>
        <w:rPr>
          <w:snapToGrid w:val="0"/>
        </w:rPr>
      </w:pPr>
      <w:r>
        <w:rPr>
          <w:snapToGrid w:val="0"/>
        </w:rPr>
        <w:tab/>
        <w:t>(b)</w:t>
      </w:r>
      <w:r>
        <w:rPr>
          <w:snapToGrid w:val="0"/>
        </w:rPr>
        <w:tab/>
        <w:t xml:space="preserve">the Chancellor and the </w:t>
      </w:r>
      <w:r>
        <w:t>Deputy Chancellor</w:t>
      </w:r>
      <w:r>
        <w:rPr>
          <w:snapToGrid w:val="0"/>
        </w:rPr>
        <w:t xml:space="preserve"> of the University are not present, the members present at the meeting shall elect a member to preside at that meeting,</w:t>
      </w:r>
    </w:p>
    <w:p>
      <w:pPr>
        <w:pStyle w:val="Subsection"/>
        <w:rPr>
          <w:snapToGrid w:val="0"/>
        </w:rPr>
      </w:pPr>
      <w:r>
        <w:rPr>
          <w:snapToGrid w:val="0"/>
        </w:rPr>
        <w:tab/>
      </w:r>
      <w:r>
        <w:rPr>
          <w:snapToGrid w:val="0"/>
        </w:rPr>
        <w:tab/>
        <w:t xml:space="preserve">and while so presiding the </w:t>
      </w:r>
      <w:r>
        <w:t>Deputy Chancellor</w:t>
      </w:r>
      <w:r>
        <w:rPr>
          <w:snapToGrid w:val="0"/>
        </w:rPr>
        <w:t xml:space="preserve"> of the University or the member, as the case may be, has all the powers and duties of the Chancellor.</w:t>
      </w:r>
    </w:p>
    <w:p>
      <w:pPr>
        <w:pStyle w:val="Subsection"/>
        <w:rPr>
          <w:snapToGrid w:val="0"/>
        </w:rPr>
      </w:pPr>
      <w:r>
        <w:rPr>
          <w:snapToGrid w:val="0"/>
        </w:rPr>
        <w:tab/>
        <w:t>(5)</w:t>
      </w:r>
      <w:r>
        <w:rPr>
          <w:snapToGrid w:val="0"/>
        </w:rPr>
        <w:tab/>
        <w:t>Subject to the Statutes, the Council shall hold such meetings as are necessary for the performance of its functions.</w:t>
      </w:r>
    </w:p>
    <w:p>
      <w:pPr>
        <w:pStyle w:val="Subsection"/>
        <w:rPr>
          <w:snapToGrid w:val="0"/>
        </w:rPr>
      </w:pPr>
      <w:r>
        <w:rPr>
          <w:snapToGrid w:val="0"/>
        </w:rPr>
        <w:tab/>
        <w:t>(6)</w:t>
      </w:r>
      <w:r>
        <w:rPr>
          <w:snapToGrid w:val="0"/>
        </w:rPr>
        <w:tab/>
        <w:t xml:space="preserve">Subject to the Statutes, the Chancellor may at any time convene a meeting of the Council and shall convene a meeting when requested in writing by the Minister to do so or when so requested by any </w:t>
      </w:r>
      <w:r>
        <w:t>3 members.</w:t>
      </w:r>
    </w:p>
    <w:p>
      <w:pPr>
        <w:pStyle w:val="Subsection"/>
        <w:rPr>
          <w:snapToGrid w:val="0"/>
        </w:rPr>
      </w:pPr>
      <w:r>
        <w:rPr>
          <w:snapToGrid w:val="0"/>
        </w:rPr>
        <w:tab/>
        <w:t>(7)</w:t>
      </w:r>
      <w:r>
        <w:rPr>
          <w:snapToGrid w:val="0"/>
        </w:rPr>
        <w:tab/>
        <w:t>Subject to this Act and the Statutes the Council may regulate its own procedure in such manner as it thinks fit.</w:t>
      </w:r>
    </w:p>
    <w:p>
      <w:pPr>
        <w:pStyle w:val="Footnotesection"/>
      </w:pPr>
      <w:r>
        <w:tab/>
        <w:t xml:space="preserve">[Section 12 amended by No. 63 of 1990 s. 19; No. 32 of 2016 s. 60.] </w:t>
      </w:r>
    </w:p>
    <w:p>
      <w:pPr>
        <w:pStyle w:val="Heading5"/>
      </w:pPr>
      <w:bookmarkStart w:id="22" w:name="_Toc494452100"/>
      <w:r>
        <w:rPr>
          <w:rStyle w:val="CharSectno"/>
        </w:rPr>
        <w:t>13</w:t>
      </w:r>
      <w:r>
        <w:t>.</w:t>
      </w:r>
      <w:r>
        <w:tab/>
        <w:t>Disclosure of interests</w:t>
      </w:r>
      <w:bookmarkEnd w:id="22"/>
    </w:p>
    <w:p>
      <w:pPr>
        <w:pStyle w:val="Subsection"/>
        <w:spacing w:before="140"/>
      </w:pPr>
      <w:r>
        <w:tab/>
      </w:r>
      <w:r>
        <w:tab/>
        <w:t>Schedule 1 Division 2 has effect.</w:t>
      </w:r>
    </w:p>
    <w:p>
      <w:pPr>
        <w:pStyle w:val="Footnotesection"/>
      </w:pPr>
      <w:r>
        <w:tab/>
        <w:t>[Section 13 inserted by No.</w:t>
      </w:r>
      <w:r>
        <w:rPr>
          <w:sz w:val="28"/>
        </w:rPr>
        <w:t> </w:t>
      </w:r>
      <w:r>
        <w:t>8 of 2005 s. 21.]</w:t>
      </w:r>
    </w:p>
    <w:p>
      <w:pPr>
        <w:pStyle w:val="Heading5"/>
        <w:spacing w:before="180"/>
        <w:rPr>
          <w:snapToGrid w:val="0"/>
        </w:rPr>
      </w:pPr>
      <w:bookmarkStart w:id="23" w:name="_Toc494452101"/>
      <w:r>
        <w:rPr>
          <w:rStyle w:val="CharSectno"/>
        </w:rPr>
        <w:t>14</w:t>
      </w:r>
      <w:r>
        <w:rPr>
          <w:snapToGrid w:val="0"/>
        </w:rPr>
        <w:t>.</w:t>
      </w:r>
      <w:r>
        <w:rPr>
          <w:snapToGrid w:val="0"/>
        </w:rPr>
        <w:tab/>
        <w:t>Quorum</w:t>
      </w:r>
      <w:bookmarkEnd w:id="23"/>
      <w:r>
        <w:rPr>
          <w:snapToGrid w:val="0"/>
        </w:rPr>
        <w:t xml:space="preserve"> </w:t>
      </w:r>
    </w:p>
    <w:p>
      <w:pPr>
        <w:pStyle w:val="Subsection"/>
        <w:spacing w:before="140"/>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spacing w:before="140"/>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Heading5"/>
      </w:pPr>
      <w:bookmarkStart w:id="24" w:name="_Toc443919740"/>
      <w:bookmarkStart w:id="25" w:name="_Toc449099779"/>
      <w:bookmarkStart w:id="26" w:name="_Toc464449831"/>
      <w:bookmarkStart w:id="27" w:name="_Toc494452102"/>
      <w:r>
        <w:rPr>
          <w:rStyle w:val="CharSectno"/>
        </w:rPr>
        <w:t>15A</w:t>
      </w:r>
      <w:r>
        <w:t>.</w:t>
      </w:r>
      <w:r>
        <w:tab/>
        <w:t>Remuneration and allowances for Council members</w:t>
      </w:r>
      <w:bookmarkEnd w:id="24"/>
      <w:bookmarkEnd w:id="25"/>
      <w:bookmarkEnd w:id="26"/>
      <w:bookmarkEnd w:id="27"/>
    </w:p>
    <w:p>
      <w:pPr>
        <w:pStyle w:val="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Subsection"/>
        <w:keepNext/>
      </w:pPr>
      <w:r>
        <w:tab/>
        <w:t>(2)</w:t>
      </w:r>
      <w:r>
        <w:tab/>
        <w:t>Any remuneration and allowances payable are to be paid out of the funds available to the Council under section 36.</w:t>
      </w:r>
    </w:p>
    <w:p>
      <w:pPr>
        <w:pStyle w:val="Footnotesection"/>
      </w:pPr>
      <w:r>
        <w:tab/>
        <w:t>[Section 15A inserted by No. 32 of 2016 s. 61.]</w:t>
      </w:r>
    </w:p>
    <w:p>
      <w:pPr>
        <w:pStyle w:val="Heading5"/>
        <w:spacing w:before="180"/>
        <w:rPr>
          <w:snapToGrid w:val="0"/>
        </w:rPr>
      </w:pPr>
      <w:bookmarkStart w:id="28" w:name="_Toc494452103"/>
      <w:r>
        <w:rPr>
          <w:rStyle w:val="CharSectno"/>
        </w:rPr>
        <w:t>15</w:t>
      </w:r>
      <w:r>
        <w:rPr>
          <w:snapToGrid w:val="0"/>
        </w:rPr>
        <w:t>.</w:t>
      </w:r>
      <w:r>
        <w:rPr>
          <w:snapToGrid w:val="0"/>
        </w:rPr>
        <w:tab/>
        <w:t>Delegation by Council</w:t>
      </w:r>
      <w:bookmarkEnd w:id="28"/>
      <w:r>
        <w:rPr>
          <w:snapToGrid w:val="0"/>
        </w:rPr>
        <w:t xml:space="preserve"> </w:t>
      </w:r>
    </w:p>
    <w:p>
      <w:pPr>
        <w:pStyle w:val="Subsection"/>
        <w:spacing w:before="140"/>
        <w:rPr>
          <w:snapToGrid w:val="0"/>
        </w:rPr>
      </w:pPr>
      <w:r>
        <w:rPr>
          <w:snapToGrid w:val="0"/>
        </w:rPr>
        <w:tab/>
        <w:t>(1)</w:t>
      </w:r>
      <w:r>
        <w:rPr>
          <w:snapToGrid w:val="0"/>
        </w:rPr>
        <w:tab/>
        <w:t>The Council may, in relation to any matter or class of matters, or in relation to any activity or function of the University, by resolution delegate all or any of its powers, authorities, duties and functions under this Act, except its powers in relation to the making of Statutes or by</w:t>
      </w:r>
      <w:r>
        <w:rPr>
          <w:snapToGrid w:val="0"/>
        </w:rPr>
        <w:noBreakHyphen/>
        <w:t>laws, to any board or committee constituted under this Act or a Statute or to a member or to a committee consisting of members appointed by the Council or to any officer or officers of the University.</w:t>
      </w:r>
    </w:p>
    <w:p>
      <w:pPr>
        <w:pStyle w:val="Subsection"/>
      </w:pPr>
      <w:r>
        <w:tab/>
        <w:t>(2)</w:t>
      </w:r>
      <w:r>
        <w:tab/>
        <w:t xml:space="preserve">The Council may by resolution revoke a delegation given under this section. </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spacing w:before="80"/>
        <w:ind w:left="890" w:hanging="890"/>
      </w:pPr>
      <w:r>
        <w:tab/>
        <w:t xml:space="preserve">[Section 15 amended by No. 63 of 1990 s. 19; No. 32 of 2016 s. 62.] </w:t>
      </w:r>
    </w:p>
    <w:p>
      <w:pPr>
        <w:pStyle w:val="Heading2"/>
      </w:pPr>
      <w:bookmarkStart w:id="29" w:name="_Toc494452104"/>
      <w:r>
        <w:rPr>
          <w:rStyle w:val="CharPartNo"/>
        </w:rPr>
        <w:t>Part IV</w:t>
      </w:r>
      <w:r>
        <w:rPr>
          <w:rStyle w:val="CharDivNo"/>
        </w:rPr>
        <w:t> </w:t>
      </w:r>
      <w:r>
        <w:t>—</w:t>
      </w:r>
      <w:r>
        <w:rPr>
          <w:rStyle w:val="CharDivText"/>
        </w:rPr>
        <w:t> </w:t>
      </w:r>
      <w:r>
        <w:rPr>
          <w:rStyle w:val="CharPartText"/>
        </w:rPr>
        <w:t>Functions, duties and powers of the Council</w:t>
      </w:r>
      <w:bookmarkEnd w:id="29"/>
      <w:r>
        <w:rPr>
          <w:rStyle w:val="CharPartText"/>
        </w:rPr>
        <w:t xml:space="preserve"> </w:t>
      </w:r>
    </w:p>
    <w:p>
      <w:pPr>
        <w:pStyle w:val="Heading5"/>
        <w:rPr>
          <w:snapToGrid w:val="0"/>
        </w:rPr>
      </w:pPr>
      <w:bookmarkStart w:id="30" w:name="_Toc494452105"/>
      <w:r>
        <w:rPr>
          <w:rStyle w:val="CharSectno"/>
        </w:rPr>
        <w:t>16</w:t>
      </w:r>
      <w:r>
        <w:rPr>
          <w:snapToGrid w:val="0"/>
        </w:rPr>
        <w:t>.</w:t>
      </w:r>
      <w:r>
        <w:rPr>
          <w:snapToGrid w:val="0"/>
        </w:rPr>
        <w:tab/>
        <w:t>Functions and duties of the Council</w:t>
      </w:r>
      <w:bookmarkEnd w:id="30"/>
      <w:r>
        <w:rPr>
          <w:snapToGrid w:val="0"/>
        </w:rPr>
        <w:t xml:space="preserve"> </w:t>
      </w:r>
    </w:p>
    <w:p>
      <w:pPr>
        <w:pStyle w:val="Subsection"/>
        <w:rPr>
          <w:snapToGrid w:val="0"/>
        </w:rPr>
      </w:pPr>
      <w:r>
        <w:rPr>
          <w:snapToGrid w:val="0"/>
        </w:rPr>
        <w:tab/>
        <w:t>(1)</w:t>
      </w:r>
      <w:r>
        <w:rPr>
          <w:snapToGrid w:val="0"/>
        </w:rPr>
        <w:tab/>
        <w:t>Subject to this Act the Council shall — </w:t>
      </w:r>
    </w:p>
    <w:p>
      <w:pPr>
        <w:pStyle w:val="Indenta"/>
        <w:rPr>
          <w:snapToGrid w:val="0"/>
        </w:rPr>
      </w:pPr>
      <w:r>
        <w:rPr>
          <w:snapToGrid w:val="0"/>
        </w:rPr>
        <w:tab/>
        <w:t>(a)</w:t>
      </w:r>
      <w:r>
        <w:rPr>
          <w:snapToGrid w:val="0"/>
        </w:rPr>
        <w:tab/>
        <w:t>perform any function or duty conferred or imposed upon the University under this Act;</w:t>
      </w:r>
    </w:p>
    <w:p>
      <w:pPr>
        <w:pStyle w:val="Indenta"/>
        <w:rPr>
          <w:snapToGrid w:val="0"/>
        </w:rPr>
      </w:pPr>
      <w:r>
        <w:rPr>
          <w:snapToGrid w:val="0"/>
        </w:rPr>
        <w:tab/>
        <w:t>(b)</w:t>
      </w:r>
      <w:r>
        <w:rPr>
          <w:snapToGrid w:val="0"/>
        </w:rPr>
        <w:tab/>
        <w:t>act in all matters concerning the University in such manner as appears to it best calculated to promote the objects and interests of the University; and</w:t>
      </w:r>
    </w:p>
    <w:p>
      <w:pPr>
        <w:pStyle w:val="Indenta"/>
        <w:rPr>
          <w:snapToGrid w:val="0"/>
        </w:rPr>
      </w:pPr>
      <w:r>
        <w:rPr>
          <w:snapToGrid w:val="0"/>
        </w:rPr>
        <w:tab/>
        <w:t>(c)</w:t>
      </w:r>
      <w:r>
        <w:rPr>
          <w:snapToGrid w:val="0"/>
        </w:rPr>
        <w:tab/>
        <w:t>control and manage the operation, affairs, concerns and property of the University.</w:t>
      </w:r>
    </w:p>
    <w:p>
      <w:pPr>
        <w:pStyle w:val="Ednotesubsection"/>
      </w:pPr>
      <w:r>
        <w:tab/>
        <w:t>[(2)</w:t>
      </w:r>
      <w:r>
        <w:tab/>
        <w:t xml:space="preserve">deleted] </w:t>
      </w:r>
    </w:p>
    <w:p>
      <w:pPr>
        <w:pStyle w:val="Footnotesection"/>
      </w:pPr>
      <w:r>
        <w:tab/>
        <w:t xml:space="preserve">[Section 16 amended by No. 48 of 1989 s. 22; No. 63 of 1990 s. 10 and 19.] </w:t>
      </w:r>
    </w:p>
    <w:p>
      <w:pPr>
        <w:pStyle w:val="Heading5"/>
        <w:rPr>
          <w:snapToGrid w:val="0"/>
        </w:rPr>
      </w:pPr>
      <w:bookmarkStart w:id="31" w:name="_Toc494452106"/>
      <w:r>
        <w:rPr>
          <w:rStyle w:val="CharSectno"/>
        </w:rPr>
        <w:t>17</w:t>
      </w:r>
      <w:r>
        <w:rPr>
          <w:snapToGrid w:val="0"/>
        </w:rPr>
        <w:t>.</w:t>
      </w:r>
      <w:r>
        <w:rPr>
          <w:snapToGrid w:val="0"/>
        </w:rPr>
        <w:tab/>
        <w:t>Powers of Council</w:t>
      </w:r>
      <w:bookmarkEnd w:id="31"/>
      <w:r>
        <w:rPr>
          <w:snapToGrid w:val="0"/>
        </w:rPr>
        <w:t xml:space="preserve"> </w:t>
      </w:r>
    </w:p>
    <w:p>
      <w:pPr>
        <w:pStyle w:val="Subsection"/>
        <w:rPr>
          <w:snapToGrid w:val="0"/>
        </w:rPr>
      </w:pPr>
      <w:r>
        <w:rPr>
          <w:snapToGrid w:val="0"/>
        </w:rPr>
        <w:tab/>
        <w:t>(1)</w:t>
      </w:r>
      <w:r>
        <w:rPr>
          <w:snapToGrid w:val="0"/>
        </w:rPr>
        <w:tab/>
        <w:t>Subject to this Act and the Statutes the Council has power to do all things necessary or convenient to be done for or in connection with the operation, affairs, concerns and property of the University and, in particular, the Council — </w:t>
      </w:r>
    </w:p>
    <w:p>
      <w:pPr>
        <w:pStyle w:val="Indenta"/>
        <w:rPr>
          <w:snapToGrid w:val="0"/>
        </w:rPr>
      </w:pPr>
      <w:r>
        <w:rPr>
          <w:snapToGrid w:val="0"/>
        </w:rPr>
        <w:tab/>
        <w:t>(a)</w:t>
      </w:r>
      <w:r>
        <w:rPr>
          <w:snapToGrid w:val="0"/>
        </w:rPr>
        <w:tab/>
        <w:t>may, on behalf of the University, enter into and execute agreements with government departments and with other tertiary or post</w:t>
      </w:r>
      <w:r>
        <w:rPr>
          <w:snapToGrid w:val="0"/>
        </w:rPr>
        <w:noBreakHyphen/>
        <w:t>secondary education institutions for the purpose of the academic or other salaried staffing of the University and for the provision of the education that the University is authorised by this Act to provide; and</w:t>
      </w:r>
    </w:p>
    <w:p>
      <w:pPr>
        <w:pStyle w:val="Indenta"/>
        <w:rPr>
          <w:snapToGrid w:val="0"/>
        </w:rPr>
      </w:pPr>
      <w:r>
        <w:rPr>
          <w:snapToGrid w:val="0"/>
        </w:rPr>
        <w:tab/>
        <w:t>(b)</w:t>
      </w:r>
      <w:r>
        <w:rPr>
          <w:snapToGrid w:val="0"/>
        </w:rPr>
        <w:tab/>
        <w:t>may, on behalf of the University, enter into and execute contracts for the planning, construction, modification and maintenance of buildings and for minor works and services; and</w:t>
      </w:r>
    </w:p>
    <w:p>
      <w:pPr>
        <w:pStyle w:val="Indenta"/>
        <w:rPr>
          <w:snapToGrid w:val="0"/>
        </w:rPr>
      </w:pPr>
      <w:r>
        <w:rPr>
          <w:snapToGrid w:val="0"/>
        </w:rPr>
        <w:tab/>
        <w:t>(c)</w:t>
      </w:r>
      <w:r>
        <w:rPr>
          <w:snapToGrid w:val="0"/>
        </w:rPr>
        <w:tab/>
        <w:t xml:space="preserve">may provide courses of study appropriate to a </w:t>
      </w:r>
      <w:r>
        <w:t xml:space="preserve">university, or other tertiary courses, </w:t>
      </w:r>
      <w:r>
        <w:rPr>
          <w:snapToGrid w:val="0"/>
        </w:rPr>
        <w:t>on a full</w:t>
      </w:r>
      <w:r>
        <w:rPr>
          <w:snapToGrid w:val="0"/>
        </w:rPr>
        <w:noBreakHyphen/>
        <w:t>time or part</w:t>
      </w:r>
      <w:r>
        <w:rPr>
          <w:snapToGrid w:val="0"/>
        </w:rPr>
        <w:noBreakHyphen/>
        <w:t>time basis at such place or places as are determined by the Council and may with the approval of the Minister declare that any such place or places constitute a campus of the University; and</w:t>
      </w:r>
    </w:p>
    <w:p>
      <w:pPr>
        <w:pStyle w:val="Indenta"/>
        <w:rPr>
          <w:snapToGrid w:val="0"/>
        </w:rPr>
      </w:pPr>
      <w:r>
        <w:rPr>
          <w:snapToGrid w:val="0"/>
        </w:rPr>
        <w:tab/>
        <w:t>(d)</w:t>
      </w:r>
      <w:r>
        <w:rPr>
          <w:snapToGrid w:val="0"/>
        </w:rPr>
        <w:tab/>
        <w:t>may establish guidelines for the use of University facilities by the community and levy and collect appropriate charges for such use; and</w:t>
      </w:r>
    </w:p>
    <w:p>
      <w:pPr>
        <w:pStyle w:val="Indenta"/>
        <w:rPr>
          <w:snapToGrid w:val="0"/>
        </w:rPr>
      </w:pPr>
      <w:r>
        <w:rPr>
          <w:snapToGrid w:val="0"/>
        </w:rPr>
        <w:tab/>
        <w:t>(e)</w:t>
      </w:r>
      <w:r>
        <w:rPr>
          <w:snapToGrid w:val="0"/>
        </w:rPr>
        <w:tab/>
        <w:t>may, on behalf of the University, award — </w:t>
      </w:r>
    </w:p>
    <w:p>
      <w:pPr>
        <w:pStyle w:val="Indenti"/>
        <w:rPr>
          <w:snapToGrid w:val="0"/>
        </w:rPr>
      </w:pPr>
      <w:r>
        <w:rPr>
          <w:snapToGrid w:val="0"/>
        </w:rPr>
        <w:tab/>
        <w:t>(i)</w:t>
      </w:r>
      <w:r>
        <w:rPr>
          <w:snapToGrid w:val="0"/>
        </w:rPr>
        <w:tab/>
        <w:t>appropriate degrees, diplomas and certificates; and</w:t>
      </w:r>
    </w:p>
    <w:p>
      <w:pPr>
        <w:pStyle w:val="Indenti"/>
        <w:rPr>
          <w:snapToGrid w:val="0"/>
        </w:rPr>
      </w:pPr>
      <w:r>
        <w:rPr>
          <w:snapToGrid w:val="0"/>
        </w:rPr>
        <w:tab/>
        <w:t>(ii)</w:t>
      </w:r>
      <w:r>
        <w:rPr>
          <w:snapToGrid w:val="0"/>
        </w:rPr>
        <w:tab/>
        <w:t>appropriate honorary awards,</w:t>
      </w:r>
    </w:p>
    <w:p>
      <w:pPr>
        <w:pStyle w:val="Indenta"/>
        <w:rPr>
          <w:snapToGrid w:val="0"/>
        </w:rPr>
      </w:pPr>
      <w:r>
        <w:rPr>
          <w:snapToGrid w:val="0"/>
        </w:rPr>
        <w:tab/>
      </w:r>
      <w:r>
        <w:rPr>
          <w:snapToGrid w:val="0"/>
        </w:rPr>
        <w:tab/>
        <w:t>to enrolled students and other persons; and</w:t>
      </w:r>
    </w:p>
    <w:p>
      <w:pPr>
        <w:pStyle w:val="Indenta"/>
      </w:pPr>
      <w:r>
        <w:tab/>
        <w:t>(fa)</w:t>
      </w:r>
      <w:r>
        <w:tab/>
        <w:t>may provide residential accommodation for members of staff, or enrolled students, or both; and</w:t>
      </w:r>
    </w:p>
    <w:p>
      <w:pPr>
        <w:pStyle w:val="Indenta"/>
        <w:rPr>
          <w:snapToGrid w:val="0"/>
        </w:rPr>
      </w:pPr>
      <w:r>
        <w:rPr>
          <w:snapToGrid w:val="0"/>
        </w:rPr>
        <w:tab/>
        <w:t>(f)</w:t>
      </w:r>
      <w:r>
        <w:rPr>
          <w:snapToGrid w:val="0"/>
        </w:rPr>
        <w:tab/>
        <w:t>may exercise any other power vested in it under this Act.</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in accordance with the Statutes.</w:t>
      </w:r>
    </w:p>
    <w:p>
      <w:pPr>
        <w:pStyle w:val="Footnotesection"/>
      </w:pPr>
      <w:r>
        <w:tab/>
        <w:t xml:space="preserve">[Section 17 amended by No. 48 of 1989 s. 23; No. 63 of 1990 s. 11 and 19; No. 32 of 2016 s. 63.] </w:t>
      </w:r>
    </w:p>
    <w:p>
      <w:pPr>
        <w:pStyle w:val="Heading5"/>
      </w:pPr>
      <w:bookmarkStart w:id="32" w:name="_Toc494452107"/>
      <w:r>
        <w:rPr>
          <w:rStyle w:val="CharSectno"/>
        </w:rPr>
        <w:t>17A</w:t>
      </w:r>
      <w:r>
        <w:t>.</w:t>
      </w:r>
      <w:r>
        <w:tab/>
        <w:t>Relief of members from liability</w:t>
      </w:r>
      <w:bookmarkEnd w:id="32"/>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17A inserted by No.</w:t>
      </w:r>
      <w:r>
        <w:rPr>
          <w:sz w:val="28"/>
        </w:rPr>
        <w:t> </w:t>
      </w:r>
      <w:r>
        <w:t>8 of 2005 s. 22.]</w:t>
      </w:r>
    </w:p>
    <w:p>
      <w:pPr>
        <w:pStyle w:val="Heading5"/>
        <w:rPr>
          <w:snapToGrid w:val="0"/>
        </w:rPr>
      </w:pPr>
      <w:bookmarkStart w:id="33" w:name="_Toc494452108"/>
      <w:r>
        <w:rPr>
          <w:rStyle w:val="CharSectno"/>
        </w:rPr>
        <w:t>18</w:t>
      </w:r>
      <w:r>
        <w:rPr>
          <w:snapToGrid w:val="0"/>
        </w:rPr>
        <w:t>.</w:t>
      </w:r>
      <w:r>
        <w:rPr>
          <w:snapToGrid w:val="0"/>
        </w:rPr>
        <w:tab/>
        <w:t>Academic Board</w:t>
      </w:r>
      <w:bookmarkEnd w:id="33"/>
      <w:r>
        <w:rPr>
          <w:snapToGrid w:val="0"/>
        </w:rPr>
        <w:t xml:space="preserve"> </w:t>
      </w:r>
    </w:p>
    <w:p>
      <w:pPr>
        <w:pStyle w:val="Subsection"/>
        <w:rPr>
          <w:snapToGrid w:val="0"/>
        </w:rPr>
      </w:pPr>
      <w:r>
        <w:rPr>
          <w:snapToGrid w:val="0"/>
        </w:rPr>
        <w:tab/>
        <w:t>(1)</w:t>
      </w:r>
      <w:r>
        <w:rPr>
          <w:snapToGrid w:val="0"/>
        </w:rPr>
        <w:tab/>
        <w:t>There shall be an Academic Board of the University.</w:t>
      </w:r>
    </w:p>
    <w:p>
      <w:pPr>
        <w:pStyle w:val="Subsection"/>
        <w:rPr>
          <w:snapToGrid w:val="0"/>
        </w:rPr>
      </w:pPr>
      <w:r>
        <w:rPr>
          <w:snapToGrid w:val="0"/>
        </w:rPr>
        <w:tab/>
        <w:t>(2)</w:t>
      </w:r>
      <w:r>
        <w:rPr>
          <w:snapToGrid w:val="0"/>
        </w:rPr>
        <w:tab/>
        <w:t>The constitution of the Academic Board, the number of persons who shall comprise the Academic Board from time to time, the method of their appointment and selection, their term of office, the conduct of proceedings and all other matters in the opinion of the Council necessary or desirable to ensure the effective exercise of the functions of the Academic Board may be prescribed by Statute.</w:t>
      </w:r>
    </w:p>
    <w:p>
      <w:pPr>
        <w:pStyle w:val="Subsection"/>
        <w:rPr>
          <w:snapToGrid w:val="0"/>
        </w:rPr>
      </w:pPr>
      <w:r>
        <w:rPr>
          <w:snapToGrid w:val="0"/>
        </w:rPr>
        <w:tab/>
        <w:t>(3)</w:t>
      </w:r>
      <w:r>
        <w:rPr>
          <w:snapToGrid w:val="0"/>
        </w:rPr>
        <w:tab/>
        <w:t>The functions of the Academic Board shall include — </w:t>
      </w:r>
    </w:p>
    <w:p>
      <w:pPr>
        <w:pStyle w:val="Indenta"/>
        <w:rPr>
          <w:snapToGrid w:val="0"/>
        </w:rPr>
      </w:pPr>
      <w:r>
        <w:rPr>
          <w:snapToGrid w:val="0"/>
        </w:rPr>
        <w:tab/>
        <w:t>(a)</w:t>
      </w:r>
      <w:r>
        <w:rPr>
          <w:snapToGrid w:val="0"/>
        </w:rPr>
        <w:tab/>
        <w:t>the discussion and submission to the Council of opinions and recommendations on academic policy, academic development, the admission of students, instruction, studies and examinations, research, the admission to degrees, the discipline of the University and any other matters which in the opinion of the Academic Board are relevant to the objects of this Act;</w:t>
      </w:r>
    </w:p>
    <w:p>
      <w:pPr>
        <w:pStyle w:val="Indenta"/>
        <w:rPr>
          <w:snapToGrid w:val="0"/>
        </w:rPr>
      </w:pPr>
      <w:r>
        <w:rPr>
          <w:snapToGrid w:val="0"/>
        </w:rPr>
        <w:tab/>
        <w:t>(b)</w:t>
      </w:r>
      <w:r>
        <w:rPr>
          <w:snapToGrid w:val="0"/>
        </w:rPr>
        <w:tab/>
        <w:t>the furnishing to the Council of reports on all matters referred to it by the Council for consideration; and</w:t>
      </w:r>
    </w:p>
    <w:p>
      <w:pPr>
        <w:pStyle w:val="Indenta"/>
        <w:rPr>
          <w:snapToGrid w:val="0"/>
        </w:rPr>
      </w:pPr>
      <w:r>
        <w:rPr>
          <w:snapToGrid w:val="0"/>
        </w:rPr>
        <w:tab/>
        <w:t>(c)</w:t>
      </w:r>
      <w:r>
        <w:rPr>
          <w:snapToGrid w:val="0"/>
        </w:rPr>
        <w:tab/>
        <w:t>such other acts or matters as may be conferred or imposed by Statute,</w:t>
      </w:r>
    </w:p>
    <w:p>
      <w:pPr>
        <w:pStyle w:val="Subsection"/>
        <w:rPr>
          <w:snapToGrid w:val="0"/>
        </w:rPr>
      </w:pPr>
      <w:r>
        <w:rPr>
          <w:snapToGrid w:val="0"/>
        </w:rPr>
        <w:tab/>
      </w:r>
      <w:r>
        <w:rPr>
          <w:snapToGrid w:val="0"/>
        </w:rPr>
        <w:tab/>
        <w:t>and the Academic Board shall have all such powers as may be necessary to discharge its functions.</w:t>
      </w:r>
    </w:p>
    <w:p>
      <w:pPr>
        <w:pStyle w:val="Footnotesection"/>
      </w:pPr>
      <w:r>
        <w:tab/>
        <w:t xml:space="preserve">[Section 18 inserted by No. 63 of 1990 s. 12.] </w:t>
      </w:r>
    </w:p>
    <w:p>
      <w:pPr>
        <w:pStyle w:val="Heading5"/>
      </w:pPr>
      <w:bookmarkStart w:id="34" w:name="_Toc494452109"/>
      <w:r>
        <w:rPr>
          <w:rStyle w:val="CharSectno"/>
        </w:rPr>
        <w:t>19</w:t>
      </w:r>
      <w:r>
        <w:t>.</w:t>
      </w:r>
      <w:r>
        <w:tab/>
        <w:t>ECU South West Campus (Bunbury)</w:t>
      </w:r>
      <w:bookmarkEnd w:id="34"/>
    </w:p>
    <w:p>
      <w:pPr>
        <w:pStyle w:val="Subsection"/>
      </w:pPr>
      <w:r>
        <w:tab/>
        <w:t>(1)</w:t>
      </w:r>
      <w:r>
        <w:tab/>
        <w:t xml:space="preserve">On and after the day on which section 46 of the </w:t>
      </w:r>
      <w:r>
        <w:rPr>
          <w:i/>
        </w:rPr>
        <w:t xml:space="preserve">Statutes (Repeals and Minor Amendments) Act 2003 </w:t>
      </w:r>
      <w:r>
        <w:t>comes into operation</w:t>
      </w:r>
      <w:r>
        <w:rPr>
          <w:vertAlign w:val="superscript"/>
        </w:rPr>
        <w:t> 1</w:t>
      </w:r>
      <w:r>
        <w:t xml:space="preserve"> (in this section referred to as </w:t>
      </w:r>
      <w:r>
        <w:rPr>
          <w:rStyle w:val="CharDefText"/>
        </w:rPr>
        <w:t>the commencement day</w:t>
      </w:r>
      <w:r>
        <w:t>), the campus of the University constituted under this Act, as in force immediately before the commencement day, and known as the Bunbury Campus of the University continues to be so constituted but shall be known as the ECU South West Campus (Bunbury) of the University.</w:t>
      </w:r>
    </w:p>
    <w:p>
      <w:pPr>
        <w:pStyle w:val="Subsection"/>
      </w:pPr>
      <w:r>
        <w:tab/>
        <w:t>(2)</w:t>
      </w:r>
      <w:r>
        <w:tab/>
        <w:t xml:space="preserve">A reference to the Bunbury Campus of the University, or to the Bunbury Institute of Advanced Education, whether by the use of that name or a similar or abbreviated form of that name — </w:t>
      </w:r>
    </w:p>
    <w:p>
      <w:pPr>
        <w:pStyle w:val="Indenta"/>
      </w:pPr>
      <w:r>
        <w:tab/>
        <w:t>(a)</w:t>
      </w:r>
      <w:r>
        <w:tab/>
        <w:t>in a written law passed or made before the commencement day;</w:t>
      </w:r>
    </w:p>
    <w:p>
      <w:pPr>
        <w:pStyle w:val="Indenta"/>
      </w:pPr>
      <w:r>
        <w:tab/>
        <w:t>(b)</w:t>
      </w:r>
      <w:r>
        <w:tab/>
        <w:t>in any document or other instrument made, executed, entered into or done before the commencement day; or</w:t>
      </w:r>
    </w:p>
    <w:p>
      <w:pPr>
        <w:pStyle w:val="Indenta"/>
      </w:pPr>
      <w:r>
        <w:tab/>
        <w:t>(c)</w:t>
      </w:r>
      <w:r>
        <w:tab/>
        <w:t>made before the commencement day in any other manner,</w:t>
      </w:r>
    </w:p>
    <w:p>
      <w:pPr>
        <w:pStyle w:val="Subsection"/>
      </w:pPr>
      <w:r>
        <w:tab/>
      </w:r>
      <w:r>
        <w:tab/>
        <w:t>shall be construed as if it had been amended to be a reference to the ECU South West Campus (Bunbury) of the University, unless because of the context it would be inappropriate to construe the reference in that manner.</w:t>
      </w:r>
    </w:p>
    <w:p>
      <w:pPr>
        <w:pStyle w:val="Footnotesection"/>
      </w:pPr>
      <w:r>
        <w:tab/>
        <w:t>[Section 19 inserted by No. 74 of 2003 s. 46(2).]</w:t>
      </w:r>
    </w:p>
    <w:p>
      <w:pPr>
        <w:pStyle w:val="Heading5"/>
        <w:spacing w:before="180"/>
        <w:rPr>
          <w:snapToGrid w:val="0"/>
        </w:rPr>
      </w:pPr>
      <w:bookmarkStart w:id="35" w:name="_Toc494452110"/>
      <w:r>
        <w:rPr>
          <w:rStyle w:val="CharSectno"/>
        </w:rPr>
        <w:t>20</w:t>
      </w:r>
      <w:r>
        <w:rPr>
          <w:snapToGrid w:val="0"/>
        </w:rPr>
        <w:t>.</w:t>
      </w:r>
      <w:r>
        <w:rPr>
          <w:snapToGrid w:val="0"/>
        </w:rPr>
        <w:tab/>
      </w:r>
      <w:r>
        <w:t xml:space="preserve">ECU South West Campus (Bunbury) </w:t>
      </w:r>
      <w:r>
        <w:rPr>
          <w:snapToGrid w:val="0"/>
        </w:rPr>
        <w:t>Advisory Board</w:t>
      </w:r>
      <w:bookmarkEnd w:id="35"/>
      <w:r>
        <w:rPr>
          <w:snapToGrid w:val="0"/>
        </w:rPr>
        <w:t xml:space="preserve"> </w:t>
      </w:r>
    </w:p>
    <w:p>
      <w:pPr>
        <w:pStyle w:val="Subsection"/>
        <w:spacing w:before="120"/>
        <w:rPr>
          <w:snapToGrid w:val="0"/>
        </w:rPr>
      </w:pPr>
      <w:r>
        <w:rPr>
          <w:snapToGrid w:val="0"/>
        </w:rPr>
        <w:tab/>
        <w:t>(1)</w:t>
      </w:r>
      <w:r>
        <w:rPr>
          <w:snapToGrid w:val="0"/>
        </w:rPr>
        <w:tab/>
        <w:t xml:space="preserve">There shall be </w:t>
      </w:r>
      <w:r>
        <w:t xml:space="preserve">an ECU South West Campus (Bunbury) </w:t>
      </w:r>
      <w:r>
        <w:rPr>
          <w:snapToGrid w:val="0"/>
        </w:rPr>
        <w:t>Advisory Board.</w:t>
      </w:r>
    </w:p>
    <w:p>
      <w:pPr>
        <w:pStyle w:val="Subsection"/>
      </w:pPr>
      <w:r>
        <w:tab/>
        <w:t>(2)</w:t>
      </w:r>
      <w:r>
        <w:tab/>
        <w:t xml:space="preserve">The Council may make Statutes — </w:t>
      </w:r>
    </w:p>
    <w:p>
      <w:pPr>
        <w:pStyle w:val="Indenta"/>
      </w:pPr>
      <w:r>
        <w:tab/>
        <w:t>(a)</w:t>
      </w:r>
      <w:r>
        <w:tab/>
        <w:t>prescribing the method of the appointment and selection of the members of the ECU South West Campus (Bunbury) Advisory Board by the Council;</w:t>
      </w:r>
    </w:p>
    <w:p>
      <w:pPr>
        <w:pStyle w:val="Indenta"/>
      </w:pPr>
      <w:r>
        <w:tab/>
        <w:t>(b)</w:t>
      </w:r>
      <w:r>
        <w:tab/>
        <w:t>prescribing the terms of office of the members of the ECU South West Campus (Bunbury) Advisory Board;</w:t>
      </w:r>
    </w:p>
    <w:p>
      <w:pPr>
        <w:pStyle w:val="Indenta"/>
      </w:pPr>
      <w:r>
        <w:tab/>
        <w:t>(c)</w:t>
      </w:r>
      <w:r>
        <w:tab/>
        <w:t>prescribing the circumstances in which an office of member of the ECU South West Campus (Bunbury) Advisory Board becomes vacant;</w:t>
      </w:r>
    </w:p>
    <w:p>
      <w:pPr>
        <w:pStyle w:val="Indenta"/>
      </w:pPr>
      <w:r>
        <w:tab/>
        <w:t>(d)</w:t>
      </w:r>
      <w:r>
        <w:tab/>
        <w:t>providing for meetings of the ECU South West Campus (Bunbury) Advisory Board;</w:t>
      </w:r>
    </w:p>
    <w:p>
      <w:pPr>
        <w:pStyle w:val="Indenta"/>
      </w:pPr>
      <w:r>
        <w:tab/>
        <w:t>(e)</w:t>
      </w:r>
      <w:r>
        <w:tab/>
        <w:t>providing for any other matters necessary or desirable to ensure the effective exercise of the functions of the ECU South West Campus (Bunbury) Advisory Board.</w:t>
      </w:r>
    </w:p>
    <w:p>
      <w:pPr>
        <w:pStyle w:val="Subsection"/>
      </w:pPr>
      <w:r>
        <w:tab/>
        <w:t>(3)</w:t>
      </w:r>
      <w:r>
        <w:tab/>
        <w:t xml:space="preserve">The functions of the ECU South West Campus (Bunbury) Advisory Board are — </w:t>
      </w:r>
    </w:p>
    <w:p>
      <w:pPr>
        <w:pStyle w:val="Indenta"/>
      </w:pPr>
      <w:r>
        <w:tab/>
        <w:t>(a)</w:t>
      </w:r>
      <w:r>
        <w:tab/>
        <w:t>to provide the Council with strategic advice in relation to the ECU South West Campus (Bunbury) and education matters relevant to the south</w:t>
      </w:r>
      <w:r>
        <w:noBreakHyphen/>
        <w:t>west region of the State; and</w:t>
      </w:r>
    </w:p>
    <w:p>
      <w:pPr>
        <w:pStyle w:val="Indenta"/>
      </w:pPr>
      <w:r>
        <w:tab/>
        <w:t>(b)</w:t>
      </w:r>
      <w:r>
        <w:tab/>
        <w:t>any other functions relating to the ECU South West Campus (Bunbury) and education matters relevant to the south</w:t>
      </w:r>
      <w:r>
        <w:noBreakHyphen/>
        <w:t>west region of the State determined by the Council.</w:t>
      </w:r>
    </w:p>
    <w:p>
      <w:pPr>
        <w:pStyle w:val="Subsection"/>
        <w:rPr>
          <w:snapToGrid w:val="0"/>
        </w:rPr>
      </w:pPr>
      <w:r>
        <w:rPr>
          <w:snapToGrid w:val="0"/>
        </w:rPr>
        <w:tab/>
        <w:t>(4)</w:t>
      </w:r>
      <w:r>
        <w:rPr>
          <w:snapToGrid w:val="0"/>
        </w:rPr>
        <w:tab/>
        <w:t xml:space="preserve">The </w:t>
      </w:r>
      <w:r>
        <w:t xml:space="preserve">ECU South West Campus (Bunbury) </w:t>
      </w:r>
      <w:r>
        <w:rPr>
          <w:snapToGrid w:val="0"/>
        </w:rPr>
        <w:t>Advisory Board is subject to the direction and control of the Council.</w:t>
      </w:r>
    </w:p>
    <w:p>
      <w:pPr>
        <w:pStyle w:val="Footnotesection"/>
      </w:pPr>
      <w:r>
        <w:tab/>
        <w:t xml:space="preserve">[Section 20 inserted by No. 63 of 1990 s. 12; amended by No. 74 of 2003 s. 46(3) and (4); No. 32 of 2016 s. 64.] </w:t>
      </w:r>
    </w:p>
    <w:p>
      <w:pPr>
        <w:pStyle w:val="Ednotesection"/>
        <w:spacing w:before="180"/>
      </w:pPr>
      <w:r>
        <w:t>[</w:t>
      </w:r>
      <w:r>
        <w:rPr>
          <w:b/>
        </w:rPr>
        <w:t>21</w:t>
      </w:r>
      <w:r>
        <w:rPr>
          <w:b/>
        </w:rPr>
        <w:noBreakHyphen/>
        <w:t>23.</w:t>
      </w:r>
      <w:r>
        <w:tab/>
        <w:t xml:space="preserve">Deleted by No. 63 of 1990 s. 12.] </w:t>
      </w:r>
    </w:p>
    <w:p>
      <w:pPr>
        <w:pStyle w:val="Heading5"/>
        <w:spacing w:before="180"/>
        <w:rPr>
          <w:snapToGrid w:val="0"/>
        </w:rPr>
      </w:pPr>
      <w:bookmarkStart w:id="36" w:name="_Toc494452111"/>
      <w:r>
        <w:rPr>
          <w:rStyle w:val="CharSectno"/>
        </w:rPr>
        <w:t>24</w:t>
      </w:r>
      <w:r>
        <w:rPr>
          <w:snapToGrid w:val="0"/>
        </w:rPr>
        <w:t>.</w:t>
      </w:r>
      <w:r>
        <w:rPr>
          <w:snapToGrid w:val="0"/>
        </w:rPr>
        <w:tab/>
        <w:t>Western Australian Academy of Performing Arts</w:t>
      </w:r>
      <w:bookmarkEnd w:id="36"/>
      <w:r>
        <w:rPr>
          <w:snapToGrid w:val="0"/>
        </w:rPr>
        <w:t xml:space="preserve"> </w:t>
      </w:r>
    </w:p>
    <w:p>
      <w:pPr>
        <w:pStyle w:val="Subsection"/>
        <w:spacing w:before="140"/>
        <w:rPr>
          <w:snapToGrid w:val="0"/>
        </w:rPr>
      </w:pPr>
      <w:r>
        <w:rPr>
          <w:snapToGrid w:val="0"/>
        </w:rPr>
        <w:tab/>
        <w:t>(1)</w:t>
      </w:r>
      <w:r>
        <w:rPr>
          <w:snapToGrid w:val="0"/>
        </w:rPr>
        <w:tab/>
        <w:t>The Western Australian Academy of Performing Arts shall be deemed to have been established as an academy of the University under that name on the day that this Act comes into operation.</w:t>
      </w:r>
    </w:p>
    <w:p>
      <w:pPr>
        <w:pStyle w:val="Subsection"/>
      </w:pPr>
      <w:r>
        <w:tab/>
        <w:t>(2)</w:t>
      </w:r>
      <w:r>
        <w:tab/>
        <w:t>The Council may make Statutes providing for the control and management of the affairs and concerns of the Academy.</w:t>
      </w:r>
    </w:p>
    <w:p>
      <w:pPr>
        <w:pStyle w:val="Ednotesubsection"/>
      </w:pPr>
      <w:r>
        <w:tab/>
        <w:t>[(3)</w:t>
      </w:r>
      <w:r>
        <w:tab/>
        <w:t xml:space="preserve">deleted] </w:t>
      </w:r>
    </w:p>
    <w:p>
      <w:pPr>
        <w:pStyle w:val="Footnotesection"/>
      </w:pPr>
      <w:r>
        <w:tab/>
        <w:t xml:space="preserve">[Section 24 amended by No. 63 of 1990 s. 19; No. 32 of 2016 s. 65.] </w:t>
      </w:r>
    </w:p>
    <w:p>
      <w:pPr>
        <w:pStyle w:val="Heading5"/>
      </w:pPr>
      <w:bookmarkStart w:id="37" w:name="_Toc494452112"/>
      <w:r>
        <w:rPr>
          <w:rStyle w:val="CharSectno"/>
        </w:rPr>
        <w:t>25</w:t>
      </w:r>
      <w:r>
        <w:t>.</w:t>
      </w:r>
      <w:r>
        <w:tab/>
        <w:t>Advisory Board of Academy</w:t>
      </w:r>
      <w:bookmarkEnd w:id="37"/>
    </w:p>
    <w:p>
      <w:pPr>
        <w:pStyle w:val="Subsection"/>
      </w:pPr>
      <w:r>
        <w:tab/>
        <w:t>(1)</w:t>
      </w:r>
      <w:r>
        <w:tab/>
        <w:t>There is to be an Advisory Board of the Academy.</w:t>
      </w:r>
    </w:p>
    <w:p>
      <w:pPr>
        <w:pStyle w:val="Subsection"/>
      </w:pPr>
      <w:r>
        <w:tab/>
        <w:t>(2)</w:t>
      </w:r>
      <w:r>
        <w:tab/>
        <w:t xml:space="preserve">Without limiting section 24(2), the Council may make Statutes — </w:t>
      </w:r>
    </w:p>
    <w:p>
      <w:pPr>
        <w:pStyle w:val="Indenta"/>
      </w:pPr>
      <w:r>
        <w:tab/>
        <w:t>(a)</w:t>
      </w:r>
      <w:r>
        <w:tab/>
        <w:t>prescribing the method of the appointment and selection of the members of the Advisory Board of the Academy by the Council;</w:t>
      </w:r>
    </w:p>
    <w:p>
      <w:pPr>
        <w:pStyle w:val="Indenta"/>
      </w:pPr>
      <w:r>
        <w:tab/>
        <w:t>(b)</w:t>
      </w:r>
      <w:r>
        <w:tab/>
        <w:t>prescribing the terms of office of the members of the Advisory Board of the Academy;</w:t>
      </w:r>
    </w:p>
    <w:p>
      <w:pPr>
        <w:pStyle w:val="Indenta"/>
      </w:pPr>
      <w:r>
        <w:tab/>
        <w:t>(c)</w:t>
      </w:r>
      <w:r>
        <w:tab/>
        <w:t>prescribing the circumstances in which an office of member of the Advisory Board of the Academy becomes vacant;</w:t>
      </w:r>
    </w:p>
    <w:p>
      <w:pPr>
        <w:pStyle w:val="Indenta"/>
      </w:pPr>
      <w:r>
        <w:tab/>
        <w:t>(d)</w:t>
      </w:r>
      <w:r>
        <w:tab/>
        <w:t>providing for meetings of the Advisory Board of the Academy;</w:t>
      </w:r>
    </w:p>
    <w:p>
      <w:pPr>
        <w:pStyle w:val="Indenta"/>
      </w:pPr>
      <w:r>
        <w:tab/>
        <w:t>(e)</w:t>
      </w:r>
      <w:r>
        <w:tab/>
        <w:t>providing for any other matters necessary or desirable to ensure the effective exercise of the functions of the Advisory Board of the Academy.</w:t>
      </w:r>
    </w:p>
    <w:p>
      <w:pPr>
        <w:pStyle w:val="Subsection"/>
      </w:pPr>
      <w:r>
        <w:tab/>
        <w:t>(3)</w:t>
      </w:r>
      <w:r>
        <w:tab/>
        <w:t xml:space="preserve">The functions of the Advisory Board of the Academy are — </w:t>
      </w:r>
    </w:p>
    <w:p>
      <w:pPr>
        <w:pStyle w:val="Indenta"/>
      </w:pPr>
      <w:r>
        <w:tab/>
        <w:t>(a)</w:t>
      </w:r>
      <w:r>
        <w:tab/>
        <w:t>to provide the Council with strategic advice in relation to the Academy; and</w:t>
      </w:r>
    </w:p>
    <w:p>
      <w:pPr>
        <w:pStyle w:val="Indenta"/>
      </w:pPr>
      <w:r>
        <w:tab/>
        <w:t>(b)</w:t>
      </w:r>
      <w:r>
        <w:tab/>
        <w:t>any other functions relating to the Academy determined by the Council.</w:t>
      </w:r>
    </w:p>
    <w:p>
      <w:pPr>
        <w:pStyle w:val="Subsection"/>
      </w:pPr>
      <w:r>
        <w:tab/>
        <w:t>(4)</w:t>
      </w:r>
      <w:r>
        <w:tab/>
        <w:t>The Advisory Board of the Academy is subject to the direction and control of the Council.</w:t>
      </w:r>
    </w:p>
    <w:p>
      <w:pPr>
        <w:pStyle w:val="Footnotesection"/>
      </w:pPr>
      <w:r>
        <w:tab/>
        <w:t>[Section 25 inserted by No. 32 of 2016 s. 66.]</w:t>
      </w:r>
    </w:p>
    <w:p>
      <w:pPr>
        <w:pStyle w:val="Heading5"/>
      </w:pPr>
      <w:bookmarkStart w:id="38" w:name="_Toc494452113"/>
      <w:r>
        <w:rPr>
          <w:rStyle w:val="CharSectno"/>
        </w:rPr>
        <w:t>25A</w:t>
      </w:r>
      <w:r>
        <w:t>.</w:t>
      </w:r>
      <w:r>
        <w:tab/>
        <w:t>Remuneration and allowances for Advisory Board members</w:t>
      </w:r>
      <w:bookmarkEnd w:id="38"/>
    </w:p>
    <w:p>
      <w:pPr>
        <w:pStyle w:val="Subsection"/>
      </w:pPr>
      <w:r>
        <w:tab/>
        <w:t>(1)</w:t>
      </w:r>
      <w:r>
        <w:tab/>
        <w:t xml:space="preserve">A member of an Advisory Board is entitled to be paid the remuneration (if any) and allowances (if any) determined by the Salaries and Allowances Tribunal under the </w:t>
      </w:r>
      <w:r>
        <w:rPr>
          <w:i/>
        </w:rPr>
        <w:t>Salaries and Allowances Act 1975</w:t>
      </w:r>
      <w:r>
        <w:t>.</w:t>
      </w:r>
    </w:p>
    <w:p>
      <w:pPr>
        <w:pStyle w:val="Subsection"/>
      </w:pPr>
      <w:r>
        <w:tab/>
        <w:t>(2)</w:t>
      </w:r>
      <w:r>
        <w:tab/>
        <w:t>Any remuneration and allowances payable are to be paid out of the funds available to the Council under section 36.</w:t>
      </w:r>
    </w:p>
    <w:p>
      <w:pPr>
        <w:pStyle w:val="Footnotesection"/>
      </w:pPr>
      <w:r>
        <w:tab/>
        <w:t>[Section 25A inserted by No. 32 of 2016 s. 66.]</w:t>
      </w:r>
    </w:p>
    <w:p>
      <w:pPr>
        <w:pStyle w:val="Heading2"/>
      </w:pPr>
      <w:bookmarkStart w:id="39" w:name="_Toc494452114"/>
      <w:r>
        <w:rPr>
          <w:rStyle w:val="CharPartNo"/>
        </w:rPr>
        <w:t>Part V</w:t>
      </w:r>
      <w:r>
        <w:rPr>
          <w:rStyle w:val="CharDivNo"/>
        </w:rPr>
        <w:t> </w:t>
      </w:r>
      <w:r>
        <w:t>—</w:t>
      </w:r>
      <w:r>
        <w:rPr>
          <w:rStyle w:val="CharDivText"/>
        </w:rPr>
        <w:t> </w:t>
      </w:r>
      <w:r>
        <w:rPr>
          <w:rStyle w:val="CharPartText"/>
        </w:rPr>
        <w:t>Statutes</w:t>
      </w:r>
      <w:bookmarkEnd w:id="39"/>
      <w:r>
        <w:rPr>
          <w:rStyle w:val="CharPartText"/>
        </w:rPr>
        <w:t xml:space="preserve"> </w:t>
      </w:r>
    </w:p>
    <w:p>
      <w:pPr>
        <w:pStyle w:val="Heading5"/>
        <w:rPr>
          <w:snapToGrid w:val="0"/>
        </w:rPr>
      </w:pPr>
      <w:bookmarkStart w:id="40" w:name="_Toc494452115"/>
      <w:r>
        <w:rPr>
          <w:rStyle w:val="CharSectno"/>
        </w:rPr>
        <w:t>26</w:t>
      </w:r>
      <w:r>
        <w:rPr>
          <w:snapToGrid w:val="0"/>
        </w:rPr>
        <w:t>.</w:t>
      </w:r>
      <w:r>
        <w:rPr>
          <w:snapToGrid w:val="0"/>
        </w:rPr>
        <w:tab/>
        <w:t>Power to make Statutes</w:t>
      </w:r>
      <w:bookmarkEnd w:id="4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rPr>
          <w:snapToGrid w:val="0"/>
        </w:rPr>
      </w:pPr>
      <w:r>
        <w:rPr>
          <w:snapToGrid w:val="0"/>
        </w:rPr>
        <w:tab/>
        <w:t>(d)</w:t>
      </w:r>
      <w:r>
        <w:rPr>
          <w:snapToGrid w:val="0"/>
        </w:rPr>
        <w:tab/>
        <w:t>the academic and other staff, officers and employees of the University;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Council;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pPr>
      <w:r>
        <w:tab/>
        <w:t>(ja)</w:t>
      </w:r>
      <w:r>
        <w:tab/>
        <w:t>an annual amenities and services fee in accordance with section 41A; and</w:t>
      </w:r>
    </w:p>
    <w:p>
      <w:pPr>
        <w:pStyle w:val="Indenta"/>
      </w:pPr>
      <w:r>
        <w:tab/>
        <w:t>(jb)</w:t>
      </w:r>
      <w:r>
        <w:tab/>
        <w:t>the matters required by section 41B to be defined or prescribed by Statute;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or under the auspices of any professional association or of any practical work performed in a field approved by the Council; and</w:t>
      </w:r>
    </w:p>
    <w:p>
      <w:pPr>
        <w:pStyle w:val="Indenta"/>
      </w:pPr>
      <w:r>
        <w:tab/>
        <w:t>(l)</w:t>
      </w:r>
      <w:r>
        <w:tab/>
        <w:t>the establishment by the Council of residential accommodation for members of the staff, or enrolled students, or both, and the management, control and closing of any residential accommodation; and</w:t>
      </w:r>
    </w:p>
    <w:p>
      <w:pPr>
        <w:pStyle w:val="Indenta"/>
      </w:pPr>
      <w:r>
        <w:tab/>
        <w:t>(m)</w:t>
      </w:r>
      <w:r>
        <w:tab/>
        <w:t>the affiliation of residential accommodation for members of the staff, or enrolled students, or both, where the residential accommodation is not under the control of the Council; and</w:t>
      </w:r>
    </w:p>
    <w:p>
      <w:pPr>
        <w:pStyle w:val="Indenta"/>
      </w:pPr>
      <w:r>
        <w:tab/>
        <w:t>(na)</w:t>
      </w:r>
      <w:r>
        <w:tab/>
        <w:t>the licensing and supervision of residential accommodation for members of the staff, or enrolled students, or both, and for the revocation of the licensing of that accommodation; and</w:t>
      </w:r>
    </w:p>
    <w:p>
      <w:pPr>
        <w:pStyle w:val="Indenta"/>
        <w:rPr>
          <w:snapToGrid w:val="0"/>
        </w:rPr>
      </w:pPr>
      <w:r>
        <w:rPr>
          <w:snapToGrid w:val="0"/>
        </w:rPr>
        <w:tab/>
        <w:t>(n)</w:t>
      </w:r>
      <w:r>
        <w:rPr>
          <w:snapToGrid w:val="0"/>
        </w:rPr>
        <w:tab/>
        <w:t>the control and investment of the property of the University; and</w:t>
      </w:r>
    </w:p>
    <w:p>
      <w:pPr>
        <w:pStyle w:val="Ednotepara"/>
        <w:spacing w:before="80"/>
        <w:ind w:left="1610" w:hanging="1610"/>
        <w:rPr>
          <w:snapToGrid w:val="0"/>
        </w:rPr>
      </w:pPr>
      <w:r>
        <w:rPr>
          <w:snapToGrid w:val="0"/>
        </w:rPr>
        <w:tab/>
        <w:t>[(o)</w:t>
      </w:r>
      <w:r>
        <w:rPr>
          <w:snapToGrid w:val="0"/>
        </w:rPr>
        <w:tab/>
        <w:t xml:space="preserve">deleted] </w:t>
      </w:r>
    </w:p>
    <w:p>
      <w:pPr>
        <w:pStyle w:val="Indenta"/>
        <w:rPr>
          <w:snapToGrid w:val="0"/>
        </w:rPr>
      </w:pPr>
      <w:r>
        <w:rPr>
          <w:snapToGrid w:val="0"/>
        </w:rPr>
        <w:tab/>
        <w:t>(p)</w:t>
      </w:r>
      <w:r>
        <w:rPr>
          <w:snapToGrid w:val="0"/>
        </w:rPr>
        <w:tab/>
        <w:t>any matter authorised or directed by this Act to be prescribed by Statute in relation to the University.</w:t>
      </w:r>
    </w:p>
    <w:p>
      <w:pPr>
        <w:pStyle w:val="Subsection"/>
        <w:rPr>
          <w:snapToGrid w:val="0"/>
        </w:rPr>
      </w:pPr>
      <w:r>
        <w:rPr>
          <w:snapToGrid w:val="0"/>
        </w:rPr>
        <w:tab/>
        <w:t>(2)</w:t>
      </w:r>
      <w:r>
        <w:rPr>
          <w:snapToGrid w:val="0"/>
        </w:rPr>
        <w:tab/>
        <w:t xml:space="preserve">Without limiting the powers conferred by subsection (1) the Council may make Statutes furthering or facilitating the objects or operation of this Act with respect to long service leave entitlements of members of the staff and in particular providing for lump sum payments, instead of accrued and </w:t>
      </w:r>
      <w:r>
        <w:rPr>
          <w:i/>
          <w:snapToGrid w:val="0"/>
        </w:rPr>
        <w:t>pro rata</w:t>
      </w:r>
      <w:r>
        <w:rPr>
          <w:snapToGrid w:val="0"/>
        </w:rPr>
        <w:t xml:space="preserve"> long service leave entitlements, to or in respect of persons who cease to be members of the staff, but so that the calculation of any such payment shall be based on the rate of salary of the person at the date of his ceasing to be a member of the staff; and so that no payment that exceeds the equivalent of 12 months’ salary shall be paid under the Statute.</w:t>
      </w:r>
    </w:p>
    <w:p>
      <w:pPr>
        <w:pStyle w:val="Subsection"/>
        <w:rPr>
          <w:snapToGrid w:val="0"/>
        </w:rPr>
      </w:pPr>
      <w:r>
        <w:rPr>
          <w:snapToGrid w:val="0"/>
        </w:rPr>
        <w:tab/>
        <w:t>(3)</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$1 000; and</w:t>
      </w:r>
    </w:p>
    <w:p>
      <w:pPr>
        <w:pStyle w:val="Indenta"/>
        <w:rPr>
          <w:snapToGrid w:val="0"/>
        </w:rPr>
      </w:pPr>
      <w:r>
        <w:rPr>
          <w:snapToGrid w:val="0"/>
        </w:rPr>
        <w:tab/>
        <w:t>(c)</w:t>
      </w:r>
      <w:r>
        <w:rPr>
          <w:snapToGrid w:val="0"/>
        </w:rPr>
        <w:tab/>
        <w:t>prescribe circumstances under which a penalty may be modified or suspended; and</w:t>
      </w:r>
    </w:p>
    <w:p>
      <w:pPr>
        <w:pStyle w:val="Indenta"/>
        <w:rPr>
          <w:snapToGrid w:val="0"/>
        </w:rPr>
      </w:pPr>
      <w:r>
        <w:rPr>
          <w:snapToGrid w:val="0"/>
        </w:rPr>
        <w:tab/>
        <w:t>(d)</w:t>
      </w:r>
      <w:r>
        <w:rPr>
          <w:snapToGrid w:val="0"/>
        </w:rPr>
        <w:tab/>
        <w:t xml:space="preserve">provide, in addition to penalties, for restitution to the University not exceeding </w:t>
      </w:r>
      <w:r>
        <w:t xml:space="preserve">$1 000 </w:t>
      </w:r>
      <w:r>
        <w:rPr>
          <w:snapToGrid w:val="0"/>
        </w:rPr>
        <w:t>for loss, damage or destruction of university property arising out of the commission of a disciplinary offence; and</w:t>
      </w:r>
    </w:p>
    <w:p>
      <w:pPr>
        <w:pStyle w:val="Indenta"/>
        <w:rPr>
          <w:snapToGrid w:val="0"/>
        </w:rPr>
      </w:pPr>
      <w:r>
        <w:rPr>
          <w:snapToGrid w:val="0"/>
        </w:rPr>
        <w:tab/>
        <w:t>(e)</w:t>
      </w:r>
      <w:r>
        <w:rPr>
          <w:snapToGrid w:val="0"/>
        </w:rPr>
        <w:tab/>
        <w:t>prescribe rights of appeal against decisions made in the exercise or purported exercise of disciplinary powers; and</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pPr>
      <w:r>
        <w:tab/>
        <w:t>(4)</w:t>
      </w:r>
      <w:r>
        <w:tab/>
        <w:t>Without limiting section 30(4), the Vice</w:t>
      </w:r>
      <w:r>
        <w:noBreakHyphen/>
        <w:t>Chancellor may delegate to any person, class of persons or body of persons any of the following powers conferred on the Vice</w:t>
      </w:r>
      <w:r>
        <w:noBreakHyphen/>
        <w:t xml:space="preserve">Chancellor under a Statute — </w:t>
      </w:r>
    </w:p>
    <w:p>
      <w:pPr>
        <w:pStyle w:val="Indenta"/>
      </w:pPr>
      <w:r>
        <w:tab/>
        <w:t>(a)</w:t>
      </w:r>
      <w:r>
        <w:tab/>
        <w:t>a disciplinary power;</w:t>
      </w:r>
    </w:p>
    <w:p>
      <w:pPr>
        <w:pStyle w:val="Indenta"/>
      </w:pPr>
      <w:r>
        <w:tab/>
        <w:t>(b)</w:t>
      </w:r>
      <w:r>
        <w:tab/>
        <w:t>a power to hear and determine appeals from decisions made in the exercise or purported exercise of disciplinary powers;</w:t>
      </w:r>
    </w:p>
    <w:p>
      <w:pPr>
        <w:pStyle w:val="Indenta"/>
      </w:pPr>
      <w:r>
        <w:tab/>
        <w:t>(c)</w:t>
      </w:r>
      <w:r>
        <w:tab/>
        <w:t>a power to award or fix costs.</w:t>
      </w:r>
    </w:p>
    <w:p>
      <w:pPr>
        <w:pStyle w:val="Subsection"/>
        <w:rPr>
          <w:snapToGrid w:val="0"/>
        </w:rPr>
      </w:pPr>
      <w:r>
        <w:rPr>
          <w:snapToGrid w:val="0"/>
        </w:rPr>
        <w:tab/>
        <w:t>(5)</w:t>
      </w:r>
      <w:r>
        <w:rPr>
          <w:snapToGrid w:val="0"/>
        </w:rPr>
        <w:tab/>
        <w:t>A Statute or a rule made under a Statute — </w:t>
      </w:r>
    </w:p>
    <w:p>
      <w:pPr>
        <w:pStyle w:val="Indenta"/>
        <w:rPr>
          <w:snapToGrid w:val="0"/>
        </w:rPr>
      </w:pPr>
      <w:r>
        <w:rPr>
          <w:snapToGrid w:val="0"/>
        </w:rPr>
        <w:tab/>
        <w:t>(a)</w:t>
      </w:r>
      <w:r>
        <w:rPr>
          <w:snapToGrid w:val="0"/>
        </w:rPr>
        <w:tab/>
        <w:t>may be limited in its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(6)</w:t>
      </w:r>
      <w:r>
        <w:rPr>
          <w:snapToGrid w:val="0"/>
        </w:rPr>
        <w:tab/>
        <w:t>A Statute made under this section may be revoked or amended by a subsequent Statute so made.</w:t>
      </w:r>
    </w:p>
    <w:p>
      <w:pPr>
        <w:pStyle w:val="Subsection"/>
        <w:rPr>
          <w:snapToGrid w:val="0"/>
        </w:rPr>
      </w:pPr>
      <w:r>
        <w:rPr>
          <w:snapToGrid w:val="0"/>
        </w:rPr>
        <w:tab/>
        <w:t>(7)</w:t>
      </w:r>
      <w:r>
        <w:rPr>
          <w:snapToGrid w:val="0"/>
        </w:rPr>
        <w:tab/>
        <w:t>The Statutes may provide for — </w:t>
      </w:r>
    </w:p>
    <w:p>
      <w:pPr>
        <w:pStyle w:val="Indenta"/>
        <w:rPr>
          <w:snapToGrid w:val="0"/>
        </w:rPr>
      </w:pPr>
      <w:r>
        <w:rPr>
          <w:snapToGrid w:val="0"/>
        </w:rPr>
        <w:tab/>
        <w:t>(a)</w:t>
      </w:r>
      <w:r>
        <w:rPr>
          <w:snapToGrid w:val="0"/>
        </w:rPr>
        <w:tab/>
        <w:t>empowering the Council to make rules, not inconsistent with this Act or with any Statute for regulating, or providing for the regulation of, any specified matter with respect to which Statutes may be made, or for carrying out or giving effect to the Statutes, and any of those rules shall have the same force and effect as a Statute;</w:t>
      </w:r>
    </w:p>
    <w:p>
      <w:pPr>
        <w:pStyle w:val="Indenta"/>
        <w:rPr>
          <w:snapToGrid w:val="0"/>
        </w:rPr>
      </w:pPr>
      <w:r>
        <w:rPr>
          <w:snapToGrid w:val="0"/>
        </w:rPr>
        <w:tab/>
        <w:t>(b)</w:t>
      </w:r>
      <w:r>
        <w:rPr>
          <w:snapToGrid w:val="0"/>
        </w:rPr>
        <w:tab/>
        <w:t>the manner of promulgation of those rules; and</w:t>
      </w:r>
    </w:p>
    <w:p>
      <w:pPr>
        <w:pStyle w:val="Indenta"/>
        <w:rPr>
          <w:snapToGrid w:val="0"/>
        </w:rPr>
      </w:pPr>
      <w:r>
        <w:rPr>
          <w:snapToGrid w:val="0"/>
        </w:rPr>
        <w:tab/>
        <w:t>(c)</w:t>
      </w:r>
      <w:r>
        <w:rPr>
          <w:snapToGrid w:val="0"/>
        </w:rPr>
        <w:tab/>
        <w:t>the revocation or amendment of any of those rules.</w:t>
      </w:r>
    </w:p>
    <w:p>
      <w:pPr>
        <w:pStyle w:val="Subsection"/>
        <w:rPr>
          <w:snapToGrid w:val="0"/>
        </w:rPr>
      </w:pPr>
      <w:r>
        <w:rPr>
          <w:snapToGrid w:val="0"/>
        </w:rPr>
        <w:tab/>
        <w:t>(8)</w:t>
      </w:r>
      <w:r>
        <w:rPr>
          <w:snapToGrid w:val="0"/>
        </w:rPr>
        <w:tab/>
        <w:t>The production of a verified copy of any rule made under subsection (7) under the common seal of the University is evidence of the making and authenticity of the rule in all courts and before all persons acting judicially.</w:t>
      </w:r>
    </w:p>
    <w:p>
      <w:pPr>
        <w:pStyle w:val="Footnotesection"/>
      </w:pPr>
      <w:r>
        <w:tab/>
        <w:t xml:space="preserve">[Section 26 amended by No. 63 of 1990 s. 14 and 19; No. 32 of 2016 s. 67.] </w:t>
      </w:r>
    </w:p>
    <w:p>
      <w:pPr>
        <w:pStyle w:val="Heading5"/>
      </w:pPr>
      <w:bookmarkStart w:id="41" w:name="_Toc494452116"/>
      <w:r>
        <w:rPr>
          <w:rStyle w:val="CharSectno"/>
        </w:rPr>
        <w:t>27</w:t>
      </w:r>
      <w:r>
        <w:t>.</w:t>
      </w:r>
      <w:r>
        <w:tab/>
        <w:t>Approval, publication, disallowance and proof of Statutes</w:t>
      </w:r>
      <w:bookmarkEnd w:id="41"/>
    </w:p>
    <w:p>
      <w:pPr>
        <w:pStyle w:val="Subsection"/>
      </w:pPr>
      <w:r>
        <w:tab/>
        <w:t>(1)</w:t>
      </w:r>
      <w:r>
        <w:tab/>
        <w:t xml:space="preserve">A Statute made by the Council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pPr>
      <w:r>
        <w:tab/>
        <w:t>[Section 27 inserted by No. 32 of 2016 s. 68.]</w:t>
      </w:r>
    </w:p>
    <w:p>
      <w:pPr>
        <w:pStyle w:val="Heading5"/>
      </w:pPr>
      <w:bookmarkStart w:id="42" w:name="_Toc494452117"/>
      <w:r>
        <w:rPr>
          <w:rStyle w:val="CharSectno"/>
        </w:rPr>
        <w:t>28A</w:t>
      </w:r>
      <w:r>
        <w:t>.</w:t>
      </w:r>
      <w:r>
        <w:tab/>
        <w:t>Statutes to be made readily available to public</w:t>
      </w:r>
      <w:bookmarkEnd w:id="42"/>
    </w:p>
    <w:p>
      <w:pPr>
        <w:pStyle w:val="Subsection"/>
      </w:pPr>
      <w:r>
        <w:tab/>
        <w:t>(1)</w:t>
      </w:r>
      <w:r>
        <w:tab/>
        <w:t xml:space="preserve">The Council must ensure that the following are readily available to the public by whatever means the Council considers appropriate — </w:t>
      </w:r>
    </w:p>
    <w:p>
      <w:pPr>
        <w:pStyle w:val="Indenta"/>
      </w:pPr>
      <w:r>
        <w:tab/>
        <w:t>(a)</w:t>
      </w:r>
      <w:r>
        <w:tab/>
        <w:t>all Statutes approved and published under section 27(1);</w:t>
      </w:r>
    </w:p>
    <w:p>
      <w:pPr>
        <w:pStyle w:val="Indenta"/>
      </w:pPr>
      <w:r>
        <w:tab/>
        <w:t>(b)</w:t>
      </w:r>
      <w:r>
        <w:tab/>
        <w:t xml:space="preserve">all Statutes that are in effect immediately before the </w:t>
      </w:r>
      <w:r>
        <w:rPr>
          <w:i/>
        </w:rPr>
        <w:t xml:space="preserve">Universities Legislation Amendment Act 2016 </w:t>
      </w:r>
      <w:r>
        <w:t>section 68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pPr>
      <w:r>
        <w:tab/>
        <w:t>[Section 28A inserted by No. 32 of 2016 s. 68.]</w:t>
      </w:r>
    </w:p>
    <w:p>
      <w:pPr>
        <w:pStyle w:val="Heading2"/>
      </w:pPr>
      <w:bookmarkStart w:id="43" w:name="_Toc494452118"/>
      <w:r>
        <w:rPr>
          <w:rStyle w:val="CharPartNo"/>
        </w:rPr>
        <w:t>Part VI</w:t>
      </w:r>
      <w:r>
        <w:t> — </w:t>
      </w:r>
      <w:r>
        <w:rPr>
          <w:rStyle w:val="CharPartText"/>
        </w:rPr>
        <w:t>University lands</w:t>
      </w:r>
      <w:bookmarkEnd w:id="43"/>
      <w:r>
        <w:rPr>
          <w:rStyle w:val="CharPartText"/>
        </w:rPr>
        <w:t xml:space="preserve"> </w:t>
      </w:r>
    </w:p>
    <w:p>
      <w:pPr>
        <w:pStyle w:val="Footnoteheading"/>
        <w:ind w:left="890"/>
        <w:rPr>
          <w:snapToGrid w:val="0"/>
        </w:rPr>
      </w:pPr>
      <w:r>
        <w:rPr>
          <w:snapToGrid w:val="0"/>
        </w:rPr>
        <w:tab/>
        <w:t xml:space="preserve">[Heading amended by No. 63 of 1990 s. 19.] </w:t>
      </w:r>
    </w:p>
    <w:p>
      <w:pPr>
        <w:pStyle w:val="Heading3"/>
      </w:pPr>
      <w:bookmarkStart w:id="44" w:name="_Toc494452119"/>
      <w:r>
        <w:rPr>
          <w:rStyle w:val="CharDivNo"/>
        </w:rPr>
        <w:t>Division 1</w:t>
      </w:r>
      <w:r>
        <w:t> — </w:t>
      </w:r>
      <w:r>
        <w:rPr>
          <w:rStyle w:val="CharDivText"/>
        </w:rPr>
        <w:t>Vesting of land in University and by</w:t>
      </w:r>
      <w:r>
        <w:rPr>
          <w:rStyle w:val="CharDivText"/>
        </w:rPr>
        <w:noBreakHyphen/>
        <w:t>laws applicable to University lands</w:t>
      </w:r>
      <w:bookmarkEnd w:id="44"/>
    </w:p>
    <w:p>
      <w:pPr>
        <w:pStyle w:val="Footnoteheading"/>
        <w:ind w:left="890"/>
        <w:rPr>
          <w:snapToGrid w:val="0"/>
        </w:rPr>
      </w:pPr>
      <w:r>
        <w:rPr>
          <w:snapToGrid w:val="0"/>
        </w:rPr>
        <w:tab/>
        <w:t xml:space="preserve">[Heading inserted by No. 32 of 2016 s. 69.] </w:t>
      </w:r>
    </w:p>
    <w:p>
      <w:pPr>
        <w:pStyle w:val="Heading5"/>
        <w:rPr>
          <w:snapToGrid w:val="0"/>
        </w:rPr>
      </w:pPr>
      <w:bookmarkStart w:id="45" w:name="_Toc494452120"/>
      <w:r>
        <w:rPr>
          <w:rStyle w:val="CharSectno"/>
        </w:rPr>
        <w:t>28</w:t>
      </w:r>
      <w:r>
        <w:rPr>
          <w:snapToGrid w:val="0"/>
        </w:rPr>
        <w:t>.</w:t>
      </w:r>
      <w:r>
        <w:rPr>
          <w:snapToGrid w:val="0"/>
        </w:rPr>
        <w:tab/>
        <w:t>Land may be vested in the University</w:t>
      </w:r>
      <w:bookmarkEnd w:id="45"/>
      <w:r>
        <w:rPr>
          <w:snapToGrid w:val="0"/>
        </w:rPr>
        <w:t xml:space="preserve"> </w:t>
      </w:r>
    </w:p>
    <w:p>
      <w:pPr>
        <w:pStyle w:val="Subsection"/>
        <w:rPr>
          <w:snapToGrid w:val="0"/>
        </w:rPr>
      </w:pPr>
      <w:r>
        <w:rPr>
          <w:snapToGrid w:val="0"/>
        </w:rPr>
        <w:tab/>
        <w:t>(1)</w:t>
      </w:r>
      <w:r>
        <w:rPr>
          <w:snapToGrid w:val="0"/>
        </w:rPr>
        <w:tab/>
        <w:t xml:space="preserve">On the recommendation of the Minister the Governor, by Order in Council, may transfer to the </w:t>
      </w:r>
      <w:r>
        <w:t xml:space="preserve">care, </w:t>
      </w:r>
      <w:r>
        <w:rPr>
          <w:snapToGrid w:val="0"/>
        </w:rPr>
        <w:t>management and control of the University or may vest in the University any land that is — </w:t>
      </w:r>
    </w:p>
    <w:p>
      <w:pPr>
        <w:pStyle w:val="Indenta"/>
        <w:rPr>
          <w:snapToGrid w:val="0"/>
        </w:rPr>
      </w:pPr>
      <w:r>
        <w:rPr>
          <w:snapToGrid w:val="0"/>
        </w:rPr>
        <w:tab/>
        <w:t>(a)</w:t>
      </w:r>
      <w:r>
        <w:rPr>
          <w:snapToGrid w:val="0"/>
        </w:rPr>
        <w:tab/>
        <w:t xml:space="preserve">reserved under Part 4 of the </w:t>
      </w:r>
      <w:r>
        <w:rPr>
          <w:i/>
          <w:snapToGrid w:val="0"/>
        </w:rPr>
        <w:t>Land Administration Act 1997</w:t>
      </w:r>
      <w:r>
        <w:rPr>
          <w:snapToGrid w:val="0"/>
        </w:rPr>
        <w:t xml:space="preserve"> as sites for schools and other buildings for the purposes of education; or</w:t>
      </w:r>
    </w:p>
    <w:p>
      <w:pPr>
        <w:pStyle w:val="Indenta"/>
        <w:rPr>
          <w:snapToGrid w:val="0"/>
        </w:rPr>
      </w:pPr>
      <w:r>
        <w:rPr>
          <w:snapToGrid w:val="0"/>
        </w:rPr>
        <w:tab/>
        <w:t>(b)</w:t>
      </w:r>
      <w:r>
        <w:rPr>
          <w:snapToGrid w:val="0"/>
        </w:rPr>
        <w:tab/>
        <w:t xml:space="preserve">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therein specified shall vest accordingly.</w:t>
      </w:r>
    </w:p>
    <w:p>
      <w:pPr>
        <w:pStyle w:val="Subsection"/>
        <w:rPr>
          <w:snapToGrid w:val="0"/>
        </w:rPr>
      </w:pPr>
      <w:r>
        <w:rPr>
          <w:snapToGrid w:val="0"/>
        </w:rPr>
        <w:tab/>
        <w:t>(2)</w:t>
      </w:r>
      <w:r>
        <w:rPr>
          <w:snapToGrid w:val="0"/>
        </w:rPr>
        <w:tab/>
        <w:t>The University shall hold and use any land vested in the University under this Act subject to this Act and for the purposes of this Act.</w:t>
      </w:r>
    </w:p>
    <w:p>
      <w:pPr>
        <w:pStyle w:val="Subsection"/>
      </w:pPr>
      <w:r>
        <w:tab/>
        <w:t>(3)</w:t>
      </w:r>
      <w:r>
        <w:tab/>
        <w:t>Where any land in the care, management and control of, or vested in, the University under this Act is no longer required for the purposes of this Act, the Governor, by Order in Council, may revest it in the State.</w:t>
      </w:r>
    </w:p>
    <w:p>
      <w:pPr>
        <w:pStyle w:val="Subsection"/>
      </w:pPr>
      <w:r>
        <w:tab/>
        <w:t>(4)</w:t>
      </w:r>
      <w:r>
        <w:tab/>
        <w:t>The restrictions imposed by section 5(2)(ea) do not apply to the lease of any part of the land referred to in section 5(2)(ea) if the purpose of the lease is the provision of residential accommodation in accordance with section 17(1)(fa).</w:t>
      </w:r>
    </w:p>
    <w:p>
      <w:pPr>
        <w:pStyle w:val="Footnotesection"/>
      </w:pPr>
      <w:r>
        <w:tab/>
        <w:t xml:space="preserve">[Section 28 amended by No. 63 of 1990 s. 15 and 19; No. 31 of 1997 s. 24; No. 36 of 1999 s. 247; No. 32 of 2016 s. 70.] </w:t>
      </w:r>
    </w:p>
    <w:p>
      <w:pPr>
        <w:pStyle w:val="Heading5"/>
        <w:rPr>
          <w:snapToGrid w:val="0"/>
        </w:rPr>
      </w:pPr>
      <w:bookmarkStart w:id="46" w:name="_Toc494452121"/>
      <w:r>
        <w:rPr>
          <w:rStyle w:val="CharSectno"/>
        </w:rPr>
        <w:t>29</w:t>
      </w:r>
      <w:r>
        <w:rPr>
          <w:snapToGrid w:val="0"/>
        </w:rPr>
        <w:t>.</w:t>
      </w:r>
      <w:r>
        <w:rPr>
          <w:snapToGrid w:val="0"/>
        </w:rPr>
        <w:tab/>
        <w:t>Power to make by</w:t>
      </w:r>
      <w:r>
        <w:rPr>
          <w:snapToGrid w:val="0"/>
        </w:rPr>
        <w:noBreakHyphen/>
        <w:t>laws applicable to lands</w:t>
      </w:r>
      <w:bookmarkEnd w:id="46"/>
    </w:p>
    <w:p>
      <w:pPr>
        <w:pStyle w:val="Subsection"/>
      </w:pPr>
      <w:r>
        <w:tab/>
        <w:t>(1A)</w:t>
      </w:r>
      <w:r>
        <w:tab/>
        <w:t xml:space="preserve">In this section — </w:t>
      </w:r>
    </w:p>
    <w:p>
      <w:pPr>
        <w:pStyle w:val="Defstart"/>
      </w:pPr>
      <w:r>
        <w:tab/>
      </w:r>
      <w:r>
        <w:rPr>
          <w:rStyle w:val="CharDefText"/>
        </w:rPr>
        <w:t>authorised person</w:t>
      </w:r>
      <w:r>
        <w:t xml:space="preserve"> means — </w:t>
      </w:r>
    </w:p>
    <w:p>
      <w:pPr>
        <w:pStyle w:val="Defpara"/>
      </w:pPr>
      <w:r>
        <w:tab/>
        <w:t>(a)</w:t>
      </w:r>
      <w:r>
        <w:tab/>
        <w:t xml:space="preserve"> a police officer; or </w:t>
      </w:r>
    </w:p>
    <w:p>
      <w:pPr>
        <w:pStyle w:val="Defpara"/>
      </w:pPr>
      <w:r>
        <w:tab/>
        <w:t>(b)</w:t>
      </w:r>
      <w:r>
        <w:tab/>
        <w:t>a person authorised under subsection (1B) to be an authorised person for the purposes of the subsection in which the term is used;</w:t>
      </w:r>
    </w:p>
    <w:p>
      <w:pPr>
        <w:pStyle w:val="Defstar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Subsection"/>
      </w:pPr>
      <w:r>
        <w:tab/>
        <w:t>(1B)</w:t>
      </w:r>
      <w:r>
        <w:tab/>
        <w:t>The Vice</w:t>
      </w:r>
      <w:r>
        <w:noBreakHyphen/>
        <w:t xml:space="preserve">Chancellor may, in writing — </w:t>
      </w:r>
    </w:p>
    <w:p>
      <w:pPr>
        <w:pStyle w:val="Indenta"/>
      </w:pPr>
      <w:r>
        <w:tab/>
        <w:t>(a)</w:t>
      </w:r>
      <w:r>
        <w:tab/>
        <w:t>designate a member of the staff of the University to be an authorised person for the purposes of either or both of subsection (3)(k) or (7A); and</w:t>
      </w:r>
    </w:p>
    <w:p>
      <w:pPr>
        <w:pStyle w:val="Indenta"/>
      </w:pPr>
      <w:r>
        <w:tab/>
        <w:t>(b)</w:t>
      </w:r>
      <w:r>
        <w:tab/>
        <w:t>authorise a contractor to be an authorised person for the purposes of either or both of subsection (3)(k) or (7A); and</w:t>
      </w:r>
    </w:p>
    <w:p>
      <w:pPr>
        <w:pStyle w:val="Indenta"/>
      </w:pPr>
      <w:r>
        <w:tab/>
        <w:t>(c)</w:t>
      </w:r>
      <w:r>
        <w:tab/>
        <w:t>revoke a designation or authorisation made under this subsection.</w:t>
      </w:r>
    </w:p>
    <w:p>
      <w:pPr>
        <w:pStyle w:val="Subsection"/>
      </w:pPr>
      <w:r>
        <w:tab/>
        <w:t>(1C)</w:t>
      </w:r>
      <w:r>
        <w:tab/>
        <w:t xml:space="preserve">A designation or authorisation of a person under subsection (1B)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rPr>
          <w:snapToGrid w:val="0"/>
        </w:rPr>
      </w:pPr>
      <w:r>
        <w:rPr>
          <w:snapToGrid w:val="0"/>
        </w:rPr>
        <w:tab/>
        <w:t>(1)</w:t>
      </w:r>
      <w:r>
        <w:rPr>
          <w:snapToGrid w:val="0"/>
        </w:rPr>
        <w:tab/>
        <w:t>By</w:t>
      </w:r>
      <w:r>
        <w:rPr>
          <w:snapToGrid w:val="0"/>
        </w:rPr>
        <w:noBreakHyphen/>
        <w:t>laws made by the Council under this section apply only within the boundaries of University lands.</w:t>
      </w:r>
    </w:p>
    <w:p>
      <w:pPr>
        <w:pStyle w:val="Subsection"/>
        <w:rPr>
          <w:snapToGrid w:val="0"/>
        </w:rPr>
      </w:pPr>
      <w:r>
        <w:rPr>
          <w:snapToGrid w:val="0"/>
        </w:rPr>
        <w:tab/>
        <w:t>(2)</w:t>
      </w:r>
      <w:r>
        <w:rPr>
          <w:snapToGrid w:val="0"/>
        </w:rPr>
        <w:tab/>
        <w:t>For the purposes of this section and by</w:t>
      </w:r>
      <w:r>
        <w:rPr>
          <w:snapToGrid w:val="0"/>
        </w:rPr>
        <w:noBreakHyphen/>
        <w:t>laws made by the Council under this section, the Governor may, by proclamation, — </w:t>
      </w:r>
    </w:p>
    <w:p>
      <w:pPr>
        <w:pStyle w:val="Indenta"/>
      </w:pPr>
      <w:r>
        <w:tab/>
        <w:t>(a)</w:t>
      </w:r>
      <w:r>
        <w:tab/>
        <w:t>declare any land vested in, held by, leased to or under the care, management and control of the University to be University lands; or</w:t>
      </w:r>
    </w:p>
    <w:p>
      <w:pPr>
        <w:pStyle w:val="Indenta"/>
        <w:rPr>
          <w:snapToGrid w:val="0"/>
        </w:rPr>
      </w:pPr>
      <w:r>
        <w:rPr>
          <w:snapToGrid w:val="0"/>
        </w:rPr>
        <w:tab/>
        <w:t>(b)</w:t>
      </w:r>
      <w:r>
        <w:rPr>
          <w:snapToGrid w:val="0"/>
        </w:rPr>
        <w:tab/>
        <w:t>alter the boundaries of any University lands; or</w:t>
      </w:r>
    </w:p>
    <w:p>
      <w:pPr>
        <w:pStyle w:val="Indenta"/>
        <w:rPr>
          <w:snapToGrid w:val="0"/>
        </w:rPr>
      </w:pPr>
      <w:r>
        <w:rPr>
          <w:snapToGrid w:val="0"/>
        </w:rPr>
        <w:tab/>
        <w:t>(c)</w:t>
      </w:r>
      <w:r>
        <w:rPr>
          <w:snapToGrid w:val="0"/>
        </w:rPr>
        <w:tab/>
        <w:t>declare that any land shall cease to be University lands,</w:t>
      </w:r>
    </w:p>
    <w:p>
      <w:pPr>
        <w:pStyle w:val="Subsection"/>
        <w:rPr>
          <w:snapToGrid w:val="0"/>
        </w:rPr>
      </w:pPr>
      <w:r>
        <w:rPr>
          <w:snapToGrid w:val="0"/>
        </w:rPr>
        <w:tab/>
      </w:r>
      <w:r>
        <w:rPr>
          <w:snapToGrid w:val="0"/>
        </w:rPr>
        <w:tab/>
        <w:t>and the by</w:t>
      </w:r>
      <w:r>
        <w:rPr>
          <w:snapToGrid w:val="0"/>
        </w:rPr>
        <w:noBreakHyphen/>
        <w:t>laws shall thereupon apply to that land accordingly and to any building, structure or erection on that land.</w:t>
      </w:r>
    </w:p>
    <w:p>
      <w:pPr>
        <w:pStyle w:val="Subsection"/>
        <w:rPr>
          <w:snapToGrid w:val="0"/>
        </w:rPr>
      </w:pPr>
      <w:r>
        <w:rPr>
          <w:snapToGrid w:val="0"/>
        </w:rPr>
        <w:tab/>
        <w:t>(3)</w:t>
      </w:r>
      <w:r>
        <w:rPr>
          <w:snapToGrid w:val="0"/>
        </w:rPr>
        <w:tab/>
        <w:t>The Council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r>
        <w:t xml:space="preserve">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r>
        <w:t xml:space="preserve"> and</w:t>
      </w:r>
    </w:p>
    <w:p>
      <w:pPr>
        <w:pStyle w:val="Indenta"/>
        <w:rPr>
          <w:snapToGrid w:val="0"/>
        </w:rPr>
      </w:pPr>
      <w:r>
        <w:rPr>
          <w:snapToGrid w:val="0"/>
        </w:rPr>
        <w:tab/>
        <w:t>(c)</w:t>
      </w:r>
      <w:r>
        <w:rPr>
          <w:snapToGrid w:val="0"/>
        </w:rPr>
        <w:tab/>
        <w:t>prescribe fees to be charged to all or any persons for admission to or use of such lands;</w:t>
      </w:r>
      <w:r>
        <w:t xml:space="preserve"> and</w:t>
      </w:r>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r>
        <w:t xml:space="preserve">police officer, </w:t>
      </w:r>
      <w:r>
        <w:rPr>
          <w:snapToGrid w:val="0"/>
        </w:rPr>
        <w:t>or any member of the staff of the University;</w:t>
      </w:r>
      <w:r>
        <w:t xml:space="preserve"> and</w:t>
      </w:r>
    </w:p>
    <w:p>
      <w:pPr>
        <w:pStyle w:val="Indenta"/>
        <w:rPr>
          <w:snapToGrid w:val="0"/>
        </w:rPr>
      </w:pPr>
      <w:r>
        <w:rPr>
          <w:snapToGrid w:val="0"/>
        </w:rPr>
        <w:tab/>
        <w:t>(e)</w:t>
      </w:r>
      <w:r>
        <w:rPr>
          <w:snapToGrid w:val="0"/>
        </w:rPr>
        <w:tab/>
        <w:t>regulate the conduct of persons using or being in or upon such lands;</w:t>
      </w:r>
      <w:r>
        <w:t xml:space="preserve"> and</w:t>
      </w:r>
    </w:p>
    <w:p>
      <w:pPr>
        <w:pStyle w:val="Indenta"/>
        <w:rPr>
          <w:snapToGrid w:val="0"/>
        </w:rPr>
      </w:pPr>
      <w:r>
        <w:rPr>
          <w:snapToGrid w:val="0"/>
        </w:rPr>
        <w:tab/>
        <w:t>(f)</w:t>
      </w:r>
      <w:r>
        <w:rPr>
          <w:snapToGrid w:val="0"/>
        </w:rPr>
        <w:tab/>
        <w:t>prohibit any nuisance, or any offensive, indecent, or improper act, conduct, or behaviour on such lands;</w:t>
      </w:r>
      <w:r>
        <w:t xml:space="preserve"> and</w:t>
      </w:r>
    </w:p>
    <w:p>
      <w:pPr>
        <w:pStyle w:val="Indenta"/>
        <w:rPr>
          <w:snapToGrid w:val="0"/>
        </w:rPr>
      </w:pPr>
      <w:r>
        <w:rPr>
          <w:snapToGrid w:val="0"/>
        </w:rPr>
        <w:tab/>
        <w:t>(g)</w:t>
      </w:r>
      <w:r>
        <w:rPr>
          <w:snapToGrid w:val="0"/>
        </w:rPr>
        <w:tab/>
        <w:t>prohibit the use of abusive or insulting language on such lands;</w:t>
      </w:r>
      <w:r>
        <w:t xml:space="preserve">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r>
        <w:t xml:space="preserve">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r>
        <w:t xml:space="preserve">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r>
        <w:t xml:space="preserve"> and</w:t>
      </w:r>
    </w:p>
    <w:p>
      <w:pPr>
        <w:pStyle w:val="Indenta"/>
        <w:rPr>
          <w:snapToGrid w:val="0"/>
        </w:rPr>
      </w:pPr>
      <w:r>
        <w:rPr>
          <w:snapToGrid w:val="0"/>
        </w:rPr>
        <w:tab/>
        <w:t>(k)</w:t>
      </w:r>
      <w:r>
        <w:rPr>
          <w:snapToGrid w:val="0"/>
        </w:rPr>
        <w:tab/>
        <w:t xml:space="preserve">prescribe the circumstances under which an authorised person may remove a vehicle, or cause it to be removed, from University lands to a specified place, prescribe </w:t>
      </w:r>
      <w:r>
        <w:t>the authorised person’s</w:t>
      </w:r>
      <w:r>
        <w:rPr>
          <w:snapToGrid w:val="0"/>
        </w:rPr>
        <w:t xml:space="preserve"> further powers in relation thereto, prescribe the scale of charges to be paid to recover the vehicle from that place, and authorise the Council to hold the vehicle until the prescribed charges are paid;</w:t>
      </w:r>
      <w:r>
        <w:t xml:space="preserve"> and</w:t>
      </w:r>
    </w:p>
    <w:p>
      <w:pPr>
        <w:pStyle w:val="Indenta"/>
        <w:rPr>
          <w:snapToGrid w:val="0"/>
        </w:rPr>
      </w:pPr>
      <w:r>
        <w:rPr>
          <w:snapToGrid w:val="0"/>
        </w:rPr>
        <w:tab/>
        <w:t>(l)</w:t>
      </w:r>
      <w:r>
        <w:rPr>
          <w:snapToGrid w:val="0"/>
        </w:rPr>
        <w:tab/>
        <w:t xml:space="preserve">prescribe a modified penalty or modified penalties payable to the University by a person or one of a class of persons who does not contest an allegation that </w:t>
      </w:r>
      <w:r>
        <w:t>the person</w:t>
      </w:r>
      <w:r>
        <w:rPr>
          <w:snapToGrid w:val="0"/>
        </w:rPr>
        <w:t xml:space="preserve"> committed any specified breach of the by</w:t>
      </w:r>
      <w:r>
        <w:rPr>
          <w:snapToGrid w:val="0"/>
        </w:rPr>
        <w:noBreakHyphen/>
        <w:t>laws, and provide that the due payment of a modified penalty is a defence to a charge of the breach in respect of which that modified penalty was paid;</w:t>
      </w:r>
      <w:r>
        <w:t xml:space="preserve"> and</w:t>
      </w:r>
    </w:p>
    <w:p>
      <w:pPr>
        <w:pStyle w:val="Indenta"/>
        <w:rPr>
          <w:snapToGrid w:val="0"/>
        </w:rPr>
      </w:pPr>
      <w:r>
        <w:rPr>
          <w:snapToGrid w:val="0"/>
        </w:rPr>
        <w:tab/>
        <w:t>(m)</w:t>
      </w:r>
      <w:r>
        <w:rPr>
          <w:snapToGrid w:val="0"/>
        </w:rPr>
        <w:tab/>
        <w:t xml:space="preserve">authorise any </w:t>
      </w:r>
      <w:r>
        <w:t>police officer</w:t>
      </w:r>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r>
        <w:t>police officer</w:t>
      </w:r>
      <w:r>
        <w:rPr>
          <w:snapToGrid w:val="0"/>
        </w:rPr>
        <w:t xml:space="preserve"> or member of the staff;</w:t>
      </w:r>
      <w:r>
        <w:t xml:space="preserve"> and</w:t>
      </w:r>
    </w:p>
    <w:p>
      <w:pPr>
        <w:pStyle w:val="Indenta"/>
        <w:rPr>
          <w:snapToGrid w:val="0"/>
        </w:rPr>
      </w:pPr>
      <w:r>
        <w:rPr>
          <w:snapToGrid w:val="0"/>
        </w:rPr>
        <w:tab/>
        <w:t>(n)</w:t>
      </w:r>
      <w:r>
        <w:rPr>
          <w:snapToGrid w:val="0"/>
        </w:rPr>
        <w:tab/>
        <w:t xml:space="preserve">require any person using such lands to give </w:t>
      </w:r>
      <w:r>
        <w:t>the person’s</w:t>
      </w:r>
      <w:r>
        <w:rPr>
          <w:snapToGrid w:val="0"/>
        </w:rPr>
        <w:t xml:space="preserve"> name and address, whenever required so to do by any </w:t>
      </w:r>
      <w:r>
        <w:t xml:space="preserve">police officer, </w:t>
      </w:r>
      <w:r>
        <w:rPr>
          <w:snapToGrid w:val="0"/>
        </w:rPr>
        <w:t>or any member of the staff of the University; and</w:t>
      </w:r>
    </w:p>
    <w:p>
      <w:pPr>
        <w:pStyle w:val="Indenta"/>
        <w:rPr>
          <w:snapToGrid w:val="0"/>
        </w:rPr>
      </w:pPr>
      <w:r>
        <w:rPr>
          <w:snapToGrid w:val="0"/>
        </w:rPr>
        <w:tab/>
        <w:t>(o)</w:t>
      </w:r>
      <w:r>
        <w:rPr>
          <w:snapToGrid w:val="0"/>
        </w:rPr>
        <w:tab/>
        <w:t>generally provide for the carrying out of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Ednotesubsection"/>
      </w:pPr>
      <w:r>
        <w:tab/>
        <w:t>[(4)</w:t>
      </w:r>
      <w:r>
        <w:tab/>
        <w:t>deleted]</w:t>
      </w:r>
    </w:p>
    <w:p>
      <w:pPr>
        <w:pStyle w:val="Subsection"/>
        <w:rPr>
          <w:snapToGrid w:val="0"/>
        </w:rPr>
      </w:pPr>
      <w:r>
        <w:rPr>
          <w:snapToGrid w:val="0"/>
        </w:rPr>
        <w:tab/>
        <w:t>(5)</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circumstances;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pPr>
      <w:r>
        <w:tab/>
        <w:t>(6)</w:t>
      </w:r>
      <w:r>
        <w:tab/>
        <w:t>A by</w:t>
      </w:r>
      <w:r>
        <w:noBreakHyphen/>
        <w:t>law may impose a penalty of a fine not exceeding $1 000 for a breach of the by</w:t>
      </w:r>
      <w:r>
        <w:noBreakHyphen/>
        <w:t>law.</w:t>
      </w:r>
    </w:p>
    <w:p>
      <w:pPr>
        <w:pStyle w:val="Subsection"/>
      </w:pPr>
      <w:r>
        <w:tab/>
        <w:t>(7A)</w:t>
      </w:r>
      <w:r>
        <w:tab/>
        <w:t>Proceedings for the breach of a by</w:t>
      </w:r>
      <w:r>
        <w:noBreakHyphen/>
        <w:t>law may be taken by an authorised person in the name of the authorised person.</w:t>
      </w:r>
    </w:p>
    <w:p>
      <w:pPr>
        <w:pStyle w:val="Subsection"/>
        <w:rPr>
          <w:snapToGrid w:val="0"/>
        </w:rPr>
      </w:pPr>
      <w:r>
        <w:rPr>
          <w:snapToGrid w:val="0"/>
        </w:rPr>
        <w:tab/>
        <w:t>(7)</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(8)</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(9)</w:t>
      </w:r>
      <w:r>
        <w:rPr>
          <w:snapToGrid w:val="0"/>
        </w:rPr>
        <w:tab/>
        <w:t>A breach of a by</w:t>
      </w:r>
      <w:r>
        <w:rPr>
          <w:snapToGrid w:val="0"/>
        </w:rPr>
        <w:noBreakHyphen/>
        <w:t xml:space="preserve">law by an enrolled student is a disciplinary offence proceedings for which may be commenced, heard, and determined under the disciplinary </w:t>
      </w:r>
      <w:r>
        <w:t xml:space="preserve">Statutes </w:t>
      </w:r>
      <w:r>
        <w:rPr>
          <w:snapToGrid w:val="0"/>
        </w:rPr>
        <w:t>and rules of the University instead of before a court of summary jurisdiction.</w:t>
      </w:r>
    </w:p>
    <w:p>
      <w:pPr>
        <w:pStyle w:val="Subsection"/>
      </w:pPr>
      <w:r>
        <w:tab/>
        <w:t>(10)</w:t>
      </w:r>
      <w:r>
        <w:tab/>
        <w:t>By</w:t>
      </w:r>
      <w:r>
        <w:noBreakHyphen/>
        <w:t>laws made under this section apply to and in respect of University lands that are leased (whether under an approval given under section 30I or otherwise) except to the extent that the application of the by</w:t>
      </w:r>
      <w:r>
        <w:noBreakHyphen/>
        <w:t>laws, or any provision of a by</w:t>
      </w:r>
      <w:r>
        <w:noBreakHyphen/>
        <w:t>law, to the leased lands is expressly excluded by the lease.</w:t>
      </w:r>
    </w:p>
    <w:p>
      <w:pPr>
        <w:pStyle w:val="Footnotesection"/>
      </w:pPr>
      <w:r>
        <w:tab/>
        <w:t xml:space="preserve">[Section 29 amended by No. 63 of 1990 s. 19; No. 78 of 1995 s. 34; No. 84 of 2004 s. 80; No. 32 of 2016 s. 71.] </w:t>
      </w:r>
    </w:p>
    <w:p>
      <w:pPr>
        <w:pStyle w:val="Heading3"/>
      </w:pPr>
      <w:bookmarkStart w:id="47" w:name="_Toc494452122"/>
      <w:r>
        <w:rPr>
          <w:rStyle w:val="CharDivNo"/>
        </w:rPr>
        <w:t>Division 2</w:t>
      </w:r>
      <w:r>
        <w:t> — </w:t>
      </w:r>
      <w:r>
        <w:rPr>
          <w:rStyle w:val="CharDivText"/>
        </w:rPr>
        <w:t>Leasing University land for commercial purposes</w:t>
      </w:r>
      <w:bookmarkEnd w:id="47"/>
    </w:p>
    <w:p>
      <w:pPr>
        <w:pStyle w:val="Footnoteheading"/>
        <w:ind w:left="890"/>
        <w:rPr>
          <w:snapToGrid w:val="0"/>
        </w:rPr>
      </w:pPr>
      <w:r>
        <w:rPr>
          <w:snapToGrid w:val="0"/>
        </w:rPr>
        <w:tab/>
        <w:t xml:space="preserve">[Heading inserted by No. 32 of 2016 s. 72.] </w:t>
      </w:r>
    </w:p>
    <w:p>
      <w:pPr>
        <w:pStyle w:val="Heading4"/>
      </w:pPr>
      <w:bookmarkStart w:id="48" w:name="_Toc494452123"/>
      <w:r>
        <w:t>Subdivision 1 — Preliminary</w:t>
      </w:r>
      <w:bookmarkEnd w:id="48"/>
    </w:p>
    <w:p>
      <w:pPr>
        <w:pStyle w:val="Footnoteheading"/>
        <w:ind w:left="890"/>
        <w:rPr>
          <w:snapToGrid w:val="0"/>
        </w:rPr>
      </w:pPr>
      <w:r>
        <w:rPr>
          <w:snapToGrid w:val="0"/>
        </w:rPr>
        <w:tab/>
        <w:t xml:space="preserve">[Heading inserted by No. 32 of 2016 s. 72.] </w:t>
      </w:r>
    </w:p>
    <w:p>
      <w:pPr>
        <w:pStyle w:val="Heading5"/>
      </w:pPr>
      <w:bookmarkStart w:id="49" w:name="_Toc494452124"/>
      <w:r>
        <w:rPr>
          <w:rStyle w:val="CharSectno"/>
        </w:rPr>
        <w:t>30A</w:t>
      </w:r>
      <w:r>
        <w:t>.</w:t>
      </w:r>
      <w:r>
        <w:tab/>
        <w:t>Terms used</w:t>
      </w:r>
      <w:bookmarkEnd w:id="49"/>
      <w:r>
        <w:t xml:space="preserve"> </w:t>
      </w:r>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30H;</w:t>
      </w:r>
    </w:p>
    <w:p>
      <w:pPr>
        <w:pStyle w:val="Defstart"/>
      </w:pPr>
      <w:r>
        <w:tab/>
      </w:r>
      <w:r>
        <w:rPr>
          <w:rStyle w:val="CharDefText"/>
        </w:rPr>
        <w:t>approval</w:t>
      </w:r>
      <w:r>
        <w:t xml:space="preserve"> means an approval granted under section 30I;</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pPr>
      <w:r>
        <w:tab/>
      </w:r>
      <w:r>
        <w:rPr>
          <w:rStyle w:val="CharDefText"/>
        </w:rPr>
        <w:t>participate</w:t>
      </w:r>
      <w:r>
        <w:t xml:space="preserve"> includes form, promote, establish, enter into, manage, dissolve and wind</w:t>
      </w:r>
      <w:r>
        <w:noBreakHyphen/>
        <w:t>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30L;</w:t>
      </w:r>
    </w:p>
    <w:p>
      <w:pPr>
        <w:pStyle w:val="Defstart"/>
      </w:pPr>
      <w:r>
        <w:tab/>
      </w:r>
      <w:r>
        <w:rPr>
          <w:rStyle w:val="CharDefText"/>
        </w:rPr>
        <w:t>University land</w:t>
      </w:r>
      <w:r>
        <w:t xml:space="preserve"> means land vested in the University under section 28;</w:t>
      </w:r>
    </w:p>
    <w:p>
      <w:pPr>
        <w:pStyle w:val="Defstart"/>
      </w:pPr>
      <w:r>
        <w:tab/>
      </w:r>
      <w:r>
        <w:rPr>
          <w:rStyle w:val="CharDefText"/>
        </w:rPr>
        <w:t>university development proposal</w:t>
      </w:r>
      <w:r>
        <w:t xml:space="preserve"> means a proposal in respect of which the University intends to seek an approval under section 30I to do either or both of the things set out in section 30D(1).</w:t>
      </w:r>
    </w:p>
    <w:p>
      <w:pPr>
        <w:pStyle w:val="Footnotesection"/>
      </w:pPr>
      <w:r>
        <w:tab/>
        <w:t>[Section 30A inserted by No. 32 of 2016 s. 72.]</w:t>
      </w:r>
    </w:p>
    <w:p>
      <w:pPr>
        <w:pStyle w:val="Heading5"/>
      </w:pPr>
      <w:bookmarkStart w:id="50" w:name="_Toc494452125"/>
      <w:r>
        <w:rPr>
          <w:rStyle w:val="CharSectno"/>
        </w:rPr>
        <w:t>30B</w:t>
      </w:r>
      <w:r>
        <w:t>.</w:t>
      </w:r>
      <w:r>
        <w:tab/>
        <w:t>Object of this Division</w:t>
      </w:r>
      <w:bookmarkEnd w:id="50"/>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30B inserted by No. 32 of 2016 s. 72.]</w:t>
      </w:r>
    </w:p>
    <w:p>
      <w:pPr>
        <w:pStyle w:val="Heading5"/>
      </w:pPr>
      <w:bookmarkStart w:id="51" w:name="_Toc494452126"/>
      <w:r>
        <w:rPr>
          <w:rStyle w:val="CharSectno"/>
        </w:rPr>
        <w:t>30C</w:t>
      </w:r>
      <w:r>
        <w:t>.</w:t>
      </w:r>
      <w:r>
        <w:tab/>
        <w:t>Effect of Division on University functions, powers and obligations</w:t>
      </w:r>
      <w:bookmarkEnd w:id="51"/>
    </w:p>
    <w:p>
      <w:pPr>
        <w:pStyle w:val="Subsection"/>
      </w:pPr>
      <w:r>
        <w:tab/>
        <w:t>(1)</w:t>
      </w:r>
      <w:r>
        <w:tab/>
        <w:t xml:space="preserve">This Division does not limit — </w:t>
      </w:r>
    </w:p>
    <w:p>
      <w:pPr>
        <w:pStyle w:val="Indenta"/>
      </w:pPr>
      <w:r>
        <w:tab/>
        <w:t>(a)</w:t>
      </w:r>
      <w:r>
        <w:tab/>
        <w:t>sections 5 and 7;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5(2)(ea) to obtain the Minister’s approval to the grant of a lease for a term that exceeds 21 years.</w:t>
      </w:r>
    </w:p>
    <w:p>
      <w:pPr>
        <w:pStyle w:val="Footnotesection"/>
      </w:pPr>
      <w:r>
        <w:tab/>
        <w:t>[Section 30C inserted by No. 32 of 2016 s. 72.]</w:t>
      </w:r>
    </w:p>
    <w:p>
      <w:pPr>
        <w:pStyle w:val="Heading4"/>
      </w:pPr>
      <w:bookmarkStart w:id="52" w:name="_Toc494452127"/>
      <w:r>
        <w:t>Subdivision 2 — Power to lease University land for commercial purposes</w:t>
      </w:r>
      <w:bookmarkEnd w:id="52"/>
    </w:p>
    <w:p>
      <w:pPr>
        <w:pStyle w:val="Footnoteheading"/>
        <w:ind w:left="890"/>
        <w:rPr>
          <w:snapToGrid w:val="0"/>
        </w:rPr>
      </w:pPr>
      <w:r>
        <w:rPr>
          <w:snapToGrid w:val="0"/>
        </w:rPr>
        <w:tab/>
        <w:t xml:space="preserve">[Heading inserted by No. 32 of 2016 s. 72.] </w:t>
      </w:r>
    </w:p>
    <w:p>
      <w:pPr>
        <w:pStyle w:val="Heading5"/>
      </w:pPr>
      <w:bookmarkStart w:id="53" w:name="_Toc494452128"/>
      <w:r>
        <w:rPr>
          <w:rStyle w:val="CharSectno"/>
        </w:rPr>
        <w:t>30D</w:t>
      </w:r>
      <w:r>
        <w:t>.</w:t>
      </w:r>
      <w:r>
        <w:tab/>
        <w:t>University may lease University land for commercial purposes with Ministerial approval</w:t>
      </w:r>
      <w:bookmarkEnd w:id="53"/>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30D inserted by No. 32 of 2016 s. 72.]</w:t>
      </w:r>
    </w:p>
    <w:p>
      <w:pPr>
        <w:pStyle w:val="Heading5"/>
      </w:pPr>
      <w:bookmarkStart w:id="54" w:name="_Toc494452129"/>
      <w:r>
        <w:rPr>
          <w:rStyle w:val="CharSectno"/>
        </w:rPr>
        <w:t>30E</w:t>
      </w:r>
      <w:r>
        <w:t>.</w:t>
      </w:r>
      <w:r>
        <w:tab/>
        <w:t>Effect of approval to lease University land</w:t>
      </w:r>
      <w:bookmarkEnd w:id="54"/>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30E inserted by No. 32 of 2016 s. 72.]</w:t>
      </w:r>
    </w:p>
    <w:p>
      <w:pPr>
        <w:pStyle w:val="Heading5"/>
      </w:pPr>
      <w:bookmarkStart w:id="55" w:name="_Toc494452130"/>
      <w:r>
        <w:rPr>
          <w:rStyle w:val="CharSectno"/>
        </w:rPr>
        <w:t>30F</w:t>
      </w:r>
      <w:r>
        <w:t>.</w:t>
      </w:r>
      <w:r>
        <w:tab/>
        <w:t>Approval in principle of university development proposal</w:t>
      </w:r>
      <w:bookmarkEnd w:id="55"/>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30I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30F inserted by No. 32 of 2016 s. 72.]</w:t>
      </w:r>
    </w:p>
    <w:p>
      <w:pPr>
        <w:pStyle w:val="Heading5"/>
      </w:pPr>
      <w:bookmarkStart w:id="56" w:name="_Toc494452131"/>
      <w:r>
        <w:rPr>
          <w:rStyle w:val="CharSectno"/>
        </w:rPr>
        <w:t>30G</w:t>
      </w:r>
      <w:r>
        <w:t>.</w:t>
      </w:r>
      <w:r>
        <w:tab/>
        <w:t>Application for advance determination of approval</w:t>
      </w:r>
      <w:bookmarkEnd w:id="56"/>
    </w:p>
    <w:p>
      <w:pPr>
        <w:pStyle w:val="Subsection"/>
      </w:pPr>
      <w:r>
        <w:tab/>
        <w:t>(1)</w:t>
      </w:r>
      <w:r>
        <w:tab/>
        <w:t>The University may apply to the Minister for a determination that, if an application is made for an approval under section 30I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30F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30I,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30F in relation to the proposal, the application for the advance determination must identify any material difference between the proposal approved in principle and the proposal submitted for advance determination.</w:t>
      </w:r>
    </w:p>
    <w:p>
      <w:pPr>
        <w:pStyle w:val="Subsection"/>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30G inserted by No. 32 of 2016 s. 72.]</w:t>
      </w:r>
    </w:p>
    <w:p>
      <w:pPr>
        <w:pStyle w:val="Heading5"/>
      </w:pPr>
      <w:bookmarkStart w:id="57" w:name="_Toc494452132"/>
      <w:r>
        <w:rPr>
          <w:rStyle w:val="CharSectno"/>
        </w:rPr>
        <w:t>30H</w:t>
      </w:r>
      <w:r>
        <w:t>.</w:t>
      </w:r>
      <w:r>
        <w:tab/>
        <w:t>Advance determination of approval</w:t>
      </w:r>
      <w:bookmarkEnd w:id="57"/>
    </w:p>
    <w:p>
      <w:pPr>
        <w:pStyle w:val="Subsection"/>
      </w:pPr>
      <w:r>
        <w:tab/>
        <w:t>(1)</w:t>
      </w:r>
      <w:r>
        <w:tab/>
        <w:t>If the University applies under section 30G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30F in relation to the proposal; and</w:t>
      </w:r>
    </w:p>
    <w:p>
      <w:pPr>
        <w:pStyle w:val="Indenta"/>
      </w:pPr>
      <w:r>
        <w:tab/>
        <w:t>(b)</w:t>
      </w:r>
      <w:r>
        <w:tab/>
        <w:t>the Minister is satisfied that, in respect of the matters referred to in section 30F(2)(a)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30H inserted by No. 32 of 2016 s. 72.]</w:t>
      </w:r>
    </w:p>
    <w:p>
      <w:pPr>
        <w:pStyle w:val="Heading5"/>
      </w:pPr>
      <w:bookmarkStart w:id="58" w:name="_Toc494452133"/>
      <w:r>
        <w:rPr>
          <w:rStyle w:val="CharSectno"/>
        </w:rPr>
        <w:t>30I</w:t>
      </w:r>
      <w:r>
        <w:t>.</w:t>
      </w:r>
      <w:r>
        <w:tab/>
        <w:t>Approvals</w:t>
      </w:r>
      <w:bookmarkEnd w:id="58"/>
    </w:p>
    <w:p>
      <w:pPr>
        <w:pStyle w:val="Subsection"/>
      </w:pPr>
      <w:r>
        <w:tab/>
        <w:t>(1)</w:t>
      </w:r>
      <w:r>
        <w:tab/>
        <w:t>The University may apply to the Minister for approval to do either or both of the things set out in section 30D(1).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30F,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granted under section 30H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30I inserted by No. 32 of 2016 s. 72.]</w:t>
      </w:r>
    </w:p>
    <w:p>
      <w:pPr>
        <w:pStyle w:val="Heading5"/>
      </w:pPr>
      <w:bookmarkStart w:id="59" w:name="_Toc494452134"/>
      <w:r>
        <w:rPr>
          <w:rStyle w:val="CharSectno"/>
        </w:rPr>
        <w:t>30J</w:t>
      </w:r>
      <w:r>
        <w:t>.</w:t>
      </w:r>
      <w:r>
        <w:tab/>
        <w:t>Notification of decision on application for approval</w:t>
      </w:r>
      <w:bookmarkEnd w:id="59"/>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30J inserted by No. 32 of 2016 s. 72.]</w:t>
      </w:r>
    </w:p>
    <w:p>
      <w:pPr>
        <w:pStyle w:val="Heading5"/>
      </w:pPr>
      <w:bookmarkStart w:id="60" w:name="_Toc494452135"/>
      <w:r>
        <w:rPr>
          <w:rStyle w:val="CharSectno"/>
        </w:rPr>
        <w:t>30K</w:t>
      </w:r>
      <w:r>
        <w:t>.</w:t>
      </w:r>
      <w:r>
        <w:tab/>
        <w:t>Alteration of approval</w:t>
      </w:r>
      <w:bookmarkEnd w:id="60"/>
    </w:p>
    <w:p>
      <w:pPr>
        <w:pStyle w:val="Subsection"/>
      </w:pPr>
      <w:r>
        <w:tab/>
        <w:t>(1)</w:t>
      </w:r>
      <w:r>
        <w:tab/>
        <w:t>The Minister may, at the request of the University, vary or revoke the conditions attached to an approval or attach new or additional conditions.</w:t>
      </w:r>
    </w:p>
    <w:p>
      <w:pPr>
        <w:pStyle w:val="Subsection"/>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30K inserted by No. 32 of 2016 s. 72.]</w:t>
      </w:r>
    </w:p>
    <w:p>
      <w:pPr>
        <w:pStyle w:val="Heading5"/>
      </w:pPr>
      <w:bookmarkStart w:id="61" w:name="_Toc494452136"/>
      <w:r>
        <w:rPr>
          <w:rStyle w:val="CharSectno"/>
        </w:rPr>
        <w:t>30L</w:t>
      </w:r>
      <w:r>
        <w:t>.</w:t>
      </w:r>
      <w:r>
        <w:tab/>
        <w:t>Payment agreements</w:t>
      </w:r>
      <w:bookmarkEnd w:id="61"/>
    </w:p>
    <w:p>
      <w:pPr>
        <w:pStyle w:val="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(3)</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30L inserted by No. 32 of 2016 s. 72.]</w:t>
      </w:r>
    </w:p>
    <w:p>
      <w:pPr>
        <w:pStyle w:val="Heading5"/>
      </w:pPr>
      <w:bookmarkStart w:id="62" w:name="_Toc494452137"/>
      <w:r>
        <w:rPr>
          <w:rStyle w:val="CharSectno"/>
        </w:rPr>
        <w:t>30M</w:t>
      </w:r>
      <w:r>
        <w:t>.</w:t>
      </w:r>
      <w:r>
        <w:tab/>
        <w:t>Minister may delegate functions under this Division</w:t>
      </w:r>
      <w:bookmarkEnd w:id="62"/>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30M inserted by No. 32 of 2016 s. 72.]</w:t>
      </w:r>
    </w:p>
    <w:p>
      <w:pPr>
        <w:pStyle w:val="Heading2"/>
      </w:pPr>
      <w:bookmarkStart w:id="63" w:name="_Toc494452138"/>
      <w:r>
        <w:rPr>
          <w:rStyle w:val="CharPartNo"/>
        </w:rPr>
        <w:t>Part VII</w:t>
      </w:r>
      <w:r>
        <w:rPr>
          <w:rStyle w:val="CharDivNo"/>
        </w:rPr>
        <w:t> </w:t>
      </w:r>
      <w:r>
        <w:t>—</w:t>
      </w:r>
      <w:r>
        <w:rPr>
          <w:rStyle w:val="CharDivText"/>
        </w:rPr>
        <w:t> </w:t>
      </w:r>
      <w:r>
        <w:rPr>
          <w:rStyle w:val="CharPartText"/>
        </w:rPr>
        <w:t>Staff</w:t>
      </w:r>
      <w:bookmarkEnd w:id="63"/>
      <w:r>
        <w:rPr>
          <w:rStyle w:val="CharPartText"/>
        </w:rPr>
        <w:t xml:space="preserve"> </w:t>
      </w:r>
    </w:p>
    <w:p>
      <w:pPr>
        <w:pStyle w:val="Heading5"/>
      </w:pPr>
      <w:bookmarkStart w:id="64" w:name="_Toc494452139"/>
      <w:r>
        <w:rPr>
          <w:rStyle w:val="CharSectno"/>
        </w:rPr>
        <w:t>30</w:t>
      </w:r>
      <w:r>
        <w:t>.</w:t>
      </w:r>
      <w:r>
        <w:tab/>
        <w:t>Vice</w:t>
      </w:r>
      <w:r>
        <w:noBreakHyphen/>
        <w:t>Chancellor</w:t>
      </w:r>
      <w:bookmarkEnd w:id="64"/>
      <w:r>
        <w:t xml:space="preserve"> </w:t>
      </w:r>
    </w:p>
    <w:p>
      <w:pPr>
        <w:pStyle w:val="Subsection"/>
      </w:pPr>
      <w:r>
        <w:tab/>
        <w:t>(1)</w:t>
      </w:r>
      <w:r>
        <w:tab/>
        <w:t>The Council must appoint and may terminate the appointment of a Vice</w:t>
      </w:r>
      <w:r>
        <w:noBreakHyphen/>
        <w:t xml:space="preserve">Chancellor. </w:t>
      </w:r>
    </w:p>
    <w:p>
      <w:pPr>
        <w:pStyle w:val="Subsection"/>
      </w:pPr>
      <w:r>
        <w:tab/>
        <w:t>(2)</w:t>
      </w:r>
      <w:r>
        <w:tab/>
        <w:t>The Vice</w:t>
      </w:r>
      <w:r>
        <w:noBreakHyphen/>
        <w:t>Chancellor is the chief executive officer of the University.</w:t>
      </w:r>
    </w:p>
    <w:p>
      <w:pPr>
        <w:pStyle w:val="Subsection"/>
      </w:pPr>
      <w:r>
        <w:tab/>
        <w:t>(3)</w:t>
      </w:r>
      <w:r>
        <w:tab/>
        <w:t>The Vice</w:t>
      </w:r>
      <w:r>
        <w:noBreakHyphen/>
        <w:t>Chancellor holds office as such for the period and on the conditions the Council determines.</w:t>
      </w:r>
    </w:p>
    <w:p>
      <w:pPr>
        <w:pStyle w:val="Subsection"/>
      </w:pPr>
      <w:r>
        <w:tab/>
        <w:t>(4)</w:t>
      </w:r>
      <w:r>
        <w:tab/>
        <w:t>The Vice</w:t>
      </w:r>
      <w:r>
        <w:noBreakHyphen/>
        <w:t>Chancellor has powers and duties prescribed by Statute and, unless otherwise expressly provided, the Vice</w:t>
      </w:r>
      <w:r>
        <w:noBreakHyphen/>
        <w:t>Chancellor may delegate any of those powers and duties to any person or committee of persons.</w:t>
      </w:r>
    </w:p>
    <w:p>
      <w:pPr>
        <w:pStyle w:val="Subsection"/>
      </w:pPr>
      <w:r>
        <w:tab/>
        <w:t>(5)</w:t>
      </w:r>
      <w:r>
        <w:tab/>
        <w:t>In addition to or instead of the title of Vice</w:t>
      </w:r>
      <w:r>
        <w:noBreakHyphen/>
        <w:t>Chancellor, the Vice</w:t>
      </w:r>
      <w:r>
        <w:noBreakHyphen/>
        <w:t xml:space="preserve">Chancellor may use any other title that is — </w:t>
      </w:r>
    </w:p>
    <w:p>
      <w:pPr>
        <w:pStyle w:val="Indenta"/>
      </w:pPr>
      <w:r>
        <w:tab/>
        <w:t>(a)</w:t>
      </w:r>
      <w:r>
        <w:tab/>
        <w:t>approved by the Council; or</w:t>
      </w:r>
    </w:p>
    <w:p>
      <w:pPr>
        <w:pStyle w:val="Indenta"/>
      </w:pPr>
      <w:r>
        <w:tab/>
        <w:t>(b)</w:t>
      </w:r>
      <w:r>
        <w:tab/>
        <w:t>prescribed by Statute.</w:t>
      </w:r>
    </w:p>
    <w:p>
      <w:pPr>
        <w:pStyle w:val="Subsection"/>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30 inserted by No. 32 of 2016 s. 73.]</w:t>
      </w:r>
    </w:p>
    <w:p>
      <w:pPr>
        <w:pStyle w:val="Heading5"/>
        <w:rPr>
          <w:snapToGrid w:val="0"/>
        </w:rPr>
      </w:pPr>
      <w:bookmarkStart w:id="65" w:name="_Toc494452140"/>
      <w:r>
        <w:rPr>
          <w:rStyle w:val="CharSectno"/>
        </w:rPr>
        <w:t>31</w:t>
      </w:r>
      <w:r>
        <w:rPr>
          <w:snapToGrid w:val="0"/>
        </w:rPr>
        <w:t>.</w:t>
      </w:r>
      <w:r>
        <w:rPr>
          <w:snapToGrid w:val="0"/>
        </w:rPr>
        <w:tab/>
        <w:t>Academic and other staff</w:t>
      </w:r>
      <w:bookmarkEnd w:id="65"/>
      <w:r>
        <w:rPr>
          <w:snapToGrid w:val="0"/>
        </w:rPr>
        <w:t xml:space="preserve"> </w:t>
      </w:r>
    </w:p>
    <w:p>
      <w:pPr>
        <w:pStyle w:val="Subsection"/>
        <w:rPr>
          <w:snapToGrid w:val="0"/>
        </w:rPr>
      </w:pPr>
      <w:r>
        <w:rPr>
          <w:snapToGrid w:val="0"/>
        </w:rPr>
        <w:tab/>
        <w:t>(1)</w:t>
      </w:r>
      <w:r>
        <w:rPr>
          <w:snapToGrid w:val="0"/>
        </w:rPr>
        <w:tab/>
        <w:t xml:space="preserve">Subject to this </w:t>
      </w:r>
      <w:r>
        <w:t>Act, any relevant written law and any relevant industrial award or industrial agreement —</w:t>
      </w:r>
    </w:p>
    <w:p>
      <w:pPr>
        <w:pStyle w:val="Indenta"/>
        <w:rPr>
          <w:snapToGrid w:val="0"/>
        </w:rPr>
      </w:pPr>
      <w:r>
        <w:rPr>
          <w:snapToGrid w:val="0"/>
        </w:rPr>
        <w:tab/>
        <w:t>(a)</w:t>
      </w:r>
      <w:r>
        <w:rPr>
          <w:snapToGrid w:val="0"/>
        </w:rPr>
        <w:tab/>
        <w:t>the Council may appoint the academic and other staff of the University and other officers and engage employees for the University and may suspend or terminate the employment of any person so appointed or engaged;</w:t>
      </w:r>
    </w:p>
    <w:p>
      <w:pPr>
        <w:pStyle w:val="Indenta"/>
        <w:rPr>
          <w:snapToGrid w:val="0"/>
        </w:rPr>
      </w:pPr>
      <w:r>
        <w:rPr>
          <w:snapToGrid w:val="0"/>
        </w:rPr>
        <w:tab/>
        <w:t>(b)</w:t>
      </w:r>
      <w:r>
        <w:rPr>
          <w:snapToGrid w:val="0"/>
        </w:rPr>
        <w:tab/>
        <w:t>the terms and conditions of employment of the staff, officers and employees of the University, including the salary or wages payable, are such terms and conditions as the Council determines.</w:t>
      </w:r>
    </w:p>
    <w:p>
      <w:pPr>
        <w:pStyle w:val="Subsection"/>
        <w:rPr>
          <w:snapToGrid w:val="0"/>
        </w:rPr>
      </w:pPr>
      <w:r>
        <w:rPr>
          <w:snapToGrid w:val="0"/>
        </w:rPr>
        <w:tab/>
        <w:t>(2)</w:t>
      </w:r>
      <w:r>
        <w:rPr>
          <w:snapToGrid w:val="0"/>
        </w:rPr>
        <w:tab/>
        <w:t xml:space="preserve">Where the Minister, after consultation with the </w:t>
      </w:r>
      <w:r>
        <w:t>Public Sector Commissioner</w:t>
      </w:r>
      <w:r>
        <w:rPr>
          <w:snapToGrid w:val="0"/>
        </w:rPr>
        <w:t xml:space="preserve"> considers that a person appointed or engaged under subsection (1), other than a member of the academic staff, is in like employment with the University to any employment in the Public Service of the State, that person shall have like terms and conditions of employment with the University to those in the employment in the Public Service of the State.</w:t>
      </w:r>
    </w:p>
    <w:p>
      <w:pPr>
        <w:pStyle w:val="Footnotesection"/>
      </w:pPr>
      <w:r>
        <w:tab/>
        <w:t xml:space="preserve">[Section 31 amended by No. 63 of 1991 s. 19; No. 39 of 2010 s. 89; No. 32 of 2016 s. 74.] </w:t>
      </w:r>
    </w:p>
    <w:p>
      <w:pPr>
        <w:pStyle w:val="Heading5"/>
        <w:rPr>
          <w:snapToGrid w:val="0"/>
        </w:rPr>
      </w:pPr>
      <w:bookmarkStart w:id="66" w:name="_Toc494452141"/>
      <w:r>
        <w:rPr>
          <w:rStyle w:val="CharSectno"/>
        </w:rPr>
        <w:t>32</w:t>
      </w:r>
      <w:r>
        <w:rPr>
          <w:snapToGrid w:val="0"/>
        </w:rPr>
        <w:t>.</w:t>
      </w:r>
      <w:r>
        <w:rPr>
          <w:snapToGrid w:val="0"/>
        </w:rPr>
        <w:tab/>
        <w:t>Continuation of existing rights</w:t>
      </w:r>
      <w:bookmarkEnd w:id="66"/>
      <w:r>
        <w:rPr>
          <w:snapToGrid w:val="0"/>
        </w:rPr>
        <w:t xml:space="preserve"> </w:t>
      </w:r>
    </w:p>
    <w:p>
      <w:pPr>
        <w:pStyle w:val="Subsection"/>
        <w:spacing w:before="80"/>
        <w:rPr>
          <w:snapToGrid w:val="0"/>
        </w:rPr>
      </w:pPr>
      <w:r>
        <w:rPr>
          <w:snapToGrid w:val="0"/>
        </w:rPr>
        <w:tab/>
        <w:t>(1)</w:t>
      </w:r>
      <w:r>
        <w:rPr>
          <w:snapToGrid w:val="0"/>
        </w:rPr>
        <w:tab/>
        <w:t xml:space="preserve">Where a person appointed or engaged under section 30 or 31 was immediately before being so appointed or engaged, an officer of the Public Service of the State, an officer appointed under the </w:t>
      </w:r>
      <w:r>
        <w:rPr>
          <w:i/>
          <w:snapToGrid w:val="0"/>
        </w:rPr>
        <w:t>Education Act 1928</w:t>
      </w:r>
      <w:r>
        <w:rPr>
          <w:snapToGrid w:val="0"/>
        </w:rPr>
        <w:t xml:space="preserve"> </w:t>
      </w:r>
      <w:r>
        <w:rPr>
          <w:snapToGrid w:val="0"/>
          <w:vertAlign w:val="superscript"/>
        </w:rPr>
        <w:t>2</w:t>
      </w:r>
      <w:r>
        <w:rPr>
          <w:rFonts w:ascii="Times" w:hAnsi="Times"/>
          <w:snapToGrid w:val="0"/>
        </w:rPr>
        <w:t xml:space="preserve"> </w:t>
      </w:r>
      <w:r>
        <w:rPr>
          <w:snapToGrid w:val="0"/>
        </w:rPr>
        <w:t xml:space="preserve">or section 235(1)(c) of the </w:t>
      </w:r>
      <w:r>
        <w:rPr>
          <w:i/>
          <w:snapToGrid w:val="0"/>
        </w:rPr>
        <w:t>School Education Act 1999</w:t>
      </w:r>
      <w:r>
        <w:rPr>
          <w:snapToGrid w:val="0"/>
        </w:rPr>
        <w:t xml:space="preserve"> or a member of the staff of a college under the </w:t>
      </w:r>
      <w:r>
        <w:rPr>
          <w:i/>
          <w:snapToGrid w:val="0"/>
        </w:rPr>
        <w:t>Colleges Act 1978</w:t>
      </w:r>
      <w:r>
        <w:rPr>
          <w:rFonts w:ascii="Times" w:hAnsi="Times"/>
          <w:iCs/>
          <w:snapToGrid w:val="0"/>
          <w:vertAlign w:val="superscript"/>
        </w:rPr>
        <w:t> </w:t>
      </w:r>
      <w:r>
        <w:rPr>
          <w:rFonts w:ascii="Times" w:hAnsi="Times"/>
          <w:snapToGrid w:val="0"/>
          <w:vertAlign w:val="superscript"/>
        </w:rPr>
        <w:t>4</w:t>
      </w:r>
      <w:r>
        <w:rPr>
          <w:snapToGrid w:val="0"/>
        </w:rPr>
        <w:t xml:space="preserve"> or the </w:t>
      </w:r>
      <w:r>
        <w:rPr>
          <w:i/>
          <w:snapToGrid w:val="0"/>
        </w:rPr>
        <w:t>Vocational Education and Training Act 1996</w:t>
      </w:r>
      <w:r>
        <w:rPr>
          <w:snapToGrid w:val="0"/>
        </w:rPr>
        <w:t xml:space="preserve"> he retains his existing and accruing rights and in particular his rights in relation to sick leave, long service leave, retirement and his rights if any under the </w:t>
      </w:r>
      <w:r>
        <w:rPr>
          <w:i/>
          <w:snapToGrid w:val="0"/>
        </w:rPr>
        <w:t>Superannuation and Family Benefits Act 1938</w:t>
      </w:r>
      <w:r>
        <w:rPr>
          <w:snapToGrid w:val="0"/>
          <w:vertAlign w:val="superscript"/>
        </w:rPr>
        <w:t> </w:t>
      </w:r>
      <w:r>
        <w:rPr>
          <w:rFonts w:ascii="Times" w:hAnsi="Times"/>
          <w:snapToGrid w:val="0"/>
          <w:vertAlign w:val="superscript"/>
        </w:rPr>
        <w:t>5</w:t>
      </w:r>
      <w:r>
        <w:rPr>
          <w:rFonts w:ascii="Times" w:hAnsi="Times"/>
          <w:snapToGrid w:val="0"/>
        </w:rPr>
        <w:t xml:space="preserve"> or</w:t>
      </w:r>
      <w:r>
        <w:rPr>
          <w:snapToGrid w:val="0"/>
        </w:rPr>
        <w:t xml:space="preserve"> the</w:t>
      </w:r>
      <w:r>
        <w:rPr>
          <w:i/>
          <w:snapToGrid w:val="0"/>
        </w:rPr>
        <w:t xml:space="preserve"> Government Employees Superannuation Act 1987</w:t>
      </w:r>
      <w:r>
        <w:rPr>
          <w:iCs/>
          <w:snapToGrid w:val="0"/>
          <w:vertAlign w:val="superscript"/>
        </w:rPr>
        <w:t> 6</w:t>
      </w:r>
      <w:r>
        <w:rPr>
          <w:snapToGrid w:val="0"/>
        </w:rPr>
        <w:t>.</w:t>
      </w:r>
    </w:p>
    <w:p>
      <w:pPr>
        <w:pStyle w:val="Subsection"/>
        <w:spacing w:before="80"/>
        <w:rPr>
          <w:snapToGrid w:val="0"/>
        </w:rPr>
      </w:pPr>
      <w:r>
        <w:rPr>
          <w:snapToGrid w:val="0"/>
        </w:rPr>
        <w:tab/>
        <w:t>(2)</w:t>
      </w:r>
      <w:r>
        <w:rPr>
          <w:snapToGrid w:val="0"/>
        </w:rPr>
        <w:tab/>
        <w:t xml:space="preserve">A person appointed or engaged under section 30 or 31, other than a person referred to in subsection (1), shall retain his rights, if any, under the </w:t>
      </w:r>
      <w:r>
        <w:rPr>
          <w:i/>
          <w:snapToGrid w:val="0"/>
        </w:rPr>
        <w:t>Superannuation and Family Benefits Act 1938</w:t>
      </w:r>
      <w:r>
        <w:rPr>
          <w:iCs/>
          <w:snapToGrid w:val="0"/>
          <w:vertAlign w:val="superscript"/>
        </w:rPr>
        <w:t> 5</w:t>
      </w:r>
      <w:r>
        <w:rPr>
          <w:snapToGrid w:val="0"/>
        </w:rPr>
        <w:t xml:space="preserve"> or the </w:t>
      </w:r>
      <w:r>
        <w:rPr>
          <w:i/>
          <w:snapToGrid w:val="0"/>
        </w:rPr>
        <w:t>Government Employees Superannuation Act 1987</w:t>
      </w:r>
      <w:r>
        <w:rPr>
          <w:iCs/>
          <w:snapToGrid w:val="0"/>
          <w:vertAlign w:val="superscript"/>
        </w:rPr>
        <w:t> 6</w:t>
      </w:r>
      <w:r>
        <w:rPr>
          <w:snapToGrid w:val="0"/>
        </w:rPr>
        <w:t>.</w:t>
      </w:r>
    </w:p>
    <w:p>
      <w:pPr>
        <w:pStyle w:val="Footnotesection"/>
      </w:pPr>
      <w:r>
        <w:tab/>
        <w:t xml:space="preserve">[Section 32 amended by No. 77 of 1985 s. 12; No. 36 of 1999 s. 247.] </w:t>
      </w:r>
    </w:p>
    <w:p>
      <w:pPr>
        <w:pStyle w:val="Ednotesection"/>
        <w:spacing w:before="120"/>
        <w:ind w:left="890" w:hanging="890"/>
      </w:pPr>
      <w:r>
        <w:t>[</w:t>
      </w:r>
      <w:r>
        <w:rPr>
          <w:b/>
        </w:rPr>
        <w:t>33.</w:t>
      </w:r>
      <w:r>
        <w:tab/>
      </w:r>
      <w:r>
        <w:tab/>
        <w:t xml:space="preserve">Deleted by No. 1 of 1995 s. 35.] </w:t>
      </w:r>
    </w:p>
    <w:p>
      <w:pPr>
        <w:pStyle w:val="Heading5"/>
        <w:rPr>
          <w:snapToGrid w:val="0"/>
        </w:rPr>
      </w:pPr>
      <w:bookmarkStart w:id="67" w:name="_Toc494452142"/>
      <w:r>
        <w:rPr>
          <w:rStyle w:val="CharSectno"/>
        </w:rPr>
        <w:t>34</w:t>
      </w:r>
      <w:r>
        <w:rPr>
          <w:snapToGrid w:val="0"/>
        </w:rPr>
        <w:t>.</w:t>
      </w:r>
      <w:r>
        <w:rPr>
          <w:snapToGrid w:val="0"/>
        </w:rPr>
        <w:tab/>
        <w:t>Superannuation</w:t>
      </w:r>
      <w:bookmarkEnd w:id="67"/>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spacing w:before="80"/>
        <w:rPr>
          <w:snapToGrid w:val="0"/>
        </w:rPr>
      </w:pPr>
      <w:r>
        <w:rPr>
          <w:snapToGrid w:val="0"/>
        </w:rPr>
        <w:tab/>
      </w:r>
      <w:r>
        <w:rPr>
          <w:snapToGrid w:val="0"/>
        </w:rPr>
        <w:tab/>
        <w:t>to make financial provision in respect of the retirement, invalidity or death of such members of the staff of the University as the Council decides may be members of the superannuation scheme and as become such members.</w:t>
      </w:r>
    </w:p>
    <w:p>
      <w:pPr>
        <w:pStyle w:val="Subsection"/>
        <w:spacing w:before="80"/>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spacing w:before="80"/>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A member of the staff of the University whom the Council decides may be a member of a superannuation scheme referred to in subsection (1) is not compelled to become such a member unless he is so compelled pursuant to a condition of his appointment under section 30 or 31 but, if he is such a member, he may only be a member of one such scheme and he shall not be a member of the Western Australian Post</w:t>
      </w:r>
      <w:r>
        <w:rPr>
          <w:snapToGrid w:val="0"/>
        </w:rPr>
        <w:noBreakHyphen/>
        <w:t xml:space="preserve">Secondary Education Superannuation Scheme established under section 36 of the Colleges Act as incorporated by section 34 as in force before the coming into operation of section 13 of the </w:t>
      </w:r>
      <w:r>
        <w:rPr>
          <w:i/>
          <w:snapToGrid w:val="0"/>
        </w:rPr>
        <w:t>Acts Amendment (Educational Institutions Superannuation) Act 1985</w:t>
      </w:r>
      <w:r>
        <w:rPr>
          <w:snapToGrid w:val="0"/>
          <w:vertAlign w:val="superscript"/>
        </w:rPr>
        <w:t> 1</w:t>
      </w:r>
      <w:r>
        <w:rPr>
          <w:snapToGrid w:val="0"/>
        </w:rPr>
        <w:t xml:space="preserve"> or a contributor for pension, superannuation or benefits under the </w:t>
      </w:r>
      <w:r>
        <w:rPr>
          <w:i/>
          <w:snapToGrid w:val="0"/>
        </w:rPr>
        <w:t>Superannuation and Family Benefits Act 1938</w:t>
      </w:r>
      <w:r>
        <w:rPr>
          <w:iCs/>
          <w:snapToGrid w:val="0"/>
          <w:vertAlign w:val="superscript"/>
        </w:rPr>
        <w:t> 5</w:t>
      </w:r>
      <w:r>
        <w:rPr>
          <w:snapToGrid w:val="0"/>
        </w:rPr>
        <w:t>.</w:t>
      </w:r>
    </w:p>
    <w:p>
      <w:pPr>
        <w:pStyle w:val="Footnotesection"/>
      </w:pPr>
      <w:r>
        <w:tab/>
        <w:t xml:space="preserve">[Section 34 inserted by No. 77 of 1985 s. 13; amended by No. 63 of 1990 s. 19.] </w:t>
      </w:r>
    </w:p>
    <w:p>
      <w:pPr>
        <w:pStyle w:val="Heading5"/>
        <w:pageBreakBefore/>
        <w:spacing w:before="0"/>
        <w:rPr>
          <w:snapToGrid w:val="0"/>
        </w:rPr>
      </w:pPr>
      <w:bookmarkStart w:id="68" w:name="_Toc494452143"/>
      <w:r>
        <w:rPr>
          <w:rStyle w:val="CharSectno"/>
        </w:rPr>
        <w:t>35</w:t>
      </w:r>
      <w:r>
        <w:rPr>
          <w:snapToGrid w:val="0"/>
        </w:rPr>
        <w:t>.</w:t>
      </w:r>
      <w:r>
        <w:rPr>
          <w:snapToGrid w:val="0"/>
        </w:rPr>
        <w:tab/>
        <w:t>Staff associations</w:t>
      </w:r>
      <w:bookmarkEnd w:id="68"/>
      <w:r>
        <w:rPr>
          <w:snapToGrid w:val="0"/>
        </w:rPr>
        <w:t xml:space="preserve"> </w:t>
      </w:r>
    </w:p>
    <w:p>
      <w:pPr>
        <w:pStyle w:val="Subsection"/>
        <w:rPr>
          <w:snapToGrid w:val="0"/>
        </w:rPr>
      </w:pPr>
      <w:r>
        <w:rPr>
          <w:snapToGrid w:val="0"/>
        </w:rPr>
        <w:tab/>
        <w:t>(1)</w:t>
      </w:r>
      <w:r>
        <w:rPr>
          <w:snapToGrid w:val="0"/>
        </w:rPr>
        <w:tab/>
        <w:t>For the purposes of this Act there may be established and maintained in the University — </w:t>
      </w:r>
    </w:p>
    <w:p>
      <w:pPr>
        <w:pStyle w:val="Indenta"/>
        <w:rPr>
          <w:snapToGrid w:val="0"/>
        </w:rPr>
      </w:pPr>
      <w:r>
        <w:rPr>
          <w:snapToGrid w:val="0"/>
        </w:rPr>
        <w:tab/>
        <w:t>(a)</w:t>
      </w:r>
      <w:r>
        <w:rPr>
          <w:snapToGrid w:val="0"/>
        </w:rPr>
        <w:tab/>
        <w:t>an organized association of academic staff; and</w:t>
      </w:r>
    </w:p>
    <w:p>
      <w:pPr>
        <w:pStyle w:val="Indenta"/>
        <w:rPr>
          <w:snapToGrid w:val="0"/>
        </w:rPr>
      </w:pPr>
      <w:r>
        <w:rPr>
          <w:snapToGrid w:val="0"/>
        </w:rPr>
        <w:tab/>
        <w:t>(b)</w:t>
      </w:r>
      <w:r>
        <w:rPr>
          <w:snapToGrid w:val="0"/>
        </w:rPr>
        <w:tab/>
        <w:t>an organized association of other salaried staff,</w:t>
      </w:r>
    </w:p>
    <w:p>
      <w:pPr>
        <w:pStyle w:val="Subsection"/>
        <w:rPr>
          <w:snapToGrid w:val="0"/>
        </w:rPr>
      </w:pPr>
      <w:r>
        <w:rPr>
          <w:snapToGrid w:val="0"/>
        </w:rPr>
        <w:tab/>
      </w:r>
      <w:r>
        <w:rPr>
          <w:snapToGrid w:val="0"/>
        </w:rPr>
        <w:tab/>
        <w:t>and those associations shall be the recognised means of communication between academic staff, and other salaried staff, respectively, and the Council, but for those purposes there shall not be at the same time more than one such association of academic staff, and one such association of other salaried staff.</w:t>
      </w:r>
    </w:p>
    <w:p>
      <w:pPr>
        <w:pStyle w:val="Subsection"/>
        <w:rPr>
          <w:snapToGrid w:val="0"/>
        </w:rPr>
      </w:pPr>
      <w:r>
        <w:rPr>
          <w:snapToGrid w:val="0"/>
        </w:rPr>
        <w:tab/>
        <w:t>(2)</w:t>
      </w:r>
      <w:r>
        <w:rPr>
          <w:snapToGrid w:val="0"/>
        </w:rPr>
        <w:tab/>
        <w:t>The primary function of an association maintained under subsection (1) shall be to further the common interests of its members.</w:t>
      </w:r>
    </w:p>
    <w:p>
      <w:pPr>
        <w:pStyle w:val="Footnotesection"/>
        <w:keepLines w:val="0"/>
      </w:pPr>
      <w:r>
        <w:tab/>
        <w:t xml:space="preserve">[Section 35 amended by No. 63 of 1990 s. 19.] </w:t>
      </w:r>
    </w:p>
    <w:p>
      <w:pPr>
        <w:pStyle w:val="Heading2"/>
      </w:pPr>
      <w:bookmarkStart w:id="69" w:name="_Toc494452144"/>
      <w:r>
        <w:rPr>
          <w:rStyle w:val="CharPartNo"/>
        </w:rPr>
        <w:t>Part VIII</w:t>
      </w:r>
      <w:r>
        <w:rPr>
          <w:rStyle w:val="CharDivNo"/>
        </w:rPr>
        <w:t> </w:t>
      </w:r>
      <w:r>
        <w:t>—</w:t>
      </w:r>
      <w:r>
        <w:rPr>
          <w:rStyle w:val="CharDivText"/>
        </w:rPr>
        <w:t> </w:t>
      </w:r>
      <w:r>
        <w:rPr>
          <w:rStyle w:val="CharPartText"/>
        </w:rPr>
        <w:t>Financial provisions</w:t>
      </w:r>
      <w:bookmarkEnd w:id="69"/>
      <w:r>
        <w:rPr>
          <w:rStyle w:val="CharPartText"/>
        </w:rPr>
        <w:t xml:space="preserve"> </w:t>
      </w:r>
    </w:p>
    <w:p>
      <w:pPr>
        <w:pStyle w:val="Heading5"/>
        <w:rPr>
          <w:snapToGrid w:val="0"/>
        </w:rPr>
      </w:pPr>
      <w:bookmarkStart w:id="70" w:name="_Toc494452145"/>
      <w:r>
        <w:rPr>
          <w:rStyle w:val="CharSectno"/>
        </w:rPr>
        <w:t>36</w:t>
      </w:r>
      <w:r>
        <w:rPr>
          <w:snapToGrid w:val="0"/>
        </w:rPr>
        <w:t>.</w:t>
      </w:r>
      <w:r>
        <w:rPr>
          <w:snapToGrid w:val="0"/>
        </w:rPr>
        <w:tab/>
        <w:t>Funds of the University</w:t>
      </w:r>
      <w:bookmarkEnd w:id="70"/>
      <w:r>
        <w:rPr>
          <w:snapToGrid w:val="0"/>
        </w:rPr>
        <w:t xml:space="preserve"> </w:t>
      </w:r>
    </w:p>
    <w:p>
      <w:pPr>
        <w:pStyle w:val="Subsection"/>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University by way of fees, charges, gifts, bequests or otherwise whether paid or made to the University or the Council; and</w:t>
      </w:r>
    </w:p>
    <w:p>
      <w:pPr>
        <w:pStyle w:val="Indenta"/>
      </w:pPr>
      <w:r>
        <w:tab/>
        <w:t>(ca)</w:t>
      </w:r>
      <w:r>
        <w:tab/>
        <w:t>moneys received by the Council or the University, where the moneys are derived from something that the University is authorised to do by an approval granted under section 30I; and</w:t>
      </w:r>
    </w:p>
    <w:p>
      <w:pPr>
        <w:pStyle w:val="Indenta"/>
        <w:rPr>
          <w:snapToGrid w:val="0"/>
        </w:rPr>
      </w:pPr>
      <w:r>
        <w:rPr>
          <w:snapToGrid w:val="0"/>
        </w:rPr>
        <w:tab/>
        <w:t>(c)</w:t>
      </w:r>
      <w:r>
        <w:rPr>
          <w:snapToGrid w:val="0"/>
        </w:rPr>
        <w:tab/>
        <w:t>moneys borrowed by the University for the purposes of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An account called the Edith Cowan University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at a bank as defined in section 3 of that Act,</w:t>
      </w:r>
    </w:p>
    <w:p>
      <w:pPr>
        <w:pStyle w:val="Subsection"/>
      </w:pPr>
      <w:r>
        <w:tab/>
      </w:r>
      <w:r>
        <w:tab/>
        <w:t>to which the moneys referred to in subsection (1) are to be credited.</w:t>
      </w:r>
    </w:p>
    <w:p>
      <w:pPr>
        <w:pStyle w:val="Subsection"/>
        <w:rPr>
          <w:snapToGrid w:val="0"/>
        </w:rPr>
      </w:pPr>
      <w:r>
        <w:rPr>
          <w:snapToGrid w:val="0"/>
        </w:rPr>
        <w:tab/>
        <w:t>(3)</w:t>
      </w:r>
      <w:r>
        <w:rPr>
          <w:snapToGrid w:val="0"/>
        </w:rPr>
        <w:tab/>
        <w:t>The Council shall apply the funds standing to the credit of the Edith Cowan University Account pursuant to and only for the purposes of this Act.</w:t>
      </w:r>
    </w:p>
    <w:p>
      <w:pPr>
        <w:pStyle w:val="Footnotesection"/>
      </w:pPr>
      <w:r>
        <w:tab/>
        <w:t xml:space="preserve">[Section 36 amended by No. 63 of 1990 s. 19; No. 49 of 1996 s. 53; No. 77 of 2006 s. 17; No. 32 of 2016 s. 75.] </w:t>
      </w:r>
    </w:p>
    <w:p>
      <w:pPr>
        <w:pStyle w:val="Heading5"/>
      </w:pPr>
      <w:bookmarkStart w:id="71" w:name="_Toc494452146"/>
      <w:r>
        <w:rPr>
          <w:rStyle w:val="CharSectno"/>
        </w:rPr>
        <w:t>37</w:t>
      </w:r>
      <w:r>
        <w:t>.</w:t>
      </w:r>
      <w:r>
        <w:tab/>
        <w:t>Borrowing and other ways of raising money</w:t>
      </w:r>
      <w:bookmarkEnd w:id="71"/>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this Act.</w:t>
      </w:r>
    </w:p>
    <w:p>
      <w:pPr>
        <w:pStyle w:val="Subsection"/>
      </w:pPr>
      <w:r>
        <w:tab/>
        <w:t>(5)</w:t>
      </w:r>
      <w:r>
        <w:tab/>
        <w:t>Nothing in this section or section 37A or 37B affects or applies to moneys that are applied under section 38A(b).</w:t>
      </w:r>
    </w:p>
    <w:p>
      <w:pPr>
        <w:pStyle w:val="Footnotesection"/>
      </w:pPr>
      <w:r>
        <w:tab/>
        <w:t>[Section 37 inserted by No. 32 of 2016 s. 76.]</w:t>
      </w:r>
    </w:p>
    <w:p>
      <w:pPr>
        <w:pStyle w:val="Heading5"/>
      </w:pPr>
      <w:bookmarkStart w:id="72" w:name="_Toc494452147"/>
      <w:r>
        <w:rPr>
          <w:rStyle w:val="CharSectno"/>
        </w:rPr>
        <w:t>37A</w:t>
      </w:r>
      <w:r>
        <w:t>.</w:t>
      </w:r>
      <w:r>
        <w:tab/>
        <w:t>Notice of borrowing</w:t>
      </w:r>
      <w:bookmarkEnd w:id="72"/>
    </w:p>
    <w:p>
      <w:pPr>
        <w:pStyle w:val="Subsection"/>
      </w:pPr>
      <w:r>
        <w:tab/>
        <w:t>(1)</w:t>
      </w:r>
      <w:r>
        <w:tab/>
        <w:t xml:space="preserve">If the University intends to borrow money and seek a guarantee under section 37B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37A inserted by No. 32 of 2016 s. 76.]</w:t>
      </w:r>
    </w:p>
    <w:p>
      <w:pPr>
        <w:pStyle w:val="Heading5"/>
      </w:pPr>
      <w:bookmarkStart w:id="73" w:name="_Toc494452148"/>
      <w:r>
        <w:rPr>
          <w:rStyle w:val="CharSectno"/>
        </w:rPr>
        <w:t>37B</w:t>
      </w:r>
      <w:r>
        <w:t>.</w:t>
      </w:r>
      <w:r>
        <w:tab/>
        <w:t>Guarantees</w:t>
      </w:r>
      <w:bookmarkEnd w:id="73"/>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37B inserted by No. 32 of 2016 s. 76.]</w:t>
      </w:r>
    </w:p>
    <w:p>
      <w:pPr>
        <w:pStyle w:val="Heading5"/>
      </w:pPr>
      <w:bookmarkStart w:id="74" w:name="_Toc494452149"/>
      <w:r>
        <w:rPr>
          <w:rStyle w:val="CharSectno"/>
        </w:rPr>
        <w:t>37C</w:t>
      </w:r>
      <w:r>
        <w:t>.</w:t>
      </w:r>
      <w:r>
        <w:tab/>
        <w:t>Charges for guarantee</w:t>
      </w:r>
      <w:bookmarkEnd w:id="74"/>
    </w:p>
    <w:p>
      <w:pPr>
        <w:pStyle w:val="Subsection"/>
      </w:pPr>
      <w:r>
        <w:tab/>
        <w:t>(1)</w:t>
      </w:r>
      <w:r>
        <w:tab/>
        <w:t>The Treasurer may, from time to time, after consultation with the University, fix charges to be paid by the University in respect of a guarantee under section 37B.</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pPr>
      <w:r>
        <w:tab/>
        <w:t>(b)</w:t>
      </w:r>
      <w:r>
        <w:tab/>
        <w:t>must be credited to the Consolidated Account.</w:t>
      </w:r>
    </w:p>
    <w:p>
      <w:pPr>
        <w:pStyle w:val="Footnotesection"/>
      </w:pPr>
      <w:r>
        <w:tab/>
        <w:t>[Section 37C inserted by No. 32 of 2016 s. 76.]</w:t>
      </w:r>
    </w:p>
    <w:p>
      <w:pPr>
        <w:pStyle w:val="Heading5"/>
      </w:pPr>
      <w:bookmarkStart w:id="75" w:name="_Toc494452150"/>
      <w:r>
        <w:rPr>
          <w:rStyle w:val="CharSectno"/>
        </w:rPr>
        <w:t>38</w:t>
      </w:r>
      <w:r>
        <w:t>.</w:t>
      </w:r>
      <w:r>
        <w:tab/>
        <w:t>Powers of Council to invest</w:t>
      </w:r>
      <w:bookmarkEnd w:id="75"/>
    </w:p>
    <w:p>
      <w:pPr>
        <w:pStyle w:val="Subsection"/>
      </w:pPr>
      <w:r>
        <w:tab/>
      </w:r>
      <w:r>
        <w:tab/>
        <w:t xml:space="preserve">Subject to section 38A in relation to moneys held on trust by the University for the purposes of the University, the Council — </w:t>
      </w:r>
    </w:p>
    <w:p>
      <w:pPr>
        <w:pStyle w:val="Indenta"/>
      </w:pPr>
      <w:r>
        <w:tab/>
        <w:t>(a)</w:t>
      </w:r>
      <w:r>
        <w:tab/>
        <w:t>may invest any moneys standing to the credit of the Edith Cowan University Account that are not immediately required for the purposes of this Act in any securities that the Council thinks fit; and</w:t>
      </w:r>
    </w:p>
    <w:p>
      <w:pPr>
        <w:pStyle w:val="Indenta"/>
      </w:pPr>
      <w:r>
        <w:tab/>
        <w:t>(b)</w:t>
      </w:r>
      <w:r>
        <w:tab/>
        <w:t>may sell and realise any security or reinvest the proceeds of any sale.</w:t>
      </w:r>
    </w:p>
    <w:p>
      <w:pPr>
        <w:pStyle w:val="Footnotesection"/>
      </w:pPr>
      <w:r>
        <w:tab/>
        <w:t>[Section 38 inserted by No. 70 of 2003 s. 26.]</w:t>
      </w:r>
    </w:p>
    <w:p>
      <w:pPr>
        <w:pStyle w:val="Heading5"/>
      </w:pPr>
      <w:bookmarkStart w:id="76" w:name="_Toc494452151"/>
      <w:r>
        <w:rPr>
          <w:rStyle w:val="CharSectno"/>
        </w:rPr>
        <w:t>38A</w:t>
      </w:r>
      <w:r>
        <w:t>.</w:t>
      </w:r>
      <w:r>
        <w:tab/>
        <w:t>Trust property and trust moneys</w:t>
      </w:r>
      <w:bookmarkEnd w:id="76"/>
    </w:p>
    <w:p>
      <w:pPr>
        <w:pStyle w:val="Subsection"/>
        <w:keepNext/>
        <w:keepLines/>
      </w:pPr>
      <w:r>
        <w:tab/>
      </w:r>
      <w:r>
        <w:tab/>
        <w:t xml:space="preserve">The Council — </w:t>
      </w:r>
    </w:p>
    <w:p>
      <w:pPr>
        <w:pStyle w:val="Indenta"/>
      </w:pPr>
      <w:r>
        <w:tab/>
        <w:t>(a)</w:t>
      </w:r>
      <w:r>
        <w:tab/>
        <w:t>may act as trustee or manager of any property or moneys held on trust by the University for the purposes of the University; and</w:t>
      </w:r>
    </w:p>
    <w:p>
      <w:pPr>
        <w:pStyle w:val="Indenta"/>
      </w:pPr>
      <w:r>
        <w:tab/>
        <w:t>(b)</w:t>
      </w:r>
      <w:r>
        <w:tab/>
        <w:t>may apply any property or moneys so held, and not immediately required for the purposes of the trust declared in relation to the property or moneys, in any way that is not inconsistent with the instrument creating the trust.</w:t>
      </w:r>
    </w:p>
    <w:p>
      <w:pPr>
        <w:pStyle w:val="Footnotesection"/>
      </w:pPr>
      <w:r>
        <w:tab/>
        <w:t>[Section 38A inserted by No. 70 of 2003 s. 26.]</w:t>
      </w:r>
    </w:p>
    <w:p>
      <w:pPr>
        <w:pStyle w:val="Heading5"/>
      </w:pPr>
      <w:bookmarkStart w:id="77" w:name="_Toc494452152"/>
      <w:r>
        <w:rPr>
          <w:rStyle w:val="CharSectno"/>
        </w:rPr>
        <w:t>38B</w:t>
      </w:r>
      <w:r>
        <w:t>.</w:t>
      </w:r>
      <w:r>
        <w:tab/>
        <w:t>Repayment of trust moneys</w:t>
      </w:r>
      <w:bookmarkEnd w:id="77"/>
    </w:p>
    <w:p>
      <w:pPr>
        <w:pStyle w:val="Subsection"/>
      </w:pPr>
      <w:r>
        <w:tab/>
        <w:t>(1)</w:t>
      </w:r>
      <w:r>
        <w:tab/>
        <w:t xml:space="preserve">The amount of any moneys that are applied under section 38A(b) — </w:t>
      </w:r>
    </w:p>
    <w:p>
      <w:pPr>
        <w:pStyle w:val="Indenta"/>
      </w:pPr>
      <w:r>
        <w:tab/>
        <w:t>(a)</w:t>
      </w:r>
      <w:r>
        <w:tab/>
        <w:t>is taken to be a loan to the University from the trust estate or trust fund from which the amount is taken; and</w:t>
      </w:r>
    </w:p>
    <w:p>
      <w:pPr>
        <w:pStyle w:val="Indenta"/>
      </w:pPr>
      <w:r>
        <w:tab/>
        <w:t>(b)</w:t>
      </w:r>
      <w:r>
        <w:tab/>
        <w:t>subject to subsection (2), is repayable by the Council as approved by the Minister with interest at the rate approved by the Minister from time to time.</w:t>
      </w:r>
    </w:p>
    <w:p>
      <w:pPr>
        <w:pStyle w:val="Subsection"/>
      </w:pPr>
      <w:r>
        <w:tab/>
        <w:t>(2)</w:t>
      </w:r>
      <w:r>
        <w:tab/>
        <w:t>An amount that is repayable under subsection (1)(b) (including interest on the amount) is to be repaid by the Council within 25 years.</w:t>
      </w:r>
    </w:p>
    <w:p>
      <w:pPr>
        <w:pStyle w:val="Subsection"/>
      </w:pPr>
      <w:r>
        <w:tab/>
        <w:t>(3)</w:t>
      </w:r>
      <w:r>
        <w:tab/>
        <w:t>Sections 37, 37A and 37B do not apply to or affect moneys that are applied under section 38A(b).</w:t>
      </w:r>
    </w:p>
    <w:p>
      <w:pPr>
        <w:pStyle w:val="Footnotesection"/>
      </w:pPr>
      <w:r>
        <w:tab/>
        <w:t>[Section 38B inserted by No. 70 of 2003 s. 26; amended by No. 32 of 2016 s. 77.]</w:t>
      </w:r>
    </w:p>
    <w:p>
      <w:pPr>
        <w:pStyle w:val="Heading5"/>
        <w:rPr>
          <w:snapToGrid w:val="0"/>
        </w:rPr>
      </w:pPr>
      <w:bookmarkStart w:id="78" w:name="_Toc494452153"/>
      <w:r>
        <w:rPr>
          <w:rStyle w:val="CharSectno"/>
        </w:rPr>
        <w:t>39</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78"/>
    </w:p>
    <w:p>
      <w:pPr>
        <w:pStyle w:val="Subsection"/>
        <w:rPr>
          <w:snapToGrid w:val="0"/>
        </w:rPr>
      </w:pPr>
      <w:r>
        <w:rPr>
          <w:snapToGrid w:val="0"/>
        </w:rPr>
        <w:tab/>
        <w:t>(1)</w:t>
      </w:r>
      <w:r>
        <w:rPr>
          <w:snapToGrid w:val="0"/>
        </w:rPr>
        <w:tab/>
        <w:t xml:space="preserve">Subject to subsection (3),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Subsection"/>
        <w:rPr>
          <w:snapToGrid w:val="0"/>
        </w:rPr>
      </w:pPr>
      <w:r>
        <w:rPr>
          <w:snapToGrid w:val="0"/>
        </w:rPr>
        <w:tab/>
        <w:t>(2)</w:t>
      </w:r>
      <w:r>
        <w:rPr>
          <w:snapToGrid w:val="0"/>
        </w:rPr>
        <w:tab/>
        <w:t xml:space="preserve">Notwithstanding the </w:t>
      </w:r>
      <w:r>
        <w:rPr>
          <w:i/>
          <w:iCs/>
        </w:rPr>
        <w:t>Financial Management Act 2006</w:t>
      </w:r>
      <w:r>
        <w:t xml:space="preserve"> </w:t>
      </w:r>
      <w:r>
        <w:rPr>
          <w:snapToGrid w:val="0"/>
        </w:rPr>
        <w:t>the financial year of the University shall end on 31 December.</w:t>
      </w:r>
    </w:p>
    <w:p>
      <w:pPr>
        <w:pStyle w:val="Subsection"/>
      </w:pPr>
      <w:r>
        <w:tab/>
        <w:t>(3)</w:t>
      </w:r>
      <w:r>
        <w:tab/>
        <w:t xml:space="preserve">Notwithstanding the provisions of the Financial Management Act 2006 — </w:t>
      </w:r>
    </w:p>
    <w:p>
      <w:pPr>
        <w:pStyle w:val="Indenta"/>
        <w:rPr>
          <w:snapToGrid w:val="0"/>
        </w:rPr>
      </w:pPr>
      <w:r>
        <w:rPr>
          <w:snapToGrid w:val="0"/>
        </w:rPr>
        <w:tab/>
        <w:t>(a)</w:t>
      </w:r>
      <w:r>
        <w:rPr>
          <w:snapToGrid w:val="0"/>
        </w:rPr>
        <w:tab/>
        <w:t>sections 13, 14 and 40 do not have effect in relation to the University; and</w:t>
      </w:r>
    </w:p>
    <w:p>
      <w:pPr>
        <w:pStyle w:val="Indenta"/>
        <w:rPr>
          <w:snapToGrid w:val="0"/>
        </w:rPr>
      </w:pPr>
      <w:r>
        <w:rPr>
          <w:snapToGrid w:val="0"/>
        </w:rPr>
        <w:tab/>
        <w:t>(b)</w:t>
      </w:r>
      <w:r>
        <w:rPr>
          <w:snapToGrid w:val="0"/>
        </w:rPr>
        <w:tab/>
        <w:t xml:space="preserve">section 78(1) of that Act has effect in relation to the University as if it had been enacted in the following form — </w:t>
      </w:r>
    </w:p>
    <w:p>
      <w:pPr>
        <w:pStyle w:val="MiscOpen"/>
        <w:ind w:left="600"/>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3"/>
      </w:pPr>
      <w:r>
        <w:t xml:space="preserve">    ”.</w:t>
      </w:r>
    </w:p>
    <w:p>
      <w:pPr>
        <w:pStyle w:val="Footnotesection"/>
      </w:pPr>
      <w:r>
        <w:tab/>
        <w:t xml:space="preserve">[Section 39 inserted by No. 32 of 1991 s. 3; amended by No. 77 of 2006 s. 17.] </w:t>
      </w:r>
    </w:p>
    <w:p>
      <w:pPr>
        <w:pStyle w:val="Ednotesection"/>
      </w:pPr>
      <w:r>
        <w:t>[</w:t>
      </w:r>
      <w:r>
        <w:rPr>
          <w:b/>
        </w:rPr>
        <w:t>40.</w:t>
      </w:r>
      <w:r>
        <w:tab/>
        <w:t>Deleted by No. 98 of 1985 s. 3.]</w:t>
      </w:r>
    </w:p>
    <w:p>
      <w:pPr>
        <w:pStyle w:val="Heading2"/>
      </w:pPr>
      <w:bookmarkStart w:id="79" w:name="_Toc494452154"/>
      <w:r>
        <w:rPr>
          <w:rStyle w:val="CharPartNo"/>
        </w:rPr>
        <w:t>Part IX</w:t>
      </w:r>
      <w:r>
        <w:rPr>
          <w:rStyle w:val="CharDivNo"/>
        </w:rPr>
        <w:t> </w:t>
      </w:r>
      <w:r>
        <w:t>—</w:t>
      </w:r>
      <w:r>
        <w:rPr>
          <w:rStyle w:val="CharDivText"/>
        </w:rPr>
        <w:t> </w:t>
      </w:r>
      <w:r>
        <w:rPr>
          <w:rStyle w:val="CharPartText"/>
        </w:rPr>
        <w:t>Student Guild</w:t>
      </w:r>
      <w:bookmarkEnd w:id="79"/>
      <w:r>
        <w:rPr>
          <w:rStyle w:val="CharPartText"/>
        </w:rPr>
        <w:t xml:space="preserve"> </w:t>
      </w:r>
    </w:p>
    <w:p>
      <w:pPr>
        <w:pStyle w:val="Heading5"/>
        <w:rPr>
          <w:snapToGrid w:val="0"/>
        </w:rPr>
      </w:pPr>
      <w:bookmarkStart w:id="80" w:name="_Toc494452155"/>
      <w:r>
        <w:rPr>
          <w:rStyle w:val="CharSectno"/>
        </w:rPr>
        <w:t>41</w:t>
      </w:r>
      <w:r>
        <w:rPr>
          <w:snapToGrid w:val="0"/>
        </w:rPr>
        <w:t>.</w:t>
      </w:r>
      <w:r>
        <w:rPr>
          <w:snapToGrid w:val="0"/>
        </w:rPr>
        <w:tab/>
        <w:t>Establishment of Student Guild</w:t>
      </w:r>
      <w:bookmarkEnd w:id="80"/>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College of Advanced Education Amendment Act 1990</w:t>
      </w:r>
      <w:r>
        <w:rPr>
          <w:snapToGrid w:val="0"/>
        </w:rPr>
        <w:t xml:space="preserve"> comes into operation</w:t>
      </w:r>
      <w:r>
        <w:rPr>
          <w:snapToGrid w:val="0"/>
          <w:vertAlign w:val="superscript"/>
        </w:rPr>
        <w:t> 1</w:t>
      </w:r>
      <w:r>
        <w:rPr>
          <w:snapToGrid w:val="0"/>
        </w:rPr>
        <w:t xml:space="preserve"> (in this section referred to as </w:t>
      </w:r>
      <w:r>
        <w:rPr>
          <w:rStyle w:val="CharDefText"/>
        </w:rPr>
        <w:t>the commencement day</w:t>
      </w:r>
      <w:r>
        <w:rPr>
          <w:snapToGrid w:val="0"/>
        </w:rPr>
        <w:t>) the body corporate that was continued in existence under this Act as though it were established under this Act by the name of the “Western Australian College of Advanced Education Student Guild” is preserved and continues in existence as a body corporate under and subject to the provisions of this Act to be called the “Edith Cowan University Student Guild” but so that the corporate identity of the body corporate and its rights and obligations are not affected by the change in name.</w:t>
      </w:r>
    </w:p>
    <w:p>
      <w:pPr>
        <w:pStyle w:val="Subsection"/>
        <w:rPr>
          <w:snapToGrid w:val="0"/>
        </w:rPr>
      </w:pPr>
      <w:r>
        <w:rPr>
          <w:snapToGrid w:val="0"/>
        </w:rPr>
        <w:tab/>
        <w:t>(1a)</w:t>
      </w:r>
      <w:r>
        <w:rPr>
          <w:snapToGrid w:val="0"/>
        </w:rPr>
        <w:tab/>
        <w:t>A reference to the Western Australian College of Advanced Education Student Guild, whether by use of that name or a similar or abbreviated form of that name — </w:t>
      </w:r>
    </w:p>
    <w:p>
      <w:pPr>
        <w:pStyle w:val="Indenta"/>
        <w:rPr>
          <w:snapToGrid w:val="0"/>
        </w:rPr>
      </w:pPr>
      <w:r>
        <w:rPr>
          <w:snapToGrid w:val="0"/>
        </w:rPr>
        <w:tab/>
        <w:t>(a)</w:t>
      </w:r>
      <w:r>
        <w:rPr>
          <w:snapToGrid w:val="0"/>
        </w:rPr>
        <w:tab/>
        <w:t>in a written law passed or made before the commencement day;</w:t>
      </w:r>
    </w:p>
    <w:p>
      <w:pPr>
        <w:pStyle w:val="Indenta"/>
        <w:rPr>
          <w:snapToGrid w:val="0"/>
        </w:rPr>
      </w:pPr>
      <w:r>
        <w:rPr>
          <w:snapToGrid w:val="0"/>
        </w:rPr>
        <w:tab/>
        <w:t>(b)</w:t>
      </w:r>
      <w:r>
        <w:rPr>
          <w:snapToGrid w:val="0"/>
        </w:rPr>
        <w:tab/>
        <w:t>in any document or other instrument made, executed, entered into or done before the commencement day; or</w:t>
      </w:r>
    </w:p>
    <w:p>
      <w:pPr>
        <w:pStyle w:val="Indenta"/>
        <w:rPr>
          <w:snapToGrid w:val="0"/>
        </w:rPr>
      </w:pPr>
      <w:r>
        <w:rPr>
          <w:snapToGrid w:val="0"/>
        </w:rPr>
        <w:tab/>
        <w:t>(c)</w:t>
      </w:r>
      <w:r>
        <w:rPr>
          <w:snapToGrid w:val="0"/>
        </w:rPr>
        <w:tab/>
        <w:t>made before the commencement day in any other manner,</w:t>
      </w:r>
    </w:p>
    <w:p>
      <w:pPr>
        <w:pStyle w:val="Subsection"/>
        <w:rPr>
          <w:snapToGrid w:val="0"/>
        </w:rPr>
      </w:pPr>
      <w:r>
        <w:rPr>
          <w:snapToGrid w:val="0"/>
        </w:rPr>
        <w:tab/>
      </w:r>
      <w:r>
        <w:rPr>
          <w:snapToGrid w:val="0"/>
        </w:rPr>
        <w:tab/>
        <w:t>shall be construed as if it had been amended to be a reference to the Edith Cowan University Student Guild, unless because of the context it would be inappropriate to construe the reference in that manner.</w:t>
      </w:r>
    </w:p>
    <w:p>
      <w:pPr>
        <w:pStyle w:val="Subsection"/>
        <w:rPr>
          <w:snapToGrid w:val="0"/>
        </w:rPr>
      </w:pPr>
      <w:r>
        <w:rPr>
          <w:snapToGrid w:val="0"/>
        </w:rPr>
        <w:tab/>
        <w:t>(2)</w:t>
      </w:r>
      <w:r>
        <w:rPr>
          <w:snapToGrid w:val="0"/>
        </w:rPr>
        <w:tab/>
        <w:t>The Student Guild under its corporate name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subject to the Statutes, may do and suffer all other acts and things that bodies corporate may by law do and suffer.</w:t>
      </w:r>
    </w:p>
    <w:p>
      <w:pPr>
        <w:pStyle w:val="Subsection"/>
        <w:rPr>
          <w:snapToGrid w:val="0"/>
        </w:rPr>
      </w:pPr>
      <w:r>
        <w:rPr>
          <w:snapToGrid w:val="0"/>
        </w:rPr>
        <w:tab/>
        <w:t>(3)</w:t>
      </w:r>
      <w:r>
        <w:rPr>
          <w:snapToGrid w:val="0"/>
        </w:rPr>
        <w:tab/>
        <w:t>The Student Guild shall be an organized association of enrolled students the primary function of which is to further the common interests of its members.</w:t>
      </w:r>
    </w:p>
    <w:p>
      <w:pPr>
        <w:pStyle w:val="Subsection"/>
        <w:rPr>
          <w:snapToGrid w:val="0"/>
        </w:rPr>
      </w:pPr>
      <w:r>
        <w:rPr>
          <w:snapToGrid w:val="0"/>
        </w:rPr>
        <w:tab/>
        <w:t>(4)</w:t>
      </w:r>
      <w:r>
        <w:rPr>
          <w:snapToGrid w:val="0"/>
        </w:rPr>
        <w:tab/>
        <w:t xml:space="preserve">The Student Guild shall be </w:t>
      </w:r>
      <w:r>
        <w:t>the recognised</w:t>
      </w:r>
      <w:r>
        <w:rPr>
          <w:snapToGrid w:val="0"/>
        </w:rPr>
        <w:t xml:space="preserve"> means of communication between its members and the Council</w:t>
      </w:r>
      <w:r>
        <w:t xml:space="preserve"> in accordance with any Statutes that the Council makes</w:t>
      </w:r>
      <w:r>
        <w:rPr>
          <w:snapToGrid w:val="0"/>
        </w:rPr>
        <w:t>.</w:t>
      </w:r>
    </w:p>
    <w:p>
      <w:pPr>
        <w:pStyle w:val="Subsection"/>
        <w:rPr>
          <w:snapToGrid w:val="0"/>
        </w:rPr>
      </w:pPr>
      <w:r>
        <w:rPr>
          <w:snapToGrid w:val="0"/>
        </w:rPr>
        <w:tab/>
        <w:t>(5)</w:t>
      </w:r>
      <w:r>
        <w:rPr>
          <w:snapToGrid w:val="0"/>
        </w:rPr>
        <w:tab/>
        <w:t xml:space="preserve">Subject to the conditions and qualifications for membership prescribed by Statute any enrolled student </w:t>
      </w:r>
      <w:r>
        <w:t>is eligible to</w:t>
      </w:r>
      <w:r>
        <w:rPr>
          <w:snapToGrid w:val="0"/>
        </w:rPr>
        <w:t xml:space="preserve"> be a member of the Student Guild.</w:t>
      </w:r>
    </w:p>
    <w:p>
      <w:pPr>
        <w:pStyle w:val="Subsection"/>
      </w:pPr>
      <w:r>
        <w:tab/>
        <w:t>(6)</w:t>
      </w:r>
      <w:r>
        <w:tab/>
        <w:t xml:space="preserve">A student becomes a member of the Student Guild upon enrolment, for the period of enrolment, unless — </w:t>
      </w:r>
    </w:p>
    <w:p>
      <w:pPr>
        <w:pStyle w:val="Indenta"/>
      </w:pPr>
      <w:r>
        <w:tab/>
        <w:t>(a)</w:t>
      </w:r>
      <w:r>
        <w:tab/>
        <w:t>at the time of enrolment that student elects not to become a member; or</w:t>
      </w:r>
    </w:p>
    <w:p>
      <w:pPr>
        <w:pStyle w:val="Indenta"/>
      </w:pPr>
      <w:r>
        <w:tab/>
        <w:t>(b)</w:t>
      </w:r>
      <w:r>
        <w:tab/>
        <w:t>the enrolled student is not eligible to be a member.</w:t>
      </w:r>
    </w:p>
    <w:p>
      <w:pPr>
        <w:pStyle w:val="Subsection"/>
      </w:pPr>
      <w:r>
        <w:tab/>
        <w:t>(6a)</w:t>
      </w:r>
      <w:r>
        <w:tab/>
        <w:t>Despite subsection (6), an enrolled student may resign at any time as a member of the Student Guild.</w:t>
      </w:r>
    </w:p>
    <w:p>
      <w:pPr>
        <w:pStyle w:val="Subsection"/>
        <w:rPr>
          <w:snapToGrid w:val="0"/>
        </w:rPr>
      </w:pPr>
      <w:r>
        <w:rPr>
          <w:snapToGrid w:val="0"/>
        </w:rPr>
        <w:tab/>
        <w:t>(6b)</w:t>
      </w:r>
      <w:r>
        <w:rPr>
          <w:snapToGrid w:val="0"/>
        </w:rPr>
        <w:tab/>
        <w:t xml:space="preserve">No academic benefit, right or privilege shall be denied to or withheld from any enrolled student by reason of that student </w:t>
      </w:r>
      <w:r>
        <w:t>being or</w:t>
      </w:r>
      <w:r>
        <w:rPr>
          <w:snapToGrid w:val="0"/>
        </w:rPr>
        <w:t xml:space="preserve"> not being a member of the Student Guild.</w:t>
      </w:r>
    </w:p>
    <w:p>
      <w:pPr>
        <w:pStyle w:val="Subsection"/>
      </w:pPr>
      <w:r>
        <w:tab/>
        <w:t>(7)</w:t>
      </w:r>
      <w:r>
        <w:tab/>
        <w:t>An enrolled student (whether a member of the Student Guild or not) may vote in an election held to fill a vacancy in a Student Guild office, but an enrolled student cannot hold an elective office unless that enrolled student is a member of the Student Guild.</w:t>
      </w:r>
    </w:p>
    <w:p>
      <w:pPr>
        <w:pStyle w:val="Ednotesubsection"/>
      </w:pPr>
      <w:r>
        <w:tab/>
        <w:t>[(8)</w:t>
      </w:r>
      <w:r>
        <w:tab/>
        <w:t>deleted]</w:t>
      </w:r>
    </w:p>
    <w:p>
      <w:pPr>
        <w:pStyle w:val="Subsection"/>
        <w:rPr>
          <w:snapToGrid w:val="0"/>
        </w:rPr>
      </w:pPr>
      <w:r>
        <w:rPr>
          <w:snapToGrid w:val="0"/>
        </w:rPr>
        <w:tab/>
        <w:t>(9)</w:t>
      </w:r>
      <w:r>
        <w:rPr>
          <w:snapToGrid w:val="0"/>
        </w:rPr>
        <w:tab/>
        <w:t>The Statutes may prescribe — </w:t>
      </w:r>
    </w:p>
    <w:p>
      <w:pPr>
        <w:pStyle w:val="Indenta"/>
        <w:rPr>
          <w:snapToGrid w:val="0"/>
        </w:rPr>
      </w:pPr>
      <w:r>
        <w:rPr>
          <w:snapToGrid w:val="0"/>
        </w:rPr>
        <w:tab/>
        <w:t>(a)</w:t>
      </w:r>
      <w:r>
        <w:rPr>
          <w:snapToGrid w:val="0"/>
        </w:rPr>
        <w:tab/>
        <w:t>the classes of membership and the conditions of or qualifications for membership of the Student Guild;</w:t>
      </w:r>
    </w:p>
    <w:p>
      <w:pPr>
        <w:pStyle w:val="Indenta"/>
        <w:rPr>
          <w:snapToGrid w:val="0"/>
        </w:rPr>
      </w:pPr>
      <w:r>
        <w:rPr>
          <w:snapToGrid w:val="0"/>
        </w:rPr>
        <w:tab/>
        <w:t>(b)</w:t>
      </w:r>
      <w:r>
        <w:rPr>
          <w:snapToGrid w:val="0"/>
        </w:rPr>
        <w:tab/>
        <w:t>the powers, duties and functions of the Student Guild; and</w:t>
      </w:r>
    </w:p>
    <w:p>
      <w:pPr>
        <w:pStyle w:val="Indenta"/>
        <w:rPr>
          <w:snapToGrid w:val="0"/>
        </w:rPr>
      </w:pPr>
      <w:r>
        <w:rPr>
          <w:snapToGrid w:val="0"/>
        </w:rPr>
        <w:tab/>
        <w:t>(c)</w:t>
      </w:r>
      <w:r>
        <w:rPr>
          <w:snapToGrid w:val="0"/>
        </w:rPr>
        <w:tab/>
        <w:t>such other matters and things as are necessary or convenient for the effective exercise of the powers, duties and functions of the Student Guild.</w:t>
      </w:r>
    </w:p>
    <w:p>
      <w:pPr>
        <w:pStyle w:val="Footnotesection"/>
      </w:pPr>
      <w:r>
        <w:tab/>
        <w:t xml:space="preserve">[Section 41 amended by No. 63 of 1990 s. 18 and 19; No. 91 of 1994 s. 10; No. 44 of 2002 s. 7; No. 32 of 2016 s. 78.] </w:t>
      </w:r>
    </w:p>
    <w:p>
      <w:pPr>
        <w:pStyle w:val="Heading5"/>
      </w:pPr>
      <w:bookmarkStart w:id="81" w:name="_Toc494452156"/>
      <w:r>
        <w:rPr>
          <w:rStyle w:val="CharSectno"/>
        </w:rPr>
        <w:t>41A</w:t>
      </w:r>
      <w:r>
        <w:t>.</w:t>
      </w:r>
      <w:r>
        <w:tab/>
        <w:t>Amenities and services fee</w:t>
      </w:r>
      <w:bookmarkEnd w:id="81"/>
    </w:p>
    <w:p>
      <w:pPr>
        <w:pStyle w:val="Subsection"/>
      </w:pPr>
      <w:r>
        <w:tab/>
        <w:t>(1)</w:t>
      </w:r>
      <w:r>
        <w:tab/>
        <w:t xml:space="preserve">A Statute made under section 26 may provide for an annual amenities and services fee to be payable by enrolled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Council to decide how the amount of the total fees collected (after deducting the amount that is paid to the Student Guild) is to be spent, after consultation by the Council with the Student Guild.</w:t>
      </w:r>
    </w:p>
    <w:p>
      <w:pPr>
        <w:pStyle w:val="Subsection"/>
      </w:pPr>
      <w:r>
        <w:tab/>
        <w:t>(2)</w:t>
      </w:r>
      <w:r>
        <w:tab/>
        <w:t>This section does not limit section 26.</w:t>
      </w:r>
    </w:p>
    <w:p>
      <w:pPr>
        <w:pStyle w:val="Subsection"/>
      </w:pPr>
      <w:r>
        <w:tab/>
        <w:t>(3)</w:t>
      </w:r>
      <w:r>
        <w:tab/>
        <w:t>The Council must pay to the Student Guild an amount that is not less than 50% of the total amount of the annual amenities and services fees collected.</w:t>
      </w:r>
    </w:p>
    <w:p>
      <w:pPr>
        <w:pStyle w:val="Subsection"/>
      </w:pPr>
      <w:r>
        <w:tab/>
        <w:t>(4)</w:t>
      </w:r>
      <w:r>
        <w:tab/>
        <w:t>This section overrides section 36(1)(b) and (3).</w:t>
      </w:r>
    </w:p>
    <w:p>
      <w:pPr>
        <w:pStyle w:val="Footnotesection"/>
      </w:pPr>
      <w:r>
        <w:tab/>
        <w:t xml:space="preserve">[Section 41A inserted by No. 32 of 2016 s. 79.] </w:t>
      </w:r>
    </w:p>
    <w:p>
      <w:pPr>
        <w:pStyle w:val="Heading5"/>
      </w:pPr>
      <w:bookmarkStart w:id="82" w:name="_Toc494452157"/>
      <w:r>
        <w:rPr>
          <w:rStyle w:val="CharSectno"/>
        </w:rPr>
        <w:t>41B</w:t>
      </w:r>
      <w:r>
        <w:t>.</w:t>
      </w:r>
      <w:r>
        <w:tab/>
        <w:t>Council to include detail in Statute</w:t>
      </w:r>
      <w:bookmarkEnd w:id="82"/>
      <w:r>
        <w:t xml:space="preserve"> </w:t>
      </w:r>
    </w:p>
    <w:p>
      <w:pPr>
        <w:pStyle w:val="Subsection"/>
      </w:pPr>
      <w:r>
        <w:tab/>
        <w:t>(1)</w:t>
      </w:r>
      <w:r>
        <w:tab/>
        <w:t>The Council shall specify, by Statute, the broad categories of amenities and services within which the fees collected may be expended.</w:t>
      </w:r>
    </w:p>
    <w:p>
      <w:pPr>
        <w:pStyle w:val="Subsection"/>
      </w:pPr>
      <w:r>
        <w:tab/>
        <w:t>(2)</w:t>
      </w:r>
      <w:r>
        <w:tab/>
        <w:t xml:space="preserve">The fees collected each year are to be allocated to broad categories of expenditure and the Council must specify, by Statute — </w:t>
      </w:r>
    </w:p>
    <w:p>
      <w:pPr>
        <w:pStyle w:val="Indenta"/>
      </w:pPr>
      <w:r>
        <w:tab/>
        <w:t>(a)</w:t>
      </w:r>
      <w:r>
        <w:tab/>
        <w:t>the broad categories of amenities and services within which the fees are to be expended; and</w:t>
      </w:r>
    </w:p>
    <w:p>
      <w:pPr>
        <w:pStyle w:val="Indenta"/>
      </w:pPr>
      <w:r>
        <w:tab/>
        <w:t>(b)</w:t>
      </w:r>
      <w:r>
        <w:tab/>
        <w:t xml:space="preserve">the process for determining those categories. </w:t>
      </w:r>
    </w:p>
    <w:p>
      <w:pPr>
        <w:pStyle w:val="Subsection"/>
      </w:pPr>
      <w:r>
        <w:tab/>
        <w:t>(3)</w:t>
      </w:r>
      <w:r>
        <w:tab/>
        <w:t xml:space="preserve">The Council shall prescribe, by Statute, the measures by which the Student Guild is to account for any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pPr>
      <w:r>
        <w:tab/>
        <w:t>[Section 41B inserted by No. 44 of 2002 s. 8; amended by No. 32 of 2016 s. 80.]</w:t>
      </w:r>
    </w:p>
    <w:p>
      <w:pPr>
        <w:pStyle w:val="Heading2"/>
      </w:pPr>
      <w:bookmarkStart w:id="83" w:name="_Toc494452158"/>
      <w:r>
        <w:rPr>
          <w:rStyle w:val="CharPartNo"/>
        </w:rPr>
        <w:t>Part X</w:t>
      </w:r>
      <w:r>
        <w:rPr>
          <w:rStyle w:val="CharDivNo"/>
        </w:rPr>
        <w:t> </w:t>
      </w:r>
      <w:r>
        <w:t>—</w:t>
      </w:r>
      <w:r>
        <w:rPr>
          <w:rStyle w:val="CharDivText"/>
        </w:rPr>
        <w:t> </w:t>
      </w:r>
      <w:r>
        <w:rPr>
          <w:rStyle w:val="CharPartText"/>
        </w:rPr>
        <w:t>Miscellaneous</w:t>
      </w:r>
      <w:bookmarkEnd w:id="83"/>
      <w:r>
        <w:rPr>
          <w:rStyle w:val="CharPartText"/>
        </w:rPr>
        <w:t xml:space="preserve"> </w:t>
      </w:r>
    </w:p>
    <w:p>
      <w:pPr>
        <w:pStyle w:val="Heading5"/>
        <w:rPr>
          <w:snapToGrid w:val="0"/>
        </w:rPr>
      </w:pPr>
      <w:bookmarkStart w:id="84" w:name="_Toc494452159"/>
      <w:r>
        <w:rPr>
          <w:rStyle w:val="CharSectno"/>
        </w:rPr>
        <w:t>42</w:t>
      </w:r>
      <w:r>
        <w:rPr>
          <w:snapToGrid w:val="0"/>
        </w:rPr>
        <w:t>.</w:t>
      </w:r>
      <w:r>
        <w:rPr>
          <w:snapToGrid w:val="0"/>
        </w:rPr>
        <w:tab/>
        <w:t>Governor to be Visitor</w:t>
      </w:r>
      <w:bookmarkEnd w:id="84"/>
      <w:r>
        <w:rPr>
          <w:snapToGrid w:val="0"/>
        </w:rPr>
        <w:t xml:space="preserve"> </w:t>
      </w:r>
    </w:p>
    <w:p>
      <w:pPr>
        <w:pStyle w:val="Subsection"/>
      </w:pPr>
      <w:r>
        <w:tab/>
        <w:t>(1)</w:t>
      </w:r>
      <w:r>
        <w:tab/>
        <w:t xml:space="preserve">The Governor is the Visitor of the University, and has the functions that Visitors usually have. </w:t>
      </w:r>
    </w:p>
    <w:p>
      <w:pPr>
        <w:pStyle w:val="Subsection"/>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42 amended by No. 63 of 1990 s. 19; No. 32 of 2016 s. 81.] </w:t>
      </w:r>
    </w:p>
    <w:p>
      <w:pPr>
        <w:pStyle w:val="Heading5"/>
      </w:pPr>
      <w:bookmarkStart w:id="85" w:name="_Toc494452160"/>
      <w:r>
        <w:rPr>
          <w:rStyle w:val="CharSectno"/>
        </w:rPr>
        <w:t>43</w:t>
      </w:r>
      <w:r>
        <w:t>.</w:t>
      </w:r>
      <w:r>
        <w:tab/>
        <w:t>Exemption from rate or tax</w:t>
      </w:r>
      <w:bookmarkEnd w:id="85"/>
      <w:r>
        <w:t xml:space="preserve"> </w:t>
      </w:r>
    </w:p>
    <w:p>
      <w:pPr>
        <w:pStyle w:val="Subsection"/>
      </w:pPr>
      <w:r>
        <w:tab/>
        <w:t>(1)</w:t>
      </w:r>
      <w:r>
        <w:tab/>
        <w:t>No rate may be charged or levied on any property vested in the University.</w:t>
      </w:r>
    </w:p>
    <w:p>
      <w:pPr>
        <w:pStyle w:val="Subsection"/>
      </w:pPr>
      <w:r>
        <w:tab/>
        <w:t>(2)</w:t>
      </w:r>
      <w:r>
        <w:tab/>
        <w:t xml:space="preserve">Subsection (1) does not operate so as to exempt property that is vested in the University if it is leased to or ordinarily occupied by any other person — </w:t>
      </w:r>
    </w:p>
    <w:p>
      <w:pPr>
        <w:pStyle w:val="Indenta"/>
      </w:pPr>
      <w:r>
        <w:tab/>
        <w:t>(a)</w:t>
      </w:r>
      <w:r>
        <w:tab/>
        <w:t>for any private purpose; or</w:t>
      </w:r>
    </w:p>
    <w:p>
      <w:pPr>
        <w:pStyle w:val="Indenta"/>
      </w:pPr>
      <w:r>
        <w:tab/>
        <w:t>(b)</w:t>
      </w:r>
      <w:r>
        <w:tab/>
        <w:t>for a commercial purpose (as defined in section 30A(1)) under an approval given under section 30I.</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 xml:space="preserve">[Section 43 inserted by No. 32 of 2016 s. 82.] </w:t>
      </w:r>
    </w:p>
    <w:p>
      <w:pPr>
        <w:pStyle w:val="Heading5"/>
      </w:pPr>
      <w:bookmarkStart w:id="86" w:name="_Toc494452161"/>
      <w:r>
        <w:rPr>
          <w:rStyle w:val="CharSectno"/>
        </w:rPr>
        <w:t>44A</w:t>
      </w:r>
      <w:r>
        <w:t>.</w:t>
      </w:r>
      <w:r>
        <w:tab/>
        <w:t>Regulations</w:t>
      </w:r>
      <w:bookmarkEnd w:id="86"/>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pPr>
      <w:r>
        <w:tab/>
        <w:t>(2)</w:t>
      </w:r>
      <w:r>
        <w:tab/>
        <w:t>Before making a recommendation under subsection (1), the Minister must consult with the Council.</w:t>
      </w:r>
    </w:p>
    <w:p>
      <w:pPr>
        <w:pStyle w:val="Footnotesection"/>
      </w:pPr>
      <w:r>
        <w:tab/>
        <w:t xml:space="preserve">[Section 44A inserted by No. 32 of 2016 s. 82.] </w:t>
      </w:r>
    </w:p>
    <w:p>
      <w:pPr>
        <w:pStyle w:val="Ednotesection"/>
        <w:spacing w:before="180"/>
      </w:pPr>
      <w:r>
        <w:t>[</w:t>
      </w:r>
      <w:r>
        <w:rPr>
          <w:b/>
        </w:rPr>
        <w:t>44.</w:t>
      </w:r>
      <w:r>
        <w:tab/>
        <w:t xml:space="preserve">Deleted by No. 32 of 2016 s. 82.] </w:t>
      </w:r>
    </w:p>
    <w:p>
      <w:pPr>
        <w:pStyle w:val="Heading2"/>
      </w:pPr>
      <w:bookmarkStart w:id="87" w:name="_Toc494452162"/>
      <w:r>
        <w:rPr>
          <w:rStyle w:val="CharPartNo"/>
        </w:rPr>
        <w:t>Part XI</w:t>
      </w:r>
      <w:r>
        <w:t> — </w:t>
      </w:r>
      <w:r>
        <w:rPr>
          <w:rStyle w:val="CharPartText"/>
        </w:rPr>
        <w:t>Transitional and savings</w:t>
      </w:r>
      <w:bookmarkEnd w:id="87"/>
      <w:r>
        <w:rPr>
          <w:rStyle w:val="CharPartText"/>
        </w:rPr>
        <w:t xml:space="preserve"> </w:t>
      </w:r>
    </w:p>
    <w:p>
      <w:pPr>
        <w:pStyle w:val="Heading3"/>
      </w:pPr>
      <w:bookmarkStart w:id="88" w:name="_Toc494452163"/>
      <w:r>
        <w:rPr>
          <w:rStyle w:val="CharDivNo"/>
        </w:rPr>
        <w:t>Division 1</w:t>
      </w:r>
      <w:r>
        <w:t> — </w:t>
      </w:r>
      <w:r>
        <w:rPr>
          <w:rStyle w:val="CharDivText"/>
        </w:rPr>
        <w:t>General</w:t>
      </w:r>
      <w:bookmarkEnd w:id="88"/>
    </w:p>
    <w:p>
      <w:pPr>
        <w:pStyle w:val="Footnoteheading"/>
        <w:ind w:left="890"/>
        <w:rPr>
          <w:snapToGrid w:val="0"/>
        </w:rPr>
      </w:pPr>
      <w:r>
        <w:rPr>
          <w:snapToGrid w:val="0"/>
        </w:rPr>
        <w:tab/>
        <w:t xml:space="preserve">[Heading inserted by No. 32 of 2016 s. 83.] </w:t>
      </w:r>
    </w:p>
    <w:p>
      <w:pPr>
        <w:pStyle w:val="Ednotesection"/>
        <w:spacing w:before="180"/>
      </w:pPr>
      <w:r>
        <w:t>[</w:t>
      </w:r>
      <w:r>
        <w:rPr>
          <w:b/>
        </w:rPr>
        <w:t>45, 46.</w:t>
      </w:r>
      <w:r>
        <w:tab/>
        <w:t xml:space="preserve">Deleted by No. 32 of 2016 s. 84.] </w:t>
      </w:r>
    </w:p>
    <w:p>
      <w:pPr>
        <w:pStyle w:val="Heading5"/>
        <w:rPr>
          <w:snapToGrid w:val="0"/>
        </w:rPr>
      </w:pPr>
      <w:bookmarkStart w:id="89" w:name="_Toc494452164"/>
      <w:r>
        <w:rPr>
          <w:rStyle w:val="CharSectno"/>
        </w:rPr>
        <w:t>47</w:t>
      </w:r>
      <w:r>
        <w:rPr>
          <w:snapToGrid w:val="0"/>
        </w:rPr>
        <w:t>.</w:t>
      </w:r>
      <w:r>
        <w:rPr>
          <w:snapToGrid w:val="0"/>
        </w:rPr>
        <w:tab/>
        <w:t>Continuation of Statutes, by</w:t>
      </w:r>
      <w:r>
        <w:rPr>
          <w:snapToGrid w:val="0"/>
        </w:rPr>
        <w:noBreakHyphen/>
        <w:t>laws and rules</w:t>
      </w:r>
      <w:bookmarkEnd w:id="89"/>
      <w:r>
        <w:rPr>
          <w:snapToGrid w:val="0"/>
        </w:rPr>
        <w:t xml:space="preserve"> </w:t>
      </w:r>
    </w:p>
    <w:p>
      <w:pPr>
        <w:pStyle w:val="Subsection"/>
        <w:rPr>
          <w:snapToGrid w:val="0"/>
        </w:rPr>
      </w:pPr>
      <w:r>
        <w:rPr>
          <w:snapToGrid w:val="0"/>
        </w:rPr>
        <w:tab/>
        <w:t>(1)</w:t>
      </w:r>
      <w:r>
        <w:rPr>
          <w:snapToGrid w:val="0"/>
        </w:rPr>
        <w:tab/>
        <w:t>On and after the commencement date any Statute or by</w:t>
      </w:r>
      <w:r>
        <w:rPr>
          <w:snapToGrid w:val="0"/>
        </w:rPr>
        <w:noBreakHyphen/>
        <w:t>law pertaining to the College, or to the lands of the College, that was in force under the Colleges Act immediately before that date shall, subject to this Act and in so far as it is not inconsistent with this Act, continue in force and be deemed to be a Statute or by</w:t>
      </w:r>
      <w:r>
        <w:rPr>
          <w:snapToGrid w:val="0"/>
        </w:rPr>
        <w:noBreakHyphen/>
        <w:t>law, as the case may be, made by the Council of the University pursuant to this Act.</w:t>
      </w:r>
    </w:p>
    <w:p>
      <w:pPr>
        <w:pStyle w:val="Subsection"/>
        <w:rPr>
          <w:snapToGrid w:val="0"/>
        </w:rPr>
      </w:pPr>
      <w:r>
        <w:rPr>
          <w:snapToGrid w:val="0"/>
        </w:rPr>
        <w:tab/>
        <w:t>(2)</w:t>
      </w:r>
      <w:r>
        <w:rPr>
          <w:snapToGrid w:val="0"/>
        </w:rPr>
        <w:tab/>
        <w:t>On and after the commencement date any rule of the College that was in force immediately before that date shall, subject to this Act and in so far as it is not inconsistent with this Act, continue in force and be deemed to be a rule made by the Council pursuant to this Act.</w:t>
      </w:r>
    </w:p>
    <w:p>
      <w:pPr>
        <w:pStyle w:val="Subsection"/>
        <w:rPr>
          <w:snapToGrid w:val="0"/>
        </w:rPr>
      </w:pPr>
      <w:r>
        <w:rPr>
          <w:snapToGrid w:val="0"/>
        </w:rPr>
        <w:tab/>
        <w:t>(3)</w:t>
      </w:r>
      <w:r>
        <w:rPr>
          <w:snapToGrid w:val="0"/>
        </w:rPr>
        <w:tab/>
        <w:t>In any Statute, by</w:t>
      </w:r>
      <w:r>
        <w:rPr>
          <w:snapToGrid w:val="0"/>
        </w:rPr>
        <w:noBreakHyphen/>
        <w:t>law or rule continued in force by subsection (1) or (2) — </w:t>
      </w:r>
    </w:p>
    <w:p>
      <w:pPr>
        <w:pStyle w:val="Indenta"/>
        <w:rPr>
          <w:snapToGrid w:val="0"/>
        </w:rPr>
      </w:pPr>
      <w:r>
        <w:rPr>
          <w:snapToGrid w:val="0"/>
        </w:rPr>
        <w:tab/>
        <w:t>(a)</w:t>
      </w:r>
      <w:r>
        <w:rPr>
          <w:snapToGrid w:val="0"/>
        </w:rPr>
        <w:tab/>
        <w:t>any reference to the Colleges Act shall be read and construed as a reference to this Act;</w:t>
      </w:r>
    </w:p>
    <w:p>
      <w:pPr>
        <w:pStyle w:val="Indenta"/>
        <w:rPr>
          <w:snapToGrid w:val="0"/>
        </w:rPr>
      </w:pPr>
      <w:r>
        <w:rPr>
          <w:snapToGrid w:val="0"/>
        </w:rPr>
        <w:tab/>
        <w:t>(b)</w:t>
      </w:r>
      <w:r>
        <w:rPr>
          <w:snapToGrid w:val="0"/>
        </w:rPr>
        <w:tab/>
        <w:t>any reference to the College by its corporate name under the Colleges Act shall be read and construed as a reference to the University by its corporate name under this Act.</w:t>
      </w:r>
    </w:p>
    <w:p>
      <w:pPr>
        <w:pStyle w:val="Subsection"/>
        <w:rPr>
          <w:snapToGrid w:val="0"/>
        </w:rPr>
      </w:pPr>
      <w:r>
        <w:rPr>
          <w:snapToGrid w:val="0"/>
        </w:rPr>
        <w:tab/>
        <w:t>(4)</w:t>
      </w:r>
      <w:r>
        <w:rPr>
          <w:snapToGrid w:val="0"/>
        </w:rPr>
        <w:tab/>
        <w:t>Until a proclamation is made under section 29(2), by</w:t>
      </w:r>
      <w:r>
        <w:rPr>
          <w:snapToGrid w:val="0"/>
        </w:rPr>
        <w:noBreakHyphen/>
        <w:t>laws that are continued in force by subsection (1) shall apply to all land vested in or in the management and control of the University.</w:t>
      </w:r>
    </w:p>
    <w:p>
      <w:pPr>
        <w:pStyle w:val="Footnotesection"/>
      </w:pPr>
      <w:r>
        <w:tab/>
        <w:t xml:space="preserve">[Section 47 amended by No. 63 of 1990 s. 19.] </w:t>
      </w:r>
    </w:p>
    <w:p>
      <w:pPr>
        <w:pStyle w:val="Heading5"/>
        <w:rPr>
          <w:snapToGrid w:val="0"/>
        </w:rPr>
      </w:pPr>
      <w:bookmarkStart w:id="90" w:name="_Toc494452165"/>
      <w:r>
        <w:rPr>
          <w:rStyle w:val="CharSectno"/>
        </w:rPr>
        <w:t>48</w:t>
      </w:r>
      <w:r>
        <w:rPr>
          <w:snapToGrid w:val="0"/>
        </w:rPr>
        <w:t>.</w:t>
      </w:r>
      <w:r>
        <w:rPr>
          <w:snapToGrid w:val="0"/>
        </w:rPr>
        <w:tab/>
        <w:t>Staff</w:t>
      </w:r>
      <w:bookmarkEnd w:id="90"/>
      <w:r>
        <w:rPr>
          <w:snapToGrid w:val="0"/>
        </w:rPr>
        <w:t xml:space="preserve"> </w:t>
      </w:r>
    </w:p>
    <w:p>
      <w:pPr>
        <w:pStyle w:val="Subsection"/>
        <w:rPr>
          <w:snapToGrid w:val="0"/>
        </w:rPr>
      </w:pPr>
      <w:r>
        <w:rPr>
          <w:snapToGrid w:val="0"/>
        </w:rPr>
        <w:tab/>
      </w:r>
      <w:r>
        <w:rPr>
          <w:snapToGrid w:val="0"/>
        </w:rPr>
        <w:tab/>
        <w:t>All persons who were, immediately before the commencement date, members of the staff of the College, shall continue to be members of the staff of the University under this Act and all such persons shall retain their existing and accruing rights including their rights in relation to sick leave, long service leave, retirement and pension fund benefits and any service regarded as “service” with the College under the Colleges Act shall be regarded as “service” with the University under this Act.</w:t>
      </w:r>
    </w:p>
    <w:p>
      <w:pPr>
        <w:pStyle w:val="Footnotesection"/>
      </w:pPr>
      <w:r>
        <w:tab/>
        <w:t xml:space="preserve">[Section 48 amended by No. 63 of 1990 s. 19.] </w:t>
      </w:r>
    </w:p>
    <w:p>
      <w:pPr>
        <w:pStyle w:val="Heading5"/>
        <w:rPr>
          <w:snapToGrid w:val="0"/>
        </w:rPr>
      </w:pPr>
      <w:bookmarkStart w:id="91" w:name="_Toc494452166"/>
      <w:r>
        <w:rPr>
          <w:rStyle w:val="CharSectno"/>
        </w:rPr>
        <w:t>49</w:t>
      </w:r>
      <w:r>
        <w:rPr>
          <w:snapToGrid w:val="0"/>
        </w:rPr>
        <w:t>.</w:t>
      </w:r>
      <w:r>
        <w:rPr>
          <w:snapToGrid w:val="0"/>
        </w:rPr>
        <w:tab/>
        <w:t>Property</w:t>
      </w:r>
      <w:bookmarkEnd w:id="91"/>
      <w:r>
        <w:rPr>
          <w:snapToGrid w:val="0"/>
        </w:rPr>
        <w:t xml:space="preserve"> </w:t>
      </w:r>
    </w:p>
    <w:p>
      <w:pPr>
        <w:pStyle w:val="Subsection"/>
        <w:rPr>
          <w:snapToGrid w:val="0"/>
        </w:rPr>
      </w:pPr>
      <w:r>
        <w:rPr>
          <w:snapToGrid w:val="0"/>
        </w:rPr>
        <w:tab/>
      </w:r>
      <w:r>
        <w:rPr>
          <w:snapToGrid w:val="0"/>
        </w:rPr>
        <w:tab/>
        <w:t>On and from the commencement date all property that was, immediately before that date, held and used for the purposes of the Colleges Act by the College, shall be held and used by the University for the purposes of this Act.</w:t>
      </w:r>
    </w:p>
    <w:p>
      <w:pPr>
        <w:pStyle w:val="Footnotesection"/>
      </w:pPr>
      <w:r>
        <w:tab/>
        <w:t xml:space="preserve">[Section 49 amended by No. 63 of 1990 s. 19.] </w:t>
      </w:r>
    </w:p>
    <w:p>
      <w:pPr>
        <w:pStyle w:val="Heading5"/>
        <w:rPr>
          <w:snapToGrid w:val="0"/>
        </w:rPr>
      </w:pPr>
      <w:bookmarkStart w:id="92" w:name="_Toc494452167"/>
      <w:r>
        <w:rPr>
          <w:rStyle w:val="CharSectno"/>
        </w:rPr>
        <w:t>50</w:t>
      </w:r>
      <w:r>
        <w:rPr>
          <w:snapToGrid w:val="0"/>
        </w:rPr>
        <w:t>.</w:t>
      </w:r>
      <w:r>
        <w:rPr>
          <w:snapToGrid w:val="0"/>
        </w:rPr>
        <w:tab/>
        <w:t>Superannuation</w:t>
      </w:r>
      <w:bookmarkEnd w:id="92"/>
      <w:r>
        <w:rPr>
          <w:snapToGrid w:val="0"/>
        </w:rPr>
        <w:t xml:space="preserve"> </w:t>
      </w:r>
    </w:p>
    <w:p>
      <w:pPr>
        <w:pStyle w:val="Subsection"/>
        <w:rPr>
          <w:snapToGrid w:val="0"/>
        </w:rPr>
      </w:pPr>
      <w:r>
        <w:rPr>
          <w:snapToGrid w:val="0"/>
        </w:rPr>
        <w:tab/>
      </w:r>
      <w:r>
        <w:rPr>
          <w:snapToGrid w:val="0"/>
        </w:rPr>
        <w:tab/>
        <w:t>The rights and interests of any contributor or pensioner under any superannuation scheme or agreement established or entered into under section 35 or 36 of the Colleges Act shall continue as though the rights and interests of the contributor or pensioner were rights and interests obtained in respect of service under this Act.</w:t>
      </w:r>
    </w:p>
    <w:p>
      <w:pPr>
        <w:pStyle w:val="Heading5"/>
        <w:rPr>
          <w:snapToGrid w:val="0"/>
        </w:rPr>
      </w:pPr>
      <w:bookmarkStart w:id="93" w:name="_Toc494452168"/>
      <w:r>
        <w:rPr>
          <w:rStyle w:val="CharSectno"/>
        </w:rPr>
        <w:t>51</w:t>
      </w:r>
      <w:r>
        <w:rPr>
          <w:snapToGrid w:val="0"/>
        </w:rPr>
        <w:t>.</w:t>
      </w:r>
      <w:r>
        <w:rPr>
          <w:snapToGrid w:val="0"/>
        </w:rPr>
        <w:tab/>
        <w:t>Associations continued</w:t>
      </w:r>
      <w:bookmarkEnd w:id="93"/>
      <w:r>
        <w:rPr>
          <w:snapToGrid w:val="0"/>
        </w:rPr>
        <w:t xml:space="preserve"> </w:t>
      </w:r>
    </w:p>
    <w:p>
      <w:pPr>
        <w:pStyle w:val="Subsection"/>
        <w:rPr>
          <w:snapToGrid w:val="0"/>
        </w:rPr>
      </w:pPr>
      <w:r>
        <w:rPr>
          <w:snapToGrid w:val="0"/>
        </w:rPr>
        <w:tab/>
      </w:r>
      <w:r>
        <w:rPr>
          <w:snapToGrid w:val="0"/>
        </w:rPr>
        <w:tab/>
        <w:t>The associations formed for the purposes of sections 43(1)(a) and 43(1)(b) of the Colleges Act are continued as though they were established for the purposes of this Act.</w:t>
      </w:r>
    </w:p>
    <w:p>
      <w:pPr>
        <w:pStyle w:val="Ednotesection"/>
        <w:spacing w:before="180"/>
      </w:pPr>
      <w:r>
        <w:t>[</w:t>
      </w:r>
      <w:r>
        <w:rPr>
          <w:b/>
        </w:rPr>
        <w:t>52.</w:t>
      </w:r>
      <w:r>
        <w:tab/>
        <w:t xml:space="preserve">Deleted by No. 32 of 2016 s. 85.] </w:t>
      </w:r>
    </w:p>
    <w:p>
      <w:pPr>
        <w:pStyle w:val="Heading5"/>
        <w:rPr>
          <w:snapToGrid w:val="0"/>
        </w:rPr>
      </w:pPr>
      <w:bookmarkStart w:id="94" w:name="_Toc494452169"/>
      <w:r>
        <w:rPr>
          <w:rStyle w:val="CharSectno"/>
        </w:rPr>
        <w:t>53</w:t>
      </w:r>
      <w:r>
        <w:rPr>
          <w:snapToGrid w:val="0"/>
        </w:rPr>
        <w:t>.</w:t>
      </w:r>
      <w:r>
        <w:rPr>
          <w:snapToGrid w:val="0"/>
        </w:rPr>
        <w:tab/>
        <w:t>Continuation of rights of students</w:t>
      </w:r>
      <w:bookmarkEnd w:id="94"/>
      <w:r>
        <w:rPr>
          <w:snapToGrid w:val="0"/>
        </w:rPr>
        <w:t xml:space="preserve"> </w:t>
      </w:r>
    </w:p>
    <w:p>
      <w:pPr>
        <w:pStyle w:val="Subsection"/>
        <w:rPr>
          <w:snapToGrid w:val="0"/>
        </w:rPr>
      </w:pPr>
      <w:r>
        <w:rPr>
          <w:snapToGrid w:val="0"/>
        </w:rPr>
        <w:tab/>
      </w:r>
      <w:r>
        <w:rPr>
          <w:snapToGrid w:val="0"/>
        </w:rPr>
        <w:tab/>
        <w:t>The rights and interests in association with enrolment of every student of the University, existing immediately before the commencement date shall, subject to the Statutes and rules of the University, continue as though those rights and interests were rights and interests with respect to the University under this Act.</w:t>
      </w:r>
    </w:p>
    <w:p>
      <w:pPr>
        <w:pStyle w:val="Footnotesection"/>
      </w:pPr>
      <w:r>
        <w:tab/>
        <w:t xml:space="preserve">[Section 53 amended by No. 63 of 1990 s. 19.] </w:t>
      </w:r>
    </w:p>
    <w:p>
      <w:pPr>
        <w:pStyle w:val="Heading3"/>
      </w:pPr>
      <w:bookmarkStart w:id="95" w:name="_Toc494452170"/>
      <w:r>
        <w:rPr>
          <w:rStyle w:val="CharDivNo"/>
        </w:rPr>
        <w:t>Division 2</w:t>
      </w:r>
      <w:r>
        <w:t> — </w:t>
      </w:r>
      <w:r>
        <w:rPr>
          <w:rStyle w:val="CharDivText"/>
        </w:rPr>
        <w:t xml:space="preserve">Transitional provisions for </w:t>
      </w:r>
      <w:r>
        <w:rPr>
          <w:rStyle w:val="CharDivText"/>
          <w:i/>
        </w:rPr>
        <w:t>Universities Legislation Amendment Act 2016</w:t>
      </w:r>
      <w:bookmarkEnd w:id="95"/>
    </w:p>
    <w:p>
      <w:pPr>
        <w:pStyle w:val="Footnoteheading"/>
        <w:ind w:left="890"/>
        <w:rPr>
          <w:snapToGrid w:val="0"/>
        </w:rPr>
      </w:pPr>
      <w:r>
        <w:rPr>
          <w:snapToGrid w:val="0"/>
        </w:rPr>
        <w:tab/>
        <w:t xml:space="preserve">[Heading inserted by No. 32 of 2016 s. 86.] </w:t>
      </w:r>
    </w:p>
    <w:p>
      <w:pPr>
        <w:pStyle w:val="Heading5"/>
      </w:pPr>
      <w:bookmarkStart w:id="96" w:name="_Toc494452171"/>
      <w:r>
        <w:rPr>
          <w:rStyle w:val="CharSectno"/>
        </w:rPr>
        <w:t>54</w:t>
      </w:r>
      <w:r>
        <w:t>.</w:t>
      </w:r>
      <w:r>
        <w:tab/>
        <w:t>Term used: commencement day</w:t>
      </w:r>
      <w:bookmarkEnd w:id="9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Universities Legislation Amendment Act 2016</w:t>
      </w:r>
      <w:r>
        <w:t xml:space="preserve"> section 48 comes into operation.</w:t>
      </w:r>
    </w:p>
    <w:p>
      <w:pPr>
        <w:pStyle w:val="Footnotesection"/>
      </w:pPr>
      <w:r>
        <w:tab/>
        <w:t xml:space="preserve">[Section 54 inserted by No. 32 of 2016 s. 86.] </w:t>
      </w:r>
    </w:p>
    <w:p>
      <w:pPr>
        <w:pStyle w:val="Heading5"/>
      </w:pPr>
      <w:bookmarkStart w:id="97" w:name="_Toc494452172"/>
      <w:r>
        <w:rPr>
          <w:rStyle w:val="CharSectno"/>
        </w:rPr>
        <w:t>55</w:t>
      </w:r>
      <w:r>
        <w:t>.</w:t>
      </w:r>
      <w:r>
        <w:tab/>
        <w:t>Transitional provisions (Council)</w:t>
      </w:r>
      <w:bookmarkEnd w:id="97"/>
    </w:p>
    <w:p>
      <w:pPr>
        <w:pStyle w:val="Subsection"/>
      </w:pPr>
      <w:r>
        <w:tab/>
        <w:t>(1)</w:t>
      </w:r>
      <w:r>
        <w:tab/>
        <w:t xml:space="preserve">This section applies despite the amendments made to section 9, and the replacement of section 10 by the </w:t>
      </w:r>
      <w:r>
        <w:rPr>
          <w:i/>
        </w:rPr>
        <w:t>Universities Legislation Amendment Act 2016</w:t>
      </w:r>
      <w:r>
        <w:t xml:space="preserve"> sections 55 and 56.</w:t>
      </w:r>
    </w:p>
    <w:p>
      <w:pPr>
        <w:pStyle w:val="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Indenta"/>
      </w:pPr>
      <w:r>
        <w:tab/>
        <w:t>(a)</w:t>
      </w:r>
      <w:r>
        <w:tab/>
        <w:t xml:space="preserve">continues in office — </w:t>
      </w:r>
    </w:p>
    <w:p>
      <w:pPr>
        <w:pStyle w:val="Indenti"/>
      </w:pPr>
      <w:r>
        <w:tab/>
        <w:t>(i)</w:t>
      </w:r>
      <w:r>
        <w:tab/>
        <w:t>under and subject to Part III;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11 as that section is in effect immediately before commencement day.</w:t>
      </w:r>
    </w:p>
    <w:p>
      <w:pPr>
        <w:pStyle w:val="Subsection"/>
      </w:pPr>
      <w:r>
        <w:tab/>
        <w:t>(3)</w:t>
      </w:r>
      <w:r>
        <w:tab/>
        <w:t>For the purposes of subsection (2)(a)(ii), any member who holds office under section 9(1)(aa)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55 comes into operation.</w:t>
      </w:r>
    </w:p>
    <w:p>
      <w:pPr>
        <w:pStyle w:val="Subsection"/>
      </w:pPr>
      <w:r>
        <w:tab/>
        <w:t>(4)</w:t>
      </w:r>
      <w:r>
        <w:tab/>
        <w:t>If a question arises under this section as to the balance of a person’s term of office remaining immediately before commencement day, the question is to be determined by the Minister.</w:t>
      </w:r>
    </w:p>
    <w:p>
      <w:pPr>
        <w:pStyle w:val="Footnotesection"/>
      </w:pPr>
      <w:r>
        <w:tab/>
        <w:t xml:space="preserve">[Section 55 inserted by No. 32 of 2016 s. 86.] </w:t>
      </w:r>
    </w:p>
    <w:p>
      <w:pPr>
        <w:pStyle w:val="Heading5"/>
      </w:pPr>
      <w:bookmarkStart w:id="98" w:name="_Toc494452173"/>
      <w:r>
        <w:rPr>
          <w:rStyle w:val="CharSectno"/>
        </w:rPr>
        <w:t>56</w:t>
      </w:r>
      <w:r>
        <w:t>.</w:t>
      </w:r>
      <w:r>
        <w:tab/>
        <w:t>Transitional provisions (Deputy Chancellor)</w:t>
      </w:r>
      <w:bookmarkEnd w:id="98"/>
    </w:p>
    <w:p>
      <w:pPr>
        <w:pStyle w:val="Subsection"/>
      </w:pPr>
      <w:r>
        <w:tab/>
        <w:t>(1)</w:t>
      </w:r>
      <w:r>
        <w:tab/>
        <w:t>The person who, immediately before commencement day, holds office as Pro</w:t>
      </w:r>
      <w:r>
        <w:noBreakHyphen/>
        <w:t>Chancellor of the University under section 12 (as in effect immediately before commencement day) continues to hold office as Deputy Chancellor for the balance of their term of office.</w:t>
      </w:r>
    </w:p>
    <w:p>
      <w:pPr>
        <w:pStyle w:val="Subsection"/>
      </w:pPr>
      <w:r>
        <w:tab/>
        <w:t>(2)</w:t>
      </w:r>
      <w:r>
        <w:tab/>
        <w:t>Subsection (3) applies to a reference to the Pro</w:t>
      </w:r>
      <w:r>
        <w:noBreakHyphen/>
        <w:t xml:space="preserve">Chancellor of the University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Pro</w:t>
      </w:r>
      <w:r>
        <w:noBreakHyphen/>
        <w:t>Chancellor of the University is to be read and construed as a reference to the Deputy Chancellor, unless because of the context it would be incorrect or inappropriate to do so.</w:t>
      </w:r>
    </w:p>
    <w:p>
      <w:pPr>
        <w:pStyle w:val="Footnotesection"/>
      </w:pPr>
      <w:r>
        <w:tab/>
        <w:t xml:space="preserve">[Section 56 inserted by No. 32 of 2016 s. 86.] </w:t>
      </w:r>
    </w:p>
    <w:p>
      <w:pPr>
        <w:pStyle w:val="Heading5"/>
      </w:pPr>
      <w:bookmarkStart w:id="99" w:name="_Toc494452174"/>
      <w:r>
        <w:rPr>
          <w:rStyle w:val="CharSectno"/>
        </w:rPr>
        <w:t>57</w:t>
      </w:r>
      <w:r>
        <w:t>.</w:t>
      </w:r>
      <w:r>
        <w:tab/>
        <w:t>Transitional provisions (Vice</w:t>
      </w:r>
      <w:r>
        <w:noBreakHyphen/>
        <w:t>Chancellor)</w:t>
      </w:r>
      <w:bookmarkEnd w:id="99"/>
    </w:p>
    <w:p>
      <w:pPr>
        <w:pStyle w:val="Subsection"/>
      </w:pPr>
      <w:r>
        <w:tab/>
        <w:t>(1)</w:t>
      </w:r>
      <w:r>
        <w:tab/>
        <w:t>The person who, immediately before commencement day, holds office as chief executive officer of the University under section 30 (as in effect immediately before commencement day) continues to hold office as Vice</w:t>
      </w:r>
      <w:r>
        <w:noBreakHyphen/>
        <w:t>Chancellor.</w:t>
      </w:r>
    </w:p>
    <w:p>
      <w:pPr>
        <w:pStyle w:val="Subsection"/>
      </w:pPr>
      <w:r>
        <w:tab/>
        <w:t>(2)</w:t>
      </w:r>
      <w:r>
        <w:tab/>
        <w:t xml:space="preserve">Subsection (3) applies to a reference to the chief executive officer of the University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Footnotesection"/>
      </w:pPr>
      <w:r>
        <w:tab/>
        <w:t xml:space="preserve">[Section 57 inserted by No. 32 of 2016 s. 86.] </w:t>
      </w:r>
    </w:p>
    <w:p>
      <w:pPr>
        <w:pStyle w:val="Heading5"/>
      </w:pPr>
      <w:bookmarkStart w:id="100" w:name="_Toc494452175"/>
      <w:r>
        <w:rPr>
          <w:rStyle w:val="CharSectno"/>
        </w:rPr>
        <w:t>58</w:t>
      </w:r>
      <w:r>
        <w:t>.</w:t>
      </w:r>
      <w:r>
        <w:tab/>
        <w:t>Transitional provisions (Advisory Board of the Academy)</w:t>
      </w:r>
      <w:bookmarkEnd w:id="100"/>
    </w:p>
    <w:p>
      <w:pPr>
        <w:pStyle w:val="Subsection"/>
      </w:pPr>
      <w:r>
        <w:tab/>
        <w:t>(1)</w:t>
      </w:r>
      <w:r>
        <w:tab/>
        <w:t xml:space="preserve">In this section — </w:t>
      </w:r>
    </w:p>
    <w:p>
      <w:pPr>
        <w:pStyle w:val="Defstart"/>
      </w:pPr>
      <w:r>
        <w:tab/>
      </w:r>
      <w:r>
        <w:rPr>
          <w:rStyle w:val="CharDefText"/>
        </w:rPr>
        <w:t>Advisory Board of the Academy</w:t>
      </w:r>
      <w:r>
        <w:t xml:space="preserve"> means the Advisory Board of the Academy referred to in section 25(1);</w:t>
      </w:r>
    </w:p>
    <w:p>
      <w:pPr>
        <w:pStyle w:val="Defstart"/>
      </w:pPr>
      <w:r>
        <w:tab/>
      </w:r>
      <w:r>
        <w:rPr>
          <w:rStyle w:val="CharDefText"/>
        </w:rPr>
        <w:t>former Board</w:t>
      </w:r>
      <w:r>
        <w:t xml:space="preserve"> means the Board of the Academy constituted by a Statute made under section 24(2) (as in effect immediately before commencement day).</w:t>
      </w:r>
    </w:p>
    <w:p>
      <w:pPr>
        <w:pStyle w:val="Subsection"/>
      </w:pPr>
      <w:r>
        <w:tab/>
        <w:t>(2)</w:t>
      </w:r>
      <w:r>
        <w:tab/>
        <w:t>Any person who, immediately before commencement day, holds office as a member of the former Board continues to hold office as member of the Advisory Board of the Academy for the balance of their term of office.</w:t>
      </w:r>
    </w:p>
    <w:p>
      <w:pPr>
        <w:pStyle w:val="Subsection"/>
      </w:pPr>
      <w:r>
        <w:tab/>
        <w:t>(3)</w:t>
      </w:r>
      <w:r>
        <w:tab/>
        <w:t>If a question arises under this section as to the balance of a person’s term of office remaining immediately before commencement day, the question is to be determined by the Minister.</w:t>
      </w:r>
    </w:p>
    <w:p>
      <w:pPr>
        <w:pStyle w:val="Subsection"/>
      </w:pPr>
      <w:r>
        <w:tab/>
        <w:t>(4)</w:t>
      </w:r>
      <w:r>
        <w:tab/>
        <w:t xml:space="preserve">Subsection (5) applies to a reference to the former Board — </w:t>
      </w:r>
    </w:p>
    <w:p>
      <w:pPr>
        <w:pStyle w:val="Indenta"/>
      </w:pPr>
      <w:r>
        <w:tab/>
        <w:t>(a)</w:t>
      </w:r>
      <w:r>
        <w:tab/>
        <w:t>in any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(5)</w:t>
      </w:r>
      <w:r>
        <w:tab/>
        <w:t>A reference to the former Board is to be read and construed as a reference to the Advisory Board of the Academy, unless because of the context it would be incorrect or inappropriate to do so.</w:t>
      </w:r>
    </w:p>
    <w:p>
      <w:pPr>
        <w:pStyle w:val="Footnotesection"/>
      </w:pPr>
      <w:r>
        <w:tab/>
        <w:t xml:space="preserve">[Section 58 inserted by No. 32 of 2016 s. 86.] </w:t>
      </w:r>
    </w:p>
    <w:p>
      <w:pPr>
        <w:pStyle w:val="Heading5"/>
      </w:pPr>
      <w:bookmarkStart w:id="101" w:name="_Toc494452176"/>
      <w:r>
        <w:rPr>
          <w:rStyle w:val="CharSectno"/>
        </w:rPr>
        <w:t>59</w:t>
      </w:r>
      <w:r>
        <w:t>.</w:t>
      </w:r>
      <w:r>
        <w:tab/>
        <w:t>Transitional provisions (Statutes)</w:t>
      </w:r>
      <w:bookmarkEnd w:id="101"/>
    </w:p>
    <w:p>
      <w:pPr>
        <w:pStyle w:val="Subsection"/>
      </w:pPr>
      <w:r>
        <w:tab/>
        <w:t>(1)</w:t>
      </w:r>
      <w:r>
        <w:tab/>
        <w:t xml:space="preserve">In this section — </w:t>
      </w:r>
    </w:p>
    <w:p>
      <w:pPr>
        <w:pStyle w:val="Defstart"/>
      </w:pPr>
      <w:r>
        <w:tab/>
      </w:r>
      <w:r>
        <w:rPr>
          <w:rStyle w:val="CharDefText"/>
        </w:rPr>
        <w:t>former section 27</w:t>
      </w:r>
      <w:r>
        <w:t xml:space="preserve"> means section 27 as in effect immediately before it was deleted by the </w:t>
      </w:r>
      <w:r>
        <w:rPr>
          <w:i/>
        </w:rPr>
        <w:t>Universities Legislation Amendment Act 2016</w:t>
      </w:r>
      <w:r>
        <w:t xml:space="preserve"> section 68.</w:t>
      </w:r>
    </w:p>
    <w:p>
      <w:pPr>
        <w:pStyle w:val="Subsection"/>
      </w:pPr>
      <w:r>
        <w:tab/>
        <w:t>(2)</w:t>
      </w:r>
      <w:r>
        <w:tab/>
        <w:t xml:space="preserve">Section 27(2) does not apply to or in relation to any Statute made and published in the </w:t>
      </w:r>
      <w:r>
        <w:rPr>
          <w:i/>
        </w:rPr>
        <w:t>Gazette</w:t>
      </w:r>
      <w:r>
        <w:t xml:space="preserve"> before commencement day, and former section 27(2) and (3) apply instead as if the former section 27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27(2) does not apply to and in relation to that Statute; and</w:t>
      </w:r>
    </w:p>
    <w:p>
      <w:pPr>
        <w:pStyle w:val="Indenta"/>
      </w:pPr>
      <w:r>
        <w:tab/>
        <w:t>(b)</w:t>
      </w:r>
      <w:r>
        <w:tab/>
        <w:t>former section 27(2) and (3) apply instead as if the former section 27 had not been deleted.</w:t>
      </w:r>
    </w:p>
    <w:p>
      <w:pPr>
        <w:pStyle w:val="Footnotesection"/>
      </w:pPr>
      <w:r>
        <w:tab/>
        <w:t xml:space="preserve">[Section 59 inserted by No. 32 of 2016 s. 86.] </w:t>
      </w:r>
    </w:p>
    <w:p>
      <w:pPr>
        <w:pStyle w:val="Heading5"/>
      </w:pPr>
      <w:bookmarkStart w:id="102" w:name="_Toc494452177"/>
      <w:r>
        <w:rPr>
          <w:rStyle w:val="CharSectno"/>
        </w:rPr>
        <w:t>60</w:t>
      </w:r>
      <w:r>
        <w:t>.</w:t>
      </w:r>
      <w:r>
        <w:tab/>
        <w:t>Transitional provisions (guarantees)</w:t>
      </w:r>
      <w:bookmarkEnd w:id="102"/>
    </w:p>
    <w:p>
      <w:pPr>
        <w:pStyle w:val="Subsection"/>
      </w:pPr>
      <w:r>
        <w:tab/>
      </w:r>
      <w:r>
        <w:tab/>
        <w:t>A guarantee given under section 37 (as in effect immediately before commencement day) and in force immediately before commencement day continues as if it had been given under section 37B.</w:t>
      </w:r>
    </w:p>
    <w:p>
      <w:pPr>
        <w:pStyle w:val="Footnotesection"/>
      </w:pPr>
      <w:r>
        <w:tab/>
        <w:t xml:space="preserve">[Section 60 inserted by No. 32 of 2016 s. 86.] </w:t>
      </w:r>
    </w:p>
    <w:p>
      <w:pPr>
        <w:pStyle w:val="Heading5"/>
      </w:pPr>
      <w:bookmarkStart w:id="103" w:name="_Toc494452178"/>
      <w:r>
        <w:rPr>
          <w:rStyle w:val="CharSectno"/>
        </w:rPr>
        <w:t>61</w:t>
      </w:r>
      <w:r>
        <w:t>.</w:t>
      </w:r>
      <w:r>
        <w:tab/>
        <w:t>Transitional provisions (amenities and services fee)</w:t>
      </w:r>
      <w:bookmarkEnd w:id="103"/>
    </w:p>
    <w:p>
      <w:pPr>
        <w:pStyle w:val="Subsection"/>
      </w:pPr>
      <w:r>
        <w:tab/>
        <w:t>(1)</w:t>
      </w:r>
      <w:r>
        <w:tab/>
        <w:t xml:space="preserve">In this section — </w:t>
      </w:r>
    </w:p>
    <w:p>
      <w:pPr>
        <w:pStyle w:val="Defstart"/>
      </w:pPr>
      <w:r>
        <w:tab/>
      </w:r>
      <w:r>
        <w:rPr>
          <w:rStyle w:val="CharDefText"/>
        </w:rPr>
        <w:t>former section 41A</w:t>
      </w:r>
      <w:r>
        <w:t xml:space="preserve"> means section 41A as in effect immediately before it was deleted by the </w:t>
      </w:r>
      <w:r>
        <w:rPr>
          <w:i/>
        </w:rPr>
        <w:t>Universities Legislation Amendment Act 2016</w:t>
      </w:r>
      <w:r>
        <w:t xml:space="preserve"> section 79;</w:t>
      </w:r>
    </w:p>
    <w:p>
      <w:pPr>
        <w:pStyle w:val="Defstart"/>
      </w:pPr>
      <w:r>
        <w:tab/>
      </w:r>
      <w:r>
        <w:rPr>
          <w:rStyle w:val="CharDefText"/>
        </w:rPr>
        <w:t>transition period</w:t>
      </w:r>
      <w:r>
        <w:t xml:space="preserve"> means the remainder of the calendar year beginning on commencement day.</w:t>
      </w:r>
    </w:p>
    <w:p>
      <w:pPr>
        <w:pStyle w:val="Subsection"/>
      </w:pPr>
      <w:r>
        <w:tab/>
        <w:t>(2)</w:t>
      </w:r>
      <w:r>
        <w:tab/>
        <w:t xml:space="preserve">During the transition period — </w:t>
      </w:r>
    </w:p>
    <w:p>
      <w:pPr>
        <w:pStyle w:val="Indenta"/>
      </w:pPr>
      <w:r>
        <w:tab/>
        <w:t>(a)</w:t>
      </w:r>
      <w:r>
        <w:tab/>
        <w:t xml:space="preserve">section 41A does not apply to the annual amenities and services fee set under former section 41A; and </w:t>
      </w:r>
    </w:p>
    <w:p>
      <w:pPr>
        <w:pStyle w:val="Indenta"/>
      </w:pPr>
      <w:r>
        <w:tab/>
        <w:t>(b)</w:t>
      </w:r>
      <w:r>
        <w:tab/>
        <w:t>former section 41A applies instead to that annual amenities and services fee as if former section 41A had not been deleted.</w:t>
      </w:r>
    </w:p>
    <w:p>
      <w:pPr>
        <w:pStyle w:val="Footnotesection"/>
      </w:pPr>
      <w:r>
        <w:tab/>
        <w:t xml:space="preserve">[Section 61 inserted by No. 32 of 2016 s. 86.] </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04" w:name="_Toc494452179"/>
      <w:r>
        <w:rPr>
          <w:rStyle w:val="CharSchNo"/>
        </w:rPr>
        <w:t>Schedule 1</w:t>
      </w:r>
      <w:r>
        <w:t> — </w:t>
      </w:r>
      <w:r>
        <w:rPr>
          <w:rStyle w:val="CharSchText"/>
        </w:rPr>
        <w:t>Council members</w:t>
      </w:r>
      <w:bookmarkEnd w:id="104"/>
    </w:p>
    <w:p>
      <w:pPr>
        <w:pStyle w:val="yShoulderClause"/>
      </w:pPr>
      <w:r>
        <w:t>[s. 10A, 11A, 13]</w:t>
      </w:r>
    </w:p>
    <w:p>
      <w:pPr>
        <w:pStyle w:val="yFootnoteheading"/>
      </w:pPr>
      <w:r>
        <w:tab/>
        <w:t>[Heading inserted by No. 8 of 2005 s. 23.]</w:t>
      </w:r>
    </w:p>
    <w:p>
      <w:pPr>
        <w:pStyle w:val="yHeading3"/>
      </w:pPr>
      <w:bookmarkStart w:id="105" w:name="_Toc494452180"/>
      <w:r>
        <w:rPr>
          <w:rStyle w:val="CharSDivNo"/>
        </w:rPr>
        <w:t>Division 1</w:t>
      </w:r>
      <w:r>
        <w:rPr>
          <w:b w:val="0"/>
        </w:rPr>
        <w:t> — </w:t>
      </w:r>
      <w:r>
        <w:rPr>
          <w:rStyle w:val="CharSDivText"/>
        </w:rPr>
        <w:t>Duties</w:t>
      </w:r>
      <w:bookmarkEnd w:id="105"/>
    </w:p>
    <w:p>
      <w:pPr>
        <w:pStyle w:val="yFootnoteheading"/>
      </w:pPr>
      <w:r>
        <w:tab/>
        <w:t>[Heading inserted by No. 8 of 2005 s. 23.]</w:t>
      </w:r>
    </w:p>
    <w:p>
      <w:pPr>
        <w:pStyle w:val="yHeading5"/>
        <w:outlineLvl w:val="9"/>
      </w:pPr>
      <w:bookmarkStart w:id="106" w:name="_Toc494452181"/>
      <w:r>
        <w:rPr>
          <w:rStyle w:val="CharSClsNo"/>
        </w:rPr>
        <w:t>1</w:t>
      </w:r>
      <w:r>
        <w:t>.</w:t>
      </w:r>
      <w:r>
        <w:rPr>
          <w:b w:val="0"/>
        </w:rPr>
        <w:tab/>
      </w:r>
      <w:r>
        <w:t>Duties</w:t>
      </w:r>
      <w:bookmarkEnd w:id="106"/>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11A or 13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pPr>
      <w:r>
        <w:tab/>
        <w:t>[Clause 1 inserted by No.</w:t>
      </w:r>
      <w:r>
        <w:rPr>
          <w:sz w:val="28"/>
        </w:rPr>
        <w:t> </w:t>
      </w:r>
      <w:r>
        <w:t>8 of 2005 s. 23.]</w:t>
      </w:r>
    </w:p>
    <w:p>
      <w:pPr>
        <w:pStyle w:val="yHeading3"/>
        <w:keepLines/>
      </w:pPr>
      <w:bookmarkStart w:id="107" w:name="_Toc494452182"/>
      <w:r>
        <w:rPr>
          <w:rStyle w:val="CharSDivNo"/>
        </w:rPr>
        <w:t>Division 2</w:t>
      </w:r>
      <w:r>
        <w:t> — </w:t>
      </w:r>
      <w:r>
        <w:rPr>
          <w:rStyle w:val="CharSDivText"/>
        </w:rPr>
        <w:t>Disclosure of interests</w:t>
      </w:r>
      <w:bookmarkEnd w:id="107"/>
    </w:p>
    <w:p>
      <w:pPr>
        <w:pStyle w:val="yFootnoteheading"/>
        <w:keepNext/>
        <w:keepLines/>
      </w:pPr>
      <w:r>
        <w:tab/>
        <w:t>[Heading inserted by No. 8 of 2005 s. 23.]</w:t>
      </w:r>
    </w:p>
    <w:p>
      <w:pPr>
        <w:pStyle w:val="yHeading5"/>
      </w:pPr>
      <w:bookmarkStart w:id="108" w:name="_Toc494452183"/>
      <w:r>
        <w:rPr>
          <w:rStyle w:val="CharSClsNo"/>
        </w:rPr>
        <w:t>2</w:t>
      </w:r>
      <w:r>
        <w:t>.</w:t>
      </w:r>
      <w:r>
        <w:rPr>
          <w:b w:val="0"/>
        </w:rPr>
        <w:tab/>
      </w:r>
      <w:r>
        <w:t>Disclosure of interests</w:t>
      </w:r>
      <w:bookmarkEnd w:id="108"/>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23.]</w:t>
      </w:r>
    </w:p>
    <w:p>
      <w:pPr>
        <w:pStyle w:val="yHeading5"/>
      </w:pPr>
      <w:bookmarkStart w:id="109" w:name="_Toc494452184"/>
      <w:r>
        <w:rPr>
          <w:rStyle w:val="CharSClsNo"/>
        </w:rPr>
        <w:t>3</w:t>
      </w:r>
      <w:r>
        <w:t>.</w:t>
      </w:r>
      <w:r>
        <w:rPr>
          <w:b w:val="0"/>
        </w:rPr>
        <w:tab/>
      </w:r>
      <w:r>
        <w:t>Voting by interested members</w:t>
      </w:r>
      <w:bookmarkEnd w:id="109"/>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23.]</w:t>
      </w:r>
    </w:p>
    <w:p>
      <w:pPr>
        <w:pStyle w:val="yHeading5"/>
      </w:pPr>
      <w:bookmarkStart w:id="110" w:name="_Toc494452185"/>
      <w:r>
        <w:rPr>
          <w:rStyle w:val="CharSClsNo"/>
        </w:rPr>
        <w:t>4</w:t>
      </w:r>
      <w:r>
        <w:t>.</w:t>
      </w:r>
      <w:r>
        <w:rPr>
          <w:b w:val="0"/>
        </w:rPr>
        <w:tab/>
      </w:r>
      <w:r>
        <w:t>Clause 3 may be declared inapplicable</w:t>
      </w:r>
      <w:bookmarkEnd w:id="110"/>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23.]</w:t>
      </w:r>
    </w:p>
    <w:p>
      <w:pPr>
        <w:pStyle w:val="yEdnotesection"/>
      </w:pPr>
      <w:r>
        <w:t>[</w:t>
      </w:r>
      <w:r>
        <w:rPr>
          <w:b/>
        </w:rPr>
        <w:t>5.</w:t>
      </w:r>
      <w:r>
        <w:tab/>
        <w:t>Deleted by No. 32 of 2016 s. 87.]</w:t>
      </w:r>
    </w:p>
    <w:p>
      <w:pPr>
        <w:pStyle w:val="yHeading5"/>
      </w:pPr>
      <w:bookmarkStart w:id="111" w:name="_Toc494452186"/>
      <w:r>
        <w:rPr>
          <w:rStyle w:val="CharSClsNo"/>
        </w:rPr>
        <w:t>6</w:t>
      </w:r>
      <w:r>
        <w:t>.</w:t>
      </w:r>
      <w:r>
        <w:rPr>
          <w:b w:val="0"/>
        </w:rPr>
        <w:tab/>
      </w:r>
      <w:r>
        <w:t>Minister may declare clause 3 inapplicable</w:t>
      </w:r>
      <w:bookmarkEnd w:id="111"/>
    </w:p>
    <w:p>
      <w:pPr>
        <w:pStyle w:val="ySubsection"/>
      </w:pPr>
      <w:r>
        <w:tab/>
        <w:t>(1)</w:t>
      </w:r>
      <w:r>
        <w:tab/>
        <w:t xml:space="preserve">The Minister may, on the application of a member, by writing declare that clause 3 </w:t>
      </w:r>
      <w:r>
        <w:rPr>
          <w:szCs w:val="22"/>
        </w:rPr>
        <w:t>does</w:t>
      </w:r>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23; amended by No. 32 of 2016 s. 88.]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3" w:name="_Toc494452187"/>
      <w:r>
        <w:t>Notes</w:t>
      </w:r>
      <w:bookmarkEnd w:id="113"/>
    </w:p>
    <w:p>
      <w:pPr>
        <w:pStyle w:val="nSubsection"/>
        <w:rPr>
          <w:snapToGrid w:val="0"/>
        </w:rPr>
      </w:pPr>
      <w:r>
        <w:rPr>
          <w:snapToGrid w:val="0"/>
          <w:vertAlign w:val="superscript"/>
        </w:rPr>
        <w:t>1</w:t>
      </w:r>
      <w:r>
        <w:rPr>
          <w:snapToGrid w:val="0"/>
        </w:rPr>
        <w:tab/>
        <w:t xml:space="preserve">This is a compilation of the </w:t>
      </w:r>
      <w:r>
        <w:rPr>
          <w:i/>
          <w:noProof/>
          <w:snapToGrid w:val="0"/>
        </w:rPr>
        <w:t>Edith Cowan University Act 1984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4" w:name="_Toc494452188"/>
      <w:r>
        <w:t>Compilation table</w:t>
      </w:r>
      <w:bookmarkEnd w:id="114"/>
    </w:p>
    <w:tbl>
      <w:tblPr>
        <w:tblW w:w="7088" w:type="dxa"/>
        <w:tblInd w:w="56" w:type="dxa"/>
        <w:tblLayout w:type="fixed"/>
        <w:tblCellMar>
          <w:left w:w="56" w:type="dxa"/>
          <w:right w:w="56" w:type="dxa"/>
        </w:tblCellMar>
        <w:tblLook w:val="0000" w:firstRow="0" w:lastRow="0" w:firstColumn="0" w:lastColumn="0" w:noHBand="0" w:noVBand="0"/>
      </w:tblPr>
      <w:tblGrid>
        <w:gridCol w:w="2261"/>
        <w:gridCol w:w="1131"/>
        <w:gridCol w:w="1131"/>
        <w:gridCol w:w="2542"/>
        <w:gridCol w:w="23"/>
      </w:tblGrid>
      <w:tr>
        <w:trPr>
          <w:cantSplit/>
          <w:tblHeader/>
        </w:trPr>
        <w:tc>
          <w:tcPr>
            <w:tcW w:w="2267" w:type="dxa"/>
            <w:tcBorders>
              <w:top w:val="single" w:sz="8" w:space="0" w:color="auto"/>
              <w:bottom w:val="single" w:sz="8" w:space="0" w:color="auto"/>
            </w:tcBorders>
          </w:tcPr>
          <w:p>
            <w:pPr>
              <w:pStyle w:val="nTable"/>
              <w:spacing w:after="40"/>
              <w:ind w:right="113"/>
              <w:rPr>
                <w:b/>
              </w:rPr>
            </w:pPr>
            <w:r>
              <w:rPr>
                <w:b/>
              </w:rPr>
              <w:t>Short title</w:t>
            </w:r>
          </w:p>
        </w:tc>
        <w:tc>
          <w:tcPr>
            <w:tcW w:w="1135"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7" w:type="dxa"/>
          </w:tcPr>
          <w:p>
            <w:pPr>
              <w:pStyle w:val="nTable"/>
              <w:spacing w:after="40"/>
              <w:ind w:right="113"/>
              <w:rPr>
                <w:iCs/>
                <w:vertAlign w:val="superscript"/>
              </w:rPr>
            </w:pPr>
            <w:r>
              <w:rPr>
                <w:i/>
              </w:rPr>
              <w:t>Western Australian College of Advanced Education Act 1984</w:t>
            </w:r>
            <w:r>
              <w:rPr>
                <w:iCs/>
              </w:rPr>
              <w:t> </w:t>
            </w:r>
            <w:r>
              <w:rPr>
                <w:iCs/>
                <w:vertAlign w:val="superscript"/>
              </w:rPr>
              <w:t>7</w:t>
            </w:r>
          </w:p>
        </w:tc>
        <w:tc>
          <w:tcPr>
            <w:tcW w:w="1135" w:type="dxa"/>
          </w:tcPr>
          <w:p>
            <w:pPr>
              <w:pStyle w:val="nTable"/>
              <w:spacing w:after="40"/>
            </w:pPr>
            <w:r>
              <w:t>18 of 1984</w:t>
            </w:r>
          </w:p>
        </w:tc>
        <w:tc>
          <w:tcPr>
            <w:tcW w:w="1135" w:type="dxa"/>
          </w:tcPr>
          <w:p>
            <w:pPr>
              <w:pStyle w:val="nTable"/>
              <w:spacing w:after="40"/>
            </w:pPr>
            <w:r>
              <w:t>31 May 1984</w:t>
            </w:r>
          </w:p>
        </w:tc>
        <w:tc>
          <w:tcPr>
            <w:tcW w:w="2551" w:type="dxa"/>
            <w:gridSpan w:val="2"/>
          </w:tcPr>
          <w:p>
            <w:pPr>
              <w:pStyle w:val="nTable"/>
              <w:spacing w:after="40"/>
            </w:pPr>
            <w:r>
              <w:t xml:space="preserve">1 Sep 1984 (see s. 2 and </w:t>
            </w:r>
            <w:r>
              <w:rPr>
                <w:i/>
              </w:rPr>
              <w:t>Gazette</w:t>
            </w:r>
            <w:r>
              <w:t xml:space="preserve"> 24 Aug 1984 p. 2567)</w:t>
            </w:r>
          </w:p>
        </w:tc>
      </w:tr>
      <w:tr>
        <w:trPr>
          <w:cantSplit/>
        </w:trPr>
        <w:tc>
          <w:tcPr>
            <w:tcW w:w="2267" w:type="dxa"/>
          </w:tcPr>
          <w:p>
            <w:pPr>
              <w:pStyle w:val="nTable"/>
              <w:spacing w:after="40"/>
              <w:ind w:right="113"/>
              <w:rPr>
                <w:vertAlign w:val="superscript"/>
              </w:rPr>
            </w:pPr>
            <w:r>
              <w:rPr>
                <w:i/>
              </w:rPr>
              <w:t xml:space="preserve">Acts Amendment (Educational Institutions Superannuation) Act 1985 </w:t>
            </w:r>
            <w:r>
              <w:t>Pt. III </w:t>
            </w:r>
            <w:r>
              <w:rPr>
                <w:vertAlign w:val="superscript"/>
              </w:rPr>
              <w:t>8</w:t>
            </w:r>
          </w:p>
        </w:tc>
        <w:tc>
          <w:tcPr>
            <w:tcW w:w="1135" w:type="dxa"/>
          </w:tcPr>
          <w:p>
            <w:pPr>
              <w:pStyle w:val="nTable"/>
              <w:spacing w:after="40"/>
            </w:pPr>
            <w:r>
              <w:t>77 of 1985</w:t>
            </w:r>
            <w:r>
              <w:br/>
              <w:t>(as amended by No. 63 of 1990 s. 22)</w:t>
            </w:r>
          </w:p>
        </w:tc>
        <w:tc>
          <w:tcPr>
            <w:tcW w:w="1135" w:type="dxa"/>
          </w:tcPr>
          <w:p>
            <w:pPr>
              <w:pStyle w:val="nTable"/>
              <w:spacing w:after="40"/>
            </w:pPr>
            <w:r>
              <w:t>20 Nov 1985</w:t>
            </w:r>
          </w:p>
        </w:tc>
        <w:tc>
          <w:tcPr>
            <w:tcW w:w="2551" w:type="dxa"/>
            <w:gridSpan w:val="2"/>
          </w:tcPr>
          <w:p>
            <w:pPr>
              <w:pStyle w:val="nTable"/>
              <w:spacing w:after="40"/>
            </w:pPr>
            <w:r>
              <w:t xml:space="preserve">16 Dec 1985 (see s. 2 and </w:t>
            </w:r>
            <w:r>
              <w:rPr>
                <w:i/>
              </w:rPr>
              <w:t xml:space="preserve">Gazette </w:t>
            </w:r>
            <w:r>
              <w:t>13 Dec 1985 p. 4758)</w:t>
            </w:r>
          </w:p>
        </w:tc>
      </w:tr>
      <w:tr>
        <w:trPr>
          <w:cantSplit/>
        </w:trPr>
        <w:tc>
          <w:tcPr>
            <w:tcW w:w="2267" w:type="dxa"/>
          </w:tcPr>
          <w:p>
            <w:pPr>
              <w:pStyle w:val="nTable"/>
              <w:spacing w:after="40"/>
              <w:ind w:right="113"/>
            </w:pPr>
            <w:r>
              <w:rPr>
                <w:i/>
              </w:rPr>
              <w:t xml:space="preserve">Acts Amendment (Financial Administration and Audit) Act 1985 </w:t>
            </w:r>
            <w:r>
              <w:t>s. 3</w:t>
            </w:r>
          </w:p>
        </w:tc>
        <w:tc>
          <w:tcPr>
            <w:tcW w:w="1135" w:type="dxa"/>
          </w:tcPr>
          <w:p>
            <w:pPr>
              <w:pStyle w:val="nTable"/>
              <w:spacing w:after="40"/>
            </w:pPr>
            <w:r>
              <w:t>98 of 1985</w:t>
            </w:r>
          </w:p>
        </w:tc>
        <w:tc>
          <w:tcPr>
            <w:tcW w:w="1135" w:type="dxa"/>
          </w:tcPr>
          <w:p>
            <w:pPr>
              <w:pStyle w:val="nTable"/>
              <w:spacing w:after="40"/>
            </w:pPr>
            <w:r>
              <w:t>4 Dec 1985</w:t>
            </w:r>
          </w:p>
        </w:tc>
        <w:tc>
          <w:tcPr>
            <w:tcW w:w="2551" w:type="dxa"/>
            <w:gridSpan w:val="2"/>
          </w:tcPr>
          <w:p>
            <w:pPr>
              <w:pStyle w:val="nTable"/>
              <w:spacing w:after="40"/>
            </w:pPr>
            <w:r>
              <w:t xml:space="preserve">1 Jul 1986 (see s. 2 and </w:t>
            </w:r>
            <w:r>
              <w:rPr>
                <w:i/>
              </w:rPr>
              <w:t xml:space="preserve">Gazette </w:t>
            </w:r>
            <w:r>
              <w:t>30 Jun 1986 p. 2255)</w:t>
            </w:r>
          </w:p>
        </w:tc>
      </w:tr>
      <w:tr>
        <w:trPr>
          <w:cantSplit/>
        </w:trPr>
        <w:tc>
          <w:tcPr>
            <w:tcW w:w="2267" w:type="dxa"/>
          </w:tcPr>
          <w:p>
            <w:pPr>
              <w:pStyle w:val="nTable"/>
              <w:spacing w:after="40"/>
              <w:ind w:right="113"/>
            </w:pPr>
            <w:r>
              <w:rPr>
                <w:i/>
              </w:rPr>
              <w:t>Acts Amendment and Repeal (Post</w:t>
            </w:r>
            <w:r>
              <w:rPr>
                <w:i/>
              </w:rPr>
              <w:noBreakHyphen/>
              <w:t xml:space="preserve">Secondary Education) Act 1989 </w:t>
            </w:r>
            <w:r>
              <w:t>Pt. 8</w:t>
            </w:r>
          </w:p>
        </w:tc>
        <w:tc>
          <w:tcPr>
            <w:tcW w:w="1135" w:type="dxa"/>
          </w:tcPr>
          <w:p>
            <w:pPr>
              <w:pStyle w:val="nTable"/>
              <w:spacing w:after="40"/>
            </w:pPr>
            <w:r>
              <w:t>48 of 1989</w:t>
            </w:r>
          </w:p>
        </w:tc>
        <w:tc>
          <w:tcPr>
            <w:tcW w:w="1135" w:type="dxa"/>
          </w:tcPr>
          <w:p>
            <w:pPr>
              <w:pStyle w:val="nTable"/>
              <w:spacing w:after="40"/>
            </w:pPr>
            <w:r>
              <w:t>9 Jan 1990</w:t>
            </w:r>
          </w:p>
        </w:tc>
        <w:tc>
          <w:tcPr>
            <w:tcW w:w="2551" w:type="dxa"/>
            <w:gridSpan w:val="2"/>
          </w:tcPr>
          <w:p>
            <w:pPr>
              <w:pStyle w:val="nTable"/>
              <w:spacing w:after="40"/>
            </w:pPr>
            <w:r>
              <w:t>1 Jan 1990 (see s. 2)</w:t>
            </w:r>
          </w:p>
        </w:tc>
      </w:tr>
      <w:tr>
        <w:trPr>
          <w:cantSplit/>
        </w:trPr>
        <w:tc>
          <w:tcPr>
            <w:tcW w:w="2267" w:type="dxa"/>
          </w:tcPr>
          <w:p>
            <w:pPr>
              <w:pStyle w:val="nTable"/>
              <w:spacing w:after="40"/>
              <w:ind w:right="113"/>
            </w:pPr>
            <w:r>
              <w:rPr>
                <w:i/>
              </w:rPr>
              <w:t>Western Australian College of Advanced Education Amendment Act 1990</w:t>
            </w:r>
          </w:p>
        </w:tc>
        <w:tc>
          <w:tcPr>
            <w:tcW w:w="1135" w:type="dxa"/>
          </w:tcPr>
          <w:p>
            <w:pPr>
              <w:pStyle w:val="nTable"/>
              <w:spacing w:after="40"/>
            </w:pPr>
            <w:r>
              <w:t>63 of 1990</w:t>
            </w:r>
          </w:p>
        </w:tc>
        <w:tc>
          <w:tcPr>
            <w:tcW w:w="1135" w:type="dxa"/>
          </w:tcPr>
          <w:p>
            <w:pPr>
              <w:pStyle w:val="nTable"/>
              <w:spacing w:after="40"/>
            </w:pPr>
            <w:r>
              <w:t>17 Dec 1990</w:t>
            </w:r>
          </w:p>
        </w:tc>
        <w:tc>
          <w:tcPr>
            <w:tcW w:w="2551" w:type="dxa"/>
            <w:gridSpan w:val="2"/>
          </w:tcPr>
          <w:p>
            <w:pPr>
              <w:pStyle w:val="nTable"/>
              <w:spacing w:after="40"/>
            </w:pPr>
            <w:r>
              <w:t>1 Jan 1991 (see s. 2)</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16 May 1991</w:t>
            </w:r>
            <w:r>
              <w:t xml:space="preserve"> (includes amendments listed above)</w:t>
            </w:r>
          </w:p>
        </w:tc>
      </w:tr>
      <w:tr>
        <w:trPr>
          <w:cantSplit/>
        </w:trPr>
        <w:tc>
          <w:tcPr>
            <w:tcW w:w="2267" w:type="dxa"/>
          </w:tcPr>
          <w:p>
            <w:pPr>
              <w:pStyle w:val="nTable"/>
              <w:spacing w:after="40"/>
              <w:ind w:right="113"/>
            </w:pPr>
            <w:r>
              <w:rPr>
                <w:i/>
              </w:rPr>
              <w:t>Acts Amendment (Financial Administration and Audit) Act 1991</w:t>
            </w:r>
            <w:r>
              <w:t xml:space="preserve"> Pt. 3</w:t>
            </w:r>
          </w:p>
        </w:tc>
        <w:tc>
          <w:tcPr>
            <w:tcW w:w="1135" w:type="dxa"/>
          </w:tcPr>
          <w:p>
            <w:pPr>
              <w:pStyle w:val="nTable"/>
              <w:spacing w:after="40"/>
            </w:pPr>
            <w:r>
              <w:t>32 of 1991</w:t>
            </w:r>
          </w:p>
        </w:tc>
        <w:tc>
          <w:tcPr>
            <w:tcW w:w="1135" w:type="dxa"/>
          </w:tcPr>
          <w:p>
            <w:pPr>
              <w:pStyle w:val="nTable"/>
              <w:spacing w:after="40"/>
            </w:pPr>
            <w:r>
              <w:t>4 Dec 1991</w:t>
            </w:r>
          </w:p>
        </w:tc>
        <w:tc>
          <w:tcPr>
            <w:tcW w:w="2551" w:type="dxa"/>
            <w:gridSpan w:val="2"/>
          </w:tcPr>
          <w:p>
            <w:pPr>
              <w:pStyle w:val="nTable"/>
              <w:spacing w:after="40"/>
            </w:pPr>
            <w:r>
              <w:t>1 Jan 1992</w:t>
            </w:r>
          </w:p>
        </w:tc>
      </w:tr>
      <w:tr>
        <w:trPr>
          <w:cantSplit/>
        </w:trPr>
        <w:tc>
          <w:tcPr>
            <w:tcW w:w="2267" w:type="dxa"/>
          </w:tcPr>
          <w:p>
            <w:pPr>
              <w:pStyle w:val="nTable"/>
              <w:spacing w:after="40"/>
              <w:ind w:right="113"/>
            </w:pPr>
            <w:r>
              <w:rPr>
                <w:i/>
              </w:rPr>
              <w:t>Financial Administration Legislation Amendment Act 1993</w:t>
            </w:r>
            <w:r>
              <w:t xml:space="preserve"> s. 11</w:t>
            </w:r>
          </w:p>
        </w:tc>
        <w:tc>
          <w:tcPr>
            <w:tcW w:w="1135"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gridSpan w:val="2"/>
          </w:tcPr>
          <w:p>
            <w:pPr>
              <w:pStyle w:val="nTable"/>
              <w:keepNext/>
              <w:keepLines/>
              <w:spacing w:after="40"/>
            </w:pPr>
            <w:r>
              <w:t>1 Jul 1993 (see s. 2(1))</w:t>
            </w:r>
          </w:p>
        </w:tc>
      </w:tr>
      <w:tr>
        <w:trPr>
          <w:cantSplit/>
        </w:trPr>
        <w:tc>
          <w:tcPr>
            <w:tcW w:w="2267" w:type="dxa"/>
          </w:tcPr>
          <w:p>
            <w:pPr>
              <w:pStyle w:val="nTable"/>
              <w:spacing w:after="40"/>
              <w:ind w:right="113"/>
            </w:pPr>
            <w:r>
              <w:rPr>
                <w:i/>
              </w:rPr>
              <w:t>Voluntary Membership of Student Guilds and Associations Act 1994</w:t>
            </w:r>
            <w:r>
              <w:t xml:space="preserve"> Pt. 4</w:t>
            </w:r>
          </w:p>
        </w:tc>
        <w:tc>
          <w:tcPr>
            <w:tcW w:w="1135" w:type="dxa"/>
          </w:tcPr>
          <w:p>
            <w:pPr>
              <w:pStyle w:val="nTable"/>
              <w:spacing w:after="40"/>
            </w:pPr>
            <w:r>
              <w:t>91 of 1994</w:t>
            </w:r>
          </w:p>
        </w:tc>
        <w:tc>
          <w:tcPr>
            <w:tcW w:w="1135" w:type="dxa"/>
          </w:tcPr>
          <w:p>
            <w:pPr>
              <w:pStyle w:val="nTable"/>
              <w:spacing w:after="40"/>
            </w:pPr>
            <w:r>
              <w:t>5 Jan 1995</w:t>
            </w:r>
          </w:p>
        </w:tc>
        <w:tc>
          <w:tcPr>
            <w:tcW w:w="2551" w:type="dxa"/>
            <w:gridSpan w:val="2"/>
          </w:tcPr>
          <w:p>
            <w:pPr>
              <w:pStyle w:val="nTable"/>
              <w:spacing w:after="40"/>
            </w:pPr>
            <w:r>
              <w:t>5 Jan 1995 (see s. 2)</w:t>
            </w:r>
          </w:p>
        </w:tc>
      </w:tr>
      <w:tr>
        <w:trPr>
          <w:cantSplit/>
        </w:trPr>
        <w:tc>
          <w:tcPr>
            <w:tcW w:w="2267" w:type="dxa"/>
          </w:tcPr>
          <w:p>
            <w:pPr>
              <w:pStyle w:val="nTable"/>
              <w:spacing w:after="40"/>
              <w:ind w:right="113"/>
            </w:pPr>
            <w:r>
              <w:rPr>
                <w:i/>
              </w:rPr>
              <w:t>Industrial Legislation Amendment Act 1995</w:t>
            </w:r>
            <w:r>
              <w:t xml:space="preserve"> s. 35</w:t>
            </w:r>
          </w:p>
        </w:tc>
        <w:tc>
          <w:tcPr>
            <w:tcW w:w="1135" w:type="dxa"/>
          </w:tcPr>
          <w:p>
            <w:pPr>
              <w:pStyle w:val="nTable"/>
              <w:spacing w:after="40"/>
            </w:pPr>
            <w:r>
              <w:t>1 of 1995</w:t>
            </w:r>
          </w:p>
        </w:tc>
        <w:tc>
          <w:tcPr>
            <w:tcW w:w="1135" w:type="dxa"/>
          </w:tcPr>
          <w:p>
            <w:pPr>
              <w:pStyle w:val="nTable"/>
              <w:spacing w:after="40"/>
            </w:pPr>
            <w:r>
              <w:t>9 May 1995</w:t>
            </w:r>
          </w:p>
        </w:tc>
        <w:tc>
          <w:tcPr>
            <w:tcW w:w="2551" w:type="dxa"/>
            <w:gridSpan w:val="2"/>
          </w:tcPr>
          <w:p>
            <w:pPr>
              <w:pStyle w:val="nTable"/>
              <w:spacing w:after="40"/>
            </w:pPr>
            <w:r>
              <w:t>1 Jan 1996 (see s. 2(2) and</w:t>
            </w:r>
            <w:r>
              <w:rPr>
                <w:i/>
              </w:rPr>
              <w:t xml:space="preserve"> Gazette </w:t>
            </w:r>
            <w:r>
              <w:t>24 Nov 1995 p. 5389)</w:t>
            </w:r>
          </w:p>
        </w:tc>
      </w:tr>
      <w:tr>
        <w:trPr>
          <w:cantSplit/>
        </w:trPr>
        <w:tc>
          <w:tcPr>
            <w:tcW w:w="2267" w:type="dxa"/>
          </w:tcPr>
          <w:p>
            <w:pPr>
              <w:pStyle w:val="nTable"/>
              <w:spacing w:after="40"/>
              <w:ind w:right="113"/>
            </w:pPr>
            <w:r>
              <w:rPr>
                <w:i/>
              </w:rPr>
              <w:t>Sentencing (Consequential Provisions) Act 1995</w:t>
            </w:r>
            <w:r>
              <w:t xml:space="preserve"> Pt. 25</w:t>
            </w:r>
          </w:p>
        </w:tc>
        <w:tc>
          <w:tcPr>
            <w:tcW w:w="1135" w:type="dxa"/>
          </w:tcPr>
          <w:p>
            <w:pPr>
              <w:pStyle w:val="nTable"/>
              <w:spacing w:after="40"/>
            </w:pPr>
            <w:r>
              <w:t>78 of 1995</w:t>
            </w:r>
          </w:p>
        </w:tc>
        <w:tc>
          <w:tcPr>
            <w:tcW w:w="1135" w:type="dxa"/>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Education Amendment Act 1996</w:t>
            </w:r>
            <w:r>
              <w:t xml:space="preserve"> s. 16(4)</w:t>
            </w:r>
          </w:p>
        </w:tc>
        <w:tc>
          <w:tcPr>
            <w:tcW w:w="1135" w:type="dxa"/>
          </w:tcPr>
          <w:p>
            <w:pPr>
              <w:pStyle w:val="nTable"/>
              <w:spacing w:after="40"/>
            </w:pPr>
            <w:r>
              <w:t>22 of 1996</w:t>
            </w:r>
          </w:p>
        </w:tc>
        <w:tc>
          <w:tcPr>
            <w:tcW w:w="1135" w:type="dxa"/>
          </w:tcPr>
          <w:p>
            <w:pPr>
              <w:pStyle w:val="nTable"/>
              <w:spacing w:after="40"/>
            </w:pPr>
            <w:r>
              <w:t>11 Jul 1996</w:t>
            </w:r>
          </w:p>
        </w:tc>
        <w:tc>
          <w:tcPr>
            <w:tcW w:w="2551" w:type="dxa"/>
            <w:gridSpan w:val="2"/>
          </w:tcPr>
          <w:p>
            <w:pPr>
              <w:pStyle w:val="nTable"/>
              <w:spacing w:after="40"/>
            </w:pPr>
            <w:r>
              <w:t>11 Jul 1996 (see s. 2(1))</w:t>
            </w:r>
          </w:p>
        </w:tc>
      </w:tr>
      <w:tr>
        <w:trPr>
          <w:cantSplit/>
        </w:trPr>
        <w:tc>
          <w:tcPr>
            <w:tcW w:w="2267" w:type="dxa"/>
          </w:tcPr>
          <w:p>
            <w:pPr>
              <w:pStyle w:val="nTable"/>
              <w:spacing w:after="40"/>
              <w:ind w:right="113"/>
            </w:pPr>
            <w:r>
              <w:rPr>
                <w:i/>
              </w:rPr>
              <w:t>Financial Legislation Amendment Act 1996</w:t>
            </w:r>
            <w:r>
              <w:t xml:space="preserve"> s. 53 and 64</w:t>
            </w:r>
          </w:p>
        </w:tc>
        <w:tc>
          <w:tcPr>
            <w:tcW w:w="1135" w:type="dxa"/>
          </w:tcPr>
          <w:p>
            <w:pPr>
              <w:pStyle w:val="nTable"/>
              <w:spacing w:after="40"/>
            </w:pPr>
            <w:r>
              <w:t>49 of 1996</w:t>
            </w:r>
          </w:p>
        </w:tc>
        <w:tc>
          <w:tcPr>
            <w:tcW w:w="1135"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7" w:type="dxa"/>
          </w:tcPr>
          <w:p>
            <w:pPr>
              <w:pStyle w:val="nTable"/>
              <w:spacing w:after="40"/>
              <w:ind w:right="113"/>
            </w:pPr>
            <w:r>
              <w:rPr>
                <w:i/>
              </w:rPr>
              <w:t>Acts Amendment (Land Administration) Act 1997</w:t>
            </w:r>
            <w:r>
              <w:t xml:space="preserve"> Pt. 22</w:t>
            </w:r>
          </w:p>
        </w:tc>
        <w:tc>
          <w:tcPr>
            <w:tcW w:w="1135" w:type="dxa"/>
          </w:tcPr>
          <w:p>
            <w:pPr>
              <w:pStyle w:val="nTable"/>
              <w:spacing w:after="40"/>
            </w:pPr>
            <w:r>
              <w:t>31 of 1997</w:t>
            </w:r>
          </w:p>
        </w:tc>
        <w:tc>
          <w:tcPr>
            <w:tcW w:w="1135" w:type="dxa"/>
          </w:tcPr>
          <w:p>
            <w:pPr>
              <w:pStyle w:val="nTable"/>
              <w:spacing w:after="40"/>
            </w:pPr>
            <w:r>
              <w:t>3 Oct 1997</w:t>
            </w:r>
          </w:p>
        </w:tc>
        <w:tc>
          <w:tcPr>
            <w:tcW w:w="2551" w:type="dxa"/>
            <w:gridSpan w:val="2"/>
          </w:tcPr>
          <w:p>
            <w:pPr>
              <w:pStyle w:val="nTable"/>
              <w:spacing w:after="40"/>
            </w:pPr>
            <w:r>
              <w:t xml:space="preserve">30 Mar 1998 (see s. 2 and </w:t>
            </w:r>
            <w:r>
              <w:rPr>
                <w:i/>
              </w:rPr>
              <w:t xml:space="preserve">Gazette </w:t>
            </w:r>
            <w:r>
              <w:t>27 Mar 1998 p. 1765)</w:t>
            </w:r>
          </w:p>
        </w:tc>
      </w:tr>
      <w:tr>
        <w:trPr>
          <w:cantSplit/>
        </w:trPr>
        <w:tc>
          <w:tcPr>
            <w:tcW w:w="2267" w:type="dxa"/>
          </w:tcPr>
          <w:p>
            <w:pPr>
              <w:pStyle w:val="nTable"/>
              <w:spacing w:after="40"/>
              <w:ind w:right="113"/>
              <w:rPr>
                <w:vertAlign w:val="superscript"/>
              </w:rPr>
            </w:pPr>
            <w:r>
              <w:rPr>
                <w:i/>
              </w:rPr>
              <w:t>Statutes (Repeals and Minor Amendments) Act (No. 2) 1998</w:t>
            </w:r>
            <w:r>
              <w:t xml:space="preserve"> s. 30</w:t>
            </w:r>
            <w:r>
              <w:rPr>
                <w:vertAlign w:val="superscript"/>
              </w:rPr>
              <w:t> 9</w:t>
            </w:r>
          </w:p>
        </w:tc>
        <w:tc>
          <w:tcPr>
            <w:tcW w:w="1135" w:type="dxa"/>
          </w:tcPr>
          <w:p>
            <w:pPr>
              <w:pStyle w:val="nTable"/>
              <w:spacing w:after="40"/>
            </w:pPr>
            <w:r>
              <w:t>10 of 1998</w:t>
            </w:r>
          </w:p>
        </w:tc>
        <w:tc>
          <w:tcPr>
            <w:tcW w:w="1135" w:type="dxa"/>
          </w:tcPr>
          <w:p>
            <w:pPr>
              <w:pStyle w:val="nTable"/>
              <w:spacing w:after="40"/>
            </w:pPr>
            <w:r>
              <w:t>30 Apr 1998</w:t>
            </w:r>
          </w:p>
        </w:tc>
        <w:tc>
          <w:tcPr>
            <w:tcW w:w="2551" w:type="dxa"/>
            <w:gridSpan w:val="2"/>
          </w:tcPr>
          <w:p>
            <w:pPr>
              <w:pStyle w:val="nTable"/>
              <w:spacing w:after="40"/>
            </w:pPr>
            <w:r>
              <w:t>30 Apr 1998 (see s. 2(1))</w:t>
            </w:r>
          </w:p>
        </w:tc>
      </w:tr>
      <w:tr>
        <w:trPr>
          <w:cantSplit/>
        </w:trPr>
        <w:tc>
          <w:tcPr>
            <w:tcW w:w="7088" w:type="dxa"/>
            <w:gridSpan w:val="5"/>
          </w:tcPr>
          <w:p>
            <w:pPr>
              <w:pStyle w:val="nTable"/>
              <w:spacing w:after="40"/>
            </w:pPr>
            <w:r>
              <w:rPr>
                <w:b/>
                <w:bCs/>
              </w:rPr>
              <w:t xml:space="preserve">Reprint of the </w:t>
            </w:r>
            <w:r>
              <w:rPr>
                <w:b/>
                <w:bCs/>
                <w:i/>
                <w:iCs/>
              </w:rPr>
              <w:t>Edith Cowan University Act 1984</w:t>
            </w:r>
            <w:r>
              <w:rPr>
                <w:b/>
                <w:bCs/>
              </w:rPr>
              <w:t xml:space="preserve"> as at 1 Oct 1999</w:t>
            </w:r>
            <w:r>
              <w:t xml:space="preserve"> (includes amendments listed above)</w:t>
            </w:r>
          </w:p>
        </w:tc>
      </w:tr>
      <w:tr>
        <w:trPr>
          <w:cantSplit/>
        </w:trPr>
        <w:tc>
          <w:tcPr>
            <w:tcW w:w="2267" w:type="dxa"/>
          </w:tcPr>
          <w:p>
            <w:pPr>
              <w:pStyle w:val="nTable"/>
              <w:spacing w:after="40"/>
              <w:ind w:right="113"/>
              <w:rPr>
                <w:i/>
              </w:rPr>
            </w:pPr>
            <w:r>
              <w:rPr>
                <w:i/>
              </w:rPr>
              <w:t>School Education Act 1999</w:t>
            </w:r>
            <w:r>
              <w:t xml:space="preserve"> s. 247</w:t>
            </w:r>
          </w:p>
        </w:tc>
        <w:tc>
          <w:tcPr>
            <w:tcW w:w="1135" w:type="dxa"/>
          </w:tcPr>
          <w:p>
            <w:pPr>
              <w:pStyle w:val="nTable"/>
              <w:spacing w:after="40"/>
            </w:pPr>
            <w:r>
              <w:t>36 of 1999</w:t>
            </w:r>
          </w:p>
        </w:tc>
        <w:tc>
          <w:tcPr>
            <w:tcW w:w="1135" w:type="dxa"/>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snapToGrid w:val="0"/>
              </w:rPr>
              <w:t xml:space="preserve">Acts Amendment (Student Guilds and Associations) Act 2002 </w:t>
            </w:r>
            <w:r>
              <w:rPr>
                <w:snapToGrid w:val="0"/>
              </w:rPr>
              <w:t>Pt. 3</w:t>
            </w:r>
          </w:p>
        </w:tc>
        <w:tc>
          <w:tcPr>
            <w:tcW w:w="1135" w:type="dxa"/>
          </w:tcPr>
          <w:p>
            <w:pPr>
              <w:pStyle w:val="nTable"/>
              <w:spacing w:after="40"/>
            </w:pPr>
            <w:r>
              <w:t>44 of 2002</w:t>
            </w:r>
          </w:p>
        </w:tc>
        <w:tc>
          <w:tcPr>
            <w:tcW w:w="1135" w:type="dxa"/>
          </w:tcPr>
          <w:p>
            <w:pPr>
              <w:pStyle w:val="nTable"/>
              <w:spacing w:after="40"/>
            </w:pPr>
            <w:r>
              <w:t>3 Jan 2003</w:t>
            </w:r>
          </w:p>
        </w:tc>
        <w:tc>
          <w:tcPr>
            <w:tcW w:w="2551" w:type="dxa"/>
            <w:gridSpan w:val="2"/>
          </w:tcPr>
          <w:p>
            <w:pPr>
              <w:pStyle w:val="nTable"/>
              <w:spacing w:after="40"/>
            </w:pPr>
            <w:r>
              <w:t xml:space="preserve">25 Jan 2003 (see s. 2 and </w:t>
            </w:r>
            <w:r>
              <w:rPr>
                <w:i/>
              </w:rPr>
              <w:t>Gazette</w:t>
            </w:r>
            <w:r>
              <w:t xml:space="preserve"> 24 Jan 2003 p. 141)</w:t>
            </w:r>
          </w:p>
        </w:tc>
      </w:tr>
      <w:tr>
        <w:trPr>
          <w:cantSplit/>
        </w:trPr>
        <w:tc>
          <w:tcPr>
            <w:tcW w:w="2267" w:type="dxa"/>
          </w:tcPr>
          <w:p>
            <w:pPr>
              <w:pStyle w:val="nTable"/>
              <w:spacing w:after="40"/>
              <w:ind w:right="113"/>
              <w:rPr>
                <w:snapToGrid w:val="0"/>
              </w:rPr>
            </w:pPr>
            <w:r>
              <w:rPr>
                <w:i/>
                <w:snapToGrid w:val="0"/>
              </w:rPr>
              <w:t>Acts Amendment and Repeal (Competition Policy) Act 2003</w:t>
            </w:r>
            <w:r>
              <w:rPr>
                <w:snapToGrid w:val="0"/>
              </w:rPr>
              <w:t xml:space="preserve"> Pt. 7</w:t>
            </w:r>
          </w:p>
        </w:tc>
        <w:tc>
          <w:tcPr>
            <w:tcW w:w="1135" w:type="dxa"/>
          </w:tcPr>
          <w:p>
            <w:pPr>
              <w:pStyle w:val="nTable"/>
              <w:spacing w:after="40"/>
            </w:pPr>
            <w:r>
              <w:t>70 of 2003</w:t>
            </w:r>
          </w:p>
        </w:tc>
        <w:tc>
          <w:tcPr>
            <w:tcW w:w="1135" w:type="dxa"/>
          </w:tcPr>
          <w:p>
            <w:pPr>
              <w:pStyle w:val="nTable"/>
              <w:spacing w:after="40"/>
            </w:pPr>
            <w:r>
              <w:t>15 Dec 2003</w:t>
            </w:r>
          </w:p>
        </w:tc>
        <w:tc>
          <w:tcPr>
            <w:tcW w:w="2551" w:type="dxa"/>
            <w:gridSpan w:val="2"/>
          </w:tcPr>
          <w:p>
            <w:pPr>
              <w:pStyle w:val="nTable"/>
              <w:spacing w:after="40"/>
            </w:pPr>
            <w:r>
              <w:t xml:space="preserve">21 Apr 2004 (see s. 2 and </w:t>
            </w:r>
            <w:r>
              <w:rPr>
                <w:i/>
              </w:rPr>
              <w:t>Gazette</w:t>
            </w:r>
            <w:r>
              <w:t xml:space="preserve"> 20 Apr 2004 p. 1297)</w:t>
            </w:r>
          </w:p>
        </w:tc>
      </w:tr>
      <w:tr>
        <w:trPr>
          <w:cantSplit/>
        </w:trPr>
        <w:tc>
          <w:tcPr>
            <w:tcW w:w="2267" w:type="dxa"/>
          </w:tcPr>
          <w:p>
            <w:pPr>
              <w:pStyle w:val="nTable"/>
              <w:spacing w:after="40"/>
              <w:ind w:right="113"/>
              <w:rPr>
                <w:snapToGrid w:val="0"/>
              </w:rPr>
            </w:pPr>
            <w:r>
              <w:rPr>
                <w:i/>
                <w:snapToGrid w:val="0"/>
              </w:rPr>
              <w:t>Statutes (Repeals and Minor Amendments) Act 2003</w:t>
            </w:r>
            <w:r>
              <w:rPr>
                <w:snapToGrid w:val="0"/>
              </w:rPr>
              <w:t xml:space="preserve"> s. 46</w:t>
            </w:r>
            <w:r>
              <w:rPr>
                <w:snapToGrid w:val="0"/>
                <w:vertAlign w:val="superscript"/>
              </w:rPr>
              <w:t> 10</w:t>
            </w:r>
          </w:p>
        </w:tc>
        <w:tc>
          <w:tcPr>
            <w:tcW w:w="1135" w:type="dxa"/>
          </w:tcPr>
          <w:p>
            <w:pPr>
              <w:pStyle w:val="nTable"/>
              <w:spacing w:after="40"/>
            </w:pPr>
            <w:r>
              <w:t>74 of 2003</w:t>
            </w:r>
          </w:p>
        </w:tc>
        <w:tc>
          <w:tcPr>
            <w:tcW w:w="1135" w:type="dxa"/>
          </w:tcPr>
          <w:p>
            <w:pPr>
              <w:pStyle w:val="nTable"/>
              <w:spacing w:after="40"/>
            </w:pPr>
            <w:r>
              <w:t>15 Dec 2003</w:t>
            </w:r>
          </w:p>
        </w:tc>
        <w:tc>
          <w:tcPr>
            <w:tcW w:w="2551" w:type="dxa"/>
            <w:gridSpan w:val="2"/>
          </w:tcPr>
          <w:p>
            <w:pPr>
              <w:pStyle w:val="nTable"/>
              <w:spacing w:after="40"/>
            </w:pPr>
            <w:r>
              <w:rPr>
                <w:spacing w:val="-2"/>
              </w:rPr>
              <w:t>15 Dec 2003 (see s. 2)</w:t>
            </w:r>
          </w:p>
        </w:tc>
      </w:tr>
      <w:tr>
        <w:trPr>
          <w:cantSplit/>
        </w:trPr>
        <w:tc>
          <w:tcPr>
            <w:tcW w:w="7088" w:type="dxa"/>
            <w:gridSpan w:val="5"/>
          </w:tcPr>
          <w:p>
            <w:pPr>
              <w:pStyle w:val="nTable"/>
              <w:spacing w:after="40"/>
              <w:rPr>
                <w:spacing w:val="-2"/>
              </w:rPr>
            </w:pPr>
            <w:r>
              <w:rPr>
                <w:b/>
                <w:bCs/>
              </w:rPr>
              <w:t xml:space="preserve">Reprint 3: The </w:t>
            </w:r>
            <w:r>
              <w:rPr>
                <w:b/>
                <w:bCs/>
                <w:i/>
                <w:iCs/>
              </w:rPr>
              <w:t>Edith Cowan University Act 1984</w:t>
            </w:r>
            <w:r>
              <w:rPr>
                <w:b/>
                <w:bCs/>
              </w:rPr>
              <w:t xml:space="preserve"> as at 20 Aug 2004</w:t>
            </w:r>
            <w:r>
              <w:t xml:space="preserve"> (includes amendments listed above)</w:t>
            </w:r>
          </w:p>
        </w:tc>
      </w:tr>
      <w:tr>
        <w:tc>
          <w:tcPr>
            <w:tcW w:w="2267"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5" w:type="dxa"/>
          </w:tcPr>
          <w:p>
            <w:pPr>
              <w:pStyle w:val="nTable"/>
              <w:spacing w:after="40"/>
              <w:rPr>
                <w:snapToGrid w:val="0"/>
              </w:rPr>
            </w:pPr>
            <w:r>
              <w:rPr>
                <w:snapToGrid w:val="0"/>
              </w:rPr>
              <w:t>84 of 2004</w:t>
            </w:r>
          </w:p>
        </w:tc>
        <w:tc>
          <w:tcPr>
            <w:tcW w:w="1135"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7" w:type="dxa"/>
          </w:tcPr>
          <w:p>
            <w:pPr>
              <w:pStyle w:val="nTable"/>
              <w:spacing w:after="40"/>
              <w:rPr>
                <w:i/>
                <w:iCs/>
                <w:snapToGrid w:val="0"/>
              </w:rPr>
            </w:pPr>
            <w:r>
              <w:rPr>
                <w:i/>
                <w:snapToGrid w:val="0"/>
              </w:rPr>
              <w:t xml:space="preserve">Universities Legislation Amendment Act 2005 </w:t>
            </w:r>
            <w:r>
              <w:rPr>
                <w:iCs/>
                <w:snapToGrid w:val="0"/>
              </w:rPr>
              <w:t>Pt. 3 </w:t>
            </w:r>
            <w:r>
              <w:rPr>
                <w:iCs/>
                <w:snapToGrid w:val="0"/>
                <w:vertAlign w:val="superscript"/>
              </w:rPr>
              <w:t>11</w:t>
            </w:r>
          </w:p>
        </w:tc>
        <w:tc>
          <w:tcPr>
            <w:tcW w:w="1135" w:type="dxa"/>
          </w:tcPr>
          <w:p>
            <w:pPr>
              <w:pStyle w:val="nTable"/>
              <w:spacing w:after="40"/>
              <w:rPr>
                <w:snapToGrid w:val="0"/>
              </w:rPr>
            </w:pPr>
            <w:r>
              <w:rPr>
                <w:iCs/>
                <w:snapToGrid w:val="0"/>
              </w:rPr>
              <w:t>8 of 2005</w:t>
            </w:r>
          </w:p>
        </w:tc>
        <w:tc>
          <w:tcPr>
            <w:tcW w:w="1135" w:type="dxa"/>
          </w:tcPr>
          <w:p>
            <w:pPr>
              <w:pStyle w:val="nTable"/>
              <w:spacing w:after="40"/>
            </w:pPr>
            <w:r>
              <w:rPr>
                <w:iCs/>
                <w:snapToGrid w:val="0"/>
              </w:rPr>
              <w:t>7 Jul 2005</w:t>
            </w:r>
          </w:p>
        </w:tc>
        <w:tc>
          <w:tcPr>
            <w:tcW w:w="2551" w:type="dxa"/>
            <w:gridSpan w:val="2"/>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bCs/>
              </w:rPr>
              <w:t xml:space="preserve">Reprint 4: The </w:t>
            </w:r>
            <w:r>
              <w:rPr>
                <w:b/>
                <w:bCs/>
                <w:i/>
                <w:iCs/>
              </w:rPr>
              <w:t>Edith Cowan University Act 1984</w:t>
            </w:r>
            <w:r>
              <w:rPr>
                <w:b/>
                <w:bCs/>
              </w:rPr>
              <w:t xml:space="preserve"> as at 11 Aug 2006</w:t>
            </w:r>
            <w:r>
              <w:t xml:space="preserve"> (includes amendments listed above)</w:t>
            </w:r>
          </w:p>
        </w:tc>
      </w:tr>
      <w:tr>
        <w:tc>
          <w:tcPr>
            <w:tcW w:w="2267" w:type="dxa"/>
          </w:tcPr>
          <w:p>
            <w:pPr>
              <w:pStyle w:val="nTable"/>
              <w:spacing w:after="40"/>
              <w:rPr>
                <w:i/>
                <w:iCs/>
                <w:snapToGrid w:val="0"/>
              </w:rPr>
            </w:pPr>
            <w:r>
              <w:rPr>
                <w:i/>
                <w:snapToGrid w:val="0"/>
              </w:rPr>
              <w:t xml:space="preserve">Financial Legislation Amendment and Repeal Act 2006 </w:t>
            </w:r>
            <w:r>
              <w:rPr>
                <w:iCs/>
                <w:snapToGrid w:val="0"/>
              </w:rPr>
              <w:t>s. 4 and 17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pPr>
            <w:r>
              <w:rPr>
                <w:snapToGrid w:val="0"/>
              </w:rPr>
              <w:t>21 Dec 2006</w:t>
            </w:r>
          </w:p>
        </w:tc>
        <w:tc>
          <w:tcPr>
            <w:tcW w:w="2551" w:type="dxa"/>
            <w:gridSpan w:val="2"/>
          </w:tcPr>
          <w:p>
            <w:pPr>
              <w:pStyle w:val="nTable"/>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gridAfter w:val="1"/>
          <w:wAfter w:w="23" w:type="dxa"/>
          <w:cantSplit/>
        </w:trPr>
        <w:tc>
          <w:tcPr>
            <w:tcW w:w="2269" w:type="dxa"/>
          </w:tcPr>
          <w:p>
            <w:pPr>
              <w:pStyle w:val="nTable"/>
              <w:spacing w:after="40"/>
              <w:rPr>
                <w:iCs/>
                <w:snapToGrid w:val="0"/>
              </w:rPr>
            </w:pPr>
            <w:r>
              <w:rPr>
                <w:i/>
                <w:snapToGrid w:val="0"/>
              </w:rPr>
              <w:t>Acts Amendment (Bankruptcy) Act 2009</w:t>
            </w:r>
            <w:r>
              <w:rPr>
                <w:iCs/>
                <w:snapToGrid w:val="0"/>
              </w:rPr>
              <w:t xml:space="preserve"> s. 33</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gridAfter w:val="1"/>
          <w:wAfter w:w="23" w:type="dxa"/>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After w:val="1"/>
          <w:wAfter w:w="23" w:type="dxa"/>
          <w:cantSplit/>
        </w:trPr>
        <w:tc>
          <w:tcPr>
            <w:tcW w:w="2269" w:type="dxa"/>
            <w:tcBorders>
              <w:bottom w:val="single" w:sz="4" w:space="0" w:color="auto"/>
            </w:tcBorders>
          </w:tcPr>
          <w:p>
            <w:pPr>
              <w:pStyle w:val="nTable"/>
              <w:spacing w:after="40"/>
              <w:rPr>
                <w:i/>
                <w:iCs/>
                <w:snapToGrid w:val="0"/>
              </w:rPr>
            </w:pPr>
            <w:r>
              <w:rPr>
                <w:i/>
                <w:snapToGrid w:val="0"/>
              </w:rPr>
              <w:t>Universities Legislation Amendment Act 2016</w:t>
            </w:r>
            <w:r>
              <w:rPr>
                <w:snapToGrid w:val="0"/>
              </w:rPr>
              <w:t xml:space="preserve"> Pt. 3 </w:t>
            </w:r>
          </w:p>
        </w:tc>
        <w:tc>
          <w:tcPr>
            <w:tcW w:w="1134" w:type="dxa"/>
            <w:tcBorders>
              <w:bottom w:val="single" w:sz="4" w:space="0" w:color="auto"/>
            </w:tcBorders>
          </w:tcPr>
          <w:p>
            <w:pPr>
              <w:pStyle w:val="nTable"/>
              <w:spacing w:after="40"/>
              <w:rPr>
                <w:snapToGrid w:val="0"/>
              </w:rPr>
            </w:pPr>
            <w:r>
              <w:t>32 of 2016</w:t>
            </w:r>
          </w:p>
        </w:tc>
        <w:tc>
          <w:tcPr>
            <w:tcW w:w="1134" w:type="dxa"/>
            <w:tcBorders>
              <w:bottom w:val="single" w:sz="4" w:space="0" w:color="auto"/>
            </w:tcBorders>
          </w:tcPr>
          <w:p>
            <w:pPr>
              <w:pStyle w:val="nTable"/>
              <w:spacing w:after="40"/>
            </w:pPr>
            <w:r>
              <w:t>19 Oct 2016</w:t>
            </w:r>
          </w:p>
        </w:tc>
        <w:tc>
          <w:tcPr>
            <w:tcW w:w="2552" w:type="dxa"/>
            <w:tcBorders>
              <w:bottom w:val="single" w:sz="4" w:space="0" w:color="auto"/>
            </w:tcBorders>
          </w:tcPr>
          <w:p>
            <w:pPr>
              <w:pStyle w:val="nTable"/>
              <w:spacing w:after="40"/>
              <w:rPr>
                <w:snapToGrid w:val="0"/>
              </w:rPr>
            </w:pPr>
            <w:r>
              <w:t xml:space="preserve">Pt. 3 (other than s. 61): 2 Jan 2017 (see s. 2(b) and </w:t>
            </w:r>
            <w:r>
              <w:rPr>
                <w:i/>
              </w:rPr>
              <w:t>Gazette</w:t>
            </w:r>
            <w:r>
              <w:t xml:space="preserve"> 9 Dec 2016 p. 5557);</w:t>
            </w:r>
            <w:r>
              <w:br/>
              <w:t xml:space="preserve">s. 61: 1 Oct 2017 (see s. 2(b) and </w:t>
            </w:r>
            <w:r>
              <w:rPr>
                <w:i/>
              </w:rPr>
              <w:t>Gazette</w:t>
            </w:r>
            <w:r>
              <w:t xml:space="preserve"> 9 Dec 2016 p. 5557)</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5" w:name="_Toc494452189"/>
      <w:r>
        <w:t>Provisions that have not come into operation</w:t>
      </w:r>
      <w:bookmarkEnd w:id="115"/>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trPr>
        <w:tc>
          <w:tcPr>
            <w:tcW w:w="2246"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5" w:type="dxa"/>
            <w:tcBorders>
              <w:top w:val="single" w:sz="8" w:space="0" w:color="auto"/>
              <w:bottom w:val="single" w:sz="4" w:space="0" w:color="auto"/>
            </w:tcBorders>
          </w:tcPr>
          <w:p>
            <w:pPr>
              <w:pStyle w:val="nTable"/>
              <w:keepNext/>
              <w:keepLines/>
              <w:spacing w:after="40"/>
              <w:rPr>
                <w:b/>
              </w:rPr>
            </w:pPr>
            <w:r>
              <w:rPr>
                <w:b/>
              </w:rPr>
              <w:t>Number and year</w:t>
            </w:r>
          </w:p>
        </w:tc>
        <w:tc>
          <w:tcPr>
            <w:tcW w:w="1135" w:type="dxa"/>
            <w:tcBorders>
              <w:top w:val="single" w:sz="8" w:space="0" w:color="auto"/>
              <w:bottom w:val="single" w:sz="4" w:space="0" w:color="auto"/>
            </w:tcBorders>
          </w:tcPr>
          <w:p>
            <w:pPr>
              <w:pStyle w:val="nTable"/>
              <w:keepNext/>
              <w:keepLines/>
              <w:spacing w:after="40"/>
              <w:rPr>
                <w:b/>
              </w:rPr>
            </w:pPr>
            <w:r>
              <w:rPr>
                <w:b/>
              </w:rPr>
              <w:t>Assent</w:t>
            </w:r>
          </w:p>
        </w:tc>
        <w:tc>
          <w:tcPr>
            <w:tcW w:w="2564"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46" w:type="dxa"/>
            <w:tcBorders>
              <w:top w:val="single" w:sz="4" w:space="0" w:color="auto"/>
              <w:bottom w:val="single" w:sz="4" w:space="0" w:color="auto"/>
            </w:tcBorders>
          </w:tcPr>
          <w:p>
            <w:pPr>
              <w:pStyle w:val="nTable"/>
              <w:spacing w:after="40"/>
              <w:ind w:right="113"/>
              <w:rPr>
                <w:vertAlign w:val="superscript"/>
              </w:rPr>
            </w:pPr>
            <w:r>
              <w:rPr>
                <w:i/>
                <w:snapToGrid w:val="0"/>
              </w:rPr>
              <w:t xml:space="preserve">State Superannuation (Transitional and Consequential Provisions) Act 2000 </w:t>
            </w:r>
            <w:r>
              <w:rPr>
                <w:snapToGrid w:val="0"/>
              </w:rPr>
              <w:t>s. 40</w:t>
            </w:r>
            <w:r>
              <w:rPr>
                <w:snapToGrid w:val="0"/>
                <w:vertAlign w:val="superscript"/>
              </w:rPr>
              <w:t> 12</w:t>
            </w:r>
          </w:p>
        </w:tc>
        <w:tc>
          <w:tcPr>
            <w:tcW w:w="1135" w:type="dxa"/>
            <w:tcBorders>
              <w:top w:val="single" w:sz="4" w:space="0" w:color="auto"/>
              <w:bottom w:val="single" w:sz="4" w:space="0" w:color="auto"/>
            </w:tcBorders>
          </w:tcPr>
          <w:p>
            <w:pPr>
              <w:pStyle w:val="nTable"/>
              <w:keepNext/>
              <w:keepLines/>
              <w:spacing w:after="40"/>
            </w:pPr>
            <w:r>
              <w:t>43 of 2000</w:t>
            </w:r>
          </w:p>
        </w:tc>
        <w:tc>
          <w:tcPr>
            <w:tcW w:w="1135" w:type="dxa"/>
            <w:tcBorders>
              <w:top w:val="single" w:sz="4" w:space="0" w:color="auto"/>
              <w:bottom w:val="single" w:sz="4" w:space="0" w:color="auto"/>
            </w:tcBorders>
          </w:tcPr>
          <w:p>
            <w:pPr>
              <w:pStyle w:val="nTable"/>
              <w:keepNext/>
              <w:keepLines/>
              <w:spacing w:after="40"/>
            </w:pPr>
            <w:r>
              <w:t>2 Nov 2000</w:t>
            </w:r>
          </w:p>
        </w:tc>
        <w:tc>
          <w:tcPr>
            <w:tcW w:w="2564" w:type="dxa"/>
            <w:tcBorders>
              <w:top w:val="single" w:sz="4" w:space="0" w:color="auto"/>
              <w:bottom w:val="single" w:sz="4" w:space="0" w:color="auto"/>
            </w:tcBorders>
          </w:tcPr>
          <w:p>
            <w:pPr>
              <w:pStyle w:val="nTable"/>
              <w:keepNext/>
              <w:keepLines/>
              <w:spacing w:after="40"/>
            </w:pPr>
            <w:r>
              <w:t>To be proclaimed (see s. 2(2))</w:t>
            </w:r>
          </w:p>
        </w:tc>
      </w:tr>
    </w:tbl>
    <w:p>
      <w:pPr>
        <w:pStyle w:val="nSubsection"/>
        <w:spacing w:before="160"/>
        <w:rPr>
          <w:i/>
          <w:iCs/>
          <w:snapToGrid w:val="0"/>
        </w:rPr>
      </w:pPr>
      <w:r>
        <w:rPr>
          <w:snapToGrid w:val="0"/>
          <w:vertAlign w:val="superscript"/>
        </w:rPr>
        <w:t>2</w:t>
      </w:r>
      <w:r>
        <w:rPr>
          <w:snapToGrid w:val="0"/>
        </w:rPr>
        <w:tab/>
        <w:t xml:space="preserve">Repealed by the </w:t>
      </w:r>
      <w:r>
        <w:rPr>
          <w:i/>
          <w:iCs/>
          <w:snapToGrid w:val="0"/>
        </w:rPr>
        <w:t>School Education Act 1999.</w:t>
      </w:r>
    </w:p>
    <w:p>
      <w:pPr>
        <w:pStyle w:val="nSubsection"/>
        <w:rPr>
          <w:snapToGrid w:val="0"/>
        </w:rPr>
      </w:pPr>
      <w:r>
        <w:rPr>
          <w:snapToGrid w:val="0"/>
          <w:vertAlign w:val="superscript"/>
        </w:rPr>
        <w:t>3</w:t>
      </w:r>
      <w:r>
        <w:rPr>
          <w:snapToGrid w:val="0"/>
        </w:rPr>
        <w:tab/>
        <w:t xml:space="preserve">Under the </w:t>
      </w:r>
      <w:r>
        <w:rPr>
          <w:i/>
          <w:snapToGrid w:val="0"/>
        </w:rPr>
        <w:t>Teacher Education Act 1972</w:t>
      </w:r>
      <w:r>
        <w:rPr>
          <w:snapToGrid w:val="0"/>
        </w:rPr>
        <w:t xml:space="preserve"> s. 57, the appointed day was 26 November 1973.  See </w:t>
      </w:r>
      <w:r>
        <w:rPr>
          <w:i/>
          <w:snapToGrid w:val="0"/>
        </w:rPr>
        <w:t>Gazette</w:t>
      </w:r>
      <w:r>
        <w:rPr>
          <w:snapToGrid w:val="0"/>
        </w:rPr>
        <w:t xml:space="preserve"> 23 November 1973 p. 4266.  The Act was repealed by the </w:t>
      </w:r>
      <w:r>
        <w:rPr>
          <w:i/>
          <w:snapToGrid w:val="0"/>
        </w:rPr>
        <w:t xml:space="preserve">Colleges Act 1978 </w:t>
      </w:r>
      <w:r>
        <w:rPr>
          <w:snapToGrid w:val="0"/>
        </w:rPr>
        <w:t>s. 5.</w:t>
      </w:r>
    </w:p>
    <w:p>
      <w:pPr>
        <w:pStyle w:val="nSubsection"/>
        <w:rPr>
          <w:snapToGrid w:val="0"/>
        </w:rPr>
      </w:pPr>
      <w:r>
        <w:rPr>
          <w:snapToGrid w:val="0"/>
          <w:vertAlign w:val="superscript"/>
        </w:rPr>
        <w:t>4</w:t>
      </w:r>
      <w:r>
        <w:rPr>
          <w:snapToGrid w:val="0"/>
        </w:rPr>
        <w:tab/>
        <w:t xml:space="preserve">Repealed by the </w:t>
      </w:r>
      <w:r>
        <w:rPr>
          <w:i/>
          <w:snapToGrid w:val="0"/>
        </w:rPr>
        <w:t>Vocational Education and Training Act 1996</w:t>
      </w:r>
      <w:r>
        <w:rPr>
          <w:snapToGrid w:val="0"/>
        </w:rPr>
        <w:t>.</w:t>
      </w:r>
    </w:p>
    <w:p>
      <w:pPr>
        <w:pStyle w:val="nSubsection"/>
        <w:rPr>
          <w:iCs/>
          <w:snapToGrid w:val="0"/>
        </w:rPr>
      </w:pPr>
      <w:r>
        <w:rPr>
          <w:iCs/>
          <w:snapToGrid w:val="0"/>
          <w:vertAlign w:val="superscript"/>
        </w:rPr>
        <w:t>5</w:t>
      </w:r>
      <w:r>
        <w:rPr>
          <w:iCs/>
          <w:snapToGrid w:val="0"/>
        </w:rPr>
        <w:tab/>
        <w:t xml:space="preserve">The </w:t>
      </w:r>
      <w:r>
        <w:rPr>
          <w:i/>
          <w:snapToGrid w:val="0"/>
        </w:rPr>
        <w:t>Superannuation and</w:t>
      </w:r>
      <w:r>
        <w:rPr>
          <w:iCs/>
          <w:snapToGrid w:val="0"/>
        </w:rPr>
        <w:t xml:space="preserve"> </w:t>
      </w:r>
      <w:r>
        <w:rPr>
          <w:i/>
          <w:snapToGrid w:val="0"/>
        </w:rPr>
        <w:t xml:space="preserve">Family Benefits Act 1938 </w:t>
      </w:r>
      <w:r>
        <w:rPr>
          <w:iCs/>
          <w:snapToGrid w:val="0"/>
        </w:rPr>
        <w:t xml:space="preserve">was repealed by the </w:t>
      </w:r>
      <w:r>
        <w:rPr>
          <w:i/>
          <w:snapToGrid w:val="0"/>
        </w:rPr>
        <w:t xml:space="preserve">State Superannuation Act 2000 </w:t>
      </w:r>
      <w:r>
        <w:rPr>
          <w:iCs/>
          <w:snapToGrid w:val="0"/>
        </w:rPr>
        <w:t xml:space="preserve">s. 39 but its provisions continue to apply to and in relation to certain schemes because of the </w:t>
      </w:r>
      <w:r>
        <w:rPr>
          <w:i/>
          <w:snapToGrid w:val="0"/>
        </w:rPr>
        <w:t>State Superannuation (Transitional and Consequential Provisions) Act 2000</w:t>
      </w:r>
      <w:r>
        <w:rPr>
          <w:iCs/>
          <w:snapToGrid w:val="0"/>
        </w:rPr>
        <w:t xml:space="preserve"> s. 26 and those provisions may be amended by regulations under subsection (3) of that section.</w:t>
      </w:r>
    </w:p>
    <w:p>
      <w:pPr>
        <w:pStyle w:val="nSubsection"/>
        <w:rPr>
          <w:i/>
          <w:snapToGrid w:val="0"/>
        </w:rPr>
      </w:pPr>
      <w:r>
        <w:rPr>
          <w:iCs/>
          <w:snapToGrid w:val="0"/>
          <w:vertAlign w:val="superscript"/>
        </w:rPr>
        <w:t>6</w:t>
      </w:r>
      <w:r>
        <w:rPr>
          <w:iCs/>
          <w:snapToGrid w:val="0"/>
        </w:rPr>
        <w:tab/>
        <w:t xml:space="preserve">Repealed by the </w:t>
      </w:r>
      <w:r>
        <w:rPr>
          <w:i/>
          <w:snapToGrid w:val="0"/>
        </w:rPr>
        <w:t xml:space="preserve">State Superannuation Act 2000 </w:t>
      </w:r>
      <w:r>
        <w:rPr>
          <w:iCs/>
          <w:snapToGrid w:val="0"/>
        </w:rPr>
        <w:t>(see also endnote 12).</w:t>
      </w:r>
    </w:p>
    <w:p>
      <w:pPr>
        <w:pStyle w:val="nSubsection"/>
        <w:rPr>
          <w:iCs/>
          <w:snapToGrid w:val="0"/>
        </w:rPr>
      </w:pPr>
      <w:r>
        <w:rPr>
          <w:iCs/>
          <w:snapToGrid w:val="0"/>
          <w:vertAlign w:val="superscript"/>
        </w:rPr>
        <w:t>7</w:t>
      </w:r>
      <w:r>
        <w:rPr>
          <w:i/>
          <w:snapToGrid w:val="0"/>
        </w:rPr>
        <w:tab/>
      </w:r>
      <w:r>
        <w:rPr>
          <w:iCs/>
          <w:snapToGrid w:val="0"/>
        </w:rPr>
        <w:t xml:space="preserve">Now known as the </w:t>
      </w:r>
      <w:r>
        <w:rPr>
          <w:i/>
          <w:snapToGrid w:val="0"/>
        </w:rPr>
        <w:t>Edith Cowan University Act 1984</w:t>
      </w:r>
      <w:r>
        <w:rPr>
          <w:iCs/>
          <w:snapToGrid w:val="0"/>
        </w:rPr>
        <w:t>; short title changed (see note under s. 1).</w:t>
      </w:r>
    </w:p>
    <w:p>
      <w:pPr>
        <w:pStyle w:val="nSubsection"/>
        <w:keepNext/>
        <w:keepLines/>
        <w:rPr>
          <w:snapToGrid w:val="0"/>
        </w:rPr>
      </w:pPr>
      <w:r>
        <w:rPr>
          <w:snapToGrid w:val="0"/>
          <w:vertAlign w:val="superscript"/>
        </w:rPr>
        <w:t>8</w:t>
      </w:r>
      <w:r>
        <w:rPr>
          <w:snapToGrid w:val="0"/>
        </w:rPr>
        <w:tab/>
        <w:t xml:space="preserve">The </w:t>
      </w:r>
      <w:r>
        <w:rPr>
          <w:i/>
          <w:snapToGrid w:val="0"/>
        </w:rPr>
        <w:t>Acts Amendment (Educational Institutions</w:t>
      </w:r>
      <w:r>
        <w:rPr>
          <w:snapToGrid w:val="0"/>
        </w:rPr>
        <w:t xml:space="preserve"> </w:t>
      </w:r>
      <w:r>
        <w:rPr>
          <w:i/>
          <w:snapToGrid w:val="0"/>
        </w:rPr>
        <w:t>Superannuation) Act 1985</w:t>
      </w:r>
      <w:r>
        <w:rPr>
          <w:snapToGrid w:val="0"/>
        </w:rPr>
        <w:t xml:space="preserve"> s. 14 and 15 read as follows:</w:t>
      </w:r>
    </w:p>
    <w:p>
      <w:pPr>
        <w:pStyle w:val="MiscOpen"/>
        <w:rPr>
          <w:snapToGrid w:val="0"/>
        </w:rPr>
      </w:pPr>
      <w:r>
        <w:rPr>
          <w:snapToGrid w:val="0"/>
        </w:rPr>
        <w:t>“</w:t>
      </w:r>
    </w:p>
    <w:p>
      <w:pPr>
        <w:pStyle w:val="nzHeading5"/>
      </w:pPr>
      <w:r>
        <w:t>14.</w:t>
      </w:r>
      <w:r>
        <w:tab/>
        <w:t xml:space="preserve">Rights of contributors to The Superannuation Fund and the Western Australian Post Secondary Education Superannuation Scheme </w:t>
      </w:r>
    </w:p>
    <w:p>
      <w:pPr>
        <w:pStyle w:val="nzSubsection"/>
      </w:pPr>
      <w:r>
        <w:tab/>
        <w:t>(1)</w:t>
      </w:r>
      <w:r>
        <w:tab/>
        <w:t>Notwithstanding section 13, where a member of the staff of the University was, immediately before the coming into operation of that section — </w:t>
      </w:r>
    </w:p>
    <w:p>
      <w:pPr>
        <w:pStyle w:val="nzIndenta"/>
        <w:rPr>
          <w:snapToGrid w:val="0"/>
        </w:rPr>
      </w:pPr>
      <w:r>
        <w:rPr>
          <w:snapToGrid w:val="0"/>
        </w:rPr>
        <w:tab/>
        <w:t>(a)</w:t>
      </w:r>
      <w:r>
        <w:rPr>
          <w:snapToGrid w:val="0"/>
        </w:rPr>
        <w:tab/>
        <w:t xml:space="preserve">a contributor for pension, superannuation or benefits under an agreement entered into by the Council under section 35 of the Colleges Act as incorporated by section 34 of the principal Act as in force before the coming into operation of section 13, he shall be entitled to continue to be such a contributor and to retain his accrued rights under the </w:t>
      </w:r>
      <w:r>
        <w:rPr>
          <w:i/>
          <w:snapToGrid w:val="0"/>
        </w:rPr>
        <w:t>Superannuation and Family Benefits Act 1938</w:t>
      </w:r>
      <w:r>
        <w:rPr>
          <w:snapToGrid w:val="0"/>
        </w:rPr>
        <w:t>; or</w:t>
      </w:r>
    </w:p>
    <w:p>
      <w:pPr>
        <w:pStyle w:val="nzIndenta"/>
        <w:rPr>
          <w:snapToGrid w:val="0"/>
        </w:rPr>
      </w:pPr>
      <w:r>
        <w:rPr>
          <w:snapToGrid w:val="0"/>
        </w:rPr>
        <w:tab/>
        <w:t>(b)</w:t>
      </w:r>
      <w:r>
        <w:rPr>
          <w:snapToGrid w:val="0"/>
        </w:rPr>
        <w:tab/>
        <w:t>a member of the Western Australian Post Secondary Education Superannuation Scheme established under section 36 of the Colleges Act as incorporated by section 34 of the principal Act as in force before the coming into operation of section 13, he shall be entitled to continue to be such a member and to retain his accrued rights under that superannuation scheme.</w:t>
      </w:r>
    </w:p>
    <w:p>
      <w:pPr>
        <w:pStyle w:val="nzHeading5"/>
        <w:rPr>
          <w:snapToGrid w:val="0"/>
        </w:rPr>
      </w:pPr>
      <w:r>
        <w:rPr>
          <w:snapToGrid w:val="0"/>
        </w:rPr>
        <w:t>15.</w:t>
      </w:r>
      <w:r>
        <w:rPr>
          <w:snapToGrid w:val="0"/>
        </w:rPr>
        <w:tab/>
        <w:t xml:space="preserve">Rights and liabilities of the Council not affected </w:t>
      </w:r>
    </w:p>
    <w:p>
      <w:pPr>
        <w:pStyle w:val="nzSubsection"/>
        <w:rPr>
          <w:snapToGrid w:val="0"/>
        </w:rPr>
      </w:pPr>
      <w:r>
        <w:rPr>
          <w:snapToGrid w:val="0"/>
        </w:rPr>
        <w:tab/>
      </w:r>
      <w:r>
        <w:rPr>
          <w:snapToGrid w:val="0"/>
        </w:rPr>
        <w:tab/>
        <w:t>Nothing in section 13 affects any rights or liabilities of the Council under an agreement entered into by the Council under section 35 of the Colleges Act as incorporated by section 34 of the principal Act as in force before the coming into operation of section 13.</w:t>
      </w:r>
    </w:p>
    <w:p>
      <w:pPr>
        <w:pStyle w:val="MiscClose"/>
        <w:rPr>
          <w:snapToGrid w:val="0"/>
          <w:vertAlign w:val="superscript"/>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Statutes (Repeals and Minor Amendments) Act (No. 2) 1998</w:t>
      </w:r>
      <w:r>
        <w:rPr>
          <w:snapToGrid w:val="0"/>
        </w:rPr>
        <w:t xml:space="preserve"> s. 30(2)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Despite subsection (1)(a), each person appointed and holding office as a member of the Council of the University under section 9(1)(a) of the Act immediately before the commencement of this section continues, subject to the Act, to hold office as a member for the remainder of the period for which he or she was appointed.</w:t>
      </w:r>
    </w:p>
    <w:p>
      <w:pPr>
        <w:pStyle w:val="MiscClose"/>
        <w:rPr>
          <w:snapToGrid w:val="0"/>
        </w:rPr>
      </w:pPr>
      <w:r>
        <w:rPr>
          <w:snapToGrid w:val="0"/>
        </w:rPr>
        <w:t>”.</w:t>
      </w:r>
    </w:p>
    <w:p>
      <w:pPr>
        <w:pStyle w:val="nSubsection"/>
      </w:pPr>
      <w:r>
        <w:rPr>
          <w:vertAlign w:val="superscript"/>
        </w:rPr>
        <w:t>10</w:t>
      </w:r>
      <w:r>
        <w:tab/>
        <w:t xml:space="preserve">The </w:t>
      </w:r>
      <w:r>
        <w:rPr>
          <w:i/>
        </w:rPr>
        <w:t>Statutes (Repeals and Minor Amendments) Act 2003</w:t>
      </w:r>
      <w:r>
        <w:t xml:space="preserve"> s. 46(5) reads as follows:</w:t>
      </w:r>
    </w:p>
    <w:p>
      <w:pPr>
        <w:pStyle w:val="MiscOpen"/>
      </w:pPr>
      <w:r>
        <w:t>“</w:t>
      </w:r>
    </w:p>
    <w:p>
      <w:pPr>
        <w:pStyle w:val="nzSubsection"/>
      </w:pPr>
      <w:r>
        <w:tab/>
        <w:t>(5)</w:t>
      </w:r>
      <w:r>
        <w:tab/>
        <w:t>A person holding office as the chairperson or a member of the Bunbury Campus Advisory Board immediately before the commencement day continues to hold office on and after that day, subject to the Statute of the University under which the person was appointed, as the chairperson or a member of the ECU South West Campus (Bunbury) Advisory Board, as the case requires, for the remainder of the period for which he or she was appointed to the Bunbury Campus Advisory Board.</w:t>
      </w:r>
    </w:p>
    <w:p>
      <w:pPr>
        <w:pStyle w:val="MiscClose"/>
      </w:pPr>
      <w:r>
        <w:t>”.</w:t>
      </w:r>
    </w:p>
    <w:p>
      <w:pPr>
        <w:pStyle w:val="nSubsection"/>
        <w:keepNext/>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w:t>
      </w:r>
      <w:r>
        <w:rPr>
          <w:snapToGrid w:val="0"/>
        </w:rPr>
        <w:t>s. 16 reads as follows:</w:t>
      </w:r>
    </w:p>
    <w:p>
      <w:pPr>
        <w:pStyle w:val="MiscOpen"/>
        <w:rPr>
          <w:snapToGrid w:val="0"/>
          <w:highlight w:val="cyan"/>
        </w:rPr>
      </w:pPr>
      <w:r>
        <w:rPr>
          <w:snapToGrid w:val="0"/>
        </w:rPr>
        <w:t>“</w:t>
      </w:r>
    </w:p>
    <w:p>
      <w:pPr>
        <w:pStyle w:val="nzHeading5"/>
      </w:pPr>
      <w:r>
        <w:rPr>
          <w:rStyle w:val="CharSectno"/>
        </w:rPr>
        <w:t>16</w:t>
      </w:r>
      <w:r>
        <w:t>.</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9(1)(g) or (h)</w:t>
      </w:r>
      <w:r>
        <w:t xml:space="preserve"> means the </w:t>
      </w:r>
      <w:r>
        <w:rPr>
          <w:i/>
        </w:rPr>
        <w:t>Edith Cowan University Act 1984</w:t>
      </w:r>
      <w:r>
        <w:t xml:space="preserve"> section 9(1)(g) or (h) as those provisions were in effect immediately before commencement day;</w:t>
      </w:r>
    </w:p>
    <w:p>
      <w:pPr>
        <w:pStyle w:val="nzDefstart"/>
      </w:pPr>
      <w:r>
        <w:rPr>
          <w:b/>
        </w:rPr>
        <w:tab/>
      </w:r>
      <w:r>
        <w:rPr>
          <w:rStyle w:val="CharDefText"/>
        </w:rPr>
        <w:t>member</w:t>
      </w:r>
      <w:r>
        <w:t xml:space="preserve"> means a member of the Council of the Edith Cowan University.</w:t>
      </w:r>
    </w:p>
    <w:p>
      <w:pPr>
        <w:pStyle w:val="nzSubsection"/>
      </w:pPr>
      <w:r>
        <w:tab/>
        <w:t>(2)</w:t>
      </w:r>
      <w:r>
        <w:tab/>
        <w:t>The persons who, immediately before commencement day, were members under deleted section 9(1)(g) or (h) cease to be members on commencement day.</w:t>
      </w:r>
    </w:p>
    <w:p>
      <w:pPr>
        <w:pStyle w:val="nzSubsection"/>
        <w:jc w:val="right"/>
      </w:pPr>
      <w:r>
        <w:t xml:space="preserve">    ”.</w:t>
      </w:r>
    </w:p>
    <w:p>
      <w:pPr>
        <w:pStyle w:val="nSubsection"/>
        <w:keepNext/>
      </w:pPr>
      <w:r>
        <w:rPr>
          <w:snapToGrid w:val="0"/>
          <w:vertAlign w:val="superscript"/>
        </w:rPr>
        <w:t>12</w:t>
      </w:r>
      <w:r>
        <w:rPr>
          <w:snapToGrid w:val="0"/>
        </w:rPr>
        <w:tab/>
        <w:t xml:space="preserve">On the date on which this compilation was prepared, the </w:t>
      </w:r>
      <w:r>
        <w:rPr>
          <w:i/>
          <w:snapToGrid w:val="0"/>
        </w:rPr>
        <w:t>State Superannuation (Transitional and Consequential Provisions) Act 2000</w:t>
      </w:r>
      <w:r>
        <w:rPr>
          <w:snapToGrid w:val="0"/>
        </w:rPr>
        <w:t xml:space="preserve"> s. 40 had not come into operation.  It reads as follows:</w:t>
      </w:r>
    </w:p>
    <w:p>
      <w:pPr>
        <w:pStyle w:val="MiscOpen"/>
        <w:rPr>
          <w:snapToGrid w:val="0"/>
        </w:rPr>
      </w:pPr>
      <w:r>
        <w:rPr>
          <w:snapToGrid w:val="0"/>
        </w:rPr>
        <w:t>“</w:t>
      </w:r>
    </w:p>
    <w:p>
      <w:pPr>
        <w:pStyle w:val="nzHeading5"/>
        <w:ind w:right="618"/>
      </w:pPr>
      <w:r>
        <w:rPr>
          <w:rStyle w:val="CharSectno"/>
        </w:rPr>
        <w:t>40</w:t>
      </w:r>
      <w:r>
        <w:t>.</w:t>
      </w:r>
      <w:r>
        <w:tab/>
      </w:r>
      <w:r>
        <w:rPr>
          <w:i/>
        </w:rPr>
        <w:t>Edith Cowan University Act 1984</w:t>
      </w:r>
      <w:r>
        <w:t xml:space="preserve"> amended</w:t>
      </w:r>
    </w:p>
    <w:p>
      <w:pPr>
        <w:pStyle w:val="nzSubsection"/>
        <w:ind w:right="618"/>
      </w:pPr>
      <w:r>
        <w:tab/>
      </w:r>
      <w:r>
        <w:tab/>
        <w:t xml:space="preserve">The </w:t>
      </w:r>
      <w:r>
        <w:rPr>
          <w:i/>
        </w:rPr>
        <w:t>Edith Cowan University Act 1984</w:t>
      </w:r>
      <w:r>
        <w:t xml:space="preserve"> is amended as follows:</w:t>
      </w:r>
    </w:p>
    <w:p>
      <w:pPr>
        <w:pStyle w:val="nzIndenta"/>
        <w:ind w:right="618"/>
      </w:pPr>
      <w:r>
        <w:tab/>
        <w:t>(a)</w:t>
      </w:r>
      <w:r>
        <w:tab/>
        <w:t xml:space="preserve">in section 32(1) by deleting “, retirement and his rights if any under the </w:t>
      </w:r>
      <w:r>
        <w:rPr>
          <w:i/>
        </w:rPr>
        <w:t>Superannuation and Family Benefits Act 1938</w:t>
      </w:r>
      <w:r>
        <w:t>.” and inserting instead —</w:t>
      </w:r>
    </w:p>
    <w:p>
      <w:pPr>
        <w:pStyle w:val="nzIndenta"/>
        <w:ind w:right="618"/>
      </w:pPr>
      <w:r>
        <w:tab/>
      </w:r>
      <w:r>
        <w:tab/>
        <w:t>“    and retirement.    ”;</w:t>
      </w:r>
    </w:p>
    <w:p>
      <w:pPr>
        <w:pStyle w:val="nzIndenta"/>
        <w:ind w:right="618"/>
      </w:pPr>
      <w:r>
        <w:tab/>
        <w:t>(b)</w:t>
      </w:r>
      <w:r>
        <w:tab/>
        <w:t xml:space="preserve">by repealing section 32(2);  </w:t>
      </w:r>
    </w:p>
    <w:p>
      <w:pPr>
        <w:pStyle w:val="nzIndenta"/>
        <w:ind w:right="618"/>
      </w:pPr>
      <w:r>
        <w:tab/>
        <w:t>(c)</w:t>
      </w:r>
      <w:r>
        <w:tab/>
        <w:t xml:space="preserve">in section 34(3) by deleting “contributor for pension, superannuation or benefits under the </w:t>
      </w:r>
      <w:r>
        <w:rPr>
          <w:i/>
        </w:rPr>
        <w:t>Superannuation and Family Benefits Act 1938</w:t>
      </w:r>
      <w:r>
        <w:t>.” and inserting instead —</w:t>
      </w:r>
    </w:p>
    <w:p>
      <w:pPr>
        <w:pStyle w:val="MiscOpen"/>
        <w:tabs>
          <w:tab w:val="clear" w:pos="893"/>
          <w:tab w:val="left" w:pos="1440"/>
        </w:tabs>
        <w:ind w:left="879" w:right="618"/>
        <w:rPr>
          <w:sz w:val="20"/>
        </w:rPr>
      </w:pPr>
      <w:r>
        <w:rPr>
          <w:sz w:val="20"/>
        </w:rPr>
        <w:tab/>
        <w:t xml:space="preserve">“    </w:t>
      </w:r>
    </w:p>
    <w:p>
      <w:pPr>
        <w:pStyle w:val="nzSubsection"/>
        <w:ind w:left="2160" w:right="498" w:hanging="1565"/>
      </w:pPr>
      <w:r>
        <w:tab/>
      </w:r>
      <w:r>
        <w:tab/>
      </w:r>
      <w:r>
        <w:tab/>
        <w:t xml:space="preserve">Member of a superannuation scheme continued by section 29(c) or (d) of the </w:t>
      </w:r>
      <w:r>
        <w:rPr>
          <w:i/>
        </w:rPr>
        <w:t>State Superannuation Act 2000</w:t>
      </w:r>
      <w:r>
        <w:t>.</w:t>
      </w:r>
    </w:p>
    <w:p>
      <w:pPr>
        <w:pStyle w:val="MiscClose"/>
        <w:ind w:right="258"/>
        <w:rPr>
          <w:sz w:val="20"/>
        </w:rPr>
      </w:pPr>
      <w:r>
        <w:rPr>
          <w:sz w:val="20"/>
        </w:rPr>
        <w:t xml:space="preserve">    ”.</w:t>
      </w:r>
    </w:p>
    <w:p>
      <w:pPr>
        <w:pStyle w:val="MiscClose"/>
      </w:pPr>
      <w:r>
        <w:t>”.</w:t>
      </w:r>
    </w:p>
    <w:p>
      <w:pPr>
        <w:pStyle w:val="BlankClose"/>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rPr>
          <w:sz w:val="28"/>
        </w:rPr>
      </w:pPr>
      <w:bookmarkStart w:id="117" w:name="_Toc494452190"/>
      <w:r>
        <w:rPr>
          <w:sz w:val="28"/>
        </w:rPr>
        <w:t>Defined terms</w:t>
      </w:r>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Academic Board</w:t>
      </w:r>
      <w:r>
        <w:tab/>
        <w:t>3(1)</w:t>
      </w:r>
    </w:p>
    <w:p>
      <w:pPr>
        <w:pStyle w:val="DefinedTerms"/>
      </w:pPr>
      <w:r>
        <w:t>Academy</w:t>
      </w:r>
      <w:r>
        <w:tab/>
        <w:t>3(1)</w:t>
      </w:r>
    </w:p>
    <w:p>
      <w:pPr>
        <w:pStyle w:val="DefinedTerms"/>
      </w:pPr>
      <w:r>
        <w:t>advance determination</w:t>
      </w:r>
      <w:r>
        <w:tab/>
        <w:t>30A</w:t>
      </w:r>
    </w:p>
    <w:p>
      <w:pPr>
        <w:pStyle w:val="DefinedTerms"/>
      </w:pPr>
      <w:r>
        <w:t>Advisory Board</w:t>
      </w:r>
      <w:r>
        <w:tab/>
        <w:t>3(1)</w:t>
      </w:r>
    </w:p>
    <w:p>
      <w:pPr>
        <w:pStyle w:val="DefinedTerms"/>
      </w:pPr>
      <w:r>
        <w:t>Advisory Board of the Academy</w:t>
      </w:r>
      <w:r>
        <w:tab/>
        <w:t>58(1)</w:t>
      </w:r>
    </w:p>
    <w:p>
      <w:pPr>
        <w:pStyle w:val="DefinedTerms"/>
      </w:pPr>
      <w:r>
        <w:t>Alumni</w:t>
      </w:r>
      <w:r>
        <w:tab/>
        <w:t>3(1)</w:t>
      </w:r>
    </w:p>
    <w:p>
      <w:pPr>
        <w:pStyle w:val="DefinedTerms"/>
      </w:pPr>
      <w:r>
        <w:t>approval</w:t>
      </w:r>
      <w:r>
        <w:tab/>
        <w:t>30A</w:t>
      </w:r>
    </w:p>
    <w:p>
      <w:pPr>
        <w:pStyle w:val="DefinedTerms"/>
      </w:pPr>
      <w:r>
        <w:t>authorised person</w:t>
      </w:r>
      <w:r>
        <w:tab/>
        <w:t>29(1A)</w:t>
      </w:r>
    </w:p>
    <w:p>
      <w:pPr>
        <w:pStyle w:val="DefinedTerms"/>
      </w:pPr>
      <w:r>
        <w:t>casual vacancy</w:t>
      </w:r>
      <w:r>
        <w:tab/>
        <w:t>3(1)</w:t>
      </w:r>
    </w:p>
    <w:p>
      <w:pPr>
        <w:pStyle w:val="DefinedTerms"/>
      </w:pPr>
      <w:r>
        <w:t>Chancellor</w:t>
      </w:r>
      <w:r>
        <w:tab/>
        <w:t>3(1)</w:t>
      </w:r>
    </w:p>
    <w:p>
      <w:pPr>
        <w:pStyle w:val="DefinedTerms"/>
      </w:pPr>
      <w:r>
        <w:t>Colleges Act</w:t>
      </w:r>
      <w:r>
        <w:tab/>
        <w:t>3(1)</w:t>
      </w:r>
    </w:p>
    <w:p>
      <w:pPr>
        <w:pStyle w:val="DefinedTerms"/>
      </w:pPr>
      <w:r>
        <w:t>commencement date</w:t>
      </w:r>
      <w:r>
        <w:tab/>
        <w:t>3(1)</w:t>
      </w:r>
    </w:p>
    <w:p>
      <w:pPr>
        <w:pStyle w:val="DefinedTerms"/>
      </w:pPr>
      <w:r>
        <w:t>commencement day</w:t>
      </w:r>
      <w:r>
        <w:tab/>
        <w:t>54</w:t>
      </w:r>
    </w:p>
    <w:p>
      <w:pPr>
        <w:pStyle w:val="DefinedTerms"/>
      </w:pPr>
      <w:r>
        <w:t>commercial arrangement</w:t>
      </w:r>
      <w:r>
        <w:tab/>
        <w:t>30A</w:t>
      </w:r>
    </w:p>
    <w:p>
      <w:pPr>
        <w:pStyle w:val="DefinedTerms"/>
      </w:pPr>
      <w:r>
        <w:t>commercial purpose</w:t>
      </w:r>
      <w:r>
        <w:tab/>
        <w:t>30A</w:t>
      </w:r>
    </w:p>
    <w:p>
      <w:pPr>
        <w:pStyle w:val="DefinedTerms"/>
      </w:pPr>
      <w:r>
        <w:t>contractor</w:t>
      </w:r>
      <w:r>
        <w:tab/>
        <w:t>29(1A)</w:t>
      </w:r>
    </w:p>
    <w:p>
      <w:pPr>
        <w:pStyle w:val="DefinedTerms"/>
      </w:pPr>
      <w:r>
        <w:t>Council</w:t>
      </w:r>
      <w:r>
        <w:tab/>
        <w:t>3(1)</w:t>
      </w:r>
    </w:p>
    <w:p>
      <w:pPr>
        <w:pStyle w:val="DefinedTerms"/>
      </w:pPr>
      <w:r>
        <w:t>debt paper</w:t>
      </w:r>
      <w:r>
        <w:tab/>
        <w:t>37(1)</w:t>
      </w:r>
    </w:p>
    <w:p>
      <w:pPr>
        <w:pStyle w:val="DefinedTerms"/>
      </w:pPr>
      <w:r>
        <w:t>Department</w:t>
      </w:r>
      <w:r>
        <w:tab/>
        <w:t>30M(1)</w:t>
      </w:r>
    </w:p>
    <w:p>
      <w:pPr>
        <w:pStyle w:val="DefinedTerms"/>
      </w:pPr>
      <w:r>
        <w:t>Deputy Chancellor</w:t>
      </w:r>
      <w:r>
        <w:tab/>
        <w:t>3(1)</w:t>
      </w:r>
    </w:p>
    <w:p>
      <w:pPr>
        <w:pStyle w:val="DefinedTerms"/>
      </w:pPr>
      <w:r>
        <w:t>enrolled student</w:t>
      </w:r>
      <w:r>
        <w:tab/>
        <w:t>3(1)</w:t>
      </w:r>
    </w:p>
    <w:p>
      <w:pPr>
        <w:pStyle w:val="DefinedTerms"/>
      </w:pPr>
      <w:r>
        <w:t>examination</w:t>
      </w:r>
      <w:r>
        <w:tab/>
        <w:t>3(1)</w:t>
      </w:r>
    </w:p>
    <w:p>
      <w:pPr>
        <w:pStyle w:val="DefinedTerms"/>
      </w:pPr>
      <w:r>
        <w:t>former Board</w:t>
      </w:r>
      <w:r>
        <w:tab/>
        <w:t>58(1)</w:t>
      </w:r>
    </w:p>
    <w:p>
      <w:pPr>
        <w:pStyle w:val="DefinedTerms"/>
      </w:pPr>
      <w:r>
        <w:t>former section 27</w:t>
      </w:r>
      <w:r>
        <w:tab/>
        <w:t>59(1)</w:t>
      </w:r>
    </w:p>
    <w:p>
      <w:pPr>
        <w:pStyle w:val="DefinedTerms"/>
      </w:pPr>
      <w:r>
        <w:t>former section 41A</w:t>
      </w:r>
      <w:r>
        <w:tab/>
        <w:t>61(1)</w:t>
      </w:r>
    </w:p>
    <w:p>
      <w:pPr>
        <w:pStyle w:val="DefinedTerms"/>
      </w:pPr>
      <w:r>
        <w:t>Governor</w:t>
      </w:r>
      <w:r>
        <w:tab/>
        <w:t>42(2)</w:t>
      </w:r>
    </w:p>
    <w:p>
      <w:pPr>
        <w:pStyle w:val="DefinedTerms"/>
      </w:pPr>
      <w:r>
        <w:t>lease</w:t>
      </w:r>
      <w:r>
        <w:tab/>
        <w:t>30A</w:t>
      </w:r>
    </w:p>
    <w:p>
      <w:pPr>
        <w:pStyle w:val="DefinedTerms"/>
      </w:pPr>
      <w:r>
        <w:t>limited company</w:t>
      </w:r>
      <w:r>
        <w:tab/>
        <w:t>30A</w:t>
      </w:r>
    </w:p>
    <w:p>
      <w:pPr>
        <w:pStyle w:val="DefinedTerms"/>
      </w:pPr>
      <w:r>
        <w:t>member</w:t>
      </w:r>
      <w:r>
        <w:tab/>
        <w:t>3(1)</w:t>
      </w:r>
    </w:p>
    <w:p>
      <w:pPr>
        <w:pStyle w:val="DefinedTerms"/>
      </w:pPr>
      <w:r>
        <w:t>member of the staff</w:t>
      </w:r>
      <w:r>
        <w:tab/>
        <w:t>3(1)</w:t>
      </w:r>
    </w:p>
    <w:p>
      <w:pPr>
        <w:pStyle w:val="DefinedTerms"/>
      </w:pPr>
      <w:r>
        <w:t>participate</w:t>
      </w:r>
      <w:r>
        <w:tab/>
        <w:t>30A</w:t>
      </w:r>
    </w:p>
    <w:p>
      <w:pPr>
        <w:pStyle w:val="DefinedTerms"/>
      </w:pPr>
      <w:r>
        <w:t>participate in a commercial arrangement</w:t>
      </w:r>
      <w:r>
        <w:tab/>
        <w:t>30A</w:t>
      </w:r>
    </w:p>
    <w:p>
      <w:pPr>
        <w:pStyle w:val="DefinedTerms"/>
      </w:pPr>
      <w:r>
        <w:t>payment agreement</w:t>
      </w:r>
      <w:r>
        <w:tab/>
        <w:t>30A</w:t>
      </w:r>
    </w:p>
    <w:p>
      <w:pPr>
        <w:pStyle w:val="DefinedTerms"/>
      </w:pPr>
      <w:r>
        <w:t>prescribed</w:t>
      </w:r>
      <w:r>
        <w:tab/>
        <w:t>3(1)</w:t>
      </w:r>
    </w:p>
    <w:p>
      <w:pPr>
        <w:pStyle w:val="DefinedTerms"/>
      </w:pPr>
      <w:r>
        <w:t>residential accommodation</w:t>
      </w:r>
      <w:r>
        <w:tab/>
        <w:t>3(1)</w:t>
      </w:r>
    </w:p>
    <w:p>
      <w:pPr>
        <w:pStyle w:val="DefinedTerms"/>
      </w:pPr>
      <w:r>
        <w:t>Statute</w:t>
      </w:r>
      <w:r>
        <w:tab/>
        <w:t>3(1)</w:t>
      </w:r>
    </w:p>
    <w:p>
      <w:pPr>
        <w:pStyle w:val="DefinedTerms"/>
      </w:pPr>
      <w:r>
        <w:t>Student Guild</w:t>
      </w:r>
      <w:r>
        <w:tab/>
        <w:t>3(1)</w:t>
      </w:r>
    </w:p>
    <w:p>
      <w:pPr>
        <w:pStyle w:val="DefinedTerms"/>
      </w:pPr>
      <w:r>
        <w:t>the commencement day</w:t>
      </w:r>
      <w:r>
        <w:tab/>
        <w:t>4(1), 19(1), 41(1)</w:t>
      </w:r>
    </w:p>
    <w:p>
      <w:pPr>
        <w:pStyle w:val="DefinedTerms"/>
      </w:pPr>
      <w:r>
        <w:t>transition period</w:t>
      </w:r>
      <w:r>
        <w:tab/>
        <w:t>61(1)</w:t>
      </w:r>
    </w:p>
    <w:p>
      <w:pPr>
        <w:pStyle w:val="DefinedTerms"/>
      </w:pPr>
      <w:r>
        <w:t>University</w:t>
      </w:r>
      <w:r>
        <w:tab/>
        <w:t>3(1)</w:t>
      </w:r>
    </w:p>
    <w:p>
      <w:pPr>
        <w:pStyle w:val="DefinedTerms"/>
      </w:pPr>
      <w:r>
        <w:t>university development proposal</w:t>
      </w:r>
      <w:r>
        <w:tab/>
        <w:t>30A</w:t>
      </w:r>
    </w:p>
    <w:p>
      <w:pPr>
        <w:pStyle w:val="DefinedTerms"/>
      </w:pPr>
      <w:r>
        <w:t>University land</w:t>
      </w:r>
      <w:r>
        <w:tab/>
        <w:t>30A</w:t>
      </w:r>
    </w:p>
    <w:p>
      <w:pPr>
        <w:pStyle w:val="DefinedTerms"/>
      </w:pPr>
      <w:r>
        <w:t>Vice</w:t>
      </w:r>
      <w:r>
        <w:noBreakHyphen/>
        <w:t>Chancellor</w:t>
      </w:r>
      <w:r>
        <w:tab/>
        <w:t>3(1)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Oct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04-i0-00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8" w:name="DefinedTerms"/>
    <w:bookmarkEnd w:id="11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9" w:name="Coversheet"/>
    <w:bookmarkEnd w:id="11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Edith Cowan University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Edith Cowan University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026DD6"/>
    <w:lvl w:ilvl="0">
      <w:start w:val="1"/>
      <w:numFmt w:val="decimal"/>
      <w:lvlText w:val="%1."/>
      <w:lvlJc w:val="left"/>
      <w:pPr>
        <w:tabs>
          <w:tab w:val="num" w:pos="1492"/>
        </w:tabs>
        <w:ind w:left="1492" w:hanging="360"/>
      </w:pPr>
    </w:lvl>
  </w:abstractNum>
  <w:abstractNum w:abstractNumId="1">
    <w:nsid w:val="FFFFFF7D"/>
    <w:multiLevelType w:val="singleLevel"/>
    <w:tmpl w:val="EE0012CE"/>
    <w:lvl w:ilvl="0">
      <w:start w:val="1"/>
      <w:numFmt w:val="decimal"/>
      <w:lvlText w:val="%1."/>
      <w:lvlJc w:val="left"/>
      <w:pPr>
        <w:tabs>
          <w:tab w:val="num" w:pos="1209"/>
        </w:tabs>
        <w:ind w:left="1209" w:hanging="360"/>
      </w:pPr>
    </w:lvl>
  </w:abstractNum>
  <w:abstractNum w:abstractNumId="2">
    <w:nsid w:val="FFFFFF7E"/>
    <w:multiLevelType w:val="singleLevel"/>
    <w:tmpl w:val="3EDA86C6"/>
    <w:lvl w:ilvl="0">
      <w:start w:val="1"/>
      <w:numFmt w:val="decimal"/>
      <w:lvlText w:val="%1."/>
      <w:lvlJc w:val="left"/>
      <w:pPr>
        <w:tabs>
          <w:tab w:val="num" w:pos="926"/>
        </w:tabs>
        <w:ind w:left="926" w:hanging="360"/>
      </w:pPr>
    </w:lvl>
  </w:abstractNum>
  <w:abstractNum w:abstractNumId="3">
    <w:nsid w:val="FFFFFF7F"/>
    <w:multiLevelType w:val="singleLevel"/>
    <w:tmpl w:val="BB8ECB98"/>
    <w:lvl w:ilvl="0">
      <w:start w:val="1"/>
      <w:numFmt w:val="decimal"/>
      <w:lvlText w:val="%1."/>
      <w:lvlJc w:val="left"/>
      <w:pPr>
        <w:tabs>
          <w:tab w:val="num" w:pos="643"/>
        </w:tabs>
        <w:ind w:left="643" w:hanging="360"/>
      </w:pPr>
    </w:lvl>
  </w:abstractNum>
  <w:abstractNum w:abstractNumId="4">
    <w:nsid w:val="FFFFFF80"/>
    <w:multiLevelType w:val="singleLevel"/>
    <w:tmpl w:val="8050034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986B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80CC7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748B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76BE58"/>
    <w:lvl w:ilvl="0">
      <w:start w:val="1"/>
      <w:numFmt w:val="decimal"/>
      <w:lvlText w:val="%1."/>
      <w:lvlJc w:val="left"/>
      <w:pPr>
        <w:tabs>
          <w:tab w:val="num" w:pos="360"/>
        </w:tabs>
        <w:ind w:left="360" w:hanging="360"/>
      </w:pPr>
    </w:lvl>
  </w:abstractNum>
  <w:abstractNum w:abstractNumId="9">
    <w:nsid w:val="FFFFFF89"/>
    <w:multiLevelType w:val="singleLevel"/>
    <w:tmpl w:val="2D3CE57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52C88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9100721"/>
    <w:docVar w:name="WAFER_20140122162125" w:val="RemoveTocBookmarks,RemoveUnusedBookmarks,RemoveLanguageTags,UsedStyles,ResetPageSize,UpdateArrangement"/>
    <w:docVar w:name="WAFER_20140122162125_GUID" w:val="ebd5b69e-1174-42fb-bbb3-19abfb6cd480"/>
    <w:docVar w:name="WAFER_20140122162653" w:val="RemoveTocBookmarks,RunningHeaders"/>
    <w:docVar w:name="WAFER_20140122162653_GUID" w:val="2a2d8cdc-7648-40f9-a876-f17035c97341"/>
    <w:docVar w:name="WAFER_20150413093638" w:val="ResetPageSize,UpdateArrangement,UpdateNTable"/>
    <w:docVar w:name="WAFER_20150413093638_GUID" w:val="ce27f212-93e2-470b-a100-a494fd22c203"/>
    <w:docVar w:name="WAFER_20151105113853" w:val="UpdateStyles,UsedStyles"/>
    <w:docVar w:name="WAFER_20151105113853_GUID" w:val="af922675-6f32-4228-814d-785855eeb122"/>
    <w:docVar w:name="WAFER_20151105113903" w:val="UpdateStyles,UsedStyles"/>
    <w:docVar w:name="WAFER_20151105113903_GUID" w:val="8e55db1a-eacc-4cc7-8600-62bf8e1c4ad2"/>
    <w:docVar w:name="WAFER_20151201104748" w:val="RemoveTrackChanges"/>
    <w:docVar w:name="WAFER_20151201104748_GUID" w:val="d0eb4c24-26e3-4ee1-aae3-9c967e9f14b6"/>
    <w:docVar w:name="WAFER_20170929100721" w:val="RemoveTocBookmarks,RemoveUnusedBookmarks,RemoveLanguageTags,UsedStyles,ResetPageSize"/>
    <w:docVar w:name="WAFER_20170929100721_GUID" w:val="dac3adba-95a2-4d79-ba3d-1025eb705c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Note">
    <w:name w:val="TableAmNote"/>
    <w:pPr>
      <w:tabs>
        <w:tab w:val="left" w:pos="567"/>
      </w:tabs>
      <w:spacing w:before="6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19847</Words>
  <Characters>95266</Characters>
  <Application>Microsoft Office Word</Application>
  <DocSecurity>0</DocSecurity>
  <Lines>2646</Lines>
  <Paragraphs>1555</Paragraphs>
  <ScaleCrop>false</ScaleCrop>
  <HeadingPairs>
    <vt:vector size="2" baseType="variant">
      <vt:variant>
        <vt:lpstr>Title</vt:lpstr>
      </vt:variant>
      <vt:variant>
        <vt:i4>1</vt:i4>
      </vt:variant>
    </vt:vector>
  </HeadingPairs>
  <TitlesOfParts>
    <vt:vector size="1" baseType="lpstr">
      <vt:lpstr>Edith Cowan University Act 1984</vt:lpstr>
    </vt:vector>
  </TitlesOfParts>
  <Manager/>
  <Company/>
  <LinksUpToDate>false</LinksUpToDate>
  <CharactersWithSpaces>113558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Edith Cowan University Act 1984 - 04-i0-00</dc:title>
  <dc:subject/>
  <dc:creator/>
  <cp:keywords/>
  <dc:description/>
  <cp:lastModifiedBy>svcMRProcess</cp:lastModifiedBy>
  <cp:revision>4</cp:revision>
  <cp:lastPrinted>2010-10-07T03:11:00Z</cp:lastPrinted>
  <dcterms:created xsi:type="dcterms:W3CDTF">2018-08-28T05:47:00Z</dcterms:created>
  <dcterms:modified xsi:type="dcterms:W3CDTF">2018-08-28T05:47:00Z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1984</vt:lpwstr>
  </property>
  <property fmtid="{D5CDD505-2E9C-101B-9397-08002B2CF9AE}" pid="3" name="DocumentType">
    <vt:lpwstr>Act</vt:lpwstr>
  </property>
  <property fmtid="{D5CDD505-2E9C-101B-9397-08002B2CF9AE}" pid="4" name="OwlsUID">
    <vt:i4>238</vt:i4>
  </property>
  <property fmtid="{D5CDD505-2E9C-101B-9397-08002B2CF9AE}" pid="5" name="AsAtDate">
    <vt:lpwstr>01 Oct 2017</vt:lpwstr>
  </property>
  <property fmtid="{D5CDD505-2E9C-101B-9397-08002B2CF9AE}" pid="6" name="Suffix">
    <vt:lpwstr>04-i0-00</vt:lpwstr>
  </property>
  <property fmtid="{D5CDD505-2E9C-101B-9397-08002B2CF9AE}" pid="7" name="CommencementDate">
    <vt:lpwstr>20171001</vt:lpwstr>
  </property>
</Properties>
</file>