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Port Authorities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Port Authorities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_Toc494797901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_Toc494797902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_Toc494797903 \h </w:instrText>
      </w:r>
      <w:r>
        <w:fldChar w:fldCharType="separate"/>
      </w:r>
      <w:r>
        <w:t>1</w:t>
      </w:r>
      <w:r>
        <w:fldChar w:fldCharType="end"/>
      </w:r>
    </w:p>
    <w:p>
      <w:pPr>
        <w:pStyle w:val="TOC8"/>
        <w:rPr>
          <w:rFonts w:asciiTheme="minorHAnsi" w:eastAsiaTheme="minorEastAsia" w:hAnsiTheme="minorHAnsi" w:cstheme="minorBidi"/>
          <w:szCs w:val="22"/>
        </w:rPr>
      </w:pPr>
      <w:r>
        <w:t>4A.</w:t>
      </w:r>
      <w:r>
        <w:tab/>
        <w:t>Application as to assistance animals</w:t>
      </w:r>
      <w:r>
        <w:tab/>
      </w:r>
      <w:r>
        <w:fldChar w:fldCharType="begin"/>
      </w:r>
      <w:r>
        <w:instrText xml:space="preserve"> PAGEREF _Toc494797904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1A — Additional port under port authority control and management</w:t>
      </w:r>
    </w:p>
    <w:p>
      <w:pPr>
        <w:pStyle w:val="TOC8"/>
        <w:rPr>
          <w:rFonts w:asciiTheme="minorHAnsi" w:eastAsiaTheme="minorEastAsia" w:hAnsiTheme="minorHAnsi" w:cstheme="minorBidi"/>
          <w:szCs w:val="22"/>
        </w:rPr>
      </w:pPr>
      <w:r>
        <w:t>4B.</w:t>
      </w:r>
      <w:r>
        <w:tab/>
        <w:t>Port of Balla Balla</w:t>
      </w:r>
      <w:r>
        <w:tab/>
      </w:r>
      <w:r>
        <w:fldChar w:fldCharType="begin"/>
      </w:r>
      <w:r>
        <w:instrText xml:space="preserve"> PAGEREF _Toc494797906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Vessels in ports</w:t>
      </w:r>
    </w:p>
    <w:p>
      <w:pPr>
        <w:pStyle w:val="TOC4"/>
        <w:tabs>
          <w:tab w:val="right" w:leader="dot" w:pos="7077"/>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_Toc494797909 \h </w:instrText>
      </w:r>
      <w:r>
        <w:fldChar w:fldCharType="separate"/>
      </w:r>
      <w:r>
        <w:t>4</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_Toc494797910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_Toc494797912 \h </w:instrText>
      </w:r>
      <w:r>
        <w:fldChar w:fldCharType="separate"/>
      </w:r>
      <w:r>
        <w:t>4</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_Toc494797913 \h </w:instrText>
      </w:r>
      <w:r>
        <w:fldChar w:fldCharType="separate"/>
      </w:r>
      <w:r>
        <w:t>4</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_Toc494797914 \h </w:instrText>
      </w:r>
      <w:r>
        <w:fldChar w:fldCharType="separate"/>
      </w:r>
      <w:r>
        <w:t>5</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_Toc494797915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_Toc494797917 \h </w:instrText>
      </w:r>
      <w:r>
        <w:fldChar w:fldCharType="separate"/>
      </w:r>
      <w:r>
        <w:t>6</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_Toc494797918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_Toc494797920 \h </w:instrText>
      </w:r>
      <w:r>
        <w:fldChar w:fldCharType="separate"/>
      </w:r>
      <w:r>
        <w:t>6</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_Toc494797921 \h </w:instrText>
      </w:r>
      <w:r>
        <w:fldChar w:fldCharType="separate"/>
      </w:r>
      <w:r>
        <w:t>7</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_Toc494797922 \h </w:instrText>
      </w:r>
      <w:r>
        <w:fldChar w:fldCharType="separate"/>
      </w:r>
      <w:r>
        <w:t>7</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_Toc494797923 \h </w:instrText>
      </w:r>
      <w:r>
        <w:fldChar w:fldCharType="separate"/>
      </w:r>
      <w:r>
        <w:t>8</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_Toc494797924 \h </w:instrText>
      </w:r>
      <w:r>
        <w:fldChar w:fldCharType="separate"/>
      </w:r>
      <w:r>
        <w:t>8</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_Toc494797925 \h </w:instrText>
      </w:r>
      <w:r>
        <w:fldChar w:fldCharType="separate"/>
      </w:r>
      <w:r>
        <w:t>8</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_Toc494797926 \h </w:instrText>
      </w:r>
      <w:r>
        <w:fldChar w:fldCharType="separate"/>
      </w:r>
      <w:r>
        <w:t>9</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_Toc494797927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Pilotage</w:t>
      </w:r>
    </w:p>
    <w:p>
      <w:pPr>
        <w:pStyle w:val="TOC4"/>
        <w:tabs>
          <w:tab w:val="right" w:leader="dot" w:pos="7077"/>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_Toc494797930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pilot</w:t>
      </w:r>
      <w:r>
        <w:tab/>
      </w:r>
      <w:r>
        <w:fldChar w:fldCharType="begin"/>
      </w:r>
      <w:r>
        <w:instrText xml:space="preserve"> PAGEREF _Toc494797932 \h </w:instrText>
      </w:r>
      <w:r>
        <w:fldChar w:fldCharType="separate"/>
      </w:r>
      <w:r>
        <w:t>12</w:t>
      </w:r>
      <w:r>
        <w:fldChar w:fldCharType="end"/>
      </w:r>
    </w:p>
    <w:p>
      <w:pPr>
        <w:pStyle w:val="TOC8"/>
        <w:rPr>
          <w:rFonts w:asciiTheme="minorHAnsi" w:eastAsiaTheme="minorEastAsia" w:hAnsiTheme="minorHAnsi" w:cstheme="minorBidi"/>
          <w:szCs w:val="22"/>
        </w:rPr>
      </w:pPr>
      <w:r>
        <w:t>24.</w:t>
      </w:r>
      <w:r>
        <w:tab/>
        <w:t>Approving pilots; retaining approval as pilot</w:t>
      </w:r>
      <w:r>
        <w:tab/>
      </w:r>
      <w:r>
        <w:fldChar w:fldCharType="begin"/>
      </w:r>
      <w:r>
        <w:instrText xml:space="preserve"> PAGEREF _Toc494797933 \h </w:instrText>
      </w:r>
      <w:r>
        <w:fldChar w:fldCharType="separate"/>
      </w:r>
      <w:r>
        <w:t>12</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_Toc494797934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_Toc494797936 \h </w:instrText>
      </w:r>
      <w:r>
        <w:fldChar w:fldCharType="separate"/>
      </w:r>
      <w:r>
        <w:t>14</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_Toc494797937 \h </w:instrText>
      </w:r>
      <w:r>
        <w:fldChar w:fldCharType="separate"/>
      </w:r>
      <w:r>
        <w:t>14</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_Toc494797938 \h </w:instrText>
      </w:r>
      <w:r>
        <w:fldChar w:fldCharType="separate"/>
      </w:r>
      <w:r>
        <w:t>14</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_Toc494797939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_Toc494797941 \h </w:instrText>
      </w:r>
      <w:r>
        <w:fldChar w:fldCharType="separate"/>
      </w:r>
      <w:r>
        <w:t>16</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_Toc494797942 \h </w:instrText>
      </w:r>
      <w:r>
        <w:fldChar w:fldCharType="separate"/>
      </w:r>
      <w:r>
        <w:t>17</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_Toc494797943 \h </w:instrText>
      </w:r>
      <w:r>
        <w:fldChar w:fldCharType="separate"/>
      </w:r>
      <w:r>
        <w:t>17</w:t>
      </w:r>
      <w:r>
        <w:fldChar w:fldCharType="end"/>
      </w:r>
    </w:p>
    <w:p>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_Toc494797944 \h </w:instrText>
      </w:r>
      <w:r>
        <w:fldChar w:fldCharType="separate"/>
      </w:r>
      <w:r>
        <w:t>18</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_Toc494797945 \h </w:instrText>
      </w:r>
      <w:r>
        <w:fldChar w:fldCharType="separate"/>
      </w:r>
      <w:r>
        <w:t>19</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_Toc494797946 \h </w:instrText>
      </w:r>
      <w:r>
        <w:fldChar w:fldCharType="separate"/>
      </w:r>
      <w:r>
        <w:t>19</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_Toc494797947 \h </w:instrText>
      </w:r>
      <w:r>
        <w:fldChar w:fldCharType="separate"/>
      </w:r>
      <w:r>
        <w:t>19</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_Toc494797948 \h </w:instrText>
      </w:r>
      <w:r>
        <w:fldChar w:fldCharType="separate"/>
      </w:r>
      <w:r>
        <w:t>19</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_Toc494797949 \h </w:instrText>
      </w:r>
      <w:r>
        <w:fldChar w:fldCharType="separate"/>
      </w:r>
      <w:r>
        <w:t>20</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_Toc494797950 \h </w:instrText>
      </w:r>
      <w:r>
        <w:fldChar w:fldCharType="separate"/>
      </w:r>
      <w:r>
        <w:t>20</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_Toc494797951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_Toc494797953 \h </w:instrText>
      </w:r>
      <w:r>
        <w:fldChar w:fldCharType="separate"/>
      </w:r>
      <w:r>
        <w:t>21</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_Toc494797954 \h </w:instrText>
      </w:r>
      <w:r>
        <w:fldChar w:fldCharType="separate"/>
      </w:r>
      <w:r>
        <w:t>22</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_Toc494797955 \h </w:instrText>
      </w:r>
      <w:r>
        <w:fldChar w:fldCharType="separate"/>
      </w:r>
      <w:r>
        <w:t>23</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_Toc494797956 \h </w:instrText>
      </w:r>
      <w:r>
        <w:fldChar w:fldCharType="separate"/>
      </w:r>
      <w:r>
        <w:t>24</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_Toc494797957 \h </w:instrText>
      </w:r>
      <w:r>
        <w:fldChar w:fldCharType="separate"/>
      </w:r>
      <w:r>
        <w:t>25</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_Toc494797958 \h </w:instrText>
      </w:r>
      <w:r>
        <w:fldChar w:fldCharType="separate"/>
      </w:r>
      <w:r>
        <w:t>26</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_Toc494797959 \h </w:instrText>
      </w:r>
      <w:r>
        <w:fldChar w:fldCharType="separate"/>
      </w:r>
      <w:r>
        <w:t>26</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_Toc494797960 \h </w:instrText>
      </w:r>
      <w:r>
        <w:fldChar w:fldCharType="separate"/>
      </w:r>
      <w:r>
        <w:t>27</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_Toc494797961 \h </w:instrText>
      </w:r>
      <w:r>
        <w:fldChar w:fldCharType="separate"/>
      </w:r>
      <w:r>
        <w:t>28</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_Toc494797962 \h </w:instrText>
      </w:r>
      <w:r>
        <w:fldChar w:fldCharType="separate"/>
      </w:r>
      <w:r>
        <w:t>28</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_Toc494797963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_Toc494797965 \h </w:instrText>
      </w:r>
      <w:r>
        <w:fldChar w:fldCharType="separate"/>
      </w:r>
      <w:r>
        <w:t>31</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_Toc494797966 \h </w:instrText>
      </w:r>
      <w:r>
        <w:fldChar w:fldCharType="separate"/>
      </w:r>
      <w:r>
        <w:t>31</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_Toc494797967 \h </w:instrText>
      </w:r>
      <w:r>
        <w:fldChar w:fldCharType="separate"/>
      </w:r>
      <w:r>
        <w:t>32</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_Toc494797968 \h </w:instrText>
      </w:r>
      <w:r>
        <w:fldChar w:fldCharType="separate"/>
      </w:r>
      <w:r>
        <w:t>32</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_Toc494797969 \h </w:instrText>
      </w:r>
      <w:r>
        <w:fldChar w:fldCharType="separate"/>
      </w:r>
      <w:r>
        <w:t>33</w:t>
      </w:r>
      <w:r>
        <w:fldChar w:fldCharType="end"/>
      </w:r>
    </w:p>
    <w:p>
      <w:pPr>
        <w:pStyle w:val="TOC8"/>
        <w:rPr>
          <w:rFonts w:asciiTheme="minorHAnsi" w:eastAsiaTheme="minorEastAsia" w:hAnsiTheme="minorHAnsi" w:cstheme="minorBidi"/>
          <w:szCs w:val="22"/>
        </w:rPr>
      </w:pPr>
      <w:r>
        <w:t>68.</w:t>
      </w:r>
      <w:r>
        <w:tab/>
        <w:t>Goods falling from vessel in port</w:t>
      </w:r>
      <w:r>
        <w:tab/>
      </w:r>
      <w:r>
        <w:fldChar w:fldCharType="begin"/>
      </w:r>
      <w:r>
        <w:instrText xml:space="preserve"> PAGEREF _Toc494797970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_Toc494797972 \h </w:instrText>
      </w:r>
      <w:r>
        <w:fldChar w:fldCharType="separate"/>
      </w:r>
      <w:r>
        <w:t>35</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_Toc494797973 \h </w:instrText>
      </w:r>
      <w:r>
        <w:fldChar w:fldCharType="separate"/>
      </w:r>
      <w:r>
        <w:t>35</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_Toc494797974 \h </w:instrText>
      </w:r>
      <w:r>
        <w:fldChar w:fldCharType="separate"/>
      </w:r>
      <w:r>
        <w:t>35</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_Toc494797975 \h </w:instrText>
      </w:r>
      <w:r>
        <w:fldChar w:fldCharType="separate"/>
      </w:r>
      <w:r>
        <w:t>35</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_Toc494797976 \h </w:instrText>
      </w:r>
      <w:r>
        <w:fldChar w:fldCharType="separate"/>
      </w:r>
      <w:r>
        <w:t>36</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_Toc494797977 \h </w:instrText>
      </w:r>
      <w:r>
        <w:fldChar w:fldCharType="separate"/>
      </w:r>
      <w:r>
        <w:t>36</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_Toc494797978 \h </w:instrText>
      </w:r>
      <w:r>
        <w:fldChar w:fldCharType="separate"/>
      </w:r>
      <w:r>
        <w:t>36</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_Toc494797979 \h </w:instrText>
      </w:r>
      <w:r>
        <w:fldChar w:fldCharType="separate"/>
      </w:r>
      <w:r>
        <w:t>36</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_Toc494797980 \h </w:instrText>
      </w:r>
      <w:r>
        <w:fldChar w:fldCharType="separate"/>
      </w:r>
      <w:r>
        <w:t>36</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_Toc494797981 \h </w:instrText>
      </w:r>
      <w:r>
        <w:fldChar w:fldCharType="separate"/>
      </w:r>
      <w:r>
        <w:t>37</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_Toc494797982 \h </w:instrText>
      </w:r>
      <w:r>
        <w:fldChar w:fldCharType="separate"/>
      </w:r>
      <w:r>
        <w:t>37</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_Toc494797983 \h </w:instrText>
      </w:r>
      <w:r>
        <w:fldChar w:fldCharType="separate"/>
      </w:r>
      <w:r>
        <w:t>38</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_Toc494797984 \h </w:instrText>
      </w:r>
      <w:r>
        <w:fldChar w:fldCharType="separate"/>
      </w:r>
      <w:r>
        <w:t>38</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_Toc494797985 \h </w:instrText>
      </w:r>
      <w:r>
        <w:fldChar w:fldCharType="separate"/>
      </w:r>
      <w:r>
        <w:t>39</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_Toc494797986 \h </w:instrText>
      </w:r>
      <w:r>
        <w:fldChar w:fldCharType="separate"/>
      </w:r>
      <w:r>
        <w:t>39</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_Toc494797987 \h </w:instrText>
      </w:r>
      <w:r>
        <w:fldChar w:fldCharType="separate"/>
      </w:r>
      <w:r>
        <w:t>40</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_Toc494797988 \h </w:instrText>
      </w:r>
      <w:r>
        <w:fldChar w:fldCharType="separate"/>
      </w:r>
      <w:r>
        <w:t>40</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_Toc494797989 \h </w:instrText>
      </w:r>
      <w:r>
        <w:fldChar w:fldCharType="separate"/>
      </w:r>
      <w:r>
        <w:t>40</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_Toc494797990 \h </w:instrText>
      </w:r>
      <w:r>
        <w:fldChar w:fldCharType="separate"/>
      </w:r>
      <w:r>
        <w:t>41</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_Toc494797991 \h </w:instrText>
      </w:r>
      <w:r>
        <w:fldChar w:fldCharType="separate"/>
      </w:r>
      <w:r>
        <w:t>41</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_Toc494797992 \h </w:instrText>
      </w:r>
      <w:r>
        <w:fldChar w:fldCharType="separate"/>
      </w:r>
      <w:r>
        <w:t>41</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_Toc494797993 \h </w:instrText>
      </w:r>
      <w:r>
        <w:fldChar w:fldCharType="separate"/>
      </w:r>
      <w:r>
        <w:t>42</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_Toc494797994 \h </w:instrText>
      </w:r>
      <w:r>
        <w:fldChar w:fldCharType="separate"/>
      </w:r>
      <w:r>
        <w:t>42</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_Toc494797995 \h </w:instrText>
      </w:r>
      <w:r>
        <w:fldChar w:fldCharType="separate"/>
      </w:r>
      <w:r>
        <w:t>43</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_Toc494797996 \h </w:instrText>
      </w:r>
      <w:r>
        <w:fldChar w:fldCharType="separate"/>
      </w:r>
      <w:r>
        <w:t>43</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_Toc494797997 \h </w:instrText>
      </w:r>
      <w:r>
        <w:fldChar w:fldCharType="separate"/>
      </w:r>
      <w:r>
        <w:t>44</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_Toc494797998 \h </w:instrText>
      </w:r>
      <w:r>
        <w:fldChar w:fldCharType="separate"/>
      </w:r>
      <w:r>
        <w:t>44</w:t>
      </w:r>
      <w:r>
        <w:fldChar w:fldCharType="end"/>
      </w:r>
    </w:p>
    <w:p>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_Toc494797999 \h </w:instrText>
      </w:r>
      <w:r>
        <w:fldChar w:fldCharType="separate"/>
      </w:r>
      <w:r>
        <w:t>44</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_Toc494798000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_Toc494798002 \h </w:instrText>
      </w:r>
      <w:r>
        <w:fldChar w:fldCharType="separate"/>
      </w:r>
      <w:r>
        <w:t>46</w:t>
      </w:r>
      <w:r>
        <w:fldChar w:fldCharType="end"/>
      </w:r>
    </w:p>
    <w:p>
      <w:pPr>
        <w:pStyle w:val="TOC8"/>
        <w:rPr>
          <w:rFonts w:asciiTheme="minorHAnsi" w:eastAsiaTheme="minorEastAsia" w:hAnsiTheme="minorHAnsi" w:cstheme="minorBidi"/>
          <w:szCs w:val="22"/>
        </w:rPr>
      </w:pPr>
      <w:r>
        <w:t>101.</w:t>
      </w:r>
      <w:r>
        <w:tab/>
      </w:r>
      <w:r>
        <w:rPr>
          <w:i/>
        </w:rPr>
        <w:t>Application of road laws</w:t>
      </w:r>
      <w:r>
        <w:tab/>
      </w:r>
      <w:r>
        <w:fldChar w:fldCharType="begin"/>
      </w:r>
      <w:r>
        <w:instrText xml:space="preserve"> PAGEREF _Toc494798003 \h </w:instrText>
      </w:r>
      <w:r>
        <w:fldChar w:fldCharType="separate"/>
      </w:r>
      <w:r>
        <w:t>46</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_Toc494798004 \h </w:instrText>
      </w:r>
      <w:r>
        <w:fldChar w:fldCharType="separate"/>
      </w:r>
      <w:r>
        <w:t>46</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_Toc494798005 \h </w:instrText>
      </w:r>
      <w:r>
        <w:fldChar w:fldCharType="separate"/>
      </w:r>
      <w:r>
        <w:t>46</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_Toc494798006 \h </w:instrText>
      </w:r>
      <w:r>
        <w:fldChar w:fldCharType="separate"/>
      </w:r>
      <w:r>
        <w:t>46</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_Toc494798007 \h </w:instrText>
      </w:r>
      <w:r>
        <w:fldChar w:fldCharType="separate"/>
      </w:r>
      <w:r>
        <w:t>47</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_Toc494798008 \h </w:instrText>
      </w:r>
      <w:r>
        <w:fldChar w:fldCharType="separate"/>
      </w:r>
      <w:r>
        <w:t>48</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_Toc494798009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_Toc494798011 \h </w:instrText>
      </w:r>
      <w:r>
        <w:fldChar w:fldCharType="separate"/>
      </w:r>
      <w:r>
        <w:t>50</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_Toc494798012 \h </w:instrText>
      </w:r>
      <w:r>
        <w:fldChar w:fldCharType="separate"/>
      </w:r>
      <w:r>
        <w:t>50</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_Toc494798013 \h </w:instrText>
      </w:r>
      <w:r>
        <w:fldChar w:fldCharType="separate"/>
      </w:r>
      <w:r>
        <w:t>50</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_Toc494798014 \h </w:instrText>
      </w:r>
      <w:r>
        <w:fldChar w:fldCharType="separate"/>
      </w:r>
      <w:r>
        <w:t>50</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_Toc494798015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_Toc494798017 \h </w:instrText>
      </w:r>
      <w:r>
        <w:fldChar w:fldCharType="separate"/>
      </w:r>
      <w:r>
        <w:t>51</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_Toc494798018 \h </w:instrText>
      </w:r>
      <w:r>
        <w:fldChar w:fldCharType="separate"/>
      </w:r>
      <w:r>
        <w:t>51</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_Toc494798019 \h </w:instrText>
      </w:r>
      <w:r>
        <w:fldChar w:fldCharType="separate"/>
      </w:r>
      <w:r>
        <w:t>51</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_Toc494798020 \h </w:instrText>
      </w:r>
      <w:r>
        <w:fldChar w:fldCharType="separate"/>
      </w:r>
      <w:r>
        <w:t>52</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_Toc494798021 \h </w:instrText>
      </w:r>
      <w:r>
        <w:fldChar w:fldCharType="separate"/>
      </w:r>
      <w:r>
        <w:t>52</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_Toc494798022 \h </w:instrText>
      </w:r>
      <w:r>
        <w:fldChar w:fldCharType="separate"/>
      </w:r>
      <w:r>
        <w:t>53</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_Toc494798023 \h </w:instrText>
      </w:r>
      <w:r>
        <w:fldChar w:fldCharType="separate"/>
      </w:r>
      <w:r>
        <w:t>53</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_Toc494798024 \h </w:instrText>
      </w:r>
      <w:r>
        <w:fldChar w:fldCharType="separate"/>
      </w:r>
      <w:r>
        <w:t>53</w:t>
      </w:r>
      <w:r>
        <w:fldChar w:fldCharType="end"/>
      </w:r>
    </w:p>
    <w:p>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_Toc494798025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for particular ports and port authorities</w:t>
      </w:r>
    </w:p>
    <w:p>
      <w:pPr>
        <w:pStyle w:val="TOC4"/>
        <w:tabs>
          <w:tab w:val="right" w:leader="dot" w:pos="7077"/>
        </w:tabs>
        <w:rPr>
          <w:rFonts w:asciiTheme="minorHAnsi" w:eastAsiaTheme="minorEastAsia" w:hAnsiTheme="minorHAnsi" w:cstheme="minorBidi"/>
          <w:b w:val="0"/>
          <w:szCs w:val="22"/>
        </w:rPr>
      </w:pPr>
      <w:r>
        <w:t>Division 1</w:t>
      </w:r>
      <w:r>
        <w:rPr>
          <w:b w:val="0"/>
        </w:rPr>
        <w:t> — </w:t>
      </w:r>
      <w:r>
        <w:t>Port of Albany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_Toc494798028 \h </w:instrText>
      </w:r>
      <w:r>
        <w:fldChar w:fldCharType="separate"/>
      </w:r>
      <w:r>
        <w:t>55</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_Toc494798029 \h </w:instrText>
      </w:r>
      <w:r>
        <w:fldChar w:fldCharType="separate"/>
      </w:r>
      <w:r>
        <w:t>55</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_Toc494798030 \h </w:instrText>
      </w:r>
      <w:r>
        <w:fldChar w:fldCharType="separate"/>
      </w:r>
      <w:r>
        <w:t>55</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_Toc494798031 \h </w:instrText>
      </w:r>
      <w:r>
        <w:fldChar w:fldCharType="separate"/>
      </w:r>
      <w:r>
        <w:t>56</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_Toc494798032 \h </w:instrText>
      </w:r>
      <w:r>
        <w:fldChar w:fldCharType="separate"/>
      </w:r>
      <w:r>
        <w:t>56</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_Toc494798033 \h </w:instrText>
      </w:r>
      <w:r>
        <w:fldChar w:fldCharType="separate"/>
      </w:r>
      <w:r>
        <w:t>56</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_Toc494798034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1A — Port of Balla Balla</w:t>
      </w:r>
    </w:p>
    <w:p>
      <w:pPr>
        <w:pStyle w:val="TOC6"/>
        <w:tabs>
          <w:tab w:val="right" w:leader="dot" w:pos="7077"/>
        </w:tabs>
        <w:rPr>
          <w:rFonts w:asciiTheme="minorHAnsi" w:eastAsiaTheme="minorEastAsia" w:hAnsiTheme="minorHAnsi" w:cstheme="minorBidi"/>
          <w:b w:val="0"/>
          <w:sz w:val="22"/>
          <w:szCs w:val="22"/>
        </w:rPr>
      </w:pPr>
      <w:r>
        <w:t>Subdivision 1 — Application</w:t>
      </w:r>
    </w:p>
    <w:p>
      <w:pPr>
        <w:pStyle w:val="TOC8"/>
        <w:rPr>
          <w:rFonts w:asciiTheme="minorHAnsi" w:eastAsiaTheme="minorEastAsia" w:hAnsiTheme="minorHAnsi" w:cstheme="minorBidi"/>
          <w:szCs w:val="22"/>
        </w:rPr>
      </w:pPr>
      <w:r>
        <w:t>5C.</w:t>
      </w:r>
      <w:r>
        <w:tab/>
        <w:t>Application of this Division</w:t>
      </w:r>
      <w:r>
        <w:tab/>
      </w:r>
      <w:r>
        <w:fldChar w:fldCharType="begin"/>
      </w:r>
      <w:r>
        <w:instrText xml:space="preserve"> PAGEREF _Toc494798037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5D.</w:t>
      </w:r>
      <w:r>
        <w:tab/>
        <w:t>Terms used</w:t>
      </w:r>
      <w:r>
        <w:tab/>
      </w:r>
      <w:r>
        <w:fldChar w:fldCharType="begin"/>
      </w:r>
      <w:r>
        <w:instrText xml:space="preserve"> PAGEREF _Toc494798039 \h </w:instrText>
      </w:r>
      <w:r>
        <w:fldChar w:fldCharType="separate"/>
      </w:r>
      <w:r>
        <w:t>58</w:t>
      </w:r>
      <w:r>
        <w:fldChar w:fldCharType="end"/>
      </w:r>
    </w:p>
    <w:p>
      <w:pPr>
        <w:pStyle w:val="TOC8"/>
        <w:rPr>
          <w:rFonts w:asciiTheme="minorHAnsi" w:eastAsiaTheme="minorEastAsia" w:hAnsiTheme="minorHAnsi" w:cstheme="minorBidi"/>
          <w:szCs w:val="22"/>
        </w:rPr>
      </w:pPr>
      <w:r>
        <w:t>5E.</w:t>
      </w:r>
      <w:r>
        <w:tab/>
        <w:t>Master of vessel to produce certificates and papers on request by certain officers</w:t>
      </w:r>
      <w:r>
        <w:tab/>
      </w:r>
      <w:r>
        <w:fldChar w:fldCharType="begin"/>
      </w:r>
      <w:r>
        <w:instrText xml:space="preserve"> PAGEREF _Toc494798040 \h </w:instrText>
      </w:r>
      <w:r>
        <w:fldChar w:fldCharType="separate"/>
      </w:r>
      <w:r>
        <w:t>58</w:t>
      </w:r>
      <w:r>
        <w:fldChar w:fldCharType="end"/>
      </w:r>
    </w:p>
    <w:p>
      <w:pPr>
        <w:pStyle w:val="TOC8"/>
        <w:rPr>
          <w:rFonts w:asciiTheme="minorHAnsi" w:eastAsiaTheme="minorEastAsia" w:hAnsiTheme="minorHAnsi" w:cstheme="minorBidi"/>
          <w:szCs w:val="22"/>
        </w:rPr>
      </w:pPr>
      <w:r>
        <w:t>5F.</w:t>
      </w:r>
      <w:r>
        <w:tab/>
        <w:t>Moored vessel not to be moved unless harbour master notified</w:t>
      </w:r>
      <w:r>
        <w:tab/>
      </w:r>
      <w:r>
        <w:fldChar w:fldCharType="begin"/>
      </w:r>
      <w:r>
        <w:instrText xml:space="preserve"> PAGEREF _Toc494798041 \h </w:instrText>
      </w:r>
      <w:r>
        <w:fldChar w:fldCharType="separate"/>
      </w:r>
      <w:r>
        <w:t>59</w:t>
      </w:r>
      <w:r>
        <w:fldChar w:fldCharType="end"/>
      </w:r>
    </w:p>
    <w:p>
      <w:pPr>
        <w:pStyle w:val="TOC8"/>
        <w:rPr>
          <w:rFonts w:asciiTheme="minorHAnsi" w:eastAsiaTheme="minorEastAsia" w:hAnsiTheme="minorHAnsi" w:cstheme="minorBidi"/>
          <w:szCs w:val="22"/>
        </w:rPr>
      </w:pPr>
      <w:r>
        <w:t>5G.</w:t>
      </w:r>
      <w:r>
        <w:tab/>
        <w:t>Bunkering</w:t>
      </w:r>
      <w:r>
        <w:tab/>
      </w:r>
      <w:r>
        <w:fldChar w:fldCharType="begin"/>
      </w:r>
      <w:r>
        <w:instrText xml:space="preserve"> PAGEREF _Toc494798042 \h </w:instrText>
      </w:r>
      <w:r>
        <w:fldChar w:fldCharType="separate"/>
      </w:r>
      <w:r>
        <w:t>59</w:t>
      </w:r>
      <w:r>
        <w:fldChar w:fldCharType="end"/>
      </w:r>
    </w:p>
    <w:p>
      <w:pPr>
        <w:pStyle w:val="TOC8"/>
        <w:rPr>
          <w:rFonts w:asciiTheme="minorHAnsi" w:eastAsiaTheme="minorEastAsia" w:hAnsiTheme="minorHAnsi" w:cstheme="minorBidi"/>
          <w:szCs w:val="22"/>
        </w:rPr>
      </w:pPr>
      <w:r>
        <w:t>5H.</w:t>
      </w:r>
      <w:r>
        <w:tab/>
        <w:t>Navigation of private vessels</w:t>
      </w:r>
      <w:r>
        <w:tab/>
      </w:r>
      <w:r>
        <w:fldChar w:fldCharType="begin"/>
      </w:r>
      <w:r>
        <w:instrText xml:space="preserve"> PAGEREF _Toc494798043 \h </w:instrText>
      </w:r>
      <w:r>
        <w:fldChar w:fldCharType="separate"/>
      </w:r>
      <w:r>
        <w:t>59</w:t>
      </w:r>
      <w:r>
        <w:fldChar w:fldCharType="end"/>
      </w:r>
    </w:p>
    <w:p>
      <w:pPr>
        <w:pStyle w:val="TOC8"/>
        <w:rPr>
          <w:rFonts w:asciiTheme="minorHAnsi" w:eastAsiaTheme="minorEastAsia" w:hAnsiTheme="minorHAnsi" w:cstheme="minorBidi"/>
          <w:szCs w:val="22"/>
        </w:rPr>
      </w:pPr>
      <w:r>
        <w:t>5I.</w:t>
      </w:r>
      <w:r>
        <w:tab/>
        <w:t>Duties of masters of fishing vessels</w:t>
      </w:r>
      <w:r>
        <w:tab/>
      </w:r>
      <w:r>
        <w:fldChar w:fldCharType="begin"/>
      </w:r>
      <w:r>
        <w:instrText xml:space="preserve"> PAGEREF _Toc494798044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5J.</w:t>
      </w:r>
      <w:r>
        <w:tab/>
        <w:t>Terms used</w:t>
      </w:r>
      <w:r>
        <w:tab/>
      </w:r>
      <w:r>
        <w:fldChar w:fldCharType="begin"/>
      </w:r>
      <w:r>
        <w:instrText xml:space="preserve"> PAGEREF _Toc494798046 \h </w:instrText>
      </w:r>
      <w:r>
        <w:fldChar w:fldCharType="separate"/>
      </w:r>
      <w:r>
        <w:t>60</w:t>
      </w:r>
      <w:r>
        <w:fldChar w:fldCharType="end"/>
      </w:r>
    </w:p>
    <w:p>
      <w:pPr>
        <w:pStyle w:val="TOC8"/>
        <w:rPr>
          <w:rFonts w:asciiTheme="minorHAnsi" w:eastAsiaTheme="minorEastAsia" w:hAnsiTheme="minorHAnsi" w:cstheme="minorBidi"/>
          <w:szCs w:val="22"/>
        </w:rPr>
      </w:pPr>
      <w:r>
        <w:t>5K.</w:t>
      </w:r>
      <w:r>
        <w:tab/>
        <w:t>Moorings not to be installed or used without authority</w:t>
      </w:r>
      <w:r>
        <w:tab/>
      </w:r>
      <w:r>
        <w:fldChar w:fldCharType="begin"/>
      </w:r>
      <w:r>
        <w:instrText xml:space="preserve"> PAGEREF _Toc494798047 \h </w:instrText>
      </w:r>
      <w:r>
        <w:fldChar w:fldCharType="separate"/>
      </w:r>
      <w:r>
        <w:t>61</w:t>
      </w:r>
      <w:r>
        <w:fldChar w:fldCharType="end"/>
      </w:r>
    </w:p>
    <w:p>
      <w:pPr>
        <w:pStyle w:val="TOC8"/>
        <w:rPr>
          <w:rFonts w:asciiTheme="minorHAnsi" w:eastAsiaTheme="minorEastAsia" w:hAnsiTheme="minorHAnsi" w:cstheme="minorBidi"/>
          <w:szCs w:val="22"/>
        </w:rPr>
      </w:pPr>
      <w:r>
        <w:t>5L.</w:t>
      </w:r>
      <w:r>
        <w:tab/>
        <w:t>Application for authorisation to install or use mooring</w:t>
      </w:r>
      <w:r>
        <w:tab/>
      </w:r>
      <w:r>
        <w:fldChar w:fldCharType="begin"/>
      </w:r>
      <w:r>
        <w:instrText xml:space="preserve"> PAGEREF _Toc494798048 \h </w:instrText>
      </w:r>
      <w:r>
        <w:fldChar w:fldCharType="separate"/>
      </w:r>
      <w:r>
        <w:t>61</w:t>
      </w:r>
      <w:r>
        <w:fldChar w:fldCharType="end"/>
      </w:r>
    </w:p>
    <w:p>
      <w:pPr>
        <w:pStyle w:val="TOC8"/>
        <w:rPr>
          <w:rFonts w:asciiTheme="minorHAnsi" w:eastAsiaTheme="minorEastAsia" w:hAnsiTheme="minorHAnsi" w:cstheme="minorBidi"/>
          <w:szCs w:val="22"/>
        </w:rPr>
      </w:pPr>
      <w:r>
        <w:t>5M.</w:t>
      </w:r>
      <w:r>
        <w:tab/>
        <w:t>Authorisation of mooring</w:t>
      </w:r>
      <w:r>
        <w:tab/>
      </w:r>
      <w:r>
        <w:fldChar w:fldCharType="begin"/>
      </w:r>
      <w:r>
        <w:instrText xml:space="preserve"> PAGEREF _Toc494798049 \h </w:instrText>
      </w:r>
      <w:r>
        <w:fldChar w:fldCharType="separate"/>
      </w:r>
      <w:r>
        <w:t>61</w:t>
      </w:r>
      <w:r>
        <w:fldChar w:fldCharType="end"/>
      </w:r>
    </w:p>
    <w:p>
      <w:pPr>
        <w:pStyle w:val="TOC8"/>
        <w:rPr>
          <w:rFonts w:asciiTheme="minorHAnsi" w:eastAsiaTheme="minorEastAsia" w:hAnsiTheme="minorHAnsi" w:cstheme="minorBidi"/>
          <w:szCs w:val="22"/>
        </w:rPr>
      </w:pPr>
      <w:r>
        <w:t>5N.</w:t>
      </w:r>
      <w:r>
        <w:tab/>
        <w:t>Revoking authorisation of mooring</w:t>
      </w:r>
      <w:r>
        <w:tab/>
      </w:r>
      <w:r>
        <w:fldChar w:fldCharType="begin"/>
      </w:r>
      <w:r>
        <w:instrText xml:space="preserve"> PAGEREF _Toc494798050 \h </w:instrText>
      </w:r>
      <w:r>
        <w:fldChar w:fldCharType="separate"/>
      </w:r>
      <w:r>
        <w:t>62</w:t>
      </w:r>
      <w:r>
        <w:fldChar w:fldCharType="end"/>
      </w:r>
    </w:p>
    <w:p>
      <w:pPr>
        <w:pStyle w:val="TOC8"/>
        <w:rPr>
          <w:rFonts w:asciiTheme="minorHAnsi" w:eastAsiaTheme="minorEastAsia" w:hAnsiTheme="minorHAnsi" w:cstheme="minorBidi"/>
          <w:szCs w:val="22"/>
        </w:rPr>
      </w:pPr>
      <w:r>
        <w:t>5O.</w:t>
      </w:r>
      <w:r>
        <w:tab/>
        <w:t>Moorings to be maintained in good condition</w:t>
      </w:r>
      <w:r>
        <w:tab/>
      </w:r>
      <w:r>
        <w:fldChar w:fldCharType="begin"/>
      </w:r>
      <w:r>
        <w:instrText xml:space="preserve"> PAGEREF _Toc494798051 \h </w:instrText>
      </w:r>
      <w:r>
        <w:fldChar w:fldCharType="separate"/>
      </w:r>
      <w:r>
        <w:t>62</w:t>
      </w:r>
      <w:r>
        <w:fldChar w:fldCharType="end"/>
      </w:r>
    </w:p>
    <w:p>
      <w:pPr>
        <w:pStyle w:val="TOC8"/>
        <w:rPr>
          <w:rFonts w:asciiTheme="minorHAnsi" w:eastAsiaTheme="minorEastAsia" w:hAnsiTheme="minorHAnsi" w:cstheme="minorBidi"/>
          <w:szCs w:val="22"/>
        </w:rPr>
      </w:pPr>
      <w:r>
        <w:t>5P.</w:t>
      </w:r>
      <w:r>
        <w:tab/>
        <w:t>Floats on moorings</w:t>
      </w:r>
      <w:r>
        <w:tab/>
      </w:r>
      <w:r>
        <w:fldChar w:fldCharType="begin"/>
      </w:r>
      <w:r>
        <w:instrText xml:space="preserve"> PAGEREF _Toc494798052 \h </w:instrText>
      </w:r>
      <w:r>
        <w:fldChar w:fldCharType="separate"/>
      </w:r>
      <w:r>
        <w:t>63</w:t>
      </w:r>
      <w:r>
        <w:fldChar w:fldCharType="end"/>
      </w:r>
    </w:p>
    <w:p>
      <w:pPr>
        <w:pStyle w:val="TOC8"/>
        <w:rPr>
          <w:rFonts w:asciiTheme="minorHAnsi" w:eastAsiaTheme="minorEastAsia" w:hAnsiTheme="minorHAnsi" w:cstheme="minorBidi"/>
          <w:szCs w:val="22"/>
        </w:rPr>
      </w:pPr>
      <w:r>
        <w:t>5Q.</w:t>
      </w:r>
      <w:r>
        <w:tab/>
        <w:t>Inspection reports for moorings</w:t>
      </w:r>
      <w:r>
        <w:tab/>
      </w:r>
      <w:r>
        <w:fldChar w:fldCharType="begin"/>
      </w:r>
      <w:r>
        <w:instrText xml:space="preserve"> PAGEREF _Toc494798053 \h </w:instrText>
      </w:r>
      <w:r>
        <w:fldChar w:fldCharType="separate"/>
      </w:r>
      <w:r>
        <w:t>63</w:t>
      </w:r>
      <w:r>
        <w:fldChar w:fldCharType="end"/>
      </w:r>
    </w:p>
    <w:p>
      <w:pPr>
        <w:pStyle w:val="TOC8"/>
        <w:rPr>
          <w:rFonts w:asciiTheme="minorHAnsi" w:eastAsiaTheme="minorEastAsia" w:hAnsiTheme="minorHAnsi" w:cstheme="minorBidi"/>
          <w:szCs w:val="22"/>
        </w:rPr>
      </w:pPr>
      <w:r>
        <w:t>5R.</w:t>
      </w:r>
      <w:r>
        <w:tab/>
        <w:t>Sale or disposal of moorings</w:t>
      </w:r>
      <w:r>
        <w:tab/>
      </w:r>
      <w:r>
        <w:fldChar w:fldCharType="begin"/>
      </w:r>
      <w:r>
        <w:instrText xml:space="preserve"> PAGEREF _Toc494798054 \h </w:instrText>
      </w:r>
      <w:r>
        <w:fldChar w:fldCharType="separate"/>
      </w:r>
      <w:r>
        <w:t>64</w:t>
      </w:r>
      <w:r>
        <w:fldChar w:fldCharType="end"/>
      </w:r>
    </w:p>
    <w:p>
      <w:pPr>
        <w:pStyle w:val="TOC8"/>
        <w:rPr>
          <w:rFonts w:asciiTheme="minorHAnsi" w:eastAsiaTheme="minorEastAsia" w:hAnsiTheme="minorHAnsi" w:cstheme="minorBidi"/>
          <w:szCs w:val="22"/>
        </w:rPr>
      </w:pPr>
      <w:r>
        <w:t>5S.</w:t>
      </w:r>
      <w:r>
        <w:tab/>
        <w:t>Removal of moorings</w:t>
      </w:r>
      <w:r>
        <w:tab/>
      </w:r>
      <w:r>
        <w:fldChar w:fldCharType="begin"/>
      </w:r>
      <w:r>
        <w:instrText xml:space="preserve"> PAGEREF _Toc494798055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5T.</w:t>
      </w:r>
      <w:r>
        <w:tab/>
        <w:t>Term used: service provider’s licence</w:t>
      </w:r>
      <w:r>
        <w:tab/>
      </w:r>
      <w:r>
        <w:fldChar w:fldCharType="begin"/>
      </w:r>
      <w:r>
        <w:instrText xml:space="preserve"> PAGEREF _Toc494798057 \h </w:instrText>
      </w:r>
      <w:r>
        <w:fldChar w:fldCharType="separate"/>
      </w:r>
      <w:r>
        <w:t>65</w:t>
      </w:r>
      <w:r>
        <w:fldChar w:fldCharType="end"/>
      </w:r>
    </w:p>
    <w:p>
      <w:pPr>
        <w:pStyle w:val="TOC8"/>
        <w:rPr>
          <w:rFonts w:asciiTheme="minorHAnsi" w:eastAsiaTheme="minorEastAsia" w:hAnsiTheme="minorHAnsi" w:cstheme="minorBidi"/>
          <w:szCs w:val="22"/>
        </w:rPr>
      </w:pPr>
      <w:r>
        <w:t>5U.</w:t>
      </w:r>
      <w:r>
        <w:tab/>
        <w:t>Unlicensed persons not to provide certain services</w:t>
      </w:r>
      <w:r>
        <w:tab/>
      </w:r>
      <w:r>
        <w:fldChar w:fldCharType="begin"/>
      </w:r>
      <w:r>
        <w:instrText xml:space="preserve"> PAGEREF _Toc494798058 \h </w:instrText>
      </w:r>
      <w:r>
        <w:fldChar w:fldCharType="separate"/>
      </w:r>
      <w:r>
        <w:t>65</w:t>
      </w:r>
      <w:r>
        <w:fldChar w:fldCharType="end"/>
      </w:r>
    </w:p>
    <w:p>
      <w:pPr>
        <w:pStyle w:val="TOC8"/>
        <w:rPr>
          <w:rFonts w:asciiTheme="minorHAnsi" w:eastAsiaTheme="minorEastAsia" w:hAnsiTheme="minorHAnsi" w:cstheme="minorBidi"/>
          <w:szCs w:val="22"/>
        </w:rPr>
      </w:pPr>
      <w:r>
        <w:t>5V.</w:t>
      </w:r>
      <w:r>
        <w:tab/>
        <w:t>Service provider’s licences</w:t>
      </w:r>
      <w:r>
        <w:tab/>
      </w:r>
      <w:r>
        <w:fldChar w:fldCharType="begin"/>
      </w:r>
      <w:r>
        <w:instrText xml:space="preserve"> PAGEREF _Toc494798059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5W.</w:t>
      </w:r>
      <w:r>
        <w:tab/>
        <w:t>Goods not to be placed on port facility, port land or other property of the port authority without authority</w:t>
      </w:r>
      <w:r>
        <w:tab/>
      </w:r>
      <w:r>
        <w:fldChar w:fldCharType="begin"/>
      </w:r>
      <w:r>
        <w:instrText xml:space="preserve"> PAGEREF _Toc494798061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5X.</w:t>
      </w:r>
      <w:r>
        <w:tab/>
        <w:t>Damage to property to be reported to harbour master</w:t>
      </w:r>
      <w:r>
        <w:tab/>
      </w:r>
      <w:r>
        <w:fldChar w:fldCharType="begin"/>
      </w:r>
      <w:r>
        <w:instrText xml:space="preserve"> PAGEREF _Toc494798063 \h </w:instrText>
      </w:r>
      <w:r>
        <w:fldChar w:fldCharType="separate"/>
      </w:r>
      <w:r>
        <w:t>67</w:t>
      </w:r>
      <w:r>
        <w:fldChar w:fldCharType="end"/>
      </w:r>
    </w:p>
    <w:p>
      <w:pPr>
        <w:pStyle w:val="TOC8"/>
        <w:rPr>
          <w:rFonts w:asciiTheme="minorHAnsi" w:eastAsiaTheme="minorEastAsia" w:hAnsiTheme="minorHAnsi" w:cstheme="minorBidi"/>
          <w:szCs w:val="22"/>
        </w:rPr>
      </w:pPr>
      <w:r>
        <w:t>5Y.</w:t>
      </w:r>
      <w:r>
        <w:tab/>
        <w:t>Unauthorised entry of closed areas of port</w:t>
      </w:r>
      <w:r>
        <w:tab/>
      </w:r>
      <w:r>
        <w:fldChar w:fldCharType="begin"/>
      </w:r>
      <w:r>
        <w:instrText xml:space="preserve"> PAGEREF _Toc494798064 \h </w:instrText>
      </w:r>
      <w:r>
        <w:fldChar w:fldCharType="separate"/>
      </w:r>
      <w:r>
        <w:t>68</w:t>
      </w:r>
      <w:r>
        <w:fldChar w:fldCharType="end"/>
      </w:r>
    </w:p>
    <w:p>
      <w:pPr>
        <w:pStyle w:val="TOC8"/>
        <w:rPr>
          <w:rFonts w:asciiTheme="minorHAnsi" w:eastAsiaTheme="minorEastAsia" w:hAnsiTheme="minorHAnsi" w:cstheme="minorBidi"/>
          <w:szCs w:val="22"/>
        </w:rPr>
      </w:pPr>
      <w:r>
        <w:t>5Z.</w:t>
      </w:r>
      <w:r>
        <w:tab/>
        <w:t>Restrictions on driving or moving vehicles on wharves</w:t>
      </w:r>
      <w:r>
        <w:tab/>
      </w:r>
      <w:r>
        <w:fldChar w:fldCharType="begin"/>
      </w:r>
      <w:r>
        <w:instrText xml:space="preserve"> PAGEREF _Toc494798065 \h </w:instrText>
      </w:r>
      <w:r>
        <w:fldChar w:fldCharType="separate"/>
      </w:r>
      <w:r>
        <w:t>68</w:t>
      </w:r>
      <w:r>
        <w:fldChar w:fldCharType="end"/>
      </w:r>
    </w:p>
    <w:p>
      <w:pPr>
        <w:pStyle w:val="TOC8"/>
        <w:rPr>
          <w:rFonts w:asciiTheme="minorHAnsi" w:eastAsiaTheme="minorEastAsia" w:hAnsiTheme="minorHAnsi" w:cstheme="minorBidi"/>
          <w:szCs w:val="22"/>
        </w:rPr>
      </w:pPr>
      <w:r>
        <w:t>5ZA.</w:t>
      </w:r>
      <w:r>
        <w:tab/>
        <w:t>Mooring and fishing in restricted area not permitted without authority</w:t>
      </w:r>
      <w:r>
        <w:tab/>
      </w:r>
      <w:r>
        <w:fldChar w:fldCharType="begin"/>
      </w:r>
      <w:r>
        <w:instrText xml:space="preserve"> PAGEREF _Toc494798066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Port of Broome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_Toc494798069 \h </w:instrText>
      </w:r>
      <w:r>
        <w:fldChar w:fldCharType="separate"/>
      </w:r>
      <w:r>
        <w:t>70</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_Toc494798070 \h </w:instrText>
      </w:r>
      <w:r>
        <w:fldChar w:fldCharType="separate"/>
      </w:r>
      <w:r>
        <w:t>70</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_Toc494798071 \h </w:instrText>
      </w:r>
      <w:r>
        <w:fldChar w:fldCharType="separate"/>
      </w:r>
      <w:r>
        <w:t>70</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_Toc494798072 \h </w:instrText>
      </w:r>
      <w:r>
        <w:fldChar w:fldCharType="separate"/>
      </w:r>
      <w:r>
        <w:t>71</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_Toc494798073 \h </w:instrText>
      </w:r>
      <w:r>
        <w:fldChar w:fldCharType="separate"/>
      </w:r>
      <w:r>
        <w:t>71</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_Toc494798074 \h </w:instrText>
      </w:r>
      <w:r>
        <w:fldChar w:fldCharType="separate"/>
      </w:r>
      <w:r>
        <w:t>71</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_Toc494798075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_Toc494798077 \h </w:instrText>
      </w:r>
      <w:r>
        <w:fldChar w:fldCharType="separate"/>
      </w:r>
      <w:r>
        <w:t>72</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_Toc494798078 \h </w:instrText>
      </w:r>
      <w:r>
        <w:fldChar w:fldCharType="separate"/>
      </w:r>
      <w:r>
        <w:t>72</w:t>
      </w:r>
      <w:r>
        <w:fldChar w:fldCharType="end"/>
      </w:r>
    </w:p>
    <w:p>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_Toc494798079 \h </w:instrText>
      </w:r>
      <w:r>
        <w:fldChar w:fldCharType="separate"/>
      </w:r>
      <w:r>
        <w:t>72</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_Toc494798080 \h </w:instrText>
      </w:r>
      <w:r>
        <w:fldChar w:fldCharType="separate"/>
      </w:r>
      <w:r>
        <w:t>73</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_Toc494798081 \h </w:instrText>
      </w:r>
      <w:r>
        <w:fldChar w:fldCharType="separate"/>
      </w:r>
      <w:r>
        <w:t>73</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_Toc494798082 \h </w:instrText>
      </w:r>
      <w:r>
        <w:fldChar w:fldCharType="separate"/>
      </w:r>
      <w:r>
        <w:t>74</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_Toc494798083 \h </w:instrText>
      </w:r>
      <w:r>
        <w:fldChar w:fldCharType="separate"/>
      </w:r>
      <w:r>
        <w:t>74</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_Toc494798084 \h </w:instrText>
      </w:r>
      <w:r>
        <w:fldChar w:fldCharType="separate"/>
      </w:r>
      <w:r>
        <w:t>74</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_Toc494798085 \h </w:instrText>
      </w:r>
      <w:r>
        <w:fldChar w:fldCharType="separate"/>
      </w:r>
      <w:r>
        <w:t>75</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_Toc494798086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_Toc494798088 \h </w:instrText>
      </w:r>
      <w:r>
        <w:fldChar w:fldCharType="separate"/>
      </w:r>
      <w:r>
        <w:t>75</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_Toc494798089 \h </w:instrText>
      </w:r>
      <w:r>
        <w:fldChar w:fldCharType="separate"/>
      </w:r>
      <w:r>
        <w:t>76</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_Toc494798090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_Toc494798092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_Toc494798094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_Toc494798096 \h </w:instrText>
      </w:r>
      <w:r>
        <w:fldChar w:fldCharType="separate"/>
      </w:r>
      <w:r>
        <w:t>79</w:t>
      </w:r>
      <w:r>
        <w:fldChar w:fldCharType="end"/>
      </w:r>
    </w:p>
    <w:p>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_Toc494798097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Port of Bunbury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_Toc494798099 \h </w:instrText>
      </w:r>
      <w:r>
        <w:fldChar w:fldCharType="separate"/>
      </w:r>
      <w:r>
        <w:t>79</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_Toc494798100 \h </w:instrText>
      </w:r>
      <w:r>
        <w:fldChar w:fldCharType="separate"/>
      </w:r>
      <w:r>
        <w:t>79</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_Toc494798101 \h </w:instrText>
      </w:r>
      <w:r>
        <w:fldChar w:fldCharType="separate"/>
      </w:r>
      <w:r>
        <w:t>80</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_Toc494798102 \h </w:instrText>
      </w:r>
      <w:r>
        <w:fldChar w:fldCharType="separate"/>
      </w:r>
      <w:r>
        <w:t>80</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_Toc494798103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Port of Ashburton and Port of Dampier</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_Toc494798106 \h </w:instrText>
      </w:r>
      <w:r>
        <w:fldChar w:fldCharType="separate"/>
      </w:r>
      <w:r>
        <w:t>82</w:t>
      </w:r>
      <w:r>
        <w:fldChar w:fldCharType="end"/>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_Toc494798107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_Toc494798109 \h </w:instrText>
      </w:r>
      <w:r>
        <w:fldChar w:fldCharType="separate"/>
      </w:r>
      <w:r>
        <w:t>82</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_Toc494798110 \h </w:instrText>
      </w:r>
      <w:r>
        <w:fldChar w:fldCharType="separate"/>
      </w:r>
      <w:r>
        <w:t>83</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_Toc494798111 \h </w:instrText>
      </w:r>
      <w:r>
        <w:fldChar w:fldCharType="separate"/>
      </w:r>
      <w:r>
        <w:t>83</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_Toc494798112 \h </w:instrText>
      </w:r>
      <w:r>
        <w:fldChar w:fldCharType="separate"/>
      </w:r>
      <w:r>
        <w:t>83</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_Toc494798113 \h </w:instrText>
      </w:r>
      <w:r>
        <w:fldChar w:fldCharType="separate"/>
      </w:r>
      <w:r>
        <w:t>84</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_Toc494798114 \h </w:instrText>
      </w:r>
      <w:r>
        <w:fldChar w:fldCharType="separate"/>
      </w:r>
      <w:r>
        <w:t>84</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_Toc494798115 \h </w:instrText>
      </w:r>
      <w:r>
        <w:fldChar w:fldCharType="separate"/>
      </w:r>
      <w:r>
        <w:t>84</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_Toc494798116 \h </w:instrText>
      </w:r>
      <w:r>
        <w:fldChar w:fldCharType="separate"/>
      </w:r>
      <w:r>
        <w:t>84</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_Toc494798117 \h </w:instrText>
      </w:r>
      <w:r>
        <w:fldChar w:fldCharType="separate"/>
      </w:r>
      <w:r>
        <w:t>85</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_Toc494798118 \h </w:instrText>
      </w:r>
      <w:r>
        <w:fldChar w:fldCharType="separate"/>
      </w:r>
      <w:r>
        <w:t>85</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_Toc494798119 \h </w:instrText>
      </w:r>
      <w:r>
        <w:fldChar w:fldCharType="separate"/>
      </w:r>
      <w:r>
        <w:t>85</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_Toc494798120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_Toc494798122 \h </w:instrText>
      </w:r>
      <w:r>
        <w:fldChar w:fldCharType="separate"/>
      </w:r>
      <w:r>
        <w:t>86</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_Toc494798123 \h </w:instrText>
      </w:r>
      <w:r>
        <w:fldChar w:fldCharType="separate"/>
      </w:r>
      <w:r>
        <w:t>87</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_Toc494798124 \h </w:instrText>
      </w:r>
      <w:r>
        <w:fldChar w:fldCharType="separate"/>
      </w:r>
      <w:r>
        <w:t>87</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_Toc494798125 \h </w:instrText>
      </w:r>
      <w:r>
        <w:fldChar w:fldCharType="separate"/>
      </w:r>
      <w:r>
        <w:t>87</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_Toc494798126 \h </w:instrText>
      </w:r>
      <w:r>
        <w:fldChar w:fldCharType="separate"/>
      </w:r>
      <w:r>
        <w:t>88</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_Toc494798127 \h </w:instrText>
      </w:r>
      <w:r>
        <w:fldChar w:fldCharType="separate"/>
      </w:r>
      <w:r>
        <w:t>88</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_Toc494798128 \h </w:instrText>
      </w:r>
      <w:r>
        <w:fldChar w:fldCharType="separate"/>
      </w:r>
      <w:r>
        <w:t>89</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_Toc494798129 \h </w:instrText>
      </w:r>
      <w:r>
        <w:fldChar w:fldCharType="separate"/>
      </w:r>
      <w:r>
        <w:t>89</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_Toc494798130 \h </w:instrText>
      </w:r>
      <w:r>
        <w:fldChar w:fldCharType="separate"/>
      </w:r>
      <w:r>
        <w:t>90</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_Toc494798131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_Toc494798133 \h </w:instrText>
      </w:r>
      <w:r>
        <w:fldChar w:fldCharType="separate"/>
      </w:r>
      <w:r>
        <w:t>90</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_Toc494798134 \h </w:instrText>
      </w:r>
      <w:r>
        <w:fldChar w:fldCharType="separate"/>
      </w:r>
      <w:r>
        <w:t>91</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_Toc494798135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_Toc494798137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_Toc494798139 \h </w:instrText>
      </w:r>
      <w:r>
        <w:fldChar w:fldCharType="separate"/>
      </w:r>
      <w:r>
        <w:t>93</w:t>
      </w:r>
      <w:r>
        <w:fldChar w:fldCharType="end"/>
      </w:r>
    </w:p>
    <w:p>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_Toc494798140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4A — Port of Esperance</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_Toc494798142 \h </w:instrText>
      </w:r>
      <w:r>
        <w:fldChar w:fldCharType="separate"/>
      </w:r>
      <w:r>
        <w:t>94</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_Toc494798143 \h </w:instrText>
      </w:r>
      <w:r>
        <w:fldChar w:fldCharType="separate"/>
      </w:r>
      <w:r>
        <w:t>94</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_Toc494798144 \h </w:instrText>
      </w:r>
      <w:r>
        <w:fldChar w:fldCharType="separate"/>
      </w:r>
      <w:r>
        <w:t>94</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_Toc494798145 \h </w:instrText>
      </w:r>
      <w:r>
        <w:fldChar w:fldCharType="separate"/>
      </w:r>
      <w:r>
        <w:t>94</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_Toc494798146 \h </w:instrText>
      </w:r>
      <w:r>
        <w:fldChar w:fldCharType="separate"/>
      </w:r>
      <w:r>
        <w:t>94</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_Toc494798147 \h </w:instrText>
      </w:r>
      <w:r>
        <w:fldChar w:fldCharType="separate"/>
      </w:r>
      <w:r>
        <w:t>95</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_Toc494798148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5 — Port of Fremantle</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_Toc494798151 \h </w:instrText>
      </w:r>
      <w:r>
        <w:fldChar w:fldCharType="separate"/>
      </w:r>
      <w:r>
        <w:t>97</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_Toc494798152 \h </w:instrText>
      </w:r>
      <w:r>
        <w:fldChar w:fldCharType="separate"/>
      </w:r>
      <w:r>
        <w:t>97</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_Toc494798153 \h </w:instrText>
      </w:r>
      <w:r>
        <w:fldChar w:fldCharType="separate"/>
      </w:r>
      <w:r>
        <w:t>97</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_Toc494798154 \h </w:instrText>
      </w:r>
      <w:r>
        <w:fldChar w:fldCharType="separate"/>
      </w:r>
      <w:r>
        <w:t>97</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_Toc494798155 \h </w:instrText>
      </w:r>
      <w:r>
        <w:fldChar w:fldCharType="separate"/>
      </w:r>
      <w:r>
        <w:t>98</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_Toc494798156 \h </w:instrText>
      </w:r>
      <w:r>
        <w:fldChar w:fldCharType="separate"/>
      </w:r>
      <w:r>
        <w:t>99</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_Toc494798157 \h </w:instrText>
      </w:r>
      <w:r>
        <w:fldChar w:fldCharType="separate"/>
      </w:r>
      <w:r>
        <w:t>99</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_Toc494798158 \h </w:instrText>
      </w:r>
      <w:r>
        <w:fldChar w:fldCharType="separate"/>
      </w:r>
      <w:r>
        <w:t>100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_Toc494798160 \h </w:instrText>
      </w:r>
      <w:r>
        <w:fldChar w:fldCharType="separate"/>
      </w:r>
      <w:r>
        <w:t>101</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_Toc494798161 \h </w:instrText>
      </w:r>
      <w:r>
        <w:fldChar w:fldCharType="separate"/>
      </w:r>
      <w:r>
        <w:t>101</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_Toc494798162 \h </w:instrText>
      </w:r>
      <w:r>
        <w:fldChar w:fldCharType="separate"/>
      </w:r>
      <w:r>
        <w:t>102</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_Toc494798163 \h </w:instrText>
      </w:r>
      <w:r>
        <w:fldChar w:fldCharType="separate"/>
      </w:r>
      <w:r>
        <w:t>103</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_Toc494798164 \h </w:instrText>
      </w:r>
      <w:r>
        <w:fldChar w:fldCharType="separate"/>
      </w:r>
      <w:r>
        <w:t>104</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_Toc494798165 \h </w:instrText>
      </w:r>
      <w:r>
        <w:fldChar w:fldCharType="separate"/>
      </w:r>
      <w:r>
        <w:t>105</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_Toc494798166 \h </w:instrText>
      </w:r>
      <w:r>
        <w:fldChar w:fldCharType="separate"/>
      </w:r>
      <w:r>
        <w:t>105</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_Toc494798167 \h </w:instrText>
      </w:r>
      <w:r>
        <w:fldChar w:fldCharType="separate"/>
      </w:r>
      <w:r>
        <w:t>106</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_Toc494798168 \h </w:instrText>
      </w:r>
      <w:r>
        <w:fldChar w:fldCharType="separate"/>
      </w:r>
      <w:r>
        <w:t>107</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_Toc494798169 \h </w:instrText>
      </w:r>
      <w:r>
        <w:fldChar w:fldCharType="separate"/>
      </w:r>
      <w:r>
        <w:t>107</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_Toc494798170 \h </w:instrText>
      </w:r>
      <w:r>
        <w:fldChar w:fldCharType="separate"/>
      </w:r>
      <w:r>
        <w:t>108</w:t>
      </w:r>
      <w:r>
        <w:fldChar w:fldCharType="end"/>
      </w:r>
    </w:p>
    <w:p>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_Toc494798171 \h </w:instrText>
      </w:r>
      <w:r>
        <w:fldChar w:fldCharType="separate"/>
      </w:r>
      <w:r>
        <w:t>108</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_Toc494798172 \h </w:instrText>
      </w:r>
      <w:r>
        <w:fldChar w:fldCharType="separate"/>
      </w:r>
      <w:r>
        <w:t>109</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_Toc494798173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_Toc494798175 \h </w:instrText>
      </w:r>
      <w:r>
        <w:fldChar w:fldCharType="separate"/>
      </w:r>
      <w:r>
        <w:t>109</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_Toc494798176 \h </w:instrText>
      </w:r>
      <w:r>
        <w:fldChar w:fldCharType="separate"/>
      </w:r>
      <w:r>
        <w:t>110</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_Toc494798177 \h </w:instrText>
      </w:r>
      <w:r>
        <w:fldChar w:fldCharType="separate"/>
      </w:r>
      <w:r>
        <w:t>110</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_Toc494798178 \h </w:instrText>
      </w:r>
      <w:r>
        <w:fldChar w:fldCharType="separate"/>
      </w:r>
      <w:r>
        <w:t>111</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_Toc494798179 \h </w:instrText>
      </w:r>
      <w:r>
        <w:fldChar w:fldCharType="separate"/>
      </w:r>
      <w:r>
        <w:t>111</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_Toc494798180 \h </w:instrText>
      </w:r>
      <w:r>
        <w:fldChar w:fldCharType="separate"/>
      </w:r>
      <w:r>
        <w:t>112</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_Toc494798181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_Toc494798183 \h </w:instrText>
      </w:r>
      <w:r>
        <w:fldChar w:fldCharType="separate"/>
      </w:r>
      <w:r>
        <w:t>113</w:t>
      </w:r>
      <w:r>
        <w:fldChar w:fldCharType="end"/>
      </w:r>
    </w:p>
    <w:p>
      <w:pPr>
        <w:pStyle w:val="TOC6"/>
        <w:tabs>
          <w:tab w:val="right" w:leader="dot" w:pos="7077"/>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_Toc494798185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_Toc494798187 \h </w:instrText>
      </w:r>
      <w:r>
        <w:fldChar w:fldCharType="separate"/>
      </w:r>
      <w:r>
        <w:t>114</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_Toc494798188 \h </w:instrText>
      </w:r>
      <w:r>
        <w:fldChar w:fldCharType="separate"/>
      </w:r>
      <w:r>
        <w:t>115</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_Toc494798189 \h </w:instrText>
      </w:r>
      <w:r>
        <w:fldChar w:fldCharType="separate"/>
      </w:r>
      <w:r>
        <w:t>115</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_Toc494798190 \h </w:instrText>
      </w:r>
      <w:r>
        <w:fldChar w:fldCharType="separate"/>
      </w:r>
      <w:r>
        <w:t>116</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_Toc494798191 \h </w:instrText>
      </w:r>
      <w:r>
        <w:fldChar w:fldCharType="separate"/>
      </w:r>
      <w:r>
        <w:t>117</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_Toc494798192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_Toc494798194 \h </w:instrText>
      </w:r>
      <w:r>
        <w:fldChar w:fldCharType="separate"/>
      </w:r>
      <w:r>
        <w:t>118</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_Toc494798195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6 — Port of Geraldton</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_Toc494798197 \h </w:instrText>
      </w:r>
      <w:r>
        <w:fldChar w:fldCharType="separate"/>
      </w:r>
      <w:r>
        <w:t>119</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_Toc494798198 \h </w:instrText>
      </w:r>
      <w:r>
        <w:fldChar w:fldCharType="separate"/>
      </w:r>
      <w:r>
        <w:t>119</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_Toc494798199 \h </w:instrText>
      </w:r>
      <w:r>
        <w:fldChar w:fldCharType="separate"/>
      </w:r>
      <w:r>
        <w:t>119</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_Toc494798200 \h </w:instrText>
      </w:r>
      <w:r>
        <w:fldChar w:fldCharType="separate"/>
      </w:r>
      <w:r>
        <w:t>120</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_Toc494798201 \h </w:instrText>
      </w:r>
      <w:r>
        <w:fldChar w:fldCharType="separate"/>
      </w:r>
      <w:r>
        <w:t>120</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_Toc494798202 \h </w:instrText>
      </w:r>
      <w:r>
        <w:fldChar w:fldCharType="separate"/>
      </w:r>
      <w:r>
        <w:t>121</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_Toc494798203 \h </w:instrText>
      </w:r>
      <w:r>
        <w:fldChar w:fldCharType="separate"/>
      </w:r>
      <w:r>
        <w:t>121</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_Toc494798204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7 — Port of Port Hedland</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_Toc494798206 \h </w:instrText>
      </w:r>
      <w:r>
        <w:fldChar w:fldCharType="separate"/>
      </w:r>
      <w:r>
        <w:t>123</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_Toc494798207 \h </w:instrText>
      </w:r>
      <w:r>
        <w:fldChar w:fldCharType="separate"/>
      </w:r>
      <w:r>
        <w:t>123</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_Toc494798208 \h </w:instrText>
      </w:r>
      <w:r>
        <w:fldChar w:fldCharType="separate"/>
      </w:r>
      <w:r>
        <w:t>123</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_Toc494798209 \h </w:instrText>
      </w:r>
      <w:r>
        <w:fldChar w:fldCharType="separate"/>
      </w:r>
      <w:r>
        <w:t>124</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_Toc494798210 \h </w:instrText>
      </w:r>
      <w:r>
        <w:fldChar w:fldCharType="separate"/>
      </w:r>
      <w:r>
        <w:t>124</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_Toc494798211 \h </w:instrText>
      </w:r>
      <w:r>
        <w:fldChar w:fldCharType="separate"/>
      </w:r>
      <w:r>
        <w:t>124</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_Toc494798212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_Toc494798216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3" w:name="_Toc408471745"/>
      <w:bookmarkStart w:id="4" w:name="_Toc416945390"/>
      <w:bookmarkStart w:id="5" w:name="_Toc416945729"/>
      <w:bookmarkStart w:id="6" w:name="_Toc416946013"/>
      <w:bookmarkStart w:id="7" w:name="_Toc417655582"/>
      <w:bookmarkStart w:id="8" w:name="_Toc461722009"/>
      <w:bookmarkStart w:id="9" w:name="_Toc461723656"/>
      <w:bookmarkStart w:id="10" w:name="_Toc493069408"/>
      <w:bookmarkStart w:id="11" w:name="_Toc494791651"/>
      <w:bookmarkStart w:id="12" w:name="_Toc494793274"/>
      <w:bookmarkStart w:id="13" w:name="_Toc494797900"/>
      <w:r>
        <w:rPr>
          <w:rStyle w:val="CharPartNo"/>
        </w:rPr>
        <w:t>Part 1</w:t>
      </w:r>
      <w:r>
        <w:rPr>
          <w:rStyle w:val="CharDivNo"/>
        </w:rPr>
        <w:t xml:space="preserve"> </w:t>
      </w:r>
      <w: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408471746"/>
      <w:bookmarkStart w:id="15" w:name="_Toc494797901"/>
      <w:r>
        <w:rPr>
          <w:rStyle w:val="CharSectno"/>
        </w:rPr>
        <w:t>1</w:t>
      </w:r>
      <w:r>
        <w:t>.</w:t>
      </w:r>
      <w:r>
        <w:tab/>
        <w:t>Citation</w:t>
      </w:r>
      <w:bookmarkEnd w:id="14"/>
      <w:bookmarkEnd w:id="15"/>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16" w:name="_Toc408471747"/>
      <w:bookmarkStart w:id="17" w:name="_Toc494797902"/>
      <w:r>
        <w:rPr>
          <w:rStyle w:val="CharSectno"/>
        </w:rPr>
        <w:t>2</w:t>
      </w:r>
      <w:r>
        <w:t>.</w:t>
      </w:r>
      <w:r>
        <w:tab/>
        <w:t>Commencement</w:t>
      </w:r>
      <w:bookmarkEnd w:id="16"/>
      <w:bookmarkEnd w:id="17"/>
    </w:p>
    <w:p>
      <w:pPr>
        <w:pStyle w:val="Subsection"/>
      </w:pPr>
      <w:r>
        <w:tab/>
      </w:r>
      <w:r>
        <w:tab/>
        <w:t>These regulations come into operation on 1 June 2001.</w:t>
      </w:r>
    </w:p>
    <w:p>
      <w:pPr>
        <w:pStyle w:val="Heading5"/>
      </w:pPr>
      <w:bookmarkStart w:id="18" w:name="_Toc408471748"/>
      <w:bookmarkStart w:id="19" w:name="_Toc494797903"/>
      <w:r>
        <w:rPr>
          <w:rStyle w:val="CharSectno"/>
        </w:rPr>
        <w:t>3</w:t>
      </w:r>
      <w:r>
        <w:t>.</w:t>
      </w:r>
      <w:r>
        <w:tab/>
        <w:t>Terms used</w:t>
      </w:r>
      <w:bookmarkEnd w:id="18"/>
      <w:bookmarkEnd w:id="19"/>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Defstart"/>
      </w:pPr>
      <w:r>
        <w:tab/>
      </w:r>
      <w:r>
        <w:rPr>
          <w:rStyle w:val="CharDefText"/>
        </w:rPr>
        <w:t>Navigation Act</w:t>
      </w:r>
      <w:r>
        <w:t xml:space="preserve"> means the </w:t>
      </w:r>
      <w:r>
        <w:rPr>
          <w:i/>
        </w:rPr>
        <w:t>Navigation Act 2012</w:t>
      </w:r>
      <w:r>
        <w:t xml:space="preserv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Footnotesection"/>
        <w:spacing w:before="100"/>
        <w:ind w:left="890" w:hanging="890"/>
      </w:pPr>
      <w:r>
        <w:tab/>
        <w:t>[Regulation 3 amended in Gazette 20 Jun 2014 p. 2030; 5 Sep 2014 p. 3214; 8 Jan 2015 p. 61</w:t>
      </w:r>
      <w:r>
        <w:noBreakHyphen/>
        <w:t>2.]</w:t>
      </w:r>
    </w:p>
    <w:p>
      <w:pPr>
        <w:pStyle w:val="Heading5"/>
      </w:pPr>
      <w:bookmarkStart w:id="20" w:name="_Toc494797904"/>
      <w:bookmarkStart w:id="21" w:name="_Toc408471749"/>
      <w:bookmarkStart w:id="22" w:name="_Toc416945394"/>
      <w:bookmarkStart w:id="23" w:name="_Toc416945733"/>
      <w:bookmarkStart w:id="24" w:name="_Toc416946017"/>
      <w:r>
        <w:rPr>
          <w:rStyle w:val="CharSectno"/>
        </w:rPr>
        <w:t>4A</w:t>
      </w:r>
      <w:r>
        <w:t>.</w:t>
      </w:r>
      <w:r>
        <w:tab/>
        <w:t>Application as to assistance animals</w:t>
      </w:r>
      <w:bookmarkEnd w:id="20"/>
    </w:p>
    <w:p>
      <w:pPr>
        <w:pStyle w:val="Subsection"/>
      </w:pPr>
      <w:r>
        <w:tab/>
      </w:r>
      <w:r>
        <w:tab/>
        <w:t xml:space="preserve">These regulations are subject to any written law and any law of the Commonwealth about assistance animals as defined in the </w:t>
      </w:r>
      <w:r>
        <w:rPr>
          <w:i/>
        </w:rPr>
        <w:t xml:space="preserve">Disability Discrimination Act 1992 </w:t>
      </w:r>
      <w:r>
        <w:t>(Commonwealth) section 9(2).</w:t>
      </w:r>
    </w:p>
    <w:p>
      <w:pPr>
        <w:pStyle w:val="Footnotesection"/>
        <w:spacing w:before="100"/>
        <w:ind w:left="890" w:hanging="890"/>
      </w:pPr>
      <w:r>
        <w:tab/>
        <w:t>[Regulation 4A inserted in Gazette 8 Jan 2015 p. 62.]</w:t>
      </w:r>
    </w:p>
    <w:p>
      <w:pPr>
        <w:pStyle w:val="Heading2"/>
      </w:pPr>
      <w:bookmarkStart w:id="25" w:name="_Toc489965888"/>
      <w:bookmarkStart w:id="26" w:name="_Toc489965937"/>
      <w:bookmarkStart w:id="27" w:name="_Toc489970671"/>
      <w:bookmarkStart w:id="28" w:name="_Toc490033394"/>
      <w:bookmarkStart w:id="29" w:name="_Toc494791656"/>
      <w:bookmarkStart w:id="30" w:name="_Toc494793279"/>
      <w:bookmarkStart w:id="31" w:name="_Toc494797905"/>
      <w:bookmarkStart w:id="32" w:name="_Toc417655587"/>
      <w:bookmarkStart w:id="33" w:name="_Toc461722014"/>
      <w:bookmarkStart w:id="34" w:name="_Toc461723661"/>
      <w:bookmarkStart w:id="35" w:name="_Toc493069413"/>
      <w:r>
        <w:rPr>
          <w:rStyle w:val="CharPartNo"/>
        </w:rPr>
        <w:t>Part 1A</w:t>
      </w:r>
      <w:r>
        <w:rPr>
          <w:rStyle w:val="CharDivNo"/>
          <w:snapToGrid/>
          <w:sz w:val="26"/>
        </w:rPr>
        <w:t> </w:t>
      </w:r>
      <w:r>
        <w:t>—</w:t>
      </w:r>
      <w:r>
        <w:rPr>
          <w:rStyle w:val="CharDivText"/>
          <w:snapToGrid/>
          <w:sz w:val="26"/>
        </w:rPr>
        <w:t> </w:t>
      </w:r>
      <w:r>
        <w:rPr>
          <w:rStyle w:val="CharPartText"/>
        </w:rPr>
        <w:t>Additional port under port authority control and management</w:t>
      </w:r>
      <w:bookmarkEnd w:id="25"/>
      <w:bookmarkEnd w:id="26"/>
      <w:bookmarkEnd w:id="27"/>
      <w:bookmarkEnd w:id="28"/>
      <w:bookmarkEnd w:id="29"/>
      <w:bookmarkEnd w:id="30"/>
      <w:bookmarkEnd w:id="31"/>
    </w:p>
    <w:p>
      <w:pPr>
        <w:pStyle w:val="Footnoteheading"/>
      </w:pPr>
      <w:bookmarkStart w:id="36" w:name="_Toc489970672"/>
      <w:bookmarkStart w:id="37" w:name="_Toc490033395"/>
      <w:r>
        <w:tab/>
        <w:t>[Heading inserted in Gazette 3 Oct 2017 p. 5037.]</w:t>
      </w:r>
    </w:p>
    <w:p>
      <w:pPr>
        <w:pStyle w:val="Heading5"/>
      </w:pPr>
      <w:bookmarkStart w:id="38" w:name="_Toc494797906"/>
      <w:r>
        <w:rPr>
          <w:rStyle w:val="CharSectno"/>
        </w:rPr>
        <w:t>4B</w:t>
      </w:r>
      <w:r>
        <w:t>.</w:t>
      </w:r>
      <w:r>
        <w:tab/>
        <w:t>Port of Balla Balla</w:t>
      </w:r>
      <w:bookmarkEnd w:id="36"/>
      <w:bookmarkEnd w:id="37"/>
      <w:bookmarkEnd w:id="38"/>
    </w:p>
    <w:p>
      <w:pPr>
        <w:pStyle w:val="Subsection"/>
      </w:pPr>
      <w:r>
        <w:tab/>
      </w:r>
      <w:r>
        <w:tab/>
        <w:t>For the purposes of section 4(2A)(b) and Schedule 9 clause 2(1) of the Act, the Port of Balla Balla is placed under the control and management of the Pilbara Ports Authority.</w:t>
      </w:r>
    </w:p>
    <w:p>
      <w:pPr>
        <w:pStyle w:val="Footnotesection"/>
        <w:spacing w:before="100"/>
        <w:ind w:left="890" w:hanging="890"/>
      </w:pPr>
      <w:r>
        <w:tab/>
        <w:t>[Regulation 4B inserted in Gazette 3 Oct 2017 p. 5037.]</w:t>
      </w:r>
    </w:p>
    <w:p>
      <w:pPr>
        <w:pStyle w:val="Heading2"/>
      </w:pPr>
      <w:bookmarkStart w:id="39" w:name="_Toc494791658"/>
      <w:bookmarkStart w:id="40" w:name="_Toc494793281"/>
      <w:bookmarkStart w:id="41" w:name="_Toc494797907"/>
      <w:r>
        <w:rPr>
          <w:rStyle w:val="CharPartNo"/>
        </w:rPr>
        <w:t>Part 2</w:t>
      </w:r>
      <w:r>
        <w:t xml:space="preserve"> — </w:t>
      </w:r>
      <w:r>
        <w:rPr>
          <w:rStyle w:val="CharPartText"/>
        </w:rPr>
        <w:t>Vessels in ports</w:t>
      </w:r>
      <w:bookmarkEnd w:id="21"/>
      <w:bookmarkEnd w:id="22"/>
      <w:bookmarkEnd w:id="23"/>
      <w:bookmarkEnd w:id="24"/>
      <w:bookmarkEnd w:id="32"/>
      <w:bookmarkEnd w:id="33"/>
      <w:bookmarkEnd w:id="34"/>
      <w:bookmarkEnd w:id="35"/>
      <w:bookmarkEnd w:id="39"/>
      <w:bookmarkEnd w:id="40"/>
      <w:bookmarkEnd w:id="41"/>
    </w:p>
    <w:p>
      <w:pPr>
        <w:pStyle w:val="Heading3"/>
      </w:pPr>
      <w:bookmarkStart w:id="42" w:name="_Toc408471750"/>
      <w:bookmarkStart w:id="43" w:name="_Toc416945395"/>
      <w:bookmarkStart w:id="44" w:name="_Toc416945734"/>
      <w:bookmarkStart w:id="45" w:name="_Toc416946018"/>
      <w:bookmarkStart w:id="46" w:name="_Toc417655588"/>
      <w:bookmarkStart w:id="47" w:name="_Toc461722015"/>
      <w:bookmarkStart w:id="48" w:name="_Toc461723662"/>
      <w:bookmarkStart w:id="49" w:name="_Toc493069414"/>
      <w:bookmarkStart w:id="50" w:name="_Toc494791659"/>
      <w:bookmarkStart w:id="51" w:name="_Toc494793282"/>
      <w:bookmarkStart w:id="52" w:name="_Toc494797908"/>
      <w:r>
        <w:rPr>
          <w:rStyle w:val="CharDivNo"/>
        </w:rPr>
        <w:t>Division 1</w:t>
      </w:r>
      <w:r>
        <w:t xml:space="preserve"> — </w:t>
      </w:r>
      <w:r>
        <w:rPr>
          <w:rStyle w:val="CharDivText"/>
        </w:rPr>
        <w:t>Vessels arriving at ports</w:t>
      </w:r>
      <w:bookmarkEnd w:id="42"/>
      <w:bookmarkEnd w:id="43"/>
      <w:bookmarkEnd w:id="44"/>
      <w:bookmarkEnd w:id="45"/>
      <w:bookmarkEnd w:id="46"/>
      <w:bookmarkEnd w:id="47"/>
      <w:bookmarkEnd w:id="48"/>
      <w:bookmarkEnd w:id="49"/>
      <w:bookmarkEnd w:id="50"/>
      <w:bookmarkEnd w:id="51"/>
      <w:bookmarkEnd w:id="52"/>
    </w:p>
    <w:p>
      <w:pPr>
        <w:pStyle w:val="Heading5"/>
        <w:rPr>
          <w:b w:val="0"/>
        </w:rPr>
      </w:pPr>
      <w:bookmarkStart w:id="53" w:name="_Toc408471751"/>
      <w:bookmarkStart w:id="54" w:name="_Toc494797909"/>
      <w:r>
        <w:rPr>
          <w:rStyle w:val="CharSectno"/>
        </w:rPr>
        <w:t>4</w:t>
      </w:r>
      <w:r>
        <w:t>.</w:t>
      </w:r>
      <w:r>
        <w:tab/>
        <w:t>Notice of arrival at port</w:t>
      </w:r>
      <w:bookmarkEnd w:id="53"/>
      <w:bookmarkEnd w:id="54"/>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55" w:name="_Toc408471752"/>
      <w:bookmarkStart w:id="56" w:name="_Toc494797910"/>
      <w:r>
        <w:rPr>
          <w:rStyle w:val="CharSectno"/>
        </w:rPr>
        <w:t>5</w:t>
      </w:r>
      <w:r>
        <w:t>.</w:t>
      </w:r>
      <w:r>
        <w:tab/>
        <w:t>Vessel to maintain contact with port authority</w:t>
      </w:r>
      <w:bookmarkEnd w:id="55"/>
      <w:bookmarkEnd w:id="56"/>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57" w:name="_Toc408471753"/>
      <w:bookmarkStart w:id="58" w:name="_Toc416945398"/>
      <w:bookmarkStart w:id="59" w:name="_Toc416945737"/>
      <w:bookmarkStart w:id="60" w:name="_Toc416946021"/>
      <w:bookmarkStart w:id="61" w:name="_Toc417655591"/>
      <w:bookmarkStart w:id="62" w:name="_Toc461722018"/>
      <w:bookmarkStart w:id="63" w:name="_Toc461723665"/>
      <w:bookmarkStart w:id="64" w:name="_Toc493069417"/>
      <w:bookmarkStart w:id="65" w:name="_Toc494791662"/>
      <w:bookmarkStart w:id="66" w:name="_Toc494793285"/>
      <w:bookmarkStart w:id="67" w:name="_Toc494797911"/>
      <w:r>
        <w:rPr>
          <w:rStyle w:val="CharDivNo"/>
        </w:rPr>
        <w:t>Division 2</w:t>
      </w:r>
      <w:r>
        <w:t xml:space="preserve"> — </w:t>
      </w:r>
      <w:r>
        <w:rPr>
          <w:rStyle w:val="CharDivText"/>
        </w:rPr>
        <w:t>Matters relating to safety</w:t>
      </w:r>
      <w:bookmarkEnd w:id="57"/>
      <w:bookmarkEnd w:id="58"/>
      <w:bookmarkEnd w:id="59"/>
      <w:bookmarkEnd w:id="60"/>
      <w:bookmarkEnd w:id="61"/>
      <w:bookmarkEnd w:id="62"/>
      <w:bookmarkEnd w:id="63"/>
      <w:bookmarkEnd w:id="64"/>
      <w:bookmarkEnd w:id="65"/>
      <w:bookmarkEnd w:id="66"/>
      <w:bookmarkEnd w:id="67"/>
    </w:p>
    <w:p>
      <w:pPr>
        <w:pStyle w:val="Heading5"/>
      </w:pPr>
      <w:bookmarkStart w:id="68" w:name="_Toc408471754"/>
      <w:bookmarkStart w:id="69" w:name="_Toc494797912"/>
      <w:r>
        <w:rPr>
          <w:rStyle w:val="CharSectno"/>
        </w:rPr>
        <w:t>6</w:t>
      </w:r>
      <w:r>
        <w:t>.</w:t>
      </w:r>
      <w:r>
        <w:tab/>
        <w:t>Vessel not to exceed maximum safe speed</w:t>
      </w:r>
      <w:bookmarkEnd w:id="68"/>
      <w:bookmarkEnd w:id="6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70" w:name="_Toc408471755"/>
      <w:bookmarkStart w:id="71" w:name="_Toc494797913"/>
      <w:r>
        <w:rPr>
          <w:rStyle w:val="CharSectno"/>
        </w:rPr>
        <w:t>7</w:t>
      </w:r>
      <w:r>
        <w:t>.</w:t>
      </w:r>
      <w:r>
        <w:tab/>
        <w:t>Fire on vessel, duties of people in case of</w:t>
      </w:r>
      <w:bookmarkEnd w:id="70"/>
      <w:bookmarkEnd w:id="71"/>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72" w:name="_Toc408471756"/>
      <w:bookmarkStart w:id="73" w:name="_Toc494797914"/>
      <w:r>
        <w:rPr>
          <w:rStyle w:val="CharSectno"/>
        </w:rPr>
        <w:t>8</w:t>
      </w:r>
      <w:r>
        <w:t>.</w:t>
      </w:r>
      <w:r>
        <w:tab/>
        <w:t>Propellers of moored vessel not to be operated</w:t>
      </w:r>
      <w:bookmarkEnd w:id="72"/>
      <w:bookmarkEnd w:id="7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74" w:name="_Toc408471757"/>
      <w:bookmarkStart w:id="75" w:name="_Toc494797915"/>
      <w:r>
        <w:rPr>
          <w:rStyle w:val="CharSectno"/>
        </w:rPr>
        <w:t>9</w:t>
      </w:r>
      <w:r>
        <w:t>.</w:t>
      </w:r>
      <w:r>
        <w:tab/>
        <w:t>Owners of dangerous things to notify harbour master</w:t>
      </w:r>
      <w:bookmarkEnd w:id="74"/>
      <w:bookmarkEnd w:id="75"/>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76" w:name="_Toc408471758"/>
      <w:bookmarkStart w:id="77" w:name="_Toc416945403"/>
      <w:bookmarkStart w:id="78" w:name="_Toc416945742"/>
      <w:bookmarkStart w:id="79" w:name="_Toc416946026"/>
      <w:bookmarkStart w:id="80" w:name="_Toc417655596"/>
      <w:bookmarkStart w:id="81" w:name="_Toc461722023"/>
      <w:bookmarkStart w:id="82" w:name="_Toc461723670"/>
      <w:bookmarkStart w:id="83" w:name="_Toc493069422"/>
      <w:bookmarkStart w:id="84" w:name="_Toc494791667"/>
      <w:bookmarkStart w:id="85" w:name="_Toc494793290"/>
      <w:bookmarkStart w:id="86" w:name="_Toc494797916"/>
      <w:r>
        <w:rPr>
          <w:rStyle w:val="CharDivNo"/>
        </w:rPr>
        <w:t>Division 3</w:t>
      </w:r>
      <w:r>
        <w:t xml:space="preserve"> — </w:t>
      </w:r>
      <w:r>
        <w:rPr>
          <w:rStyle w:val="CharDivText"/>
        </w:rPr>
        <w:t>Matters relating to revenue</w:t>
      </w:r>
      <w:bookmarkEnd w:id="76"/>
      <w:bookmarkEnd w:id="77"/>
      <w:bookmarkEnd w:id="78"/>
      <w:bookmarkEnd w:id="79"/>
      <w:bookmarkEnd w:id="80"/>
      <w:bookmarkEnd w:id="81"/>
      <w:bookmarkEnd w:id="82"/>
      <w:bookmarkEnd w:id="83"/>
      <w:bookmarkEnd w:id="84"/>
      <w:bookmarkEnd w:id="85"/>
      <w:bookmarkEnd w:id="86"/>
    </w:p>
    <w:p>
      <w:pPr>
        <w:pStyle w:val="Heading5"/>
      </w:pPr>
      <w:bookmarkStart w:id="87" w:name="_Toc408471759"/>
      <w:bookmarkStart w:id="88" w:name="_Toc494797917"/>
      <w:r>
        <w:rPr>
          <w:rStyle w:val="CharSectno"/>
        </w:rPr>
        <w:t>10</w:t>
      </w:r>
      <w:r>
        <w:t>.</w:t>
      </w:r>
      <w:r>
        <w:tab/>
        <w:t>Collector of port charges may enter vessel</w:t>
      </w:r>
      <w:bookmarkEnd w:id="87"/>
      <w:bookmarkEnd w:id="88"/>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89" w:name="_Toc408471760"/>
      <w:bookmarkStart w:id="90" w:name="_Toc494797918"/>
      <w:r>
        <w:rPr>
          <w:rStyle w:val="CharSectno"/>
        </w:rPr>
        <w:t>11</w:t>
      </w:r>
      <w:r>
        <w:t>.</w:t>
      </w:r>
      <w:r>
        <w:tab/>
        <w:t>Port charges to be paid before vessel leaves port</w:t>
      </w:r>
      <w:bookmarkEnd w:id="89"/>
      <w:bookmarkEnd w:id="90"/>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91" w:name="_Toc408471761"/>
      <w:bookmarkStart w:id="92" w:name="_Toc416945406"/>
      <w:bookmarkStart w:id="93" w:name="_Toc416945745"/>
      <w:bookmarkStart w:id="94" w:name="_Toc416946029"/>
      <w:bookmarkStart w:id="95" w:name="_Toc417655599"/>
      <w:bookmarkStart w:id="96" w:name="_Toc461722026"/>
      <w:bookmarkStart w:id="97" w:name="_Toc461723673"/>
      <w:bookmarkStart w:id="98" w:name="_Toc493069425"/>
      <w:bookmarkStart w:id="99" w:name="_Toc494791670"/>
      <w:bookmarkStart w:id="100" w:name="_Toc494793293"/>
      <w:bookmarkStart w:id="101" w:name="_Toc494797919"/>
      <w:r>
        <w:rPr>
          <w:rStyle w:val="CharDivNo"/>
        </w:rPr>
        <w:t>Division 4</w:t>
      </w:r>
      <w:r>
        <w:t xml:space="preserve"> — </w:t>
      </w:r>
      <w:r>
        <w:rPr>
          <w:rStyle w:val="CharDivText"/>
        </w:rPr>
        <w:t>General</w:t>
      </w:r>
      <w:bookmarkEnd w:id="91"/>
      <w:bookmarkEnd w:id="92"/>
      <w:bookmarkEnd w:id="93"/>
      <w:bookmarkEnd w:id="94"/>
      <w:bookmarkEnd w:id="95"/>
      <w:bookmarkEnd w:id="96"/>
      <w:bookmarkEnd w:id="97"/>
      <w:bookmarkEnd w:id="98"/>
      <w:bookmarkEnd w:id="99"/>
      <w:bookmarkEnd w:id="100"/>
      <w:bookmarkEnd w:id="101"/>
    </w:p>
    <w:p>
      <w:pPr>
        <w:pStyle w:val="Heading5"/>
        <w:rPr>
          <w:b w:val="0"/>
        </w:rPr>
      </w:pPr>
      <w:bookmarkStart w:id="102" w:name="_Toc408471762"/>
      <w:bookmarkStart w:id="103" w:name="_Toc494797920"/>
      <w:r>
        <w:rPr>
          <w:rStyle w:val="CharSectno"/>
        </w:rPr>
        <w:t>12</w:t>
      </w:r>
      <w:r>
        <w:t>.</w:t>
      </w:r>
      <w:r>
        <w:tab/>
        <w:t>Berthing, general rules for</w:t>
      </w:r>
      <w:bookmarkEnd w:id="102"/>
      <w:bookmarkEnd w:id="103"/>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spacing w:before="180"/>
      </w:pPr>
      <w:r>
        <w:tab/>
        <w:t>(4)</w:t>
      </w:r>
      <w:r>
        <w:tab/>
        <w:t>The master of a vessel in a port that is moored or secured to a wharf is to ensure that appropriate precautions (such as regular checks of mooring lines) are taken to prevent damage to the wharf.</w:t>
      </w:r>
    </w:p>
    <w:p>
      <w:pPr>
        <w:pStyle w:val="Subsection"/>
        <w:spacing w:before="180"/>
      </w:pPr>
      <w:r>
        <w:tab/>
        <w:t>(5)</w:t>
      </w:r>
      <w:r>
        <w:tab/>
        <w:t>Nothing in this regulation limits a direction given by the harbour master under section 104 of the Act.</w:t>
      </w:r>
    </w:p>
    <w:p>
      <w:pPr>
        <w:pStyle w:val="Heading5"/>
        <w:spacing w:before="240"/>
        <w:rPr>
          <w:b w:val="0"/>
        </w:rPr>
      </w:pPr>
      <w:bookmarkStart w:id="104" w:name="_Toc408471763"/>
      <w:bookmarkStart w:id="105" w:name="_Toc494797921"/>
      <w:r>
        <w:rPr>
          <w:rStyle w:val="CharSectno"/>
        </w:rPr>
        <w:t>13</w:t>
      </w:r>
      <w:r>
        <w:t>.</w:t>
      </w:r>
      <w:r>
        <w:tab/>
        <w:t>Port authority officer may give directions to keep wharf clear during berthing</w:t>
      </w:r>
      <w:bookmarkEnd w:id="104"/>
      <w:bookmarkEnd w:id="105"/>
    </w:p>
    <w:p>
      <w:pPr>
        <w:pStyle w:val="Subsection"/>
        <w:spacing w:before="180"/>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spacing w:before="180"/>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spacing w:before="240"/>
        <w:ind w:left="890" w:hanging="890"/>
      </w:pPr>
      <w:r>
        <w:t>[</w:t>
      </w:r>
      <w:r>
        <w:rPr>
          <w:b/>
        </w:rPr>
        <w:t>14.</w:t>
      </w:r>
      <w:r>
        <w:tab/>
        <w:t>Deleted in Gazette 13 Feb 2004 p. 546.]</w:t>
      </w:r>
    </w:p>
    <w:p>
      <w:pPr>
        <w:pStyle w:val="Heading5"/>
        <w:spacing w:before="240"/>
        <w:rPr>
          <w:b w:val="0"/>
        </w:rPr>
      </w:pPr>
      <w:bookmarkStart w:id="106" w:name="_Toc408471764"/>
      <w:bookmarkStart w:id="107" w:name="_Toc494797922"/>
      <w:r>
        <w:rPr>
          <w:rStyle w:val="CharSectno"/>
        </w:rPr>
        <w:t>15</w:t>
      </w:r>
      <w:r>
        <w:t>.</w:t>
      </w:r>
      <w:r>
        <w:tab/>
        <w:t>Vessel moored to be kept clear of cranes etc. on wharves</w:t>
      </w:r>
      <w:bookmarkEnd w:id="106"/>
      <w:bookmarkEnd w:id="107"/>
    </w:p>
    <w:p>
      <w:pPr>
        <w:pStyle w:val="Subsection"/>
        <w:spacing w:before="180"/>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spacing w:before="180"/>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108" w:name="_Toc408471765"/>
      <w:bookmarkStart w:id="109" w:name="_Toc494797923"/>
      <w:r>
        <w:rPr>
          <w:rStyle w:val="CharSectno"/>
        </w:rPr>
        <w:t>16</w:t>
      </w:r>
      <w:r>
        <w:t>.</w:t>
      </w:r>
      <w:r>
        <w:tab/>
        <w:t>Vessel moored to have at least one person on watch</w:t>
      </w:r>
      <w:bookmarkEnd w:id="108"/>
      <w:bookmarkEnd w:id="109"/>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110" w:name="_Toc408471766"/>
      <w:bookmarkStart w:id="111" w:name="_Toc494797924"/>
      <w:r>
        <w:rPr>
          <w:rStyle w:val="CharSectno"/>
        </w:rPr>
        <w:t>17</w:t>
      </w:r>
      <w:r>
        <w:t>.</w:t>
      </w:r>
      <w:r>
        <w:tab/>
        <w:t>Waste water etc. not to be discharged on to wharf or into port waters without authority</w:t>
      </w:r>
      <w:bookmarkEnd w:id="110"/>
      <w:bookmarkEnd w:id="111"/>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112" w:name="_Toc408471767"/>
      <w:bookmarkStart w:id="113" w:name="_Toc494797925"/>
      <w:r>
        <w:rPr>
          <w:rStyle w:val="CharSectno"/>
        </w:rPr>
        <w:t>18</w:t>
      </w:r>
      <w:r>
        <w:t>.</w:t>
      </w:r>
      <w:r>
        <w:tab/>
        <w:t>Ballast to be discharged in accordance with harbour master’s directions</w:t>
      </w:r>
      <w:bookmarkEnd w:id="112"/>
      <w:bookmarkEnd w:id="113"/>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keepNext w:val="0"/>
        <w:keepLines w:val="0"/>
        <w:spacing w:before="180"/>
      </w:pPr>
      <w:bookmarkStart w:id="114" w:name="_Toc408471768"/>
      <w:bookmarkStart w:id="115" w:name="_Toc494797926"/>
      <w:r>
        <w:rPr>
          <w:rStyle w:val="CharSectno"/>
        </w:rPr>
        <w:t>19</w:t>
      </w:r>
      <w:r>
        <w:t>.</w:t>
      </w:r>
      <w:r>
        <w:tab/>
        <w:t>Livestock not to be loaded or unloaded without authority</w:t>
      </w:r>
      <w:bookmarkEnd w:id="114"/>
      <w:bookmarkEnd w:id="115"/>
    </w:p>
    <w:p>
      <w:pPr>
        <w:pStyle w:val="Subsection"/>
        <w:spacing w:before="120"/>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116" w:name="_Toc408471769"/>
      <w:bookmarkStart w:id="117" w:name="_Toc494797927"/>
      <w:r>
        <w:rPr>
          <w:rStyle w:val="CharSectno"/>
        </w:rPr>
        <w:t>21</w:t>
      </w:r>
      <w:r>
        <w:t>.</w:t>
      </w:r>
      <w:r>
        <w:tab/>
        <w:t>Harbour master’s powers to ensure compliance with regulations</w:t>
      </w:r>
      <w:bookmarkEnd w:id="116"/>
      <w:bookmarkEnd w:id="117"/>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118" w:name="_Toc408471770"/>
      <w:bookmarkStart w:id="119" w:name="_Toc416945415"/>
      <w:bookmarkStart w:id="120" w:name="_Toc416945754"/>
      <w:bookmarkStart w:id="121" w:name="_Toc416946038"/>
      <w:bookmarkStart w:id="122" w:name="_Toc417655608"/>
      <w:bookmarkStart w:id="123" w:name="_Toc461722035"/>
      <w:bookmarkStart w:id="124" w:name="_Toc461723682"/>
      <w:bookmarkStart w:id="125" w:name="_Toc493069434"/>
      <w:bookmarkStart w:id="126" w:name="_Toc494791679"/>
      <w:bookmarkStart w:id="127" w:name="_Toc494793302"/>
      <w:bookmarkStart w:id="128" w:name="_Toc494797928"/>
      <w:r>
        <w:rPr>
          <w:rStyle w:val="CharPartNo"/>
        </w:rPr>
        <w:t>Part 3</w:t>
      </w:r>
      <w:r>
        <w:t xml:space="preserve"> — </w:t>
      </w:r>
      <w:r>
        <w:rPr>
          <w:rStyle w:val="CharPartText"/>
        </w:rPr>
        <w:t>Pilotage</w:t>
      </w:r>
      <w:bookmarkEnd w:id="118"/>
      <w:bookmarkEnd w:id="119"/>
      <w:bookmarkEnd w:id="120"/>
      <w:bookmarkEnd w:id="121"/>
      <w:bookmarkEnd w:id="122"/>
      <w:bookmarkEnd w:id="123"/>
      <w:bookmarkEnd w:id="124"/>
      <w:bookmarkEnd w:id="125"/>
      <w:bookmarkEnd w:id="126"/>
      <w:bookmarkEnd w:id="127"/>
      <w:bookmarkEnd w:id="128"/>
    </w:p>
    <w:p>
      <w:pPr>
        <w:pStyle w:val="Heading3"/>
        <w:spacing w:before="160"/>
      </w:pPr>
      <w:bookmarkStart w:id="129" w:name="_Toc408471771"/>
      <w:bookmarkStart w:id="130" w:name="_Toc416945416"/>
      <w:bookmarkStart w:id="131" w:name="_Toc416945755"/>
      <w:bookmarkStart w:id="132" w:name="_Toc416946039"/>
      <w:bookmarkStart w:id="133" w:name="_Toc417655609"/>
      <w:bookmarkStart w:id="134" w:name="_Toc461722036"/>
      <w:bookmarkStart w:id="135" w:name="_Toc461723683"/>
      <w:bookmarkStart w:id="136" w:name="_Toc493069435"/>
      <w:bookmarkStart w:id="137" w:name="_Toc494791680"/>
      <w:bookmarkStart w:id="138" w:name="_Toc494793303"/>
      <w:bookmarkStart w:id="139" w:name="_Toc494797929"/>
      <w:r>
        <w:rPr>
          <w:rStyle w:val="CharDivNo"/>
        </w:rPr>
        <w:t>Division 1</w:t>
      </w:r>
      <w:r>
        <w:t xml:space="preserve"> — </w:t>
      </w:r>
      <w:r>
        <w:rPr>
          <w:rStyle w:val="CharDivText"/>
        </w:rPr>
        <w:t>Definitions</w:t>
      </w:r>
      <w:bookmarkEnd w:id="129"/>
      <w:bookmarkEnd w:id="130"/>
      <w:bookmarkEnd w:id="131"/>
      <w:bookmarkEnd w:id="132"/>
      <w:bookmarkEnd w:id="133"/>
      <w:bookmarkEnd w:id="134"/>
      <w:bookmarkEnd w:id="135"/>
      <w:bookmarkEnd w:id="136"/>
      <w:bookmarkEnd w:id="137"/>
      <w:bookmarkEnd w:id="138"/>
      <w:bookmarkEnd w:id="139"/>
    </w:p>
    <w:p>
      <w:pPr>
        <w:pStyle w:val="Heading5"/>
        <w:spacing w:before="160"/>
      </w:pPr>
      <w:bookmarkStart w:id="140" w:name="_Toc408471772"/>
      <w:bookmarkStart w:id="141" w:name="_Toc494797930"/>
      <w:r>
        <w:rPr>
          <w:rStyle w:val="CharSectno"/>
        </w:rPr>
        <w:t>22</w:t>
      </w:r>
      <w:r>
        <w:t>.</w:t>
      </w:r>
      <w:r>
        <w:tab/>
        <w:t>Terms used</w:t>
      </w:r>
      <w:bookmarkEnd w:id="140"/>
      <w:bookmarkEnd w:id="141"/>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142" w:name="_Toc408471773"/>
      <w:bookmarkStart w:id="143" w:name="_Toc416945418"/>
      <w:bookmarkStart w:id="144" w:name="_Toc416945757"/>
      <w:bookmarkStart w:id="145" w:name="_Toc416946041"/>
      <w:bookmarkStart w:id="146" w:name="_Toc417655611"/>
      <w:bookmarkStart w:id="147" w:name="_Toc461722038"/>
      <w:bookmarkStart w:id="148" w:name="_Toc461723685"/>
      <w:bookmarkStart w:id="149" w:name="_Toc493069437"/>
      <w:bookmarkStart w:id="150" w:name="_Toc494791682"/>
      <w:bookmarkStart w:id="151" w:name="_Toc494793305"/>
      <w:bookmarkStart w:id="152" w:name="_Toc494797931"/>
      <w:r>
        <w:rPr>
          <w:rStyle w:val="CharDivNo"/>
        </w:rPr>
        <w:t>Division 2</w:t>
      </w:r>
      <w:r>
        <w:t xml:space="preserve"> — </w:t>
      </w:r>
      <w:r>
        <w:rPr>
          <w:rStyle w:val="CharDivText"/>
        </w:rPr>
        <w:t>Approval of pilots</w:t>
      </w:r>
      <w:bookmarkEnd w:id="142"/>
      <w:bookmarkEnd w:id="143"/>
      <w:bookmarkEnd w:id="144"/>
      <w:bookmarkEnd w:id="145"/>
      <w:bookmarkEnd w:id="146"/>
      <w:bookmarkEnd w:id="147"/>
      <w:bookmarkEnd w:id="148"/>
      <w:bookmarkEnd w:id="149"/>
      <w:bookmarkEnd w:id="150"/>
      <w:bookmarkEnd w:id="151"/>
      <w:bookmarkEnd w:id="152"/>
    </w:p>
    <w:p>
      <w:pPr>
        <w:pStyle w:val="Heading5"/>
        <w:spacing w:before="240"/>
      </w:pPr>
      <w:bookmarkStart w:id="153" w:name="_Toc408471774"/>
      <w:bookmarkStart w:id="154" w:name="_Toc494797932"/>
      <w:r>
        <w:rPr>
          <w:rStyle w:val="CharSectno"/>
        </w:rPr>
        <w:t>23</w:t>
      </w:r>
      <w:r>
        <w:t>.</w:t>
      </w:r>
      <w:r>
        <w:tab/>
        <w:t>Eligibility to be approved as pilot</w:t>
      </w:r>
      <w:bookmarkEnd w:id="153"/>
      <w:bookmarkEnd w:id="154"/>
    </w:p>
    <w:p>
      <w:pPr>
        <w:pStyle w:val="Subsection"/>
      </w:pPr>
      <w:r>
        <w:tab/>
        <w:t>(1)</w:t>
      </w:r>
      <w:r>
        <w:tab/>
        <w:t xml:space="preserve">A port authority may approve a person under section 96 of the Act as a pilot for its port if the person — </w:t>
      </w:r>
    </w:p>
    <w:p>
      <w:pPr>
        <w:pStyle w:val="Indenta"/>
      </w:pPr>
      <w:r>
        <w:tab/>
        <w:t>(a)</w:t>
      </w:r>
      <w:r>
        <w:tab/>
        <w:t xml:space="preserve">produces evidence that satisfies the harbour master that the person meets the medical fitness requirements in </w:t>
      </w:r>
      <w:r>
        <w:rPr>
          <w:i/>
        </w:rPr>
        <w:t>Marine Order 9 (Health — medical fitness) 2010</w:t>
      </w:r>
      <w:r>
        <w:t>, given effect under the Navigation Act section 343(2);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Footnotesection"/>
        <w:ind w:left="890" w:hanging="890"/>
      </w:pPr>
      <w:r>
        <w:tab/>
        <w:t>[Regulation 23 amended in Gazette 5 Sep 2014 p. 3214.]</w:t>
      </w:r>
    </w:p>
    <w:p>
      <w:pPr>
        <w:pStyle w:val="Heading5"/>
        <w:spacing w:before="240"/>
      </w:pPr>
      <w:bookmarkStart w:id="155" w:name="_Toc408471775"/>
      <w:bookmarkStart w:id="156" w:name="_Toc494797933"/>
      <w:r>
        <w:rPr>
          <w:rStyle w:val="CharSectno"/>
        </w:rPr>
        <w:t>24</w:t>
      </w:r>
      <w:r>
        <w:t>.</w:t>
      </w:r>
      <w:r>
        <w:tab/>
        <w:t>Approving pilots; retaining approval as pilot</w:t>
      </w:r>
      <w:bookmarkEnd w:id="155"/>
      <w:bookmarkEnd w:id="156"/>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157" w:name="_Toc408471776"/>
      <w:bookmarkStart w:id="158" w:name="_Toc494797934"/>
      <w:r>
        <w:rPr>
          <w:rStyle w:val="CharSectno"/>
        </w:rPr>
        <w:t>25</w:t>
      </w:r>
      <w:r>
        <w:t>.</w:t>
      </w:r>
      <w:r>
        <w:tab/>
        <w:t>Duties of approved pilots for r. 24(3)</w:t>
      </w:r>
      <w:bookmarkEnd w:id="157"/>
      <w:bookmarkEnd w:id="158"/>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159" w:name="_Toc408471777"/>
      <w:bookmarkStart w:id="160" w:name="_Toc416945422"/>
      <w:bookmarkStart w:id="161" w:name="_Toc416945761"/>
      <w:bookmarkStart w:id="162" w:name="_Toc416946045"/>
      <w:bookmarkStart w:id="163" w:name="_Toc417655615"/>
      <w:bookmarkStart w:id="164" w:name="_Toc461722042"/>
      <w:bookmarkStart w:id="165" w:name="_Toc461723689"/>
      <w:bookmarkStart w:id="166" w:name="_Toc493069441"/>
      <w:bookmarkStart w:id="167" w:name="_Toc494791686"/>
      <w:bookmarkStart w:id="168" w:name="_Toc494793309"/>
      <w:bookmarkStart w:id="169" w:name="_Toc494797935"/>
      <w:r>
        <w:rPr>
          <w:rStyle w:val="CharDivNo"/>
        </w:rPr>
        <w:t>Division 3</w:t>
      </w:r>
      <w:r>
        <w:t xml:space="preserve"> — </w:t>
      </w:r>
      <w:r>
        <w:rPr>
          <w:rStyle w:val="CharDivText"/>
        </w:rPr>
        <w:t>Providers of pilotage services to be licensed</w:t>
      </w:r>
      <w:bookmarkEnd w:id="159"/>
      <w:bookmarkEnd w:id="160"/>
      <w:bookmarkEnd w:id="161"/>
      <w:bookmarkEnd w:id="162"/>
      <w:bookmarkEnd w:id="163"/>
      <w:bookmarkEnd w:id="164"/>
      <w:bookmarkEnd w:id="165"/>
      <w:bookmarkEnd w:id="166"/>
      <w:bookmarkEnd w:id="167"/>
      <w:bookmarkEnd w:id="168"/>
      <w:bookmarkEnd w:id="169"/>
    </w:p>
    <w:p>
      <w:pPr>
        <w:pStyle w:val="Heading5"/>
      </w:pPr>
      <w:bookmarkStart w:id="170" w:name="_Toc408471778"/>
      <w:bookmarkStart w:id="171" w:name="_Toc494797936"/>
      <w:r>
        <w:rPr>
          <w:rStyle w:val="CharSectno"/>
        </w:rPr>
        <w:t>26</w:t>
      </w:r>
      <w:r>
        <w:t>.</w:t>
      </w:r>
      <w:r>
        <w:tab/>
        <w:t>Division 2 not affected by this Division</w:t>
      </w:r>
      <w:bookmarkEnd w:id="170"/>
      <w:bookmarkEnd w:id="171"/>
    </w:p>
    <w:p>
      <w:pPr>
        <w:pStyle w:val="Subsection"/>
      </w:pPr>
      <w:r>
        <w:tab/>
      </w:r>
      <w:r>
        <w:tab/>
        <w:t>Nothing in this Division limits the operation of Division 2.</w:t>
      </w:r>
    </w:p>
    <w:p>
      <w:pPr>
        <w:pStyle w:val="Heading5"/>
      </w:pPr>
      <w:bookmarkStart w:id="172" w:name="_Toc408471779"/>
      <w:bookmarkStart w:id="173" w:name="_Toc494797937"/>
      <w:r>
        <w:rPr>
          <w:rStyle w:val="CharSectno"/>
        </w:rPr>
        <w:t>27</w:t>
      </w:r>
      <w:r>
        <w:t>.</w:t>
      </w:r>
      <w:r>
        <w:tab/>
        <w:t>Unlicensed persons not to provide pilotage services in ports</w:t>
      </w:r>
      <w:bookmarkEnd w:id="172"/>
      <w:bookmarkEnd w:id="173"/>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174" w:name="_Toc408471780"/>
      <w:bookmarkStart w:id="175" w:name="_Toc494797938"/>
      <w:r>
        <w:rPr>
          <w:rStyle w:val="CharSectno"/>
        </w:rPr>
        <w:t>28</w:t>
      </w:r>
      <w:r>
        <w:t>.</w:t>
      </w:r>
      <w:r>
        <w:tab/>
        <w:t>Pilotage provider’s licence, application for and issue and effect of</w:t>
      </w:r>
      <w:bookmarkEnd w:id="174"/>
      <w:bookmarkEnd w:id="175"/>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Ednotesubsection"/>
      </w:pPr>
      <w:r>
        <w:tab/>
        <w:t>[(4)</w:t>
      </w:r>
      <w:r>
        <w:tab/>
        <w:t>deleted]</w:t>
      </w:r>
    </w:p>
    <w:p>
      <w:pPr>
        <w:pStyle w:val="Footnotesection"/>
        <w:spacing w:before="100"/>
        <w:ind w:left="890" w:hanging="890"/>
      </w:pPr>
      <w:r>
        <w:tab/>
        <w:t>[Regulation 28 amended in Gazette 20 Jun 2014 p. 2030; 3 Oct 2017 p. 5037.]</w:t>
      </w:r>
    </w:p>
    <w:p>
      <w:pPr>
        <w:pStyle w:val="Heading5"/>
      </w:pPr>
      <w:bookmarkStart w:id="176" w:name="_Toc408471781"/>
      <w:bookmarkStart w:id="177" w:name="_Toc494797939"/>
      <w:r>
        <w:rPr>
          <w:rStyle w:val="CharSectno"/>
        </w:rPr>
        <w:t>29</w:t>
      </w:r>
      <w:r>
        <w:t>.</w:t>
      </w:r>
      <w:r>
        <w:tab/>
        <w:t>Cancelling and suspending pilotage provider’s licence</w:t>
      </w:r>
      <w:bookmarkEnd w:id="176"/>
      <w:bookmarkEnd w:id="177"/>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178" w:name="_Toc408471782"/>
      <w:bookmarkStart w:id="179" w:name="_Toc416945427"/>
      <w:bookmarkStart w:id="180" w:name="_Toc416945766"/>
      <w:bookmarkStart w:id="181" w:name="_Toc416946050"/>
      <w:bookmarkStart w:id="182" w:name="_Toc417655620"/>
      <w:bookmarkStart w:id="183" w:name="_Toc461722047"/>
      <w:bookmarkStart w:id="184" w:name="_Toc461723694"/>
      <w:bookmarkStart w:id="185" w:name="_Toc493069446"/>
      <w:bookmarkStart w:id="186" w:name="_Toc494791691"/>
      <w:bookmarkStart w:id="187" w:name="_Toc494793314"/>
      <w:bookmarkStart w:id="188" w:name="_Toc494797940"/>
      <w:r>
        <w:rPr>
          <w:rStyle w:val="CharDivNo"/>
        </w:rPr>
        <w:t>Division 4</w:t>
      </w:r>
      <w:r>
        <w:t xml:space="preserve"> — </w:t>
      </w:r>
      <w:r>
        <w:rPr>
          <w:rStyle w:val="CharDivText"/>
        </w:rPr>
        <w:t>Pilots and pilotage</w:t>
      </w:r>
      <w:bookmarkEnd w:id="178"/>
      <w:bookmarkEnd w:id="179"/>
      <w:bookmarkEnd w:id="180"/>
      <w:bookmarkEnd w:id="181"/>
      <w:bookmarkEnd w:id="182"/>
      <w:bookmarkEnd w:id="183"/>
      <w:bookmarkEnd w:id="184"/>
      <w:bookmarkEnd w:id="185"/>
      <w:bookmarkEnd w:id="186"/>
      <w:bookmarkEnd w:id="187"/>
      <w:bookmarkEnd w:id="188"/>
    </w:p>
    <w:p>
      <w:pPr>
        <w:pStyle w:val="Heading5"/>
        <w:rPr>
          <w:b w:val="0"/>
        </w:rPr>
      </w:pPr>
      <w:bookmarkStart w:id="189" w:name="_Toc408471783"/>
      <w:bookmarkStart w:id="190" w:name="_Toc494797941"/>
      <w:r>
        <w:rPr>
          <w:rStyle w:val="CharSectno"/>
        </w:rPr>
        <w:t>30</w:t>
      </w:r>
      <w:r>
        <w:t>.</w:t>
      </w:r>
      <w:r>
        <w:tab/>
        <w:t>When pilotage is not compulsory (Act s. 97(1))</w:t>
      </w:r>
      <w:bookmarkEnd w:id="189"/>
      <w:bookmarkEnd w:id="190"/>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has a length overall of not more than 35 m; or</w:t>
      </w:r>
    </w:p>
    <w:p>
      <w:pPr>
        <w:pStyle w:val="Ednotepara"/>
      </w:pPr>
      <w:r>
        <w:tab/>
        <w:t>[(c)</w:t>
      </w:r>
      <w:r>
        <w:tab/>
        <w:t>deleted]</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Footnotesection"/>
        <w:spacing w:before="100"/>
        <w:ind w:left="890" w:hanging="890"/>
      </w:pPr>
      <w:r>
        <w:tab/>
        <w:t>[Regulation 30 amended in Gazette 16 Sep 2016 p. 3944.]</w:t>
      </w:r>
    </w:p>
    <w:p>
      <w:pPr>
        <w:pStyle w:val="Heading5"/>
        <w:rPr>
          <w:b w:val="0"/>
        </w:rPr>
      </w:pPr>
      <w:bookmarkStart w:id="191" w:name="_Toc408471784"/>
      <w:bookmarkStart w:id="192" w:name="_Toc494797942"/>
      <w:r>
        <w:rPr>
          <w:rStyle w:val="CharSectno"/>
        </w:rPr>
        <w:t>31</w:t>
      </w:r>
      <w:r>
        <w:t>.</w:t>
      </w:r>
      <w:r>
        <w:tab/>
        <w:t>Harbour master may direct exempt master to ensure vessel uses pilotage services</w:t>
      </w:r>
      <w:bookmarkEnd w:id="191"/>
      <w:bookmarkEnd w:id="192"/>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93" w:name="_Toc408471785"/>
      <w:bookmarkStart w:id="194" w:name="_Toc494797943"/>
      <w:r>
        <w:rPr>
          <w:rStyle w:val="CharSectno"/>
        </w:rPr>
        <w:t>32</w:t>
      </w:r>
      <w:r>
        <w:t>.</w:t>
      </w:r>
      <w:r>
        <w:tab/>
        <w:t>Notifying port authority when pilot is required</w:t>
      </w:r>
      <w:bookmarkEnd w:id="193"/>
      <w:bookmarkEnd w:id="194"/>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195" w:name="_Toc408471786"/>
      <w:bookmarkStart w:id="196" w:name="_Toc494797944"/>
      <w:r>
        <w:rPr>
          <w:rStyle w:val="CharSectno"/>
        </w:rPr>
        <w:t>33</w:t>
      </w:r>
      <w:r>
        <w:t>.</w:t>
      </w:r>
      <w:r>
        <w:tab/>
        <w:t>Vessel not ready for pilot at notified time, liability for port authority’s expenses</w:t>
      </w:r>
      <w:bookmarkEnd w:id="195"/>
      <w:bookmarkEnd w:id="196"/>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Lines w:val="0"/>
        <w:spacing w:before="180"/>
        <w:rPr>
          <w:b w:val="0"/>
        </w:rPr>
      </w:pPr>
      <w:bookmarkStart w:id="197" w:name="_Toc408471787"/>
      <w:bookmarkStart w:id="198" w:name="_Toc494797945"/>
      <w:r>
        <w:rPr>
          <w:rStyle w:val="CharSectno"/>
        </w:rPr>
        <w:t>34</w:t>
      </w:r>
      <w:r>
        <w:t>.</w:t>
      </w:r>
      <w:r>
        <w:tab/>
        <w:t>Positioning of vessel when pilot boards or leaves vessel</w:t>
      </w:r>
      <w:bookmarkEnd w:id="197"/>
      <w:bookmarkEnd w:id="198"/>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Next w:val="0"/>
        <w:keepLines w:val="0"/>
      </w:pPr>
      <w:bookmarkStart w:id="199" w:name="_Toc408471788"/>
      <w:bookmarkStart w:id="200" w:name="_Toc494797946"/>
      <w:r>
        <w:rPr>
          <w:rStyle w:val="CharSectno"/>
        </w:rPr>
        <w:t>35</w:t>
      </w:r>
      <w:r>
        <w:t>.</w:t>
      </w:r>
      <w:r>
        <w:tab/>
        <w:t>Facilities to be provided when pilot boards or leaves vessel</w:t>
      </w:r>
      <w:bookmarkEnd w:id="199"/>
      <w:bookmarkEnd w:id="200"/>
    </w:p>
    <w:p>
      <w:pPr>
        <w:pStyle w:val="Subsection"/>
      </w:pPr>
      <w:r>
        <w:tab/>
      </w:r>
      <w:r>
        <w:tab/>
        <w:t>The master of a vessel is to ensure that appropriate facilities for boarding or leaving the vessel are provided for a pilot who is to board or leave it.</w:t>
      </w:r>
    </w:p>
    <w:p>
      <w:pPr>
        <w:pStyle w:val="Heading5"/>
      </w:pPr>
      <w:bookmarkStart w:id="201" w:name="_Toc408471789"/>
      <w:bookmarkStart w:id="202" w:name="_Toc494797947"/>
      <w:r>
        <w:rPr>
          <w:rStyle w:val="CharSectno"/>
        </w:rPr>
        <w:t>36</w:t>
      </w:r>
      <w:r>
        <w:t>.</w:t>
      </w:r>
      <w:r>
        <w:tab/>
        <w:t>Master’s duties when pilot has boarded vessel</w:t>
      </w:r>
      <w:bookmarkEnd w:id="201"/>
      <w:bookmarkEnd w:id="202"/>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203" w:name="_Toc408471790"/>
      <w:bookmarkStart w:id="204" w:name="_Toc494797948"/>
      <w:r>
        <w:rPr>
          <w:rStyle w:val="CharSectno"/>
        </w:rPr>
        <w:t>37</w:t>
      </w:r>
      <w:r>
        <w:t>.</w:t>
      </w:r>
      <w:r>
        <w:tab/>
        <w:t>Tug master to comply with pilot’s directions</w:t>
      </w:r>
      <w:bookmarkEnd w:id="203"/>
      <w:bookmarkEnd w:id="204"/>
      <w:r>
        <w:t xml:space="preserve"> </w:t>
      </w:r>
    </w:p>
    <w:p>
      <w:pPr>
        <w:pStyle w:val="Subsection"/>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205" w:name="_Toc408471791"/>
      <w:bookmarkStart w:id="206" w:name="_Toc494797949"/>
      <w:r>
        <w:rPr>
          <w:rStyle w:val="CharSectno"/>
        </w:rPr>
        <w:t>38</w:t>
      </w:r>
      <w:r>
        <w:t>.</w:t>
      </w:r>
      <w:r>
        <w:tab/>
        <w:t>Harbour master may require second pilot to be used</w:t>
      </w:r>
      <w:bookmarkEnd w:id="205"/>
      <w:bookmarkEnd w:id="206"/>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pPr>
      <w:r>
        <w:tab/>
        <w:t>(2)</w:t>
      </w:r>
      <w:r>
        <w:tab/>
        <w:t>A person who does not comply with a direction under subregulation (1) commits an offence.</w:t>
      </w:r>
    </w:p>
    <w:p>
      <w:pPr>
        <w:pStyle w:val="Penstart"/>
      </w:pPr>
      <w:r>
        <w:tab/>
        <w:t>Penalty: $5 000.</w:t>
      </w:r>
    </w:p>
    <w:p>
      <w:pPr>
        <w:pStyle w:val="Heading5"/>
        <w:rPr>
          <w:b w:val="0"/>
        </w:rPr>
      </w:pPr>
      <w:bookmarkStart w:id="207" w:name="_Toc408471792"/>
      <w:bookmarkStart w:id="208" w:name="_Toc494797950"/>
      <w:r>
        <w:rPr>
          <w:rStyle w:val="CharSectno"/>
        </w:rPr>
        <w:t>39</w:t>
      </w:r>
      <w:r>
        <w:t>.</w:t>
      </w:r>
      <w:r>
        <w:tab/>
        <w:t>Pilots to carry and produce evidence of approval</w:t>
      </w:r>
      <w:bookmarkEnd w:id="207"/>
      <w:bookmarkEnd w:id="208"/>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209" w:name="_Toc408471793"/>
      <w:bookmarkStart w:id="210" w:name="_Toc494797951"/>
      <w:r>
        <w:rPr>
          <w:rStyle w:val="CharSectno"/>
        </w:rPr>
        <w:t>40</w:t>
      </w:r>
      <w:r>
        <w:t>.</w:t>
      </w:r>
      <w:r>
        <w:tab/>
        <w:t>Vessel being led is under control of pilot and liable to pay for pilotage services</w:t>
      </w:r>
      <w:bookmarkEnd w:id="209"/>
      <w:bookmarkEnd w:id="210"/>
    </w:p>
    <w:p>
      <w:pPr>
        <w:pStyle w:val="Subsection"/>
      </w:pPr>
      <w:r>
        <w:tab/>
        <w:t>(1)</w:t>
      </w:r>
      <w:r>
        <w:tab/>
        <w:t xml:space="preserve">If for any reason — </w:t>
      </w:r>
    </w:p>
    <w:p>
      <w:pPr>
        <w:pStyle w:val="Indenta"/>
      </w:pPr>
      <w:r>
        <w:tab/>
        <w:t>(a)</w:t>
      </w:r>
      <w:r>
        <w:tab/>
        <w:t xml:space="preserve">a vessel (the </w:t>
      </w:r>
      <w:r>
        <w:rPr>
          <w:rStyle w:val="CharDefText"/>
        </w:rPr>
        <w:t>first vessel</w:t>
      </w:r>
      <w:r>
        <w:t>)</w:t>
      </w:r>
      <w:r>
        <w:rPr>
          <w:b/>
        </w:rPr>
        <w:t xml:space="preserve"> </w:t>
      </w:r>
      <w:r>
        <w:t>is unable to be boarded by a pilot for the purpose of being moved in a port; and</w:t>
      </w:r>
    </w:p>
    <w:p>
      <w:pPr>
        <w:pStyle w:val="Indenta"/>
        <w:keepNext/>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r>
        <w:t>[Division 5 (r. 41</w:t>
      </w:r>
      <w:r>
        <w:noBreakHyphen/>
        <w:t>48) deleted in Gazette 20 Jun 2014 p. 2030.]</w:t>
      </w:r>
    </w:p>
    <w:p>
      <w:pPr>
        <w:pStyle w:val="Heading3"/>
        <w:keepLines/>
        <w:tabs>
          <w:tab w:val="left" w:pos="1482"/>
        </w:tabs>
      </w:pPr>
      <w:bookmarkStart w:id="211" w:name="_Toc408471794"/>
      <w:bookmarkStart w:id="212" w:name="_Toc416945439"/>
      <w:bookmarkStart w:id="213" w:name="_Toc416945778"/>
      <w:bookmarkStart w:id="214" w:name="_Toc416946062"/>
      <w:bookmarkStart w:id="215" w:name="_Toc417655632"/>
      <w:bookmarkStart w:id="216" w:name="_Toc461722059"/>
      <w:bookmarkStart w:id="217" w:name="_Toc461723706"/>
      <w:bookmarkStart w:id="218" w:name="_Toc493069458"/>
      <w:bookmarkStart w:id="219" w:name="_Toc494791703"/>
      <w:bookmarkStart w:id="220" w:name="_Toc494793326"/>
      <w:bookmarkStart w:id="221" w:name="_Toc494797952"/>
      <w:r>
        <w:rPr>
          <w:rStyle w:val="CharDivNo"/>
        </w:rPr>
        <w:t>Division 6</w:t>
      </w:r>
      <w:r>
        <w:t xml:space="preserve"> — </w:t>
      </w:r>
      <w:r>
        <w:rPr>
          <w:rStyle w:val="CharDivText"/>
        </w:rPr>
        <w:t>Pilotage exemption certificates</w:t>
      </w:r>
      <w:bookmarkEnd w:id="211"/>
      <w:bookmarkEnd w:id="212"/>
      <w:bookmarkEnd w:id="213"/>
      <w:bookmarkEnd w:id="214"/>
      <w:bookmarkEnd w:id="215"/>
      <w:bookmarkEnd w:id="216"/>
      <w:bookmarkEnd w:id="217"/>
      <w:bookmarkEnd w:id="218"/>
      <w:bookmarkEnd w:id="219"/>
      <w:bookmarkEnd w:id="220"/>
      <w:bookmarkEnd w:id="221"/>
    </w:p>
    <w:p>
      <w:pPr>
        <w:pStyle w:val="PermNoteHeading"/>
      </w:pPr>
      <w:r>
        <w:tab/>
        <w:t>Note for this Division:</w:t>
      </w:r>
    </w:p>
    <w:p>
      <w:pPr>
        <w:pStyle w:val="PermNoteText"/>
      </w:pPr>
      <w:r>
        <w:tab/>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222" w:name="_Toc408471795"/>
      <w:bookmarkStart w:id="223" w:name="_Toc494797953"/>
      <w:r>
        <w:rPr>
          <w:rStyle w:val="CharSectno"/>
        </w:rPr>
        <w:t>49</w:t>
      </w:r>
      <w:r>
        <w:t>.</w:t>
      </w:r>
      <w:r>
        <w:tab/>
        <w:t>Eligibility for pilotage exemption certificates</w:t>
      </w:r>
      <w:bookmarkEnd w:id="222"/>
      <w:bookmarkEnd w:id="223"/>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certificate of competency under the Navigation Act or the Marine Act that authorises the person to command a vessel of each kind for which the pilotage exemption certificate is sought; or</w:t>
      </w:r>
    </w:p>
    <w:p>
      <w:pPr>
        <w:pStyle w:val="Indenta"/>
      </w:pPr>
      <w:r>
        <w:tab/>
        <w:t>(b)</w:t>
      </w:r>
      <w:r>
        <w:tab/>
        <w:t>a certificate of competency or other qualification recognised by the port authority as equivalent to a certificate of competency described in paragraph (a).</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Footnotesection"/>
      </w:pPr>
      <w:r>
        <w:tab/>
        <w:t>[Regulation 49 amended in Gazette 5 Sep 2014 p. 3215.]</w:t>
      </w:r>
    </w:p>
    <w:p>
      <w:pPr>
        <w:pStyle w:val="Heading5"/>
        <w:rPr>
          <w:b w:val="0"/>
        </w:rPr>
      </w:pPr>
      <w:bookmarkStart w:id="224" w:name="_Toc408471796"/>
      <w:bookmarkStart w:id="225" w:name="_Toc494797954"/>
      <w:r>
        <w:rPr>
          <w:rStyle w:val="CharSectno"/>
        </w:rPr>
        <w:t>50</w:t>
      </w:r>
      <w:r>
        <w:t>.</w:t>
      </w:r>
      <w:r>
        <w:tab/>
        <w:t>Applications for pilotage exemption certificates</w:t>
      </w:r>
      <w:bookmarkEnd w:id="224"/>
      <w:bookmarkEnd w:id="225"/>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 xml:space="preserve">the medical fitness requirements in </w:t>
      </w:r>
      <w:r>
        <w:rPr>
          <w:i/>
        </w:rPr>
        <w:t>Marine Order 9 (Health — medical fitness) 2010</w:t>
      </w:r>
      <w:r>
        <w:t>, given effect under the Navigation Act section 343(2);</w:t>
      </w:r>
    </w:p>
    <w:p>
      <w:pPr>
        <w:pStyle w:val="Indenta"/>
      </w:pPr>
      <w:r>
        <w:tab/>
      </w:r>
      <w:r>
        <w:tab/>
        <w:t>and</w:t>
      </w:r>
    </w:p>
    <w:p>
      <w:pPr>
        <w:pStyle w:val="Indenta"/>
      </w:pPr>
      <w:r>
        <w:tab/>
        <w:t>(c)</w:t>
      </w:r>
      <w:r>
        <w:tab/>
        <w:t>the written record referred to in regulation 49(4).</w:t>
      </w:r>
    </w:p>
    <w:p>
      <w:pPr>
        <w:pStyle w:val="Footnotesection"/>
        <w:ind w:left="890" w:hanging="890"/>
      </w:pPr>
      <w:r>
        <w:tab/>
        <w:t>[Regulation 50 amended in Gazette 22 Jun 2007 p. 2850; 2 Oct 2007 p. 4971; 16 Oct 2009 p. 4068; 4 Jun 2010 p. 2482; 15 Jun 2012 p. 2520; 12 Jul 2013 p. 3225; 5 Sep 2014 p. 3215.]</w:t>
      </w:r>
    </w:p>
    <w:p>
      <w:pPr>
        <w:pStyle w:val="Heading5"/>
        <w:rPr>
          <w:b w:val="0"/>
        </w:rPr>
      </w:pPr>
      <w:bookmarkStart w:id="226" w:name="_Toc408471797"/>
      <w:bookmarkStart w:id="227" w:name="_Toc494797955"/>
      <w:r>
        <w:rPr>
          <w:rStyle w:val="CharSectno"/>
        </w:rPr>
        <w:t>51</w:t>
      </w:r>
      <w:r>
        <w:t>.</w:t>
      </w:r>
      <w:r>
        <w:tab/>
        <w:t>Issue of pilotage exemption certificates</w:t>
      </w:r>
      <w:bookmarkEnd w:id="226"/>
      <w:bookmarkEnd w:id="227"/>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228" w:name="_Toc408471798"/>
      <w:bookmarkStart w:id="229" w:name="_Toc494797956"/>
      <w:r>
        <w:rPr>
          <w:rStyle w:val="CharSectno"/>
        </w:rPr>
        <w:t>52</w:t>
      </w:r>
      <w:r>
        <w:t>.</w:t>
      </w:r>
      <w:r>
        <w:tab/>
        <w:t>Conditions on pilotage exemption certificates</w:t>
      </w:r>
      <w:bookmarkEnd w:id="228"/>
      <w:bookmarkEnd w:id="22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spacing w:before="120"/>
      </w:pPr>
      <w:r>
        <w:tab/>
        <w:t>(5)</w:t>
      </w:r>
      <w:r>
        <w:tab/>
        <w:t xml:space="preserve">In subregulation (3) — </w:t>
      </w:r>
    </w:p>
    <w:p>
      <w:pPr>
        <w:pStyle w:val="Defstart"/>
      </w:pPr>
      <w:r>
        <w:tab/>
      </w:r>
      <w:r>
        <w:rPr>
          <w:rStyle w:val="CharDefText"/>
        </w:rPr>
        <w:t>prescribed condition</w:t>
      </w:r>
      <w:r>
        <w:t xml:space="preserve">, in relation to a pilotage exemption certificate, means — </w:t>
      </w:r>
    </w:p>
    <w:p>
      <w:pPr>
        <w:pStyle w:val="Defpara"/>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230" w:name="_Toc408471799"/>
      <w:bookmarkStart w:id="231" w:name="_Toc494797957"/>
      <w:r>
        <w:rPr>
          <w:rStyle w:val="CharSectno"/>
        </w:rPr>
        <w:t>53</w:t>
      </w:r>
      <w:r>
        <w:t>.</w:t>
      </w:r>
      <w:r>
        <w:tab/>
        <w:t>Applications to vary or delete conditions on pilotage exemption certificates</w:t>
      </w:r>
      <w:bookmarkEnd w:id="230"/>
      <w:bookmarkEnd w:id="231"/>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232" w:name="_Toc408471800"/>
      <w:bookmarkStart w:id="233" w:name="_Toc494797958"/>
      <w:r>
        <w:rPr>
          <w:rStyle w:val="CharSectno"/>
        </w:rPr>
        <w:t>54</w:t>
      </w:r>
      <w:r>
        <w:t>.</w:t>
      </w:r>
      <w:r>
        <w:tab/>
        <w:t>Validity and expiry of pilotage exemption certificates</w:t>
      </w:r>
      <w:bookmarkEnd w:id="232"/>
      <w:bookmarkEnd w:id="233"/>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234" w:name="_Toc408471801"/>
      <w:bookmarkStart w:id="235" w:name="_Toc494797959"/>
      <w:r>
        <w:rPr>
          <w:rStyle w:val="CharSectno"/>
        </w:rPr>
        <w:t>55</w:t>
      </w:r>
      <w:r>
        <w:t>.</w:t>
      </w:r>
      <w:r>
        <w:tab/>
        <w:t>Applications for revalidation of pilotage exemption certificates</w:t>
      </w:r>
      <w:bookmarkEnd w:id="234"/>
      <w:bookmarkEnd w:id="235"/>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236" w:name="_Toc408471802"/>
      <w:bookmarkStart w:id="237" w:name="_Toc494797960"/>
      <w:r>
        <w:rPr>
          <w:rStyle w:val="CharSectno"/>
        </w:rPr>
        <w:t>56</w:t>
      </w:r>
      <w:r>
        <w:t>.</w:t>
      </w:r>
      <w:r>
        <w:tab/>
        <w:t>Revalidation of pilotage exemption certificates</w:t>
      </w:r>
      <w:bookmarkEnd w:id="236"/>
      <w:bookmarkEnd w:id="237"/>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pPr>
      <w:r>
        <w:tab/>
        <w:t>(b)</w:t>
      </w:r>
      <w:r>
        <w:tab/>
        <w:t>is not revalidated within 6 months after that expiry,</w:t>
      </w:r>
    </w:p>
    <w:p>
      <w:pPr>
        <w:pStyle w:val="Subsection"/>
      </w:pPr>
      <w:r>
        <w:tab/>
      </w:r>
      <w:r>
        <w:tab/>
        <w:t>may apply for a new pilotage exemption certificate under regulation 50 if the person is eligible under regulation 49.</w:t>
      </w:r>
    </w:p>
    <w:p>
      <w:pPr>
        <w:pStyle w:val="Heading5"/>
      </w:pPr>
      <w:bookmarkStart w:id="238" w:name="_Toc408471803"/>
      <w:bookmarkStart w:id="239" w:name="_Toc494797961"/>
      <w:r>
        <w:rPr>
          <w:rStyle w:val="CharSectno"/>
        </w:rPr>
        <w:t>57</w:t>
      </w:r>
      <w:r>
        <w:t>.</w:t>
      </w:r>
      <w:r>
        <w:tab/>
        <w:t>Suspending and revoking pilotage exemption certificates</w:t>
      </w:r>
      <w:bookmarkEnd w:id="238"/>
      <w:bookmarkEnd w:id="239"/>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240" w:name="_Toc408471804"/>
      <w:bookmarkStart w:id="241" w:name="_Toc494797962"/>
      <w:r>
        <w:rPr>
          <w:rStyle w:val="CharSectno"/>
        </w:rPr>
        <w:t>58</w:t>
      </w:r>
      <w:r>
        <w:t>.</w:t>
      </w:r>
      <w:r>
        <w:tab/>
        <w:t>Appeals against decision made under r. 57</w:t>
      </w:r>
      <w:bookmarkEnd w:id="240"/>
      <w:bookmarkEnd w:id="241"/>
    </w:p>
    <w:p>
      <w:pPr>
        <w:pStyle w:val="Subsection"/>
      </w:pPr>
      <w:r>
        <w:tab/>
        <w:t>(1)</w:t>
      </w:r>
      <w:r>
        <w:tab/>
        <w:t>A person may appeal to the port authority against a decision of the harbour master to suspend or revoke the person’s pilotage exemption certificate under regulation 57.</w:t>
      </w:r>
    </w:p>
    <w:p>
      <w:pPr>
        <w:pStyle w:val="Subsection"/>
        <w:keepNext/>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242" w:name="_Toc408471805"/>
      <w:bookmarkStart w:id="243" w:name="_Toc494797963"/>
      <w:r>
        <w:rPr>
          <w:rStyle w:val="CharSectno"/>
        </w:rPr>
        <w:t>59</w:t>
      </w:r>
      <w:r>
        <w:t>.</w:t>
      </w:r>
      <w:r>
        <w:tab/>
        <w:t>Use of pilotage exemption certificates to be recorded</w:t>
      </w:r>
      <w:bookmarkEnd w:id="242"/>
      <w:bookmarkEnd w:id="243"/>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244" w:name="_Toc408471806"/>
      <w:bookmarkStart w:id="245" w:name="_Toc416945451"/>
      <w:bookmarkStart w:id="246" w:name="_Toc416945790"/>
      <w:bookmarkStart w:id="247" w:name="_Toc416946074"/>
      <w:bookmarkStart w:id="248" w:name="_Toc417655644"/>
      <w:bookmarkStart w:id="249" w:name="_Toc461722071"/>
      <w:bookmarkStart w:id="250" w:name="_Toc461723718"/>
      <w:bookmarkStart w:id="251" w:name="_Toc493069470"/>
      <w:bookmarkStart w:id="252" w:name="_Toc494791715"/>
      <w:bookmarkStart w:id="253" w:name="_Toc494793338"/>
      <w:bookmarkStart w:id="254" w:name="_Toc494797964"/>
      <w:r>
        <w:rPr>
          <w:rStyle w:val="CharPartNo"/>
        </w:rPr>
        <w:t>Part 4</w:t>
      </w:r>
      <w:r>
        <w:rPr>
          <w:rStyle w:val="CharDivNo"/>
        </w:rPr>
        <w:t xml:space="preserve"> </w:t>
      </w:r>
      <w:r>
        <w:t>—</w:t>
      </w:r>
      <w:r>
        <w:rPr>
          <w:rStyle w:val="CharDivText"/>
        </w:rPr>
        <w:t xml:space="preserve"> </w:t>
      </w:r>
      <w:r>
        <w:rPr>
          <w:rStyle w:val="CharPartText"/>
        </w:rPr>
        <w:t>Goods and cargo</w:t>
      </w:r>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08471807"/>
      <w:bookmarkStart w:id="256" w:name="_Toc494797965"/>
      <w:r>
        <w:rPr>
          <w:rStyle w:val="CharSectno"/>
        </w:rPr>
        <w:t>60</w:t>
      </w:r>
      <w:r>
        <w:t>.</w:t>
      </w:r>
      <w:r>
        <w:tab/>
        <w:t>Details of cargo on board vessel arriving at port to be given to port authority</w:t>
      </w:r>
      <w:bookmarkEnd w:id="255"/>
      <w:bookmarkEnd w:id="256"/>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257" w:name="_Toc408471808"/>
      <w:bookmarkStart w:id="258" w:name="_Toc494797966"/>
      <w:r>
        <w:rPr>
          <w:rStyle w:val="CharSectno"/>
        </w:rPr>
        <w:t>61</w:t>
      </w:r>
      <w:r>
        <w:t>.</w:t>
      </w:r>
      <w:r>
        <w:tab/>
        <w:t>Details of cargo and fuel on board vessel leaving port to be given to port authority</w:t>
      </w:r>
      <w:bookmarkEnd w:id="257"/>
      <w:bookmarkEnd w:id="258"/>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259" w:name="_Toc408471809"/>
      <w:bookmarkStart w:id="260" w:name="_Toc494797967"/>
      <w:r>
        <w:rPr>
          <w:rStyle w:val="CharSectno"/>
        </w:rPr>
        <w:t>62</w:t>
      </w:r>
      <w:r>
        <w:t>.</w:t>
      </w:r>
      <w:r>
        <w:tab/>
        <w:t>Loading and unloading to be continuous</w:t>
      </w:r>
      <w:bookmarkEnd w:id="259"/>
      <w:bookmarkEnd w:id="260"/>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261" w:name="_Toc408471810"/>
      <w:bookmarkStart w:id="262" w:name="_Toc494797968"/>
      <w:r>
        <w:rPr>
          <w:rStyle w:val="CharSectno"/>
        </w:rPr>
        <w:t>66</w:t>
      </w:r>
      <w:r>
        <w:t>.</w:t>
      </w:r>
      <w:r>
        <w:tab/>
        <w:t>Unclaimed goods, port authority’s powers as to</w:t>
      </w:r>
      <w:bookmarkEnd w:id="261"/>
      <w:bookmarkEnd w:id="262"/>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263" w:name="_Toc408471811"/>
      <w:bookmarkStart w:id="264" w:name="_Toc494797969"/>
      <w:r>
        <w:rPr>
          <w:rStyle w:val="CharSectno"/>
        </w:rPr>
        <w:t>67</w:t>
      </w:r>
      <w:r>
        <w:t>.</w:t>
      </w:r>
      <w:r>
        <w:tab/>
        <w:t>Sale of unclaimed goods, application of proceeds of</w:t>
      </w:r>
      <w:bookmarkEnd w:id="263"/>
      <w:bookmarkEnd w:id="264"/>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265" w:name="_Toc408471812"/>
      <w:bookmarkStart w:id="266" w:name="_Toc494797970"/>
      <w:r>
        <w:rPr>
          <w:rStyle w:val="CharSectno"/>
        </w:rPr>
        <w:t>68</w:t>
      </w:r>
      <w:r>
        <w:t>.</w:t>
      </w:r>
      <w:r>
        <w:tab/>
        <w:t>Goods falling from vessel in port</w:t>
      </w:r>
      <w:bookmarkEnd w:id="265"/>
      <w:bookmarkEnd w:id="26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267" w:name="_Toc408471813"/>
      <w:bookmarkStart w:id="268" w:name="_Toc416945458"/>
      <w:bookmarkStart w:id="269" w:name="_Toc416945797"/>
      <w:bookmarkStart w:id="270" w:name="_Toc416946081"/>
      <w:bookmarkStart w:id="271" w:name="_Toc417655651"/>
      <w:bookmarkStart w:id="272" w:name="_Toc461722078"/>
      <w:bookmarkStart w:id="273" w:name="_Toc461723725"/>
      <w:bookmarkStart w:id="274" w:name="_Toc493069477"/>
      <w:bookmarkStart w:id="275" w:name="_Toc494791722"/>
      <w:bookmarkStart w:id="276" w:name="_Toc494793345"/>
      <w:bookmarkStart w:id="277" w:name="_Toc494797971"/>
      <w:r>
        <w:rPr>
          <w:rStyle w:val="CharPartNo"/>
        </w:rPr>
        <w:t>Part 5</w:t>
      </w:r>
      <w:r>
        <w:t xml:space="preserve"> — </w:t>
      </w:r>
      <w:r>
        <w:rPr>
          <w:rStyle w:val="CharPartText"/>
        </w:rPr>
        <w:t>Conduct of persons in ports</w:t>
      </w:r>
      <w:bookmarkEnd w:id="267"/>
      <w:bookmarkEnd w:id="268"/>
      <w:bookmarkEnd w:id="269"/>
      <w:bookmarkEnd w:id="270"/>
      <w:bookmarkEnd w:id="271"/>
      <w:bookmarkEnd w:id="272"/>
      <w:bookmarkEnd w:id="273"/>
      <w:bookmarkEnd w:id="274"/>
      <w:bookmarkEnd w:id="275"/>
      <w:bookmarkEnd w:id="276"/>
      <w:bookmarkEnd w:id="277"/>
    </w:p>
    <w:p>
      <w:pPr>
        <w:pStyle w:val="Heading5"/>
        <w:spacing w:before="180"/>
      </w:pPr>
      <w:bookmarkStart w:id="278" w:name="_Toc408471814"/>
      <w:bookmarkStart w:id="279" w:name="_Toc494797972"/>
      <w:r>
        <w:rPr>
          <w:rStyle w:val="CharSectno"/>
        </w:rPr>
        <w:t>69</w:t>
      </w:r>
      <w:r>
        <w:t>.</w:t>
      </w:r>
      <w:r>
        <w:tab/>
        <w:t>Term used: designated by notices or signs</w:t>
      </w:r>
      <w:bookmarkEnd w:id="278"/>
      <w:bookmarkEnd w:id="279"/>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280" w:name="_Toc408471815"/>
      <w:bookmarkStart w:id="281" w:name="_Toc494797973"/>
      <w:r>
        <w:rPr>
          <w:rStyle w:val="CharSectno"/>
        </w:rPr>
        <w:t>70</w:t>
      </w:r>
      <w:r>
        <w:t>.</w:t>
      </w:r>
      <w:r>
        <w:tab/>
        <w:t>Social functions on board vessel prohibited in certain cases</w:t>
      </w:r>
      <w:bookmarkEnd w:id="280"/>
      <w:bookmarkEnd w:id="281"/>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282" w:name="_Toc408471816"/>
      <w:bookmarkStart w:id="283" w:name="_Toc494797974"/>
      <w:r>
        <w:rPr>
          <w:rStyle w:val="CharSectno"/>
        </w:rPr>
        <w:t>71</w:t>
      </w:r>
      <w:r>
        <w:t>.</w:t>
      </w:r>
      <w:r>
        <w:tab/>
        <w:t>Dead animals, waste etc. not to be left in ports unless authorised</w:t>
      </w:r>
      <w:bookmarkEnd w:id="282"/>
      <w:bookmarkEnd w:id="283"/>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284" w:name="_Toc408471817"/>
      <w:bookmarkStart w:id="285" w:name="_Toc494797975"/>
      <w:r>
        <w:rPr>
          <w:rStyle w:val="CharSectno"/>
        </w:rPr>
        <w:t>72</w:t>
      </w:r>
      <w:r>
        <w:t>.</w:t>
      </w:r>
      <w:r>
        <w:tab/>
        <w:t>Port authority notices etc., removal of etc. is offence</w:t>
      </w:r>
      <w:bookmarkEnd w:id="284"/>
      <w:bookmarkEnd w:id="285"/>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286" w:name="_Toc408471818"/>
      <w:bookmarkStart w:id="287" w:name="_Toc494797976"/>
      <w:r>
        <w:rPr>
          <w:rStyle w:val="CharSectno"/>
        </w:rPr>
        <w:t>73</w:t>
      </w:r>
      <w:r>
        <w:t>.</w:t>
      </w:r>
      <w:r>
        <w:tab/>
        <w:t>Notices etc. not to be put on port authority property without authority</w:t>
      </w:r>
      <w:bookmarkEnd w:id="286"/>
      <w:bookmarkEnd w:id="287"/>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288" w:name="_Toc408471819"/>
      <w:bookmarkStart w:id="289" w:name="_Toc494797977"/>
      <w:r>
        <w:rPr>
          <w:rStyle w:val="CharSectno"/>
        </w:rPr>
        <w:t>74</w:t>
      </w:r>
      <w:r>
        <w:t>.</w:t>
      </w:r>
      <w:r>
        <w:tab/>
        <w:t>Life saving equipment, interfering with</w:t>
      </w:r>
      <w:bookmarkEnd w:id="288"/>
      <w:bookmarkEnd w:id="289"/>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290" w:name="_Toc408471820"/>
      <w:bookmarkStart w:id="291" w:name="_Toc494797978"/>
      <w:r>
        <w:rPr>
          <w:rStyle w:val="CharSectno"/>
        </w:rPr>
        <w:t>75</w:t>
      </w:r>
      <w:r>
        <w:t>.</w:t>
      </w:r>
      <w:r>
        <w:tab/>
        <w:t>Dredging etc. prohibited without authority</w:t>
      </w:r>
      <w:bookmarkEnd w:id="290"/>
      <w:bookmarkEnd w:id="291"/>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292" w:name="_Toc408471821"/>
      <w:bookmarkStart w:id="293" w:name="_Toc494797979"/>
      <w:r>
        <w:rPr>
          <w:rStyle w:val="CharSectno"/>
        </w:rPr>
        <w:t>76</w:t>
      </w:r>
      <w:r>
        <w:t>.</w:t>
      </w:r>
      <w:r>
        <w:tab/>
        <w:t>Persons to comply with reasonable directions of port authority staff</w:t>
      </w:r>
      <w:bookmarkEnd w:id="292"/>
      <w:bookmarkEnd w:id="293"/>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294" w:name="_Toc408471822"/>
      <w:bookmarkStart w:id="295" w:name="_Toc494797980"/>
      <w:r>
        <w:rPr>
          <w:rStyle w:val="CharSectno"/>
        </w:rPr>
        <w:t>77</w:t>
      </w:r>
      <w:r>
        <w:t>.</w:t>
      </w:r>
      <w:r>
        <w:tab/>
        <w:t>Animals prohibited in port without authority</w:t>
      </w:r>
      <w:bookmarkEnd w:id="294"/>
      <w:bookmarkEnd w:id="295"/>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Ednotesubsection"/>
      </w:pPr>
      <w:r>
        <w:tab/>
        <w:t>[(2)</w:t>
      </w:r>
      <w:r>
        <w:tab/>
        <w:t>deleted]</w:t>
      </w:r>
    </w:p>
    <w:p>
      <w:pPr>
        <w:pStyle w:val="Footnotesection"/>
        <w:spacing w:before="80"/>
        <w:ind w:left="890" w:hanging="890"/>
      </w:pPr>
      <w:bookmarkStart w:id="296" w:name="_Toc408471823"/>
      <w:r>
        <w:tab/>
        <w:t>[Regulation 77 amended in Gazette 8 Jan 2015 p. 62.]</w:t>
      </w:r>
    </w:p>
    <w:p>
      <w:pPr>
        <w:pStyle w:val="Heading5"/>
      </w:pPr>
      <w:bookmarkStart w:id="297" w:name="_Toc494797981"/>
      <w:r>
        <w:rPr>
          <w:rStyle w:val="CharSectno"/>
        </w:rPr>
        <w:t>78</w:t>
      </w:r>
      <w:r>
        <w:t>.</w:t>
      </w:r>
      <w:r>
        <w:tab/>
        <w:t>Disorderly conduct</w:t>
      </w:r>
      <w:bookmarkEnd w:id="296"/>
      <w:bookmarkEnd w:id="297"/>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298" w:name="_Toc408471824"/>
      <w:bookmarkStart w:id="299" w:name="_Toc494797982"/>
      <w:r>
        <w:rPr>
          <w:rStyle w:val="CharSectno"/>
        </w:rPr>
        <w:t>79</w:t>
      </w:r>
      <w:r>
        <w:t>.</w:t>
      </w:r>
      <w:r>
        <w:tab/>
        <w:t>Certain persons may be prohibited from entering port</w:t>
      </w:r>
      <w:bookmarkEnd w:id="298"/>
      <w:bookmarkEnd w:id="299"/>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300" w:name="_Toc408471825"/>
      <w:bookmarkStart w:id="301" w:name="_Toc494797983"/>
      <w:r>
        <w:rPr>
          <w:rStyle w:val="CharSectno"/>
        </w:rPr>
        <w:t>80</w:t>
      </w:r>
      <w:r>
        <w:t>.</w:t>
      </w:r>
      <w:r>
        <w:tab/>
        <w:t>Smoking in designated places prohibited</w:t>
      </w:r>
      <w:bookmarkEnd w:id="300"/>
      <w:bookmarkEnd w:id="301"/>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302" w:name="_Toc408471826"/>
      <w:bookmarkStart w:id="303" w:name="_Toc494797984"/>
      <w:r>
        <w:rPr>
          <w:rStyle w:val="CharSectno"/>
        </w:rPr>
        <w:t>83</w:t>
      </w:r>
      <w:r>
        <w:t>.</w:t>
      </w:r>
      <w:r>
        <w:tab/>
        <w:t>Selling or supplying things and soliciting business prohibited</w:t>
      </w:r>
      <w:bookmarkEnd w:id="302"/>
      <w:bookmarkEnd w:id="303"/>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304" w:name="_Toc408471827"/>
      <w:bookmarkStart w:id="305" w:name="_Toc494797985"/>
      <w:r>
        <w:rPr>
          <w:rStyle w:val="CharSectno"/>
        </w:rPr>
        <w:t>84</w:t>
      </w:r>
      <w:r>
        <w:t>.</w:t>
      </w:r>
      <w:r>
        <w:tab/>
        <w:t>Wrecks not to be climbed on etc.</w:t>
      </w:r>
      <w:bookmarkEnd w:id="304"/>
      <w:bookmarkEnd w:id="305"/>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306" w:name="_Toc408471828"/>
      <w:bookmarkStart w:id="307" w:name="_Toc494797986"/>
      <w:r>
        <w:rPr>
          <w:rStyle w:val="CharSectno"/>
        </w:rPr>
        <w:t>85</w:t>
      </w:r>
      <w:r>
        <w:t>.</w:t>
      </w:r>
      <w:r>
        <w:tab/>
        <w:t>Fire alarms, activating etc.</w:t>
      </w:r>
      <w:bookmarkEnd w:id="306"/>
      <w:bookmarkEnd w:id="307"/>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308" w:name="_Toc408471829"/>
      <w:bookmarkStart w:id="309" w:name="_Toc494797987"/>
      <w:r>
        <w:rPr>
          <w:rStyle w:val="CharSectno"/>
        </w:rPr>
        <w:t>86</w:t>
      </w:r>
      <w:r>
        <w:t>.</w:t>
      </w:r>
      <w:r>
        <w:tab/>
        <w:t>Valves, hydrants etc., unauthorised use of</w:t>
      </w:r>
      <w:bookmarkEnd w:id="308"/>
      <w:bookmarkEnd w:id="309"/>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310" w:name="_Toc408471830"/>
      <w:bookmarkStart w:id="311" w:name="_Toc494797988"/>
      <w:r>
        <w:rPr>
          <w:rStyle w:val="CharSectno"/>
        </w:rPr>
        <w:t>87</w:t>
      </w:r>
      <w:r>
        <w:t>.</w:t>
      </w:r>
      <w:r>
        <w:tab/>
        <w:t>Electric lights etc., unauthorised interference with</w:t>
      </w:r>
      <w:bookmarkEnd w:id="310"/>
      <w:bookmarkEnd w:id="31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312" w:name="_Toc408471831"/>
      <w:bookmarkStart w:id="313" w:name="_Toc494797989"/>
      <w:r>
        <w:rPr>
          <w:rStyle w:val="CharSectno"/>
        </w:rPr>
        <w:t>88</w:t>
      </w:r>
      <w:r>
        <w:t>.</w:t>
      </w:r>
      <w:r>
        <w:tab/>
        <w:t>Stray boats and other abandoned or unattended property</w:t>
      </w:r>
      <w:bookmarkEnd w:id="312"/>
      <w:bookmarkEnd w:id="313"/>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314" w:name="_Toc408471832"/>
      <w:bookmarkStart w:id="315" w:name="_Toc494797990"/>
      <w:r>
        <w:rPr>
          <w:rStyle w:val="CharSectno"/>
        </w:rPr>
        <w:t>89</w:t>
      </w:r>
      <w:r>
        <w:t>.</w:t>
      </w:r>
      <w:r>
        <w:tab/>
        <w:t>Swimming in designated areas prohibited</w:t>
      </w:r>
      <w:bookmarkEnd w:id="314"/>
      <w:bookmarkEnd w:id="315"/>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316" w:name="_Toc408471833"/>
      <w:bookmarkStart w:id="317" w:name="_Toc494797991"/>
      <w:r>
        <w:rPr>
          <w:rStyle w:val="CharSectno"/>
        </w:rPr>
        <w:t>90</w:t>
      </w:r>
      <w:r>
        <w:t>.</w:t>
      </w:r>
      <w:r>
        <w:tab/>
        <w:t>Closed areas of ports etc., unauthorised entry of</w:t>
      </w:r>
      <w:bookmarkEnd w:id="316"/>
      <w:bookmarkEnd w:id="317"/>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318" w:name="_Toc408471834"/>
      <w:bookmarkStart w:id="319" w:name="_Toc494797992"/>
      <w:r>
        <w:rPr>
          <w:rStyle w:val="CharSectno"/>
        </w:rPr>
        <w:t>91</w:t>
      </w:r>
      <w:r>
        <w:t>.</w:t>
      </w:r>
      <w:r>
        <w:tab/>
        <w:t>Fishing in designated areas of port prohibited</w:t>
      </w:r>
      <w:bookmarkEnd w:id="318"/>
      <w:bookmarkEnd w:id="319"/>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320" w:name="_Toc408471835"/>
      <w:bookmarkStart w:id="321" w:name="_Toc494797993"/>
      <w:r>
        <w:rPr>
          <w:rStyle w:val="CharSectno"/>
        </w:rPr>
        <w:t>92</w:t>
      </w:r>
      <w:r>
        <w:t>.</w:t>
      </w:r>
      <w:r>
        <w:tab/>
        <w:t>Fishing nets etc., use of</w:t>
      </w:r>
      <w:bookmarkEnd w:id="320"/>
      <w:bookmarkEnd w:id="321"/>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322" w:name="_Toc408471836"/>
      <w:bookmarkStart w:id="323" w:name="_Toc494797994"/>
      <w:r>
        <w:rPr>
          <w:rStyle w:val="CharSectno"/>
        </w:rPr>
        <w:t>93</w:t>
      </w:r>
      <w:r>
        <w:t>.</w:t>
      </w:r>
      <w:r>
        <w:tab/>
        <w:t>Launching etc. boats in unauthorised places etc. prohibited</w:t>
      </w:r>
      <w:bookmarkEnd w:id="322"/>
      <w:bookmarkEnd w:id="323"/>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324" w:name="_Toc408471837"/>
      <w:bookmarkStart w:id="325" w:name="_Toc494797995"/>
      <w:r>
        <w:rPr>
          <w:rStyle w:val="CharSectno"/>
        </w:rPr>
        <w:t>94</w:t>
      </w:r>
      <w:r>
        <w:t>.</w:t>
      </w:r>
      <w:r>
        <w:tab/>
        <w:t>Camping etc. prohibited unless authorised</w:t>
      </w:r>
      <w:bookmarkEnd w:id="324"/>
      <w:bookmarkEnd w:id="325"/>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326" w:name="_Toc408471838"/>
      <w:bookmarkStart w:id="327" w:name="_Toc494797996"/>
      <w:r>
        <w:rPr>
          <w:rStyle w:val="CharSectno"/>
        </w:rPr>
        <w:t>95</w:t>
      </w:r>
      <w:r>
        <w:t>.</w:t>
      </w:r>
      <w:r>
        <w:tab/>
        <w:t>Marine life not to be removed from wharf etc. unless authorised</w:t>
      </w:r>
      <w:bookmarkEnd w:id="326"/>
      <w:bookmarkEnd w:id="327"/>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328" w:name="_Toc408471839"/>
      <w:bookmarkStart w:id="329" w:name="_Toc494797997"/>
      <w:r>
        <w:rPr>
          <w:rStyle w:val="CharSectno"/>
        </w:rPr>
        <w:t>96</w:t>
      </w:r>
      <w:r>
        <w:t>.</w:t>
      </w:r>
      <w:r>
        <w:tab/>
        <w:t>Buildings etc. not to be erected without authority</w:t>
      </w:r>
      <w:bookmarkEnd w:id="328"/>
      <w:bookmarkEnd w:id="329"/>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330" w:name="_Toc408471840"/>
      <w:bookmarkStart w:id="331" w:name="_Toc494797998"/>
      <w:r>
        <w:rPr>
          <w:rStyle w:val="CharSectno"/>
        </w:rPr>
        <w:t>97</w:t>
      </w:r>
      <w:r>
        <w:t>.</w:t>
      </w:r>
      <w:r>
        <w:tab/>
        <w:t>Excavation work not to be done unless authorised</w:t>
      </w:r>
      <w:bookmarkEnd w:id="330"/>
      <w:bookmarkEnd w:id="33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332" w:name="_Toc408471841"/>
      <w:bookmarkStart w:id="333" w:name="_Toc494797999"/>
      <w:r>
        <w:rPr>
          <w:rStyle w:val="CharSectno"/>
        </w:rPr>
        <w:t>98</w:t>
      </w:r>
      <w:r>
        <w:t>.</w:t>
      </w:r>
      <w:r>
        <w:tab/>
        <w:t>Motor boats and water skiing, restrictions on</w:t>
      </w:r>
      <w:bookmarkEnd w:id="332"/>
      <w:bookmarkEnd w:id="333"/>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334" w:name="_Toc408471842"/>
      <w:bookmarkStart w:id="335" w:name="_Toc494798000"/>
      <w:r>
        <w:rPr>
          <w:rStyle w:val="CharSectno"/>
        </w:rPr>
        <w:t>99</w:t>
      </w:r>
      <w:r>
        <w:t>.</w:t>
      </w:r>
      <w:r>
        <w:tab/>
        <w:t>Races, regattas etc. not to be held without authority</w:t>
      </w:r>
      <w:bookmarkEnd w:id="334"/>
      <w:bookmarkEnd w:id="335"/>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336" w:name="_Toc408471843"/>
      <w:bookmarkStart w:id="337" w:name="_Toc416945488"/>
      <w:bookmarkStart w:id="338" w:name="_Toc416945827"/>
      <w:bookmarkStart w:id="339" w:name="_Toc416946111"/>
      <w:bookmarkStart w:id="340" w:name="_Toc417655681"/>
      <w:bookmarkStart w:id="341" w:name="_Toc461722108"/>
      <w:bookmarkStart w:id="342" w:name="_Toc461723755"/>
      <w:bookmarkStart w:id="343" w:name="_Toc493069507"/>
      <w:bookmarkStart w:id="344" w:name="_Toc494791752"/>
      <w:bookmarkStart w:id="345" w:name="_Toc494793375"/>
      <w:bookmarkStart w:id="346" w:name="_Toc494798001"/>
      <w:r>
        <w:rPr>
          <w:rStyle w:val="CharPartNo"/>
        </w:rPr>
        <w:t>Part 6</w:t>
      </w:r>
      <w:r>
        <w:rPr>
          <w:rStyle w:val="CharDivNo"/>
        </w:rPr>
        <w:t xml:space="preserve"> </w:t>
      </w:r>
      <w:r>
        <w:t>—</w:t>
      </w:r>
      <w:r>
        <w:rPr>
          <w:rStyle w:val="CharDivText"/>
        </w:rPr>
        <w:t xml:space="preserve"> </w:t>
      </w:r>
      <w:r>
        <w:rPr>
          <w:rStyle w:val="CharPartText"/>
        </w:rPr>
        <w:t>Vehicles in ports</w:t>
      </w:r>
      <w:bookmarkEnd w:id="336"/>
      <w:bookmarkEnd w:id="337"/>
      <w:bookmarkEnd w:id="338"/>
      <w:bookmarkEnd w:id="339"/>
      <w:bookmarkEnd w:id="340"/>
      <w:bookmarkEnd w:id="341"/>
      <w:bookmarkEnd w:id="342"/>
      <w:bookmarkEnd w:id="343"/>
      <w:bookmarkEnd w:id="344"/>
      <w:bookmarkEnd w:id="345"/>
      <w:bookmarkEnd w:id="346"/>
    </w:p>
    <w:p>
      <w:pPr>
        <w:pStyle w:val="Heading5"/>
        <w:spacing w:before="180"/>
      </w:pPr>
      <w:bookmarkStart w:id="347" w:name="_Toc408471844"/>
      <w:bookmarkStart w:id="348" w:name="_Toc494798002"/>
      <w:r>
        <w:rPr>
          <w:rStyle w:val="CharSectno"/>
        </w:rPr>
        <w:t>100</w:t>
      </w:r>
      <w:r>
        <w:t>.</w:t>
      </w:r>
      <w:r>
        <w:tab/>
        <w:t>Terms used</w:t>
      </w:r>
      <w:bookmarkEnd w:id="347"/>
      <w:bookmarkEnd w:id="348"/>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349" w:name="_Toc408471845"/>
      <w:bookmarkStart w:id="350" w:name="_Toc494798003"/>
      <w:r>
        <w:rPr>
          <w:rStyle w:val="CharSectno"/>
        </w:rPr>
        <w:t>101</w:t>
      </w:r>
      <w:r>
        <w:t>.</w:t>
      </w:r>
      <w:r>
        <w:tab/>
      </w:r>
      <w:r>
        <w:rPr>
          <w:i/>
        </w:rPr>
        <w:t>Application of road laws</w:t>
      </w:r>
      <w:bookmarkEnd w:id="349"/>
      <w:bookmarkEnd w:id="350"/>
    </w:p>
    <w:p>
      <w:pPr>
        <w:pStyle w:val="Subsection"/>
      </w:pPr>
      <w:r>
        <w:tab/>
      </w:r>
      <w:r>
        <w:tab/>
        <w:t xml:space="preserve">The provisions of this Part are in addition to those of each road law, as defined in the </w:t>
      </w:r>
      <w:r>
        <w:rPr>
          <w:i/>
        </w:rPr>
        <w:t>Road Traffic (Administration) Act 2008</w:t>
      </w:r>
      <w:r>
        <w:t xml:space="preserve"> section 4, in relation to a port.</w:t>
      </w:r>
    </w:p>
    <w:p>
      <w:pPr>
        <w:pStyle w:val="Footnotesection"/>
        <w:spacing w:before="80"/>
        <w:ind w:left="890" w:hanging="890"/>
      </w:pPr>
      <w:bookmarkStart w:id="351" w:name="_Toc408471846"/>
      <w:r>
        <w:tab/>
        <w:t>[Regulation 101 amended in Gazette 8 Jan 2015 p. 63.]</w:t>
      </w:r>
    </w:p>
    <w:p>
      <w:pPr>
        <w:pStyle w:val="Heading5"/>
      </w:pPr>
      <w:bookmarkStart w:id="352" w:name="_Toc494798004"/>
      <w:r>
        <w:rPr>
          <w:rStyle w:val="CharSectno"/>
        </w:rPr>
        <w:t>102</w:t>
      </w:r>
      <w:r>
        <w:t>.</w:t>
      </w:r>
      <w:r>
        <w:tab/>
        <w:t>Careless driving</w:t>
      </w:r>
      <w:bookmarkEnd w:id="351"/>
      <w:bookmarkEnd w:id="352"/>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353" w:name="_Toc408471847"/>
      <w:bookmarkStart w:id="354" w:name="_Toc494798005"/>
      <w:r>
        <w:rPr>
          <w:rStyle w:val="CharSectno"/>
        </w:rPr>
        <w:t>103</w:t>
      </w:r>
      <w:r>
        <w:t>.</w:t>
      </w:r>
      <w:r>
        <w:tab/>
        <w:t>Drivers to comply with traffic signs</w:t>
      </w:r>
      <w:bookmarkEnd w:id="353"/>
      <w:bookmarkEnd w:id="354"/>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355" w:name="_Toc408471848"/>
      <w:bookmarkStart w:id="356" w:name="_Toc494798006"/>
      <w:r>
        <w:rPr>
          <w:rStyle w:val="CharSectno"/>
        </w:rPr>
        <w:t>104</w:t>
      </w:r>
      <w:r>
        <w:t>.</w:t>
      </w:r>
      <w:r>
        <w:tab/>
        <w:t>Stopping vehicles</w:t>
      </w:r>
      <w:bookmarkEnd w:id="355"/>
      <w:bookmarkEnd w:id="356"/>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357" w:name="_Toc408471849"/>
      <w:bookmarkStart w:id="358" w:name="_Toc494798007"/>
      <w:r>
        <w:rPr>
          <w:rStyle w:val="CharSectno"/>
        </w:rPr>
        <w:t>105</w:t>
      </w:r>
      <w:r>
        <w:t>.</w:t>
      </w:r>
      <w:r>
        <w:tab/>
        <w:t>Parking vehicles</w:t>
      </w:r>
      <w:bookmarkEnd w:id="357"/>
      <w:bookmarkEnd w:id="358"/>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359" w:name="_Toc408471850"/>
      <w:bookmarkStart w:id="360" w:name="_Toc494798008"/>
      <w:r>
        <w:rPr>
          <w:rStyle w:val="CharSectno"/>
        </w:rPr>
        <w:t>106</w:t>
      </w:r>
      <w:r>
        <w:t>.</w:t>
      </w:r>
      <w:r>
        <w:tab/>
        <w:t>Emergency vehicles, exceptions for</w:t>
      </w:r>
      <w:bookmarkEnd w:id="359"/>
      <w:bookmarkEnd w:id="36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361" w:name="_Toc408471851"/>
      <w:bookmarkStart w:id="362" w:name="_Toc494798009"/>
      <w:r>
        <w:rPr>
          <w:rStyle w:val="CharSectno"/>
        </w:rPr>
        <w:t>107</w:t>
      </w:r>
      <w:r>
        <w:t>.</w:t>
      </w:r>
      <w:r>
        <w:tab/>
        <w:t>Obstructing vehicles may be removed</w:t>
      </w:r>
      <w:bookmarkEnd w:id="361"/>
      <w:bookmarkEnd w:id="36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363" w:name="_Toc408471852"/>
      <w:bookmarkStart w:id="364" w:name="_Toc416945497"/>
      <w:bookmarkStart w:id="365" w:name="_Toc416945836"/>
      <w:bookmarkStart w:id="366" w:name="_Toc416946120"/>
      <w:bookmarkStart w:id="367" w:name="_Toc417655690"/>
      <w:bookmarkStart w:id="368" w:name="_Toc461722117"/>
      <w:bookmarkStart w:id="369" w:name="_Toc461723764"/>
      <w:bookmarkStart w:id="370" w:name="_Toc493069516"/>
      <w:bookmarkStart w:id="371" w:name="_Toc494791761"/>
      <w:bookmarkStart w:id="372" w:name="_Toc494793384"/>
      <w:bookmarkStart w:id="373" w:name="_Toc49479801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363"/>
      <w:bookmarkEnd w:id="364"/>
      <w:bookmarkEnd w:id="365"/>
      <w:bookmarkEnd w:id="366"/>
      <w:bookmarkEnd w:id="367"/>
      <w:bookmarkEnd w:id="368"/>
      <w:bookmarkEnd w:id="369"/>
      <w:bookmarkEnd w:id="370"/>
      <w:bookmarkEnd w:id="371"/>
      <w:bookmarkEnd w:id="372"/>
      <w:bookmarkEnd w:id="373"/>
    </w:p>
    <w:p>
      <w:pPr>
        <w:pStyle w:val="Heading5"/>
        <w:spacing w:before="240"/>
      </w:pPr>
      <w:bookmarkStart w:id="374" w:name="_Toc408471853"/>
      <w:bookmarkStart w:id="375" w:name="_Toc494798011"/>
      <w:r>
        <w:rPr>
          <w:rStyle w:val="CharSectno"/>
        </w:rPr>
        <w:t>108</w:t>
      </w:r>
      <w:r>
        <w:t>.</w:t>
      </w:r>
      <w:r>
        <w:tab/>
        <w:t>Prescribed offences (Act s. 124)</w:t>
      </w:r>
      <w:bookmarkEnd w:id="374"/>
      <w:bookmarkEnd w:id="375"/>
    </w:p>
    <w:p>
      <w:pPr>
        <w:pStyle w:val="Subsection"/>
      </w:pPr>
      <w:r>
        <w:tab/>
      </w:r>
      <w:r>
        <w:tab/>
        <w:t>The offences mentioned in Schedule 3 are the offences for which an infringement notice may be given under section 124 of the Act.</w:t>
      </w:r>
    </w:p>
    <w:p>
      <w:pPr>
        <w:pStyle w:val="Heading5"/>
      </w:pPr>
      <w:bookmarkStart w:id="376" w:name="_Toc408471854"/>
      <w:bookmarkStart w:id="377" w:name="_Toc494798012"/>
      <w:r>
        <w:rPr>
          <w:rStyle w:val="CharSectno"/>
        </w:rPr>
        <w:t>109</w:t>
      </w:r>
      <w:r>
        <w:t>.</w:t>
      </w:r>
      <w:r>
        <w:tab/>
        <w:t>Prescribed modified penalties (Act s. 125(2))</w:t>
      </w:r>
      <w:bookmarkEnd w:id="376"/>
      <w:bookmarkEnd w:id="377"/>
    </w:p>
    <w:p>
      <w:pPr>
        <w:pStyle w:val="Subsection"/>
      </w:pPr>
      <w:r>
        <w:tab/>
      </w:r>
      <w:r>
        <w:tab/>
        <w:t>The modified penalty mentioned opposite an offence in Schedule 3 is the modified penalty for that offence for the purposes of section 125(2) of the Act.</w:t>
      </w:r>
    </w:p>
    <w:p>
      <w:pPr>
        <w:pStyle w:val="Heading5"/>
      </w:pPr>
      <w:bookmarkStart w:id="378" w:name="_Toc408471855"/>
      <w:bookmarkStart w:id="379" w:name="_Toc494798013"/>
      <w:r>
        <w:rPr>
          <w:rStyle w:val="CharSectno"/>
        </w:rPr>
        <w:t>110</w:t>
      </w:r>
      <w:r>
        <w:t>.</w:t>
      </w:r>
      <w:r>
        <w:tab/>
        <w:t>Over</w:t>
      </w:r>
      <w:r>
        <w:noBreakHyphen/>
        <w:t>length vehicle, meaning of in Sch. 3</w:t>
      </w:r>
      <w:bookmarkEnd w:id="378"/>
      <w:bookmarkEnd w:id="379"/>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380" w:name="_Toc408471856"/>
      <w:bookmarkStart w:id="381" w:name="_Toc494798014"/>
      <w:r>
        <w:rPr>
          <w:rStyle w:val="CharSectno"/>
        </w:rPr>
        <w:t>111</w:t>
      </w:r>
      <w:r>
        <w:t>.</w:t>
      </w:r>
      <w:r>
        <w:tab/>
        <w:t>Infringement notice, prescribed form of (Act s. 125(1))</w:t>
      </w:r>
      <w:bookmarkEnd w:id="380"/>
      <w:bookmarkEnd w:id="381"/>
    </w:p>
    <w:p>
      <w:pPr>
        <w:pStyle w:val="Subsection"/>
      </w:pPr>
      <w:r>
        <w:tab/>
      </w:r>
      <w:r>
        <w:tab/>
        <w:t>The form of an infringement notice is set out in Form 1 in Schedule 4 for the purposes of section 125(1) of the Act.</w:t>
      </w:r>
    </w:p>
    <w:p>
      <w:pPr>
        <w:pStyle w:val="Heading5"/>
      </w:pPr>
      <w:bookmarkStart w:id="382" w:name="_Toc408471857"/>
      <w:bookmarkStart w:id="383" w:name="_Toc494798015"/>
      <w:r>
        <w:rPr>
          <w:rStyle w:val="CharSectno"/>
        </w:rPr>
        <w:t>112</w:t>
      </w:r>
      <w:r>
        <w:t>.</w:t>
      </w:r>
      <w:r>
        <w:tab/>
        <w:t>Withdrawal of infringement notice, prescribed form of (Act s. 127(1))</w:t>
      </w:r>
      <w:bookmarkEnd w:id="382"/>
      <w:bookmarkEnd w:id="383"/>
    </w:p>
    <w:p>
      <w:pPr>
        <w:pStyle w:val="Subsection"/>
      </w:pPr>
      <w:r>
        <w:tab/>
      </w:r>
      <w:r>
        <w:tab/>
        <w:t>The form of a notice to withdraw an infringement notice is set out in Form 2 in Schedule 4 for the purposes of section 127(1) of the Act.</w:t>
      </w:r>
    </w:p>
    <w:p>
      <w:pPr>
        <w:pStyle w:val="Heading2"/>
      </w:pPr>
      <w:bookmarkStart w:id="384" w:name="_Toc408471858"/>
      <w:bookmarkStart w:id="385" w:name="_Toc416945503"/>
      <w:bookmarkStart w:id="386" w:name="_Toc416945842"/>
      <w:bookmarkStart w:id="387" w:name="_Toc416946126"/>
      <w:bookmarkStart w:id="388" w:name="_Toc417655696"/>
      <w:bookmarkStart w:id="389" w:name="_Toc461722123"/>
      <w:bookmarkStart w:id="390" w:name="_Toc461723770"/>
      <w:bookmarkStart w:id="391" w:name="_Toc493069522"/>
      <w:bookmarkStart w:id="392" w:name="_Toc494791767"/>
      <w:bookmarkStart w:id="393" w:name="_Toc494793390"/>
      <w:bookmarkStart w:id="394" w:name="_Toc494798016"/>
      <w:r>
        <w:rPr>
          <w:rStyle w:val="CharPartNo"/>
        </w:rPr>
        <w:t>Part 8</w:t>
      </w:r>
      <w:r>
        <w:t xml:space="preserve"> — </w:t>
      </w:r>
      <w:r>
        <w:rPr>
          <w:rStyle w:val="CharPartText"/>
        </w:rPr>
        <w:t>Miscellaneous</w:t>
      </w:r>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408471859"/>
      <w:bookmarkStart w:id="396" w:name="_Toc494798017"/>
      <w:r>
        <w:rPr>
          <w:rStyle w:val="CharSectno"/>
        </w:rPr>
        <w:t>113</w:t>
      </w:r>
      <w:r>
        <w:t>.</w:t>
      </w:r>
      <w:r>
        <w:tab/>
        <w:t>Effect of breach of condition to which authorisation is subject</w:t>
      </w:r>
      <w:bookmarkEnd w:id="395"/>
      <w:bookmarkEnd w:id="39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397" w:name="_Toc408471860"/>
      <w:bookmarkStart w:id="398" w:name="_Toc494798018"/>
      <w:r>
        <w:rPr>
          <w:rStyle w:val="CharSectno"/>
        </w:rPr>
        <w:t>114</w:t>
      </w:r>
      <w:r>
        <w:t>.</w:t>
      </w:r>
      <w:r>
        <w:tab/>
        <w:t>Master of vessel to produce certificates of tonnage and registry etc. on request by certain officers</w:t>
      </w:r>
      <w:bookmarkEnd w:id="397"/>
      <w:bookmarkEnd w:id="398"/>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399" w:name="_Toc408471861"/>
      <w:bookmarkStart w:id="400" w:name="_Toc494798019"/>
      <w:r>
        <w:rPr>
          <w:rStyle w:val="CharSectno"/>
        </w:rPr>
        <w:t>115</w:t>
      </w:r>
      <w:r>
        <w:t>.</w:t>
      </w:r>
      <w:r>
        <w:tab/>
        <w:t>Powers of authorised officers in relation to offenders</w:t>
      </w:r>
      <w:bookmarkEnd w:id="399"/>
      <w:bookmarkEnd w:id="400"/>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401" w:name="_Toc408471862"/>
      <w:bookmarkStart w:id="402" w:name="_Toc494798020"/>
      <w:r>
        <w:rPr>
          <w:rStyle w:val="CharSectno"/>
        </w:rPr>
        <w:t>117</w:t>
      </w:r>
      <w:r>
        <w:t>.</w:t>
      </w:r>
      <w:r>
        <w:tab/>
        <w:t>Certain easements, leases and licences may be granted without Minister’s approval (Act s. 28(2))</w:t>
      </w:r>
      <w:bookmarkEnd w:id="401"/>
      <w:bookmarkEnd w:id="402"/>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403" w:name="_Toc408471863"/>
      <w:bookmarkStart w:id="404" w:name="_Toc494798021"/>
      <w:r>
        <w:rPr>
          <w:rStyle w:val="CharSectno"/>
        </w:rPr>
        <w:t>118</w:t>
      </w:r>
      <w:r>
        <w:t>.</w:t>
      </w:r>
      <w:r>
        <w:tab/>
        <w:t>Amount of port authority’s liability prescribed (Act s. 40(3)(c))</w:t>
      </w:r>
      <w:bookmarkEnd w:id="403"/>
      <w:bookmarkEnd w:id="404"/>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405" w:name="_Toc408471864"/>
      <w:bookmarkStart w:id="406" w:name="_Toc494798022"/>
      <w:r>
        <w:rPr>
          <w:rStyle w:val="CharSectno"/>
        </w:rPr>
        <w:t>118A</w:t>
      </w:r>
      <w:r>
        <w:t>.</w:t>
      </w:r>
      <w:r>
        <w:tab/>
        <w:t>Port services prescribed (Act s. 35(9))</w:t>
      </w:r>
      <w:bookmarkEnd w:id="405"/>
      <w:bookmarkEnd w:id="406"/>
    </w:p>
    <w:p>
      <w:pPr>
        <w:pStyle w:val="Subsection"/>
      </w:pPr>
      <w:r>
        <w:tab/>
      </w:r>
      <w:r>
        <w:tab/>
        <w:t>Under section 35(9) of the Act, “</w:t>
      </w:r>
      <w:r>
        <w:rPr>
          <w:bCs/>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407" w:name="_Toc408471865"/>
      <w:bookmarkStart w:id="408" w:name="_Toc494798023"/>
      <w:r>
        <w:rPr>
          <w:rStyle w:val="CharSectno"/>
        </w:rPr>
        <w:t>119</w:t>
      </w:r>
      <w:r>
        <w:t>.</w:t>
      </w:r>
      <w:r>
        <w:tab/>
        <w:t>Rate of interest on overdue amounts (Act s. 136(1))</w:t>
      </w:r>
      <w:bookmarkEnd w:id="407"/>
      <w:bookmarkEnd w:id="408"/>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409" w:name="_Toc408471866"/>
      <w:bookmarkStart w:id="410" w:name="_Toc494798024"/>
      <w:r>
        <w:rPr>
          <w:rStyle w:val="CharSectno"/>
        </w:rPr>
        <w:t>120</w:t>
      </w:r>
      <w:r>
        <w:t>.</w:t>
      </w:r>
      <w:r>
        <w:tab/>
        <w:t>Rounding off amounts (Act Sch. 5 cl. 31)</w:t>
      </w:r>
      <w:bookmarkEnd w:id="409"/>
      <w:bookmarkEnd w:id="410"/>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411" w:name="_Toc408471867"/>
      <w:bookmarkStart w:id="412" w:name="_Toc494798025"/>
      <w:r>
        <w:rPr>
          <w:rStyle w:val="CharSectno"/>
        </w:rPr>
        <w:t>121</w:t>
      </w:r>
      <w:r>
        <w:t>.</w:t>
      </w:r>
      <w:r>
        <w:tab/>
        <w:t>Provisions for particular ports and port authorities</w:t>
      </w:r>
      <w:bookmarkEnd w:id="411"/>
      <w:bookmarkEnd w:id="412"/>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pPr>
      <w:r>
        <w:tab/>
        <w:t>(aa)</w:t>
      </w:r>
      <w:r>
        <w:tab/>
        <w:t>the Port of Balla Balla;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18</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90</w:t>
            </w:r>
          </w:p>
        </w:tc>
      </w:tr>
      <w:tr>
        <w:trPr>
          <w:cantSplit/>
        </w:trPr>
        <w:tc>
          <w:tcPr>
            <w:tcW w:w="2551" w:type="dxa"/>
          </w:tcPr>
          <w:p>
            <w:pPr>
              <w:pStyle w:val="TableNAm"/>
            </w:pPr>
            <w:r>
              <w:t>regulation 114</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or (2) to Schedule 1 Division 1A or 4.</w:t>
      </w:r>
    </w:p>
    <w:p>
      <w:pPr>
        <w:pStyle w:val="Footnotesection"/>
        <w:spacing w:before="100"/>
        <w:ind w:left="890" w:hanging="890"/>
      </w:pPr>
      <w:r>
        <w:tab/>
        <w:t>[Regulation 121 inserted in Gazette 20 Jun 2014 p. 2030</w:t>
      </w:r>
      <w:r>
        <w:noBreakHyphen/>
        <w:t>1; amended in Gazette 3 Oct 2017 p. 5037</w:t>
      </w:r>
      <w:r>
        <w:noBreakHyphen/>
        <w:t>8.]</w:t>
      </w:r>
    </w:p>
    <w:p>
      <w:pPr>
        <w:pStyle w:val="Ednotesection"/>
        <w:ind w:left="0" w:firstLine="0"/>
      </w:pPr>
      <w:r>
        <w:t>[</w:t>
      </w:r>
      <w:r>
        <w:rPr>
          <w:b/>
        </w:rPr>
        <w:t>122.</w:t>
      </w:r>
      <w:r>
        <w:rPr>
          <w:b/>
        </w:rPr>
        <w:tab/>
      </w:r>
      <w:r>
        <w:t>Omitted under the Reprints Act 1984 s. 7(4)(f).]</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13" w:name="_Toc408471868"/>
      <w:bookmarkStart w:id="414" w:name="_Toc416945513"/>
      <w:bookmarkStart w:id="415" w:name="_Toc416945852"/>
      <w:bookmarkStart w:id="416" w:name="_Toc416946136"/>
      <w:bookmarkStart w:id="417" w:name="_Toc417655706"/>
      <w:bookmarkStart w:id="418" w:name="_Toc461722133"/>
      <w:bookmarkStart w:id="419" w:name="_Toc461723780"/>
      <w:bookmarkStart w:id="420" w:name="_Toc493069532"/>
      <w:bookmarkStart w:id="421" w:name="_Toc494791777"/>
      <w:bookmarkStart w:id="422" w:name="_Toc494793400"/>
      <w:bookmarkStart w:id="423" w:name="_Toc494798026"/>
      <w:bookmarkStart w:id="424" w:name="_Toc408472025"/>
      <w:bookmarkStart w:id="425" w:name="_Toc416945670"/>
      <w:bookmarkStart w:id="426" w:name="_Toc416946009"/>
      <w:bookmarkStart w:id="427" w:name="_Toc416946293"/>
      <w:bookmarkStart w:id="428" w:name="_Toc417655863"/>
      <w:bookmarkStart w:id="429" w:name="_Toc461722290"/>
      <w:bookmarkStart w:id="430" w:name="_Toc461723937"/>
      <w:r>
        <w:rPr>
          <w:rStyle w:val="CharSchNo"/>
        </w:rPr>
        <w:t>Schedule 1</w:t>
      </w:r>
      <w:r>
        <w:t xml:space="preserve"> — </w:t>
      </w:r>
      <w:r>
        <w:rPr>
          <w:rStyle w:val="CharSchText"/>
        </w:rPr>
        <w:t>Provisions for particular ports and port authorities</w:t>
      </w:r>
      <w:bookmarkEnd w:id="413"/>
      <w:bookmarkEnd w:id="414"/>
      <w:bookmarkEnd w:id="415"/>
      <w:bookmarkEnd w:id="416"/>
      <w:bookmarkEnd w:id="417"/>
      <w:bookmarkEnd w:id="418"/>
      <w:bookmarkEnd w:id="419"/>
      <w:bookmarkEnd w:id="420"/>
      <w:bookmarkEnd w:id="421"/>
      <w:bookmarkEnd w:id="422"/>
      <w:bookmarkEnd w:id="423"/>
    </w:p>
    <w:p>
      <w:pPr>
        <w:pStyle w:val="yShoulderClause"/>
      </w:pPr>
      <w:r>
        <w:t>[r. 121]</w:t>
      </w:r>
    </w:p>
    <w:p>
      <w:pPr>
        <w:pStyle w:val="yFootnoteheading"/>
      </w:pPr>
      <w:r>
        <w:tab/>
        <w:t>[Heading inserted in Gazette 20 Jun 2014 p. 2032.]</w:t>
      </w:r>
    </w:p>
    <w:p>
      <w:pPr>
        <w:pStyle w:val="yHeading3"/>
      </w:pPr>
      <w:bookmarkStart w:id="431" w:name="_Toc408471869"/>
      <w:bookmarkStart w:id="432" w:name="_Toc416945514"/>
      <w:bookmarkStart w:id="433" w:name="_Toc416945853"/>
      <w:bookmarkStart w:id="434" w:name="_Toc416946137"/>
      <w:bookmarkStart w:id="435" w:name="_Toc417655707"/>
      <w:bookmarkStart w:id="436" w:name="_Toc461722134"/>
      <w:bookmarkStart w:id="437" w:name="_Toc461723781"/>
      <w:bookmarkStart w:id="438" w:name="_Toc493069533"/>
      <w:bookmarkStart w:id="439" w:name="_Toc494791778"/>
      <w:bookmarkStart w:id="440" w:name="_Toc494793401"/>
      <w:bookmarkStart w:id="441" w:name="_Toc494798027"/>
      <w:r>
        <w:rPr>
          <w:rStyle w:val="CharSDivNo"/>
        </w:rPr>
        <w:t>Division 1</w:t>
      </w:r>
      <w:r>
        <w:rPr>
          <w:b w:val="0"/>
        </w:rPr>
        <w:t> — </w:t>
      </w:r>
      <w:r>
        <w:rPr>
          <w:rStyle w:val="CharSDivText"/>
        </w:rPr>
        <w:t>Port of Albany</w:t>
      </w:r>
      <w:bookmarkEnd w:id="431"/>
      <w:bookmarkEnd w:id="432"/>
      <w:bookmarkEnd w:id="433"/>
      <w:bookmarkEnd w:id="434"/>
      <w:bookmarkEnd w:id="435"/>
      <w:bookmarkEnd w:id="436"/>
      <w:bookmarkEnd w:id="437"/>
      <w:bookmarkEnd w:id="438"/>
      <w:bookmarkEnd w:id="439"/>
      <w:bookmarkEnd w:id="440"/>
      <w:bookmarkEnd w:id="441"/>
    </w:p>
    <w:p>
      <w:pPr>
        <w:pStyle w:val="yFootnoteheading"/>
      </w:pPr>
      <w:r>
        <w:tab/>
        <w:t>[Heading inserted in Gazette 20 Jun 2014 p. 2032.]</w:t>
      </w:r>
    </w:p>
    <w:p>
      <w:pPr>
        <w:pStyle w:val="yHeading5"/>
      </w:pPr>
      <w:bookmarkStart w:id="442" w:name="_Toc408471870"/>
      <w:bookmarkStart w:id="443" w:name="_Toc494798028"/>
      <w:r>
        <w:rPr>
          <w:rStyle w:val="CharSClsNo"/>
        </w:rPr>
        <w:t>1</w:t>
      </w:r>
      <w:r>
        <w:t>.</w:t>
      </w:r>
      <w:r>
        <w:tab/>
        <w:t>Application of this Division</w:t>
      </w:r>
      <w:bookmarkEnd w:id="442"/>
      <w:bookmarkEnd w:id="443"/>
    </w:p>
    <w:p>
      <w:pPr>
        <w:pStyle w:val="ySubsection"/>
      </w:pPr>
      <w:r>
        <w:tab/>
      </w:r>
      <w:r>
        <w:tab/>
        <w:t>This Division applies to the Port of Albany and the Southern Ports Authority.</w:t>
      </w:r>
    </w:p>
    <w:p>
      <w:pPr>
        <w:pStyle w:val="yFootnotesection"/>
      </w:pPr>
      <w:r>
        <w:tab/>
        <w:t>[Clause 1 inserted in Gazette 19 Sep 2014 p. 3342.]</w:t>
      </w:r>
    </w:p>
    <w:p>
      <w:pPr>
        <w:pStyle w:val="yHeading5"/>
        <w:outlineLvl w:val="0"/>
      </w:pPr>
      <w:bookmarkStart w:id="444" w:name="_Toc408471871"/>
      <w:bookmarkStart w:id="445" w:name="_Toc494798029"/>
      <w:r>
        <w:rPr>
          <w:rStyle w:val="CharSClsNo"/>
        </w:rPr>
        <w:t>2</w:t>
      </w:r>
      <w:r>
        <w:t>.</w:t>
      </w:r>
      <w:r>
        <w:tab/>
        <w:t>Terms used</w:t>
      </w:r>
      <w:bookmarkEnd w:id="444"/>
      <w:bookmarkEnd w:id="445"/>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446" w:name="_Toc408471872"/>
      <w:bookmarkStart w:id="447" w:name="_Toc494798030"/>
      <w:r>
        <w:rPr>
          <w:rStyle w:val="CharSClsNo"/>
        </w:rPr>
        <w:t>3</w:t>
      </w:r>
      <w:r>
        <w:t>.</w:t>
      </w:r>
      <w:r>
        <w:tab/>
        <w:t>Notice of arrival at port</w:t>
      </w:r>
      <w:bookmarkEnd w:id="446"/>
      <w:bookmarkEnd w:id="44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keepNext/>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240"/>
        <w:outlineLvl w:val="0"/>
      </w:pPr>
      <w:bookmarkStart w:id="448" w:name="_Toc408471873"/>
      <w:bookmarkStart w:id="449" w:name="_Toc494798031"/>
      <w:r>
        <w:rPr>
          <w:rStyle w:val="CharSClsNo"/>
        </w:rPr>
        <w:t>4</w:t>
      </w:r>
      <w:r>
        <w:t>.</w:t>
      </w:r>
      <w:r>
        <w:tab/>
        <w:t>Fishing vessels not to berth at berth 1, 2 or 3 without authority</w:t>
      </w:r>
      <w:bookmarkEnd w:id="448"/>
      <w:bookmarkEnd w:id="44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spacing w:before="240"/>
        <w:outlineLvl w:val="0"/>
      </w:pPr>
      <w:bookmarkStart w:id="450" w:name="_Toc408471874"/>
      <w:bookmarkStart w:id="451" w:name="_Toc494798032"/>
      <w:r>
        <w:rPr>
          <w:rStyle w:val="CharSClsNo"/>
        </w:rPr>
        <w:t>5</w:t>
      </w:r>
      <w:r>
        <w:t>.</w:t>
      </w:r>
      <w:r>
        <w:tab/>
        <w:t>When pilotage is not compulsory</w:t>
      </w:r>
      <w:bookmarkEnd w:id="450"/>
      <w:bookmarkEnd w:id="451"/>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spacing w:before="240"/>
        <w:outlineLvl w:val="9"/>
      </w:pPr>
      <w:bookmarkStart w:id="452" w:name="_Toc408471875"/>
      <w:bookmarkStart w:id="453" w:name="_Toc494798033"/>
      <w:r>
        <w:rPr>
          <w:rStyle w:val="CharSClsNo"/>
        </w:rPr>
        <w:t>5A</w:t>
      </w:r>
      <w:r>
        <w:t>.</w:t>
      </w:r>
      <w:r>
        <w:tab/>
        <w:t>Unlicensed persons not to provide certain services</w:t>
      </w:r>
      <w:bookmarkEnd w:id="452"/>
      <w:bookmarkEnd w:id="453"/>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spacing w:before="240"/>
        <w:outlineLvl w:val="9"/>
      </w:pPr>
      <w:bookmarkStart w:id="454" w:name="_Toc408471876"/>
      <w:bookmarkStart w:id="455" w:name="_Toc494798034"/>
      <w:r>
        <w:rPr>
          <w:rStyle w:val="CharSClsNo"/>
        </w:rPr>
        <w:t>5B</w:t>
      </w:r>
      <w:r>
        <w:t>.</w:t>
      </w:r>
      <w:r>
        <w:tab/>
        <w:t>Service providers’ licences</w:t>
      </w:r>
      <w:bookmarkEnd w:id="454"/>
      <w:bookmarkEnd w:id="45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456" w:name="_Toc489965893"/>
      <w:bookmarkStart w:id="457" w:name="_Toc489965942"/>
      <w:bookmarkStart w:id="458" w:name="_Toc489970676"/>
      <w:bookmarkStart w:id="459" w:name="_Toc490033399"/>
      <w:bookmarkStart w:id="460" w:name="_Toc494791786"/>
      <w:bookmarkStart w:id="461" w:name="_Toc494793409"/>
      <w:bookmarkStart w:id="462" w:name="_Toc494798035"/>
      <w:bookmarkStart w:id="463" w:name="_Toc408471877"/>
      <w:bookmarkStart w:id="464" w:name="_Toc416945522"/>
      <w:bookmarkStart w:id="465" w:name="_Toc416945861"/>
      <w:bookmarkStart w:id="466" w:name="_Toc416946145"/>
      <w:bookmarkStart w:id="467" w:name="_Toc417655715"/>
      <w:bookmarkStart w:id="468" w:name="_Toc461722142"/>
      <w:bookmarkStart w:id="469" w:name="_Toc461723789"/>
      <w:bookmarkStart w:id="470" w:name="_Toc493069541"/>
      <w:r>
        <w:rPr>
          <w:rStyle w:val="CharSDivNo"/>
        </w:rPr>
        <w:t>Division 1A</w:t>
      </w:r>
      <w:r>
        <w:t> — </w:t>
      </w:r>
      <w:r>
        <w:rPr>
          <w:rStyle w:val="CharSDivText"/>
        </w:rPr>
        <w:t>Port of Balla Balla</w:t>
      </w:r>
      <w:bookmarkEnd w:id="456"/>
      <w:bookmarkEnd w:id="457"/>
      <w:bookmarkEnd w:id="458"/>
      <w:bookmarkEnd w:id="459"/>
      <w:bookmarkEnd w:id="460"/>
      <w:bookmarkEnd w:id="461"/>
      <w:bookmarkEnd w:id="462"/>
    </w:p>
    <w:p>
      <w:pPr>
        <w:pStyle w:val="yFootnoteheading"/>
      </w:pPr>
      <w:bookmarkStart w:id="471" w:name="_Toc489965894"/>
      <w:bookmarkStart w:id="472" w:name="_Toc489965943"/>
      <w:bookmarkStart w:id="473" w:name="_Toc489970677"/>
      <w:bookmarkStart w:id="474" w:name="_Toc490033400"/>
      <w:r>
        <w:tab/>
        <w:t>[Heading inserted in Gazette 3 Oct 2017 p. 5038.]</w:t>
      </w:r>
    </w:p>
    <w:p>
      <w:pPr>
        <w:pStyle w:val="yHeading4"/>
      </w:pPr>
      <w:bookmarkStart w:id="475" w:name="_Toc494791787"/>
      <w:bookmarkStart w:id="476" w:name="_Toc494793410"/>
      <w:bookmarkStart w:id="477" w:name="_Toc494798036"/>
      <w:r>
        <w:t>Subdivision 1 — Application</w:t>
      </w:r>
      <w:bookmarkEnd w:id="471"/>
      <w:bookmarkEnd w:id="472"/>
      <w:bookmarkEnd w:id="473"/>
      <w:bookmarkEnd w:id="474"/>
      <w:bookmarkEnd w:id="475"/>
      <w:bookmarkEnd w:id="476"/>
      <w:bookmarkEnd w:id="477"/>
    </w:p>
    <w:p>
      <w:pPr>
        <w:pStyle w:val="yFootnoteheading"/>
      </w:pPr>
      <w:bookmarkStart w:id="478" w:name="_Toc489970678"/>
      <w:bookmarkStart w:id="479" w:name="_Toc490033401"/>
      <w:r>
        <w:tab/>
        <w:t>[Heading inserted in Gazette 3 Oct 2017 p. 5038.]</w:t>
      </w:r>
    </w:p>
    <w:p>
      <w:pPr>
        <w:pStyle w:val="yHeading5"/>
      </w:pPr>
      <w:bookmarkStart w:id="480" w:name="_Toc494798037"/>
      <w:r>
        <w:rPr>
          <w:rStyle w:val="CharSClsNo"/>
        </w:rPr>
        <w:t>5C</w:t>
      </w:r>
      <w:r>
        <w:t>.</w:t>
      </w:r>
      <w:r>
        <w:tab/>
        <w:t>Application of this Division</w:t>
      </w:r>
      <w:bookmarkEnd w:id="478"/>
      <w:bookmarkEnd w:id="479"/>
      <w:bookmarkEnd w:id="480"/>
    </w:p>
    <w:p>
      <w:pPr>
        <w:pStyle w:val="ySubsection"/>
      </w:pPr>
      <w:r>
        <w:tab/>
      </w:r>
      <w:r>
        <w:tab/>
        <w:t>This Division applies to the Port of Balla Balla and the Pilbara Ports Authority.</w:t>
      </w:r>
    </w:p>
    <w:p>
      <w:pPr>
        <w:pStyle w:val="yFootnotesection"/>
      </w:pPr>
      <w:bookmarkStart w:id="481" w:name="_Toc489965896"/>
      <w:bookmarkStart w:id="482" w:name="_Toc489965945"/>
      <w:bookmarkStart w:id="483" w:name="_Toc489970679"/>
      <w:bookmarkStart w:id="484" w:name="_Toc490033402"/>
      <w:r>
        <w:tab/>
        <w:t>[Clause 5C inserted in Gazette 3 Oct 2017 p. 5038.]</w:t>
      </w:r>
    </w:p>
    <w:p>
      <w:pPr>
        <w:pStyle w:val="yHeading4"/>
      </w:pPr>
      <w:bookmarkStart w:id="485" w:name="_Toc494791789"/>
      <w:bookmarkStart w:id="486" w:name="_Toc494793412"/>
      <w:bookmarkStart w:id="487" w:name="_Toc494798038"/>
      <w:r>
        <w:t>Subdivision 2 — Vessels in the port</w:t>
      </w:r>
      <w:bookmarkEnd w:id="481"/>
      <w:bookmarkEnd w:id="482"/>
      <w:bookmarkEnd w:id="483"/>
      <w:bookmarkEnd w:id="484"/>
      <w:bookmarkEnd w:id="485"/>
      <w:bookmarkEnd w:id="486"/>
      <w:bookmarkEnd w:id="487"/>
    </w:p>
    <w:p>
      <w:pPr>
        <w:pStyle w:val="yFootnoteheading"/>
      </w:pPr>
      <w:bookmarkStart w:id="488" w:name="_Toc489970680"/>
      <w:bookmarkStart w:id="489" w:name="_Toc490033403"/>
      <w:r>
        <w:tab/>
        <w:t>[Heading inserted in Gazette 3 Oct 2017 p. 5038.]</w:t>
      </w:r>
    </w:p>
    <w:p>
      <w:pPr>
        <w:pStyle w:val="yHeading5"/>
      </w:pPr>
      <w:bookmarkStart w:id="490" w:name="_Toc494798039"/>
      <w:r>
        <w:rPr>
          <w:rStyle w:val="CharSClsNo"/>
        </w:rPr>
        <w:t>5D</w:t>
      </w:r>
      <w:r>
        <w:t>.</w:t>
      </w:r>
      <w:r>
        <w:tab/>
        <w:t>Terms used</w:t>
      </w:r>
      <w:bookmarkEnd w:id="488"/>
      <w:bookmarkEnd w:id="489"/>
      <w:bookmarkEnd w:id="490"/>
    </w:p>
    <w:p>
      <w:pPr>
        <w:pStyle w:val="ySubsection"/>
      </w:pPr>
      <w:r>
        <w:tab/>
      </w:r>
      <w:r>
        <w:tab/>
        <w:t xml:space="preserve">In this Subdivision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Footnotesection"/>
      </w:pPr>
      <w:bookmarkStart w:id="491" w:name="_Toc489970681"/>
      <w:bookmarkStart w:id="492" w:name="_Toc490033404"/>
      <w:r>
        <w:tab/>
        <w:t>[Clause 5D inserted in Gazette 3 Oct 2017 p. 5038.]</w:t>
      </w:r>
    </w:p>
    <w:p>
      <w:pPr>
        <w:pStyle w:val="yHeading5"/>
      </w:pPr>
      <w:bookmarkStart w:id="493" w:name="_Toc494798040"/>
      <w:r>
        <w:rPr>
          <w:rStyle w:val="CharSClsNo"/>
        </w:rPr>
        <w:t>5E</w:t>
      </w:r>
      <w:r>
        <w:t>.</w:t>
      </w:r>
      <w:r>
        <w:tab/>
        <w:t>Master of vessel to produce certificates and papers on request by certain officers</w:t>
      </w:r>
      <w:bookmarkEnd w:id="491"/>
      <w:bookmarkEnd w:id="492"/>
      <w:bookmarkEnd w:id="49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pPr>
      <w:r>
        <w:tab/>
        <w:t>(2)</w:t>
      </w:r>
      <w:r>
        <w:tab/>
        <w:t>A person who does not comply with subclause (1) commits an offence.</w:t>
      </w:r>
    </w:p>
    <w:p>
      <w:pPr>
        <w:pStyle w:val="yPenstart"/>
      </w:pPr>
      <w:r>
        <w:tab/>
        <w:t>Penalty for this subclause: a fine of $5 000.</w:t>
      </w:r>
    </w:p>
    <w:p>
      <w:pPr>
        <w:pStyle w:val="yFootnotesection"/>
      </w:pPr>
      <w:bookmarkStart w:id="494" w:name="_Toc489970682"/>
      <w:bookmarkStart w:id="495" w:name="_Toc490033405"/>
      <w:r>
        <w:tab/>
        <w:t>[Clause 5E inserted in Gazette 3 Oct 2017 p. 5038</w:t>
      </w:r>
      <w:r>
        <w:noBreakHyphen/>
        <w:t>9.]</w:t>
      </w:r>
    </w:p>
    <w:p>
      <w:pPr>
        <w:pStyle w:val="yHeading5"/>
      </w:pPr>
      <w:bookmarkStart w:id="496" w:name="_Toc494798041"/>
      <w:r>
        <w:rPr>
          <w:rStyle w:val="CharSClsNo"/>
        </w:rPr>
        <w:t>5F</w:t>
      </w:r>
      <w:r>
        <w:t>.</w:t>
      </w:r>
      <w:r>
        <w:tab/>
        <w:t>Moored vessel not to be moved unless harbour master notified</w:t>
      </w:r>
      <w:bookmarkEnd w:id="494"/>
      <w:bookmarkEnd w:id="495"/>
      <w:bookmarkEnd w:id="496"/>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for this subclause: a fine of $5 000.</w:t>
      </w:r>
    </w:p>
    <w:p>
      <w:pPr>
        <w:pStyle w:val="yFootnotesection"/>
      </w:pPr>
      <w:bookmarkStart w:id="497" w:name="_Toc489970683"/>
      <w:bookmarkStart w:id="498" w:name="_Toc490033406"/>
      <w:r>
        <w:tab/>
        <w:t>[Clause 5F inserted in Gazette 3 Oct 2017 p. 5039.]</w:t>
      </w:r>
    </w:p>
    <w:p>
      <w:pPr>
        <w:pStyle w:val="yHeading5"/>
      </w:pPr>
      <w:bookmarkStart w:id="499" w:name="_Toc494798042"/>
      <w:r>
        <w:rPr>
          <w:rStyle w:val="CharSClsNo"/>
        </w:rPr>
        <w:t>5G</w:t>
      </w:r>
      <w:r>
        <w:t>.</w:t>
      </w:r>
      <w:r>
        <w:tab/>
        <w:t>Bunkering</w:t>
      </w:r>
      <w:bookmarkEnd w:id="497"/>
      <w:bookmarkEnd w:id="498"/>
      <w:bookmarkEnd w:id="499"/>
    </w:p>
    <w:p>
      <w:pPr>
        <w:pStyle w:val="ySubsection"/>
      </w:pPr>
      <w:r>
        <w:tab/>
        <w:t>(1)</w:t>
      </w:r>
      <w:r>
        <w:tab/>
        <w:t>Unless authorised by the harbour master, the master of a vessel in the port must not cause or permit the vessel to be bunkered.</w:t>
      </w:r>
    </w:p>
    <w:p>
      <w:pPr>
        <w:pStyle w:val="yPenstart"/>
      </w:pPr>
      <w:r>
        <w:tab/>
        <w:t>Penalty for this subclause: a fine of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for this subclause: a fine of $5 000.</w:t>
      </w:r>
    </w:p>
    <w:p>
      <w:pPr>
        <w:pStyle w:val="yFootnotesection"/>
      </w:pPr>
      <w:bookmarkStart w:id="500" w:name="_Toc489970684"/>
      <w:bookmarkStart w:id="501" w:name="_Toc490033407"/>
      <w:r>
        <w:tab/>
        <w:t>[Clause 5G inserted in Gazette 3 Oct 2017 p. 5039.]</w:t>
      </w:r>
    </w:p>
    <w:p>
      <w:pPr>
        <w:pStyle w:val="yHeading5"/>
      </w:pPr>
      <w:bookmarkStart w:id="502" w:name="_Toc494798043"/>
      <w:r>
        <w:rPr>
          <w:rStyle w:val="CharSClsNo"/>
        </w:rPr>
        <w:t>5H</w:t>
      </w:r>
      <w:r>
        <w:t>.</w:t>
      </w:r>
      <w:r>
        <w:tab/>
        <w:t>Navigation of private vessels</w:t>
      </w:r>
      <w:bookmarkEnd w:id="500"/>
      <w:bookmarkEnd w:id="501"/>
      <w:bookmarkEnd w:id="502"/>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for this subclause: a fine of $12 000.</w:t>
      </w:r>
    </w:p>
    <w:p>
      <w:pPr>
        <w:pStyle w:val="yFootnotesection"/>
      </w:pPr>
      <w:bookmarkStart w:id="503" w:name="_Toc489970685"/>
      <w:bookmarkStart w:id="504" w:name="_Toc490033408"/>
      <w:r>
        <w:tab/>
        <w:t>[Clause 5H inserted in Gazette 3 Oct 2017 p. 5039.]</w:t>
      </w:r>
    </w:p>
    <w:p>
      <w:pPr>
        <w:pStyle w:val="yHeading5"/>
      </w:pPr>
      <w:bookmarkStart w:id="505" w:name="_Toc494798044"/>
      <w:r>
        <w:rPr>
          <w:rStyle w:val="CharSClsNo"/>
        </w:rPr>
        <w:t>5I</w:t>
      </w:r>
      <w:r>
        <w:t>.</w:t>
      </w:r>
      <w:r>
        <w:tab/>
        <w:t>Duties of masters of fishing vessels</w:t>
      </w:r>
      <w:bookmarkEnd w:id="503"/>
      <w:bookmarkEnd w:id="504"/>
      <w:bookmarkEnd w:id="505"/>
    </w:p>
    <w:p>
      <w:pPr>
        <w:pStyle w:val="ySubsection"/>
      </w:pPr>
      <w:r>
        <w:tab/>
        <w:t>(1)</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Subsection"/>
      </w:pPr>
      <w:r>
        <w:tab/>
        <w:t>(2)</w:t>
      </w:r>
      <w:r>
        <w:tab/>
        <w:t>The master of a fishing vessel in the port must not cause or permit any fishing to take place from the vessel in a channel, fairway, anchorage area or prohibited anchorage area of the port.</w:t>
      </w:r>
    </w:p>
    <w:p>
      <w:pPr>
        <w:pStyle w:val="yPenstart"/>
      </w:pPr>
      <w:r>
        <w:tab/>
        <w:t>Penalty for this subclause: a fine of $5 000.</w:t>
      </w:r>
    </w:p>
    <w:p>
      <w:pPr>
        <w:pStyle w:val="ySubsection"/>
      </w:pPr>
      <w:r>
        <w:tab/>
        <w:t>(3)</w:t>
      </w:r>
      <w:r>
        <w:tab/>
        <w:t xml:space="preserve">The master of a fishing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(4)</w:t>
      </w:r>
      <w:r>
        <w:tab/>
        <w:t>A person who does not comply with subclause (3)(a) or (b) commits an offence.</w:t>
      </w:r>
    </w:p>
    <w:p>
      <w:pPr>
        <w:pStyle w:val="yPenstart"/>
      </w:pPr>
      <w:r>
        <w:tab/>
        <w:t>Penalty for this subclause: a fine of $12 000.</w:t>
      </w:r>
    </w:p>
    <w:p>
      <w:pPr>
        <w:pStyle w:val="yFootnotesection"/>
      </w:pPr>
      <w:bookmarkStart w:id="506" w:name="_Toc489965903"/>
      <w:bookmarkStart w:id="507" w:name="_Toc489965952"/>
      <w:bookmarkStart w:id="508" w:name="_Toc489970686"/>
      <w:bookmarkStart w:id="509" w:name="_Toc490033409"/>
      <w:r>
        <w:tab/>
        <w:t>[Clause 5I inserted in Gazette 3 Oct 2017 p. 5039</w:t>
      </w:r>
      <w:r>
        <w:noBreakHyphen/>
        <w:t>40.]</w:t>
      </w:r>
    </w:p>
    <w:p>
      <w:pPr>
        <w:pStyle w:val="yHeading4"/>
      </w:pPr>
      <w:bookmarkStart w:id="510" w:name="_Toc494791796"/>
      <w:bookmarkStart w:id="511" w:name="_Toc494793419"/>
      <w:bookmarkStart w:id="512" w:name="_Toc494798045"/>
      <w:r>
        <w:t>Subdivision 3 — Control of moorings</w:t>
      </w:r>
      <w:bookmarkEnd w:id="506"/>
      <w:bookmarkEnd w:id="507"/>
      <w:bookmarkEnd w:id="508"/>
      <w:bookmarkEnd w:id="509"/>
      <w:bookmarkEnd w:id="510"/>
      <w:bookmarkEnd w:id="511"/>
      <w:bookmarkEnd w:id="512"/>
    </w:p>
    <w:p>
      <w:pPr>
        <w:pStyle w:val="yFootnoteheading"/>
      </w:pPr>
      <w:bookmarkStart w:id="513" w:name="_Toc489970687"/>
      <w:bookmarkStart w:id="514" w:name="_Toc490033410"/>
      <w:r>
        <w:tab/>
        <w:t>[Heading inserted in Gazette 3 Oct 2017 p. 5040.]</w:t>
      </w:r>
    </w:p>
    <w:p>
      <w:pPr>
        <w:pStyle w:val="yHeading5"/>
      </w:pPr>
      <w:bookmarkStart w:id="515" w:name="_Toc494798046"/>
      <w:r>
        <w:rPr>
          <w:rStyle w:val="CharSClsNo"/>
        </w:rPr>
        <w:t>5J</w:t>
      </w:r>
      <w:r>
        <w:t>.</w:t>
      </w:r>
      <w:r>
        <w:tab/>
        <w:t>Terms used</w:t>
      </w:r>
      <w:bookmarkEnd w:id="513"/>
      <w:bookmarkEnd w:id="514"/>
      <w:bookmarkEnd w:id="515"/>
    </w:p>
    <w:p>
      <w:pPr>
        <w:pStyle w:val="ySubsection"/>
      </w:pPr>
      <w:r>
        <w:tab/>
      </w:r>
      <w:r>
        <w:tab/>
        <w:t xml:space="preserve">In this Subdivision — </w:t>
      </w:r>
    </w:p>
    <w:p>
      <w:pPr>
        <w:pStyle w:val="yDefstart"/>
      </w:pPr>
      <w:r>
        <w:tab/>
      </w:r>
      <w:r>
        <w:rPr>
          <w:rStyle w:val="CharDefText"/>
        </w:rPr>
        <w:t>mooring</w:t>
      </w:r>
      <w:r>
        <w:rPr>
          <w:b/>
          <w:i/>
        </w:rPr>
        <w:t xml:space="preserve"> </w:t>
      </w:r>
      <w:r>
        <w:t>means a structure or apparatus used or proposed to be used to secure a vessel in the port;</w:t>
      </w:r>
    </w:p>
    <w:p>
      <w:pPr>
        <w:pStyle w:val="yDefstart"/>
      </w:pPr>
      <w: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5M.</w:t>
      </w:r>
    </w:p>
    <w:p>
      <w:pPr>
        <w:pStyle w:val="yFootnotesection"/>
      </w:pPr>
      <w:bookmarkStart w:id="516" w:name="_Toc489970688"/>
      <w:bookmarkStart w:id="517" w:name="_Toc490033411"/>
      <w:r>
        <w:tab/>
        <w:t>[Clause 5J inserted in Gazette 3 Oct 2017 p. 5040.]</w:t>
      </w:r>
    </w:p>
    <w:p>
      <w:pPr>
        <w:pStyle w:val="yHeading5"/>
      </w:pPr>
      <w:bookmarkStart w:id="518" w:name="_Toc494798047"/>
      <w:r>
        <w:rPr>
          <w:rStyle w:val="CharSClsNo"/>
        </w:rPr>
        <w:t>5K</w:t>
      </w:r>
      <w:r>
        <w:t>.</w:t>
      </w:r>
      <w:r>
        <w:tab/>
        <w:t>Moorings not to be installed or used without authority</w:t>
      </w:r>
      <w:bookmarkEnd w:id="516"/>
      <w:bookmarkEnd w:id="517"/>
      <w:bookmarkEnd w:id="518"/>
    </w:p>
    <w:p>
      <w:pPr>
        <w:pStyle w:val="ySubsection"/>
      </w:pPr>
      <w:r>
        <w:tab/>
      </w:r>
      <w:r>
        <w:tab/>
        <w:t>Unless authorised by the harbour master under clause 5M, a person must not install or use a mooring.</w:t>
      </w:r>
    </w:p>
    <w:p>
      <w:pPr>
        <w:pStyle w:val="yPenstart"/>
      </w:pPr>
      <w:r>
        <w:tab/>
        <w:t>Penalty for this subclause: a fine of $5 000.</w:t>
      </w:r>
    </w:p>
    <w:p>
      <w:pPr>
        <w:pStyle w:val="yFootnotesection"/>
      </w:pPr>
      <w:bookmarkStart w:id="519" w:name="_Toc489970689"/>
      <w:bookmarkStart w:id="520" w:name="_Toc490033412"/>
      <w:r>
        <w:tab/>
        <w:t>[Clause 5K inserted in Gazette 3 Oct 2017 p. 5040.]</w:t>
      </w:r>
    </w:p>
    <w:p>
      <w:pPr>
        <w:pStyle w:val="yHeading5"/>
      </w:pPr>
      <w:bookmarkStart w:id="521" w:name="_Toc494798048"/>
      <w:r>
        <w:rPr>
          <w:rStyle w:val="CharSClsNo"/>
        </w:rPr>
        <w:t>5L</w:t>
      </w:r>
      <w:r>
        <w:t>.</w:t>
      </w:r>
      <w:r>
        <w:tab/>
        <w:t>Application for authorisation to install or use mooring</w:t>
      </w:r>
      <w:bookmarkEnd w:id="519"/>
      <w:bookmarkEnd w:id="520"/>
      <w:bookmarkEnd w:id="521"/>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Footnotesection"/>
      </w:pPr>
      <w:bookmarkStart w:id="522" w:name="_Toc489970690"/>
      <w:bookmarkStart w:id="523" w:name="_Toc490033413"/>
      <w:r>
        <w:tab/>
        <w:t>[Clause 5L inserted in Gazette 3 Oct 2017 p. 5040.]</w:t>
      </w:r>
    </w:p>
    <w:p>
      <w:pPr>
        <w:pStyle w:val="yHeading5"/>
      </w:pPr>
      <w:bookmarkStart w:id="524" w:name="_Toc494798049"/>
      <w:r>
        <w:rPr>
          <w:rStyle w:val="CharSClsNo"/>
        </w:rPr>
        <w:t>5M</w:t>
      </w:r>
      <w:r>
        <w:t>.</w:t>
      </w:r>
      <w:r>
        <w:tab/>
        <w:t>Authorisation of mooring</w:t>
      </w:r>
      <w:bookmarkEnd w:id="522"/>
      <w:bookmarkEnd w:id="523"/>
      <w:bookmarkEnd w:id="524"/>
    </w:p>
    <w:p>
      <w:pPr>
        <w:pStyle w:val="ySubsection"/>
      </w:pPr>
      <w:r>
        <w:tab/>
        <w:t>(1)</w:t>
      </w:r>
      <w:r>
        <w:tab/>
        <w:t xml:space="preserve">On an application under clause 5L,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Footnotesection"/>
      </w:pPr>
      <w:bookmarkStart w:id="525" w:name="_Toc489970691"/>
      <w:bookmarkStart w:id="526" w:name="_Toc490033414"/>
      <w:r>
        <w:tab/>
        <w:t>[Clause 5M inserted in Gazette 3 Oct 2017 p. 5041.]</w:t>
      </w:r>
    </w:p>
    <w:p>
      <w:pPr>
        <w:pStyle w:val="yHeading5"/>
      </w:pPr>
      <w:bookmarkStart w:id="527" w:name="_Toc494798050"/>
      <w:r>
        <w:rPr>
          <w:rStyle w:val="CharSClsNo"/>
        </w:rPr>
        <w:t>5N</w:t>
      </w:r>
      <w:r>
        <w:t>.</w:t>
      </w:r>
      <w:r>
        <w:tab/>
        <w:t>Revoking authorisation of mooring</w:t>
      </w:r>
      <w:bookmarkEnd w:id="525"/>
      <w:bookmarkEnd w:id="526"/>
      <w:bookmarkEnd w:id="527"/>
    </w:p>
    <w:p>
      <w:pPr>
        <w:pStyle w:val="ySubsection"/>
      </w:pPr>
      <w:r>
        <w:tab/>
        <w:t>(1)</w:t>
      </w:r>
      <w:r>
        <w:tab/>
        <w:t xml:space="preserve">The harbour master may revoke an authorisation under clause 5M if — </w:t>
      </w:r>
    </w:p>
    <w:p>
      <w:pPr>
        <w:pStyle w:val="yIndenta"/>
      </w:pPr>
      <w:r>
        <w:tab/>
        <w:t>(a)</w:t>
      </w:r>
      <w:r>
        <w:tab/>
        <w:t>a mooring owner does not provide an inspection report as required under clause 5Q(4);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5S(1)(b),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bookmarkStart w:id="528" w:name="_Toc489970692"/>
      <w:bookmarkStart w:id="529" w:name="_Toc490033415"/>
      <w:r>
        <w:tab/>
        <w:t>[Clause 5N inserted in Gazette 3 Oct 2017 p. 5041.]</w:t>
      </w:r>
    </w:p>
    <w:p>
      <w:pPr>
        <w:pStyle w:val="yHeading5"/>
      </w:pPr>
      <w:bookmarkStart w:id="530" w:name="_Toc494798051"/>
      <w:r>
        <w:rPr>
          <w:rStyle w:val="CharSClsNo"/>
        </w:rPr>
        <w:t>5O</w:t>
      </w:r>
      <w:r>
        <w:t>.</w:t>
      </w:r>
      <w:r>
        <w:tab/>
        <w:t>Moorings to be maintained in good condition</w:t>
      </w:r>
      <w:bookmarkEnd w:id="528"/>
      <w:bookmarkEnd w:id="529"/>
      <w:bookmarkEnd w:id="530"/>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bookmarkStart w:id="531" w:name="_Toc489970693"/>
      <w:bookmarkStart w:id="532" w:name="_Toc490033416"/>
      <w:r>
        <w:tab/>
        <w:t>[Clause 5O inserted in Gazette 3 Oct 2017 p. 5041.]</w:t>
      </w:r>
    </w:p>
    <w:p>
      <w:pPr>
        <w:pStyle w:val="yHeading5"/>
      </w:pPr>
      <w:bookmarkStart w:id="533" w:name="_Toc494798052"/>
      <w:r>
        <w:rPr>
          <w:rStyle w:val="CharSClsNo"/>
        </w:rPr>
        <w:t>5P</w:t>
      </w:r>
      <w:r>
        <w:t>.</w:t>
      </w:r>
      <w:r>
        <w:tab/>
        <w:t>Floats on moorings</w:t>
      </w:r>
      <w:bookmarkEnd w:id="531"/>
      <w:bookmarkEnd w:id="532"/>
      <w:bookmarkEnd w:id="533"/>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bookmarkStart w:id="534" w:name="_Toc489970694"/>
      <w:bookmarkStart w:id="535" w:name="_Toc490033417"/>
      <w:r>
        <w:tab/>
        <w:t>[Clause 5P inserted in Gazette 3 Oct 2017 p. 5042.]</w:t>
      </w:r>
    </w:p>
    <w:p>
      <w:pPr>
        <w:pStyle w:val="yHeading5"/>
      </w:pPr>
      <w:bookmarkStart w:id="536" w:name="_Toc494798053"/>
      <w:r>
        <w:rPr>
          <w:rStyle w:val="CharSClsNo"/>
        </w:rPr>
        <w:t>5Q</w:t>
      </w:r>
      <w:r>
        <w:t>.</w:t>
      </w:r>
      <w:r>
        <w:tab/>
        <w:t>Inspection reports for moorings</w:t>
      </w:r>
      <w:bookmarkEnd w:id="534"/>
      <w:bookmarkEnd w:id="535"/>
      <w:bookmarkEnd w:id="536"/>
    </w:p>
    <w:p>
      <w:pPr>
        <w:pStyle w:val="ySubsection"/>
      </w:pPr>
      <w:r>
        <w:tab/>
        <w:t>(1)</w:t>
      </w:r>
      <w:r>
        <w:tab/>
        <w:t>A person who is authorised to install a mooring under clause 5M is to obtain a written report on the condition of the mooring after it is installed.</w:t>
      </w:r>
    </w:p>
    <w:p>
      <w:pPr>
        <w:pStyle w:val="ySubsection"/>
      </w:pPr>
      <w:r>
        <w:tab/>
        <w:t>(2)</w:t>
      </w:r>
      <w:r>
        <w:tab/>
        <w:t>A person who is authorised to use a mooring under clause 5M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Footnotesection"/>
      </w:pPr>
      <w:bookmarkStart w:id="537" w:name="_Toc489970695"/>
      <w:bookmarkStart w:id="538" w:name="_Toc490033418"/>
      <w:r>
        <w:tab/>
        <w:t>[Clause 5Q inserted in Gazette 3 Oct 2017 p. 5042.]</w:t>
      </w:r>
    </w:p>
    <w:p>
      <w:pPr>
        <w:pStyle w:val="yHeading5"/>
      </w:pPr>
      <w:bookmarkStart w:id="539" w:name="_Toc494798054"/>
      <w:r>
        <w:rPr>
          <w:rStyle w:val="CharSClsNo"/>
        </w:rPr>
        <w:t>5R</w:t>
      </w:r>
      <w:r>
        <w:t>.</w:t>
      </w:r>
      <w:r>
        <w:tab/>
      </w:r>
      <w:smartTag w:uri="urn:schemas-microsoft-com:office:smarttags" w:element="place">
        <w:smartTag w:uri="urn:schemas-microsoft-com:office:smarttags" w:element="City">
          <w:r>
            <w:t>Sale</w:t>
          </w:r>
        </w:smartTag>
      </w:smartTag>
      <w:r>
        <w:t xml:space="preserve"> or disposal of moorings</w:t>
      </w:r>
      <w:bookmarkEnd w:id="537"/>
      <w:bookmarkEnd w:id="538"/>
      <w:bookmarkEnd w:id="539"/>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for this subclause: a fine of $2 000.</w:t>
      </w:r>
    </w:p>
    <w:p>
      <w:pPr>
        <w:pStyle w:val="yFootnotesection"/>
      </w:pPr>
      <w:bookmarkStart w:id="540" w:name="_Toc489970696"/>
      <w:bookmarkStart w:id="541" w:name="_Toc490033419"/>
      <w:r>
        <w:tab/>
        <w:t>[Clause 5R inserted in Gazette 3 Oct 2017 p. 5042</w:t>
      </w:r>
      <w:r>
        <w:noBreakHyphen/>
        <w:t>3.]</w:t>
      </w:r>
    </w:p>
    <w:p>
      <w:pPr>
        <w:pStyle w:val="yHeading5"/>
      </w:pPr>
      <w:bookmarkStart w:id="542" w:name="_Toc494798055"/>
      <w:r>
        <w:rPr>
          <w:rStyle w:val="CharSClsNo"/>
        </w:rPr>
        <w:t>5S</w:t>
      </w:r>
      <w:r>
        <w:t>.</w:t>
      </w:r>
      <w:r>
        <w:tab/>
        <w:t>Removal of moorings</w:t>
      </w:r>
      <w:bookmarkEnd w:id="540"/>
      <w:bookmarkEnd w:id="541"/>
      <w:bookmarkEnd w:id="542"/>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5N(3).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bookmarkStart w:id="543" w:name="_Toc489965914"/>
      <w:bookmarkStart w:id="544" w:name="_Toc489965963"/>
      <w:bookmarkStart w:id="545" w:name="_Toc489970697"/>
      <w:bookmarkStart w:id="546" w:name="_Toc490033420"/>
      <w:r>
        <w:tab/>
        <w:t>[Clause 5S inserted in Gazette 3 Oct 2017 p. 5043.]</w:t>
      </w:r>
    </w:p>
    <w:p>
      <w:pPr>
        <w:pStyle w:val="yHeading4"/>
      </w:pPr>
      <w:bookmarkStart w:id="547" w:name="_Toc494791807"/>
      <w:bookmarkStart w:id="548" w:name="_Toc494793430"/>
      <w:bookmarkStart w:id="549" w:name="_Toc494798056"/>
      <w:r>
        <w:t>Subdivision 4 — Service provider’s licences</w:t>
      </w:r>
      <w:bookmarkEnd w:id="543"/>
      <w:bookmarkEnd w:id="544"/>
      <w:bookmarkEnd w:id="545"/>
      <w:bookmarkEnd w:id="546"/>
      <w:bookmarkEnd w:id="547"/>
      <w:bookmarkEnd w:id="548"/>
      <w:bookmarkEnd w:id="549"/>
    </w:p>
    <w:p>
      <w:pPr>
        <w:pStyle w:val="yFootnoteheading"/>
      </w:pPr>
      <w:bookmarkStart w:id="550" w:name="_Toc489970698"/>
      <w:bookmarkStart w:id="551" w:name="_Toc490033421"/>
      <w:r>
        <w:tab/>
        <w:t>[Heading inserted in Gazette 3 Oct 2017 p. 5043.]</w:t>
      </w:r>
    </w:p>
    <w:p>
      <w:pPr>
        <w:pStyle w:val="yHeading5"/>
      </w:pPr>
      <w:bookmarkStart w:id="552" w:name="_Toc494798057"/>
      <w:r>
        <w:rPr>
          <w:rStyle w:val="CharSClsNo"/>
        </w:rPr>
        <w:t>5T</w:t>
      </w:r>
      <w:r>
        <w:t>.</w:t>
      </w:r>
      <w:r>
        <w:tab/>
        <w:t>Term used: service provider’s licence</w:t>
      </w:r>
      <w:bookmarkEnd w:id="550"/>
      <w:bookmarkEnd w:id="551"/>
      <w:bookmarkEnd w:id="552"/>
    </w:p>
    <w:p>
      <w:pPr>
        <w:pStyle w:val="ySubsection"/>
      </w:pPr>
      <w:r>
        <w:tab/>
      </w:r>
      <w:r>
        <w:tab/>
        <w:t xml:space="preserve">In this Subdivision — </w:t>
      </w:r>
    </w:p>
    <w:p>
      <w:pPr>
        <w:pStyle w:val="yDefstart"/>
      </w:pPr>
      <w:r>
        <w:tab/>
      </w:r>
      <w:r>
        <w:rPr>
          <w:rStyle w:val="CharDefText"/>
        </w:rPr>
        <w:t>service provider’s licence</w:t>
      </w:r>
      <w:r>
        <w:t xml:space="preserve"> means a licence issued under clause 5V to provide a towage service, line boat service, bunkering service, stevedoring service or mooring service in the port.</w:t>
      </w:r>
    </w:p>
    <w:p>
      <w:pPr>
        <w:pStyle w:val="yFootnotesection"/>
      </w:pPr>
      <w:bookmarkStart w:id="553" w:name="_Toc489970699"/>
      <w:bookmarkStart w:id="554" w:name="_Toc490033422"/>
      <w:r>
        <w:tab/>
        <w:t>[Clause 5T inserted in Gazette 3 Oct 2017 p. 5043.]</w:t>
      </w:r>
    </w:p>
    <w:p>
      <w:pPr>
        <w:pStyle w:val="yHeading5"/>
      </w:pPr>
      <w:bookmarkStart w:id="555" w:name="_Toc494798058"/>
      <w:r>
        <w:rPr>
          <w:rStyle w:val="CharSClsNo"/>
        </w:rPr>
        <w:t>5U</w:t>
      </w:r>
      <w:r>
        <w:t>.</w:t>
      </w:r>
      <w:r>
        <w:tab/>
        <w:t>Unlicensed persons not to provide certain services</w:t>
      </w:r>
      <w:bookmarkEnd w:id="553"/>
      <w:bookmarkEnd w:id="554"/>
      <w:bookmarkEnd w:id="55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5V(3).</w:t>
      </w:r>
    </w:p>
    <w:p>
      <w:pPr>
        <w:pStyle w:val="yPenstart"/>
      </w:pPr>
      <w:r>
        <w:tab/>
        <w:t>Penalty: a fine of $12 000.</w:t>
      </w:r>
    </w:p>
    <w:p>
      <w:pPr>
        <w:pStyle w:val="yFootnotesection"/>
      </w:pPr>
      <w:bookmarkStart w:id="556" w:name="_Toc489970700"/>
      <w:bookmarkStart w:id="557" w:name="_Toc490033423"/>
      <w:r>
        <w:tab/>
        <w:t>[Clause 5U inserted in Gazette 3 Oct 2017 p. 5043.]</w:t>
      </w:r>
    </w:p>
    <w:p>
      <w:pPr>
        <w:pStyle w:val="yHeading5"/>
      </w:pPr>
      <w:bookmarkStart w:id="558" w:name="_Toc494798059"/>
      <w:r>
        <w:rPr>
          <w:rStyle w:val="CharSClsNo"/>
        </w:rPr>
        <w:t>5V</w:t>
      </w:r>
      <w:r>
        <w:t>.</w:t>
      </w:r>
      <w:r>
        <w:tab/>
        <w:t>Service provider’s licences</w:t>
      </w:r>
      <w:bookmarkEnd w:id="556"/>
      <w:bookmarkEnd w:id="557"/>
      <w:bookmarkEnd w:id="55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for this subclause: a fine of $2 000.</w:t>
      </w:r>
    </w:p>
    <w:p>
      <w:pPr>
        <w:pStyle w:val="yFootnotesection"/>
      </w:pPr>
      <w:bookmarkStart w:id="559" w:name="_Toc489965918"/>
      <w:bookmarkStart w:id="560" w:name="_Toc489965967"/>
      <w:bookmarkStart w:id="561" w:name="_Toc489970701"/>
      <w:bookmarkStart w:id="562" w:name="_Toc490033424"/>
      <w:r>
        <w:tab/>
        <w:t>[Clause 5V inserted in Gazette 3 Oct 2017 p. 5043</w:t>
      </w:r>
      <w:r>
        <w:noBreakHyphen/>
        <w:t>4.]</w:t>
      </w:r>
    </w:p>
    <w:p>
      <w:pPr>
        <w:pStyle w:val="yHeading4"/>
      </w:pPr>
      <w:bookmarkStart w:id="563" w:name="_Toc494791811"/>
      <w:bookmarkStart w:id="564" w:name="_Toc494793434"/>
      <w:bookmarkStart w:id="565" w:name="_Toc494798060"/>
      <w:r>
        <w:t>Subdivision 5 — Goods</w:t>
      </w:r>
      <w:bookmarkEnd w:id="559"/>
      <w:bookmarkEnd w:id="560"/>
      <w:bookmarkEnd w:id="561"/>
      <w:bookmarkEnd w:id="562"/>
      <w:bookmarkEnd w:id="563"/>
      <w:bookmarkEnd w:id="564"/>
      <w:bookmarkEnd w:id="565"/>
    </w:p>
    <w:p>
      <w:pPr>
        <w:pStyle w:val="yFootnoteheading"/>
        <w:keepNext/>
      </w:pPr>
      <w:bookmarkStart w:id="566" w:name="_Toc489970702"/>
      <w:bookmarkStart w:id="567" w:name="_Toc490033425"/>
      <w:r>
        <w:tab/>
        <w:t>[Heading inserted in Gazette 3 Oct 2017 p. 5044.]</w:t>
      </w:r>
    </w:p>
    <w:p>
      <w:pPr>
        <w:pStyle w:val="yHeading5"/>
      </w:pPr>
      <w:bookmarkStart w:id="568" w:name="_Toc494798061"/>
      <w:r>
        <w:rPr>
          <w:rStyle w:val="CharSClsNo"/>
        </w:rPr>
        <w:t>5W</w:t>
      </w:r>
      <w:r>
        <w:t>.</w:t>
      </w:r>
      <w:r>
        <w:tab/>
        <w:t>Goods not to be placed on port facility, port land or other property of the port authority without authority</w:t>
      </w:r>
      <w:bookmarkEnd w:id="566"/>
      <w:bookmarkEnd w:id="567"/>
      <w:bookmarkEnd w:id="568"/>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for this subclause: a fine of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for this subclause: a fine of $5 000.</w:t>
      </w:r>
    </w:p>
    <w:p>
      <w:pPr>
        <w:pStyle w:val="ySubsection"/>
      </w:pPr>
      <w:r>
        <w:tab/>
        <w:t>(3)</w:t>
      </w:r>
      <w:r>
        <w:tab/>
        <w:t xml:space="preserve">Unless otherwise directed by the harbour master, a person must not unload any goods on to, or otherwise place any goods on, a wharf in the port in a manner that obstructs or interferes with, or is likely to obstruct or interfere with, a mooring point, hose connection or electrical fixture. </w:t>
      </w:r>
    </w:p>
    <w:p>
      <w:pPr>
        <w:pStyle w:val="yPenstart"/>
      </w:pPr>
      <w:r>
        <w:tab/>
        <w:t>Penalty for this subclause: a fine of $5 000.</w:t>
      </w:r>
    </w:p>
    <w:p>
      <w:pPr>
        <w:pStyle w:val="yFootnotesection"/>
      </w:pPr>
      <w:bookmarkStart w:id="569" w:name="_Toc489965920"/>
      <w:bookmarkStart w:id="570" w:name="_Toc489965969"/>
      <w:bookmarkStart w:id="571" w:name="_Toc489970703"/>
      <w:bookmarkStart w:id="572" w:name="_Toc490033426"/>
      <w:r>
        <w:tab/>
        <w:t>[Clause 5W inserted in Gazette 3 Oct 2017 p. 5044.]</w:t>
      </w:r>
    </w:p>
    <w:p>
      <w:pPr>
        <w:pStyle w:val="yHeading4"/>
      </w:pPr>
      <w:bookmarkStart w:id="573" w:name="_Toc494791813"/>
      <w:bookmarkStart w:id="574" w:name="_Toc494793436"/>
      <w:bookmarkStart w:id="575" w:name="_Toc494798062"/>
      <w:r>
        <w:t>Subdivision 6 — Miscellaneous</w:t>
      </w:r>
      <w:bookmarkEnd w:id="569"/>
      <w:bookmarkEnd w:id="570"/>
      <w:bookmarkEnd w:id="571"/>
      <w:bookmarkEnd w:id="572"/>
      <w:bookmarkEnd w:id="573"/>
      <w:bookmarkEnd w:id="574"/>
      <w:bookmarkEnd w:id="575"/>
    </w:p>
    <w:p>
      <w:pPr>
        <w:pStyle w:val="yFootnoteheading"/>
      </w:pPr>
      <w:bookmarkStart w:id="576" w:name="_Toc489970704"/>
      <w:bookmarkStart w:id="577" w:name="_Toc490033427"/>
      <w:r>
        <w:tab/>
        <w:t>[Heading inserted in Gazette 3 Oct 2017 p. 5045.]</w:t>
      </w:r>
    </w:p>
    <w:p>
      <w:pPr>
        <w:pStyle w:val="yHeading5"/>
      </w:pPr>
      <w:bookmarkStart w:id="578" w:name="_Toc494798063"/>
      <w:r>
        <w:rPr>
          <w:rStyle w:val="CharSClsNo"/>
        </w:rPr>
        <w:t>5X</w:t>
      </w:r>
      <w:r>
        <w:t>.</w:t>
      </w:r>
      <w:r>
        <w:tab/>
        <w:t>Damage to property to be reported to harbour master</w:t>
      </w:r>
      <w:bookmarkEnd w:id="576"/>
      <w:bookmarkEnd w:id="577"/>
      <w:bookmarkEnd w:id="578"/>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for this subclause: a fine of $12 000.</w:t>
      </w:r>
    </w:p>
    <w:p>
      <w:pPr>
        <w:pStyle w:val="yFootnotesection"/>
      </w:pPr>
      <w:bookmarkStart w:id="579" w:name="_Toc489970705"/>
      <w:bookmarkStart w:id="580" w:name="_Toc490033428"/>
      <w:r>
        <w:tab/>
        <w:t>[Clause 5X inserted in Gazette 3 Oct 2017 p. 5045.]</w:t>
      </w:r>
    </w:p>
    <w:p>
      <w:pPr>
        <w:pStyle w:val="yHeading5"/>
      </w:pPr>
      <w:bookmarkStart w:id="581" w:name="_Toc494798064"/>
      <w:r>
        <w:rPr>
          <w:rStyle w:val="CharSClsNo"/>
        </w:rPr>
        <w:t>5Y</w:t>
      </w:r>
      <w:r>
        <w:t>.</w:t>
      </w:r>
      <w:r>
        <w:tab/>
        <w:t>Unauthorised entry of closed areas of port</w:t>
      </w:r>
      <w:bookmarkEnd w:id="579"/>
      <w:bookmarkEnd w:id="580"/>
      <w:bookmarkEnd w:id="581"/>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bookmarkStart w:id="582" w:name="_Toc489970706"/>
      <w:bookmarkStart w:id="583" w:name="_Toc490033429"/>
      <w:r>
        <w:tab/>
        <w:t>[Clause 5Y inserted in Gazette 3 Oct 2017 p. 5045.]</w:t>
      </w:r>
    </w:p>
    <w:p>
      <w:pPr>
        <w:pStyle w:val="yHeading5"/>
      </w:pPr>
      <w:bookmarkStart w:id="584" w:name="_Toc494798065"/>
      <w:r>
        <w:rPr>
          <w:rStyle w:val="CharSClsNo"/>
        </w:rPr>
        <w:t>5Z</w:t>
      </w:r>
      <w:r>
        <w:t>.</w:t>
      </w:r>
      <w:r>
        <w:tab/>
        <w:t>Restrictions on driving or moving vehicles on wharves</w:t>
      </w:r>
      <w:bookmarkEnd w:id="582"/>
      <w:bookmarkEnd w:id="583"/>
      <w:bookmarkEnd w:id="584"/>
    </w:p>
    <w:p>
      <w:pPr>
        <w:pStyle w:val="ySubsection"/>
      </w:pPr>
      <w:r>
        <w:tab/>
        <w:t>(1)</w:t>
      </w:r>
      <w:r>
        <w:tab/>
        <w:t>Unless authorised by an authorised member of staff of the port authority, a person must not, except as stated in subclause (2), drive or move a vehicle on or across a wharf in the port.</w:t>
      </w:r>
    </w:p>
    <w:p>
      <w:pPr>
        <w:pStyle w:val="yPenstart"/>
      </w:pPr>
      <w:r>
        <w:tab/>
        <w:t>Penalty for this subclause: a fine of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Footnotesection"/>
      </w:pPr>
      <w:bookmarkStart w:id="585" w:name="_Toc489970707"/>
      <w:bookmarkStart w:id="586" w:name="_Toc490033430"/>
      <w:r>
        <w:tab/>
        <w:t>[Clause 5Z inserted in Gazette 3 Oct 2017 p. 5045.]</w:t>
      </w:r>
    </w:p>
    <w:p>
      <w:pPr>
        <w:pStyle w:val="yHeading5"/>
      </w:pPr>
      <w:bookmarkStart w:id="587" w:name="_Toc494798066"/>
      <w:r>
        <w:rPr>
          <w:rStyle w:val="CharSClsNo"/>
        </w:rPr>
        <w:t>5ZA</w:t>
      </w:r>
      <w:r>
        <w:t>.</w:t>
      </w:r>
      <w:r>
        <w:tab/>
        <w:t>Mooring and fishing in restricted area not permitted without authority</w:t>
      </w:r>
      <w:bookmarkEnd w:id="585"/>
      <w:bookmarkEnd w:id="586"/>
      <w:bookmarkEnd w:id="587"/>
    </w:p>
    <w:p>
      <w:pPr>
        <w:pStyle w:val="ySubsection"/>
      </w:pPr>
      <w:r>
        <w:tab/>
        <w:t>(1)</w:t>
      </w:r>
      <w:r>
        <w:tab/>
        <w:t xml:space="preserve">In this clause — </w:t>
      </w:r>
    </w:p>
    <w:p>
      <w:pPr>
        <w:pStyle w:val="yDefstart"/>
      </w:pPr>
      <w:r>
        <w:tab/>
      </w:r>
      <w:r>
        <w:rPr>
          <w:rStyle w:val="CharDefText"/>
        </w:rPr>
        <w:t>restricted area</w:t>
      </w:r>
      <w:r>
        <w:t xml:space="preserve"> means the areas shaded in red on the map bearing the logo of the Pilbara Ports Authority and titled “Port of Balla Balla Mooring and Fishing Restricted Area” held at the offices of the Pilbara Ports Authority and accessible on the website of the Pilbara Ports Authority.</w:t>
      </w:r>
    </w:p>
    <w:p>
      <w:pPr>
        <w:pStyle w:val="ySubsection"/>
      </w:pPr>
      <w:r>
        <w:tab/>
        <w:t>(2)</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Footnotesection"/>
      </w:pPr>
      <w:r>
        <w:tab/>
        <w:t>[Clause 5ZA inserted in Gazette 3 Oct 2017 p. 5045.]</w:t>
      </w:r>
    </w:p>
    <w:p>
      <w:pPr>
        <w:pStyle w:val="yHeading3"/>
        <w:keepNext w:val="0"/>
        <w:pageBreakBefore/>
        <w:widowControl w:val="0"/>
        <w:spacing w:before="0"/>
      </w:pPr>
      <w:bookmarkStart w:id="588" w:name="_Toc494791818"/>
      <w:bookmarkStart w:id="589" w:name="_Toc494793441"/>
      <w:bookmarkStart w:id="590" w:name="_Toc494798067"/>
      <w:r>
        <w:rPr>
          <w:rStyle w:val="CharSDivNo"/>
        </w:rPr>
        <w:t>Division 2</w:t>
      </w:r>
      <w:r>
        <w:t> — </w:t>
      </w:r>
      <w:r>
        <w:rPr>
          <w:rStyle w:val="CharSDivText"/>
        </w:rPr>
        <w:t>Port of Broome</w:t>
      </w:r>
      <w:bookmarkEnd w:id="463"/>
      <w:bookmarkEnd w:id="464"/>
      <w:bookmarkEnd w:id="465"/>
      <w:bookmarkEnd w:id="466"/>
      <w:bookmarkEnd w:id="467"/>
      <w:bookmarkEnd w:id="468"/>
      <w:bookmarkEnd w:id="469"/>
      <w:bookmarkEnd w:id="470"/>
      <w:bookmarkEnd w:id="588"/>
      <w:bookmarkEnd w:id="589"/>
      <w:bookmarkEnd w:id="590"/>
    </w:p>
    <w:p>
      <w:pPr>
        <w:pStyle w:val="yFootnoteheading"/>
      </w:pPr>
      <w:r>
        <w:tab/>
        <w:t>[Heading inserted in Gazette 20 Jun 2014 p. 2032.]</w:t>
      </w:r>
    </w:p>
    <w:p>
      <w:pPr>
        <w:pStyle w:val="yHeading4"/>
        <w:spacing w:before="200"/>
      </w:pPr>
      <w:bookmarkStart w:id="591" w:name="_Toc408471878"/>
      <w:bookmarkStart w:id="592" w:name="_Toc416945523"/>
      <w:bookmarkStart w:id="593" w:name="_Toc416945862"/>
      <w:bookmarkStart w:id="594" w:name="_Toc416946146"/>
      <w:bookmarkStart w:id="595" w:name="_Toc417655716"/>
      <w:bookmarkStart w:id="596" w:name="_Toc461722143"/>
      <w:bookmarkStart w:id="597" w:name="_Toc461723790"/>
      <w:bookmarkStart w:id="598" w:name="_Toc493069542"/>
      <w:bookmarkStart w:id="599" w:name="_Toc494791819"/>
      <w:bookmarkStart w:id="600" w:name="_Toc494793442"/>
      <w:bookmarkStart w:id="601" w:name="_Toc494798068"/>
      <w:r>
        <w:t>Subdivision 1 — General matters</w:t>
      </w:r>
      <w:bookmarkEnd w:id="591"/>
      <w:bookmarkEnd w:id="592"/>
      <w:bookmarkEnd w:id="593"/>
      <w:bookmarkEnd w:id="594"/>
      <w:bookmarkEnd w:id="595"/>
      <w:bookmarkEnd w:id="596"/>
      <w:bookmarkEnd w:id="597"/>
      <w:bookmarkEnd w:id="598"/>
      <w:bookmarkEnd w:id="599"/>
      <w:bookmarkEnd w:id="600"/>
      <w:bookmarkEnd w:id="601"/>
    </w:p>
    <w:p>
      <w:pPr>
        <w:pStyle w:val="yHeading5"/>
        <w:spacing w:before="180"/>
      </w:pPr>
      <w:bookmarkStart w:id="602" w:name="_Toc408471879"/>
      <w:bookmarkStart w:id="603" w:name="_Toc494798069"/>
      <w:r>
        <w:rPr>
          <w:rStyle w:val="CharSClsNo"/>
        </w:rPr>
        <w:t>6</w:t>
      </w:r>
      <w:r>
        <w:t>.</w:t>
      </w:r>
      <w:r>
        <w:tab/>
        <w:t>Application of this Division</w:t>
      </w:r>
      <w:bookmarkEnd w:id="602"/>
      <w:bookmarkEnd w:id="603"/>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spacing w:before="180"/>
        <w:outlineLvl w:val="0"/>
      </w:pPr>
      <w:bookmarkStart w:id="604" w:name="_Toc408471880"/>
      <w:bookmarkStart w:id="605" w:name="_Toc494798070"/>
      <w:r>
        <w:rPr>
          <w:rStyle w:val="CharSClsNo"/>
        </w:rPr>
        <w:t>7</w:t>
      </w:r>
      <w:r>
        <w:t>.</w:t>
      </w:r>
      <w:r>
        <w:tab/>
        <w:t>Notice of arrival at port</w:t>
      </w:r>
      <w:bookmarkEnd w:id="604"/>
      <w:bookmarkEnd w:id="60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spacing w:before="120"/>
      </w:pPr>
      <w:r>
        <w:tab/>
      </w:r>
      <w:r>
        <w:tab/>
        <w:t>before that time.</w:t>
      </w:r>
    </w:p>
    <w:p>
      <w:pPr>
        <w:pStyle w:val="ySubsection"/>
        <w:spacing w:before="120"/>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spacing w:before="180"/>
        <w:outlineLvl w:val="0"/>
      </w:pPr>
      <w:bookmarkStart w:id="606" w:name="_Toc408471881"/>
      <w:bookmarkStart w:id="607" w:name="_Toc494798071"/>
      <w:r>
        <w:rPr>
          <w:rStyle w:val="CharSClsNo"/>
        </w:rPr>
        <w:t>8</w:t>
      </w:r>
      <w:r>
        <w:t>.</w:t>
      </w:r>
      <w:r>
        <w:tab/>
        <w:t>Notice of dangerous cargoes</w:t>
      </w:r>
      <w:bookmarkEnd w:id="606"/>
      <w:bookmarkEnd w:id="607"/>
    </w:p>
    <w:p>
      <w:pPr>
        <w:pStyle w:val="ySubsection"/>
        <w:spacing w:before="120"/>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spacing w:before="120"/>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608" w:name="_Toc408471882"/>
      <w:bookmarkStart w:id="609" w:name="_Toc494798072"/>
      <w:r>
        <w:rPr>
          <w:rStyle w:val="CharSClsNo"/>
        </w:rPr>
        <w:t>9</w:t>
      </w:r>
      <w:r>
        <w:t>.</w:t>
      </w:r>
      <w:r>
        <w:tab/>
        <w:t>Moored vessel not to move unless harbour master notified</w:t>
      </w:r>
      <w:bookmarkEnd w:id="608"/>
      <w:bookmarkEnd w:id="609"/>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610" w:name="_Toc408471883"/>
      <w:bookmarkStart w:id="611" w:name="_Toc494798073"/>
      <w:r>
        <w:rPr>
          <w:rStyle w:val="CharSClsNo"/>
        </w:rPr>
        <w:t>10</w:t>
      </w:r>
      <w:r>
        <w:t>.</w:t>
      </w:r>
      <w:r>
        <w:tab/>
        <w:t>Bunkering</w:t>
      </w:r>
      <w:bookmarkEnd w:id="610"/>
      <w:bookmarkEnd w:id="61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612" w:name="_Toc408471884"/>
      <w:bookmarkStart w:id="613" w:name="_Toc494798074"/>
      <w:r>
        <w:rPr>
          <w:rStyle w:val="CharSClsNo"/>
        </w:rPr>
        <w:t>11</w:t>
      </w:r>
      <w:r>
        <w:t>.</w:t>
      </w:r>
      <w:r>
        <w:tab/>
        <w:t>Navigation of private vessels</w:t>
      </w:r>
      <w:bookmarkEnd w:id="612"/>
      <w:bookmarkEnd w:id="613"/>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614" w:name="_Toc408471885"/>
      <w:bookmarkStart w:id="615" w:name="_Toc494798075"/>
      <w:r>
        <w:rPr>
          <w:rStyle w:val="CharSClsNo"/>
        </w:rPr>
        <w:t>12</w:t>
      </w:r>
      <w:r>
        <w:t>.</w:t>
      </w:r>
      <w:r>
        <w:tab/>
        <w:t>Vessel moored in port to have at least one person on watch</w:t>
      </w:r>
      <w:bookmarkEnd w:id="614"/>
      <w:bookmarkEnd w:id="615"/>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616" w:name="_Toc408471886"/>
      <w:bookmarkStart w:id="617" w:name="_Toc416945531"/>
      <w:bookmarkStart w:id="618" w:name="_Toc416945870"/>
      <w:bookmarkStart w:id="619" w:name="_Toc416946154"/>
      <w:bookmarkStart w:id="620" w:name="_Toc417655724"/>
      <w:bookmarkStart w:id="621" w:name="_Toc461722151"/>
      <w:bookmarkStart w:id="622" w:name="_Toc461723798"/>
      <w:bookmarkStart w:id="623" w:name="_Toc493069550"/>
      <w:bookmarkStart w:id="624" w:name="_Toc494791827"/>
      <w:bookmarkStart w:id="625" w:name="_Toc494793450"/>
      <w:bookmarkStart w:id="626" w:name="_Toc494798076"/>
      <w:r>
        <w:t>Subdivision 2 — Control of moorings</w:t>
      </w:r>
      <w:bookmarkEnd w:id="616"/>
      <w:bookmarkEnd w:id="617"/>
      <w:bookmarkEnd w:id="618"/>
      <w:bookmarkEnd w:id="619"/>
      <w:bookmarkEnd w:id="620"/>
      <w:bookmarkEnd w:id="621"/>
      <w:bookmarkEnd w:id="622"/>
      <w:bookmarkEnd w:id="623"/>
      <w:bookmarkEnd w:id="624"/>
      <w:bookmarkEnd w:id="625"/>
      <w:bookmarkEnd w:id="626"/>
    </w:p>
    <w:p>
      <w:pPr>
        <w:pStyle w:val="yHeading5"/>
        <w:outlineLvl w:val="0"/>
      </w:pPr>
      <w:bookmarkStart w:id="627" w:name="_Toc408471887"/>
      <w:bookmarkStart w:id="628" w:name="_Toc494798077"/>
      <w:r>
        <w:rPr>
          <w:rStyle w:val="CharSClsNo"/>
        </w:rPr>
        <w:t>13</w:t>
      </w:r>
      <w:r>
        <w:t>.</w:t>
      </w:r>
      <w:r>
        <w:tab/>
        <w:t>Terms used</w:t>
      </w:r>
      <w:bookmarkEnd w:id="627"/>
      <w:bookmarkEnd w:id="628"/>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outlineLvl w:val="0"/>
      </w:pPr>
      <w:bookmarkStart w:id="629" w:name="_Toc408471888"/>
      <w:bookmarkStart w:id="630" w:name="_Toc494798078"/>
      <w:r>
        <w:rPr>
          <w:rStyle w:val="CharSClsNo"/>
        </w:rPr>
        <w:t>14</w:t>
      </w:r>
      <w:r>
        <w:t>.</w:t>
      </w:r>
      <w:r>
        <w:tab/>
        <w:t>Moorings not to be installed or used without authority</w:t>
      </w:r>
      <w:bookmarkEnd w:id="629"/>
      <w:bookmarkEnd w:id="630"/>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631" w:name="_Toc408471889"/>
      <w:bookmarkStart w:id="632" w:name="_Toc494798079"/>
      <w:r>
        <w:rPr>
          <w:rStyle w:val="CharSClsNo"/>
        </w:rPr>
        <w:t>15</w:t>
      </w:r>
      <w:r>
        <w:t>.</w:t>
      </w:r>
      <w:r>
        <w:tab/>
        <w:t>Application for authorisation to install or use mooring</w:t>
      </w:r>
      <w:bookmarkEnd w:id="631"/>
      <w:bookmarkEnd w:id="632"/>
    </w:p>
    <w:p>
      <w:pPr>
        <w:pStyle w:val="ySubsection"/>
      </w:pPr>
      <w:r>
        <w:tab/>
        <w:t>(1)</w:t>
      </w:r>
      <w:r>
        <w:tab/>
        <w:t>A person may apply to the harbour master for authorisation to install or use a mooring.</w:t>
      </w:r>
    </w:p>
    <w:p>
      <w:pPr>
        <w:pStyle w:val="ySubsection"/>
        <w:keepNext/>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633" w:name="_Toc408471890"/>
      <w:bookmarkStart w:id="634" w:name="_Toc494798080"/>
      <w:r>
        <w:rPr>
          <w:rStyle w:val="CharSClsNo"/>
        </w:rPr>
        <w:t>16</w:t>
      </w:r>
      <w:r>
        <w:t>.</w:t>
      </w:r>
      <w:r>
        <w:tab/>
        <w:t>Authorisation of mooring</w:t>
      </w:r>
      <w:bookmarkEnd w:id="633"/>
      <w:bookmarkEnd w:id="634"/>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635" w:name="_Toc408471891"/>
      <w:bookmarkStart w:id="636" w:name="_Toc494798081"/>
      <w:r>
        <w:rPr>
          <w:rStyle w:val="CharSClsNo"/>
        </w:rPr>
        <w:t>17</w:t>
      </w:r>
      <w:r>
        <w:t>.</w:t>
      </w:r>
      <w:r>
        <w:tab/>
        <w:t>Revoking authorisation of mooring</w:t>
      </w:r>
      <w:bookmarkEnd w:id="635"/>
      <w:bookmarkEnd w:id="636"/>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outlineLvl w:val="0"/>
      </w:pPr>
      <w:bookmarkStart w:id="637" w:name="_Toc408471892"/>
      <w:bookmarkStart w:id="638" w:name="_Toc494798082"/>
      <w:r>
        <w:rPr>
          <w:rStyle w:val="CharSClsNo"/>
        </w:rPr>
        <w:t>18</w:t>
      </w:r>
      <w:r>
        <w:t>.</w:t>
      </w:r>
      <w:r>
        <w:tab/>
        <w:t>Moorings to be maintained in good condition</w:t>
      </w:r>
      <w:bookmarkEnd w:id="637"/>
      <w:bookmarkEnd w:id="63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639" w:name="_Toc408471893"/>
      <w:bookmarkStart w:id="640" w:name="_Toc494798083"/>
      <w:r>
        <w:rPr>
          <w:rStyle w:val="CharSClsNo"/>
        </w:rPr>
        <w:t>19</w:t>
      </w:r>
      <w:r>
        <w:t>.</w:t>
      </w:r>
      <w:r>
        <w:tab/>
        <w:t>Floats on moorings</w:t>
      </w:r>
      <w:bookmarkEnd w:id="639"/>
      <w:bookmarkEnd w:id="640"/>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641" w:name="_Toc408471894"/>
      <w:bookmarkStart w:id="642" w:name="_Toc494798084"/>
      <w:r>
        <w:rPr>
          <w:rStyle w:val="CharSClsNo"/>
        </w:rPr>
        <w:t>20</w:t>
      </w:r>
      <w:r>
        <w:t>.</w:t>
      </w:r>
      <w:r>
        <w:tab/>
        <w:t>Inspection reports for moorings</w:t>
      </w:r>
      <w:bookmarkEnd w:id="641"/>
      <w:bookmarkEnd w:id="642"/>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643" w:name="_Toc408471895"/>
      <w:bookmarkStart w:id="644" w:name="_Toc494798085"/>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643"/>
      <w:bookmarkEnd w:id="644"/>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645" w:name="_Toc408471896"/>
      <w:bookmarkStart w:id="646" w:name="_Toc494798086"/>
      <w:r>
        <w:rPr>
          <w:rStyle w:val="CharSClsNo"/>
        </w:rPr>
        <w:t>22</w:t>
      </w:r>
      <w:r>
        <w:t>.</w:t>
      </w:r>
      <w:r>
        <w:tab/>
        <w:t>Removal of moorings</w:t>
      </w:r>
      <w:bookmarkEnd w:id="645"/>
      <w:bookmarkEnd w:id="646"/>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647" w:name="_Toc408471897"/>
      <w:bookmarkStart w:id="648" w:name="_Toc416945542"/>
      <w:bookmarkStart w:id="649" w:name="_Toc416945881"/>
      <w:bookmarkStart w:id="650" w:name="_Toc416946165"/>
      <w:bookmarkStart w:id="651" w:name="_Toc417655735"/>
      <w:bookmarkStart w:id="652" w:name="_Toc461722162"/>
      <w:bookmarkStart w:id="653" w:name="_Toc461723809"/>
      <w:bookmarkStart w:id="654" w:name="_Toc493069561"/>
      <w:bookmarkStart w:id="655" w:name="_Toc494791838"/>
      <w:bookmarkStart w:id="656" w:name="_Toc494793461"/>
      <w:bookmarkStart w:id="657" w:name="_Toc494798087"/>
      <w:r>
        <w:t>Subdivision 3 — Service providers’ licences</w:t>
      </w:r>
      <w:bookmarkEnd w:id="647"/>
      <w:bookmarkEnd w:id="648"/>
      <w:bookmarkEnd w:id="649"/>
      <w:bookmarkEnd w:id="650"/>
      <w:bookmarkEnd w:id="651"/>
      <w:bookmarkEnd w:id="652"/>
      <w:bookmarkEnd w:id="653"/>
      <w:bookmarkEnd w:id="654"/>
      <w:bookmarkEnd w:id="655"/>
      <w:bookmarkEnd w:id="656"/>
      <w:bookmarkEnd w:id="657"/>
    </w:p>
    <w:p>
      <w:pPr>
        <w:pStyle w:val="yHeading5"/>
        <w:spacing w:before="180"/>
        <w:outlineLvl w:val="0"/>
      </w:pPr>
      <w:bookmarkStart w:id="658" w:name="_Toc408471898"/>
      <w:bookmarkStart w:id="659" w:name="_Toc494798088"/>
      <w:r>
        <w:rPr>
          <w:rStyle w:val="CharSClsNo"/>
        </w:rPr>
        <w:t>23</w:t>
      </w:r>
      <w:r>
        <w:t>.</w:t>
      </w:r>
      <w:r>
        <w:tab/>
        <w:t>Term used: service provider’s licence</w:t>
      </w:r>
      <w:bookmarkEnd w:id="658"/>
      <w:bookmarkEnd w:id="659"/>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660" w:name="_Toc408471899"/>
      <w:bookmarkStart w:id="661" w:name="_Toc494798089"/>
      <w:r>
        <w:rPr>
          <w:rStyle w:val="CharSClsNo"/>
        </w:rPr>
        <w:t>24</w:t>
      </w:r>
      <w:r>
        <w:t>.</w:t>
      </w:r>
      <w:r>
        <w:tab/>
        <w:t>Unlicensed persons not to provide certain services</w:t>
      </w:r>
      <w:bookmarkEnd w:id="660"/>
      <w:bookmarkEnd w:id="661"/>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662" w:name="_Toc408471900"/>
      <w:bookmarkStart w:id="663" w:name="_Toc494798090"/>
      <w:r>
        <w:rPr>
          <w:rStyle w:val="CharSClsNo"/>
        </w:rPr>
        <w:t>25</w:t>
      </w:r>
      <w:r>
        <w:t>.</w:t>
      </w:r>
      <w:r>
        <w:tab/>
        <w:t>Service providers’ licences</w:t>
      </w:r>
      <w:bookmarkEnd w:id="662"/>
      <w:bookmarkEnd w:id="66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664" w:name="_Toc408471901"/>
      <w:bookmarkStart w:id="665" w:name="_Toc416945546"/>
      <w:bookmarkStart w:id="666" w:name="_Toc416945885"/>
      <w:bookmarkStart w:id="667" w:name="_Toc416946169"/>
      <w:bookmarkStart w:id="668" w:name="_Toc417655739"/>
      <w:bookmarkStart w:id="669" w:name="_Toc461722166"/>
      <w:bookmarkStart w:id="670" w:name="_Toc461723813"/>
      <w:bookmarkStart w:id="671" w:name="_Toc493069565"/>
      <w:bookmarkStart w:id="672" w:name="_Toc494791842"/>
      <w:bookmarkStart w:id="673" w:name="_Toc494793465"/>
      <w:bookmarkStart w:id="674" w:name="_Toc494798091"/>
      <w:r>
        <w:t>Subdivision 4 — Goods</w:t>
      </w:r>
      <w:bookmarkEnd w:id="664"/>
      <w:bookmarkEnd w:id="665"/>
      <w:bookmarkEnd w:id="666"/>
      <w:bookmarkEnd w:id="667"/>
      <w:bookmarkEnd w:id="668"/>
      <w:bookmarkEnd w:id="669"/>
      <w:bookmarkEnd w:id="670"/>
      <w:bookmarkEnd w:id="671"/>
      <w:bookmarkEnd w:id="672"/>
      <w:bookmarkEnd w:id="673"/>
      <w:bookmarkEnd w:id="674"/>
    </w:p>
    <w:p>
      <w:pPr>
        <w:pStyle w:val="yHeading5"/>
        <w:outlineLvl w:val="0"/>
      </w:pPr>
      <w:bookmarkStart w:id="675" w:name="_Toc408471902"/>
      <w:bookmarkStart w:id="676" w:name="_Toc494798092"/>
      <w:r>
        <w:rPr>
          <w:rStyle w:val="CharSClsNo"/>
        </w:rPr>
        <w:t>26</w:t>
      </w:r>
      <w:r>
        <w:t>.</w:t>
      </w:r>
      <w:r>
        <w:tab/>
        <w:t>Goods not to be placed on port facility etc. without authority</w:t>
      </w:r>
      <w:bookmarkEnd w:id="675"/>
      <w:bookmarkEnd w:id="676"/>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spacing w:before="100"/>
      </w:pPr>
      <w:r>
        <w:tab/>
        <w:t>[Clause 26 amended in Gazette 20 Jun 2014 p. 2032.]</w:t>
      </w:r>
    </w:p>
    <w:p>
      <w:pPr>
        <w:pStyle w:val="yHeading4"/>
        <w:spacing w:before="200"/>
        <w:outlineLvl w:val="0"/>
      </w:pPr>
      <w:bookmarkStart w:id="677" w:name="_Toc408471903"/>
      <w:bookmarkStart w:id="678" w:name="_Toc416945548"/>
      <w:bookmarkStart w:id="679" w:name="_Toc416945887"/>
      <w:bookmarkStart w:id="680" w:name="_Toc416946171"/>
      <w:bookmarkStart w:id="681" w:name="_Toc417655741"/>
      <w:bookmarkStart w:id="682" w:name="_Toc461722168"/>
      <w:bookmarkStart w:id="683" w:name="_Toc461723815"/>
      <w:bookmarkStart w:id="684" w:name="_Toc493069567"/>
      <w:bookmarkStart w:id="685" w:name="_Toc494791844"/>
      <w:bookmarkStart w:id="686" w:name="_Toc494793467"/>
      <w:bookmarkStart w:id="687" w:name="_Toc494798093"/>
      <w:r>
        <w:t>Subdivision 5 — Things obstructing or interfering with operations of port</w:t>
      </w:r>
      <w:bookmarkEnd w:id="677"/>
      <w:bookmarkEnd w:id="678"/>
      <w:bookmarkEnd w:id="679"/>
      <w:bookmarkEnd w:id="680"/>
      <w:bookmarkEnd w:id="681"/>
      <w:bookmarkEnd w:id="682"/>
      <w:bookmarkEnd w:id="683"/>
      <w:bookmarkEnd w:id="684"/>
      <w:bookmarkEnd w:id="685"/>
      <w:bookmarkEnd w:id="686"/>
      <w:bookmarkEnd w:id="687"/>
    </w:p>
    <w:p>
      <w:pPr>
        <w:pStyle w:val="yHeading5"/>
        <w:outlineLvl w:val="0"/>
      </w:pPr>
      <w:bookmarkStart w:id="688" w:name="_Toc408471904"/>
      <w:bookmarkStart w:id="689" w:name="_Toc494798094"/>
      <w:r>
        <w:rPr>
          <w:rStyle w:val="CharSClsNo"/>
        </w:rPr>
        <w:t>27</w:t>
      </w:r>
      <w:r>
        <w:t>.</w:t>
      </w:r>
      <w:r>
        <w:tab/>
        <w:t>Things obstructing port operations, powers as to</w:t>
      </w:r>
      <w:bookmarkEnd w:id="688"/>
      <w:bookmarkEnd w:id="68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keepNext w:val="0"/>
        <w:spacing w:before="180"/>
        <w:outlineLvl w:val="0"/>
      </w:pPr>
      <w:bookmarkStart w:id="690" w:name="_Toc408471905"/>
      <w:bookmarkStart w:id="691" w:name="_Toc416945550"/>
      <w:bookmarkStart w:id="692" w:name="_Toc416945889"/>
      <w:bookmarkStart w:id="693" w:name="_Toc416946173"/>
      <w:bookmarkStart w:id="694" w:name="_Toc417655743"/>
      <w:bookmarkStart w:id="695" w:name="_Toc461722170"/>
      <w:bookmarkStart w:id="696" w:name="_Toc461723817"/>
      <w:bookmarkStart w:id="697" w:name="_Toc493069569"/>
      <w:bookmarkStart w:id="698" w:name="_Toc494791846"/>
      <w:bookmarkStart w:id="699" w:name="_Toc494793469"/>
      <w:bookmarkStart w:id="700" w:name="_Toc494798095"/>
      <w:r>
        <w:t>Subdivision 6 — Miscellaneous</w:t>
      </w:r>
      <w:bookmarkEnd w:id="690"/>
      <w:bookmarkEnd w:id="691"/>
      <w:bookmarkEnd w:id="692"/>
      <w:bookmarkEnd w:id="693"/>
      <w:bookmarkEnd w:id="694"/>
      <w:bookmarkEnd w:id="695"/>
      <w:bookmarkEnd w:id="696"/>
      <w:bookmarkEnd w:id="697"/>
      <w:bookmarkEnd w:id="698"/>
      <w:bookmarkEnd w:id="699"/>
      <w:bookmarkEnd w:id="700"/>
    </w:p>
    <w:p>
      <w:pPr>
        <w:pStyle w:val="yHeading5"/>
        <w:keepNext w:val="0"/>
        <w:keepLines w:val="0"/>
        <w:spacing w:before="160"/>
        <w:outlineLvl w:val="0"/>
      </w:pPr>
      <w:bookmarkStart w:id="701" w:name="_Toc408471906"/>
      <w:bookmarkStart w:id="702" w:name="_Toc494798096"/>
      <w:r>
        <w:rPr>
          <w:rStyle w:val="CharSClsNo"/>
        </w:rPr>
        <w:t>28</w:t>
      </w:r>
      <w:r>
        <w:t>.</w:t>
      </w:r>
      <w:r>
        <w:tab/>
        <w:t>Damage to property to be reported to harbour master</w:t>
      </w:r>
      <w:bookmarkEnd w:id="701"/>
      <w:bookmarkEnd w:id="702"/>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keepNext/>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spacing w:before="180"/>
      </w:pPr>
      <w:bookmarkStart w:id="703" w:name="_Toc408471907"/>
      <w:bookmarkStart w:id="704" w:name="_Toc494798097"/>
      <w:r>
        <w:rPr>
          <w:rStyle w:val="CharSClsNo"/>
        </w:rPr>
        <w:t>29</w:t>
      </w:r>
      <w:r>
        <w:t>.</w:t>
      </w:r>
      <w:r>
        <w:tab/>
        <w:t>Unauthorised entry of closed areas of port</w:t>
      </w:r>
      <w:bookmarkEnd w:id="703"/>
      <w:bookmarkEnd w:id="704"/>
    </w:p>
    <w:p>
      <w:pPr>
        <w:pStyle w:val="ySubsection"/>
        <w:spacing w:before="120"/>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spacing w:before="200"/>
      </w:pPr>
      <w:bookmarkStart w:id="705" w:name="_Toc408471908"/>
      <w:bookmarkStart w:id="706" w:name="_Toc416945553"/>
      <w:bookmarkStart w:id="707" w:name="_Toc416945892"/>
      <w:bookmarkStart w:id="708" w:name="_Toc416946176"/>
      <w:bookmarkStart w:id="709" w:name="_Toc417655746"/>
      <w:bookmarkStart w:id="710" w:name="_Toc461722173"/>
      <w:bookmarkStart w:id="711" w:name="_Toc461723820"/>
      <w:bookmarkStart w:id="712" w:name="_Toc493069572"/>
      <w:bookmarkStart w:id="713" w:name="_Toc494791849"/>
      <w:bookmarkStart w:id="714" w:name="_Toc494793472"/>
      <w:bookmarkStart w:id="715" w:name="_Toc494798098"/>
      <w:r>
        <w:rPr>
          <w:rStyle w:val="CharSDivNo"/>
        </w:rPr>
        <w:t>Division 3</w:t>
      </w:r>
      <w:r>
        <w:t> — </w:t>
      </w:r>
      <w:r>
        <w:rPr>
          <w:rStyle w:val="CharSDivText"/>
        </w:rPr>
        <w:t>Port of Bunbury</w:t>
      </w:r>
      <w:bookmarkEnd w:id="705"/>
      <w:bookmarkEnd w:id="706"/>
      <w:bookmarkEnd w:id="707"/>
      <w:bookmarkEnd w:id="708"/>
      <w:bookmarkEnd w:id="709"/>
      <w:bookmarkEnd w:id="710"/>
      <w:bookmarkEnd w:id="711"/>
      <w:bookmarkEnd w:id="712"/>
      <w:bookmarkEnd w:id="713"/>
      <w:bookmarkEnd w:id="714"/>
      <w:bookmarkEnd w:id="715"/>
    </w:p>
    <w:p>
      <w:pPr>
        <w:pStyle w:val="yFootnoteheading"/>
      </w:pPr>
      <w:r>
        <w:tab/>
        <w:t>[Heading inserted in Gazette 20 Jun 2014 p. 2033.]</w:t>
      </w:r>
    </w:p>
    <w:p>
      <w:pPr>
        <w:pStyle w:val="yHeading5"/>
      </w:pPr>
      <w:bookmarkStart w:id="716" w:name="_Toc408471909"/>
      <w:bookmarkStart w:id="717" w:name="_Toc494798099"/>
      <w:r>
        <w:rPr>
          <w:rStyle w:val="CharSClsNo"/>
        </w:rPr>
        <w:t>30</w:t>
      </w:r>
      <w:r>
        <w:t>.</w:t>
      </w:r>
      <w:r>
        <w:tab/>
        <w:t>Application of this Division</w:t>
      </w:r>
      <w:bookmarkEnd w:id="716"/>
      <w:bookmarkEnd w:id="717"/>
    </w:p>
    <w:p>
      <w:pPr>
        <w:pStyle w:val="ySubsection"/>
      </w:pPr>
      <w:r>
        <w:tab/>
      </w:r>
      <w:r>
        <w:tab/>
        <w:t xml:space="preserve">This Division applies to the </w:t>
      </w:r>
      <w:smartTag w:uri="urn:schemas-microsoft-com:office:smarttags" w:element="PlaceType">
        <w:r>
          <w:t>Port</w:t>
        </w:r>
      </w:smartTag>
      <w:r>
        <w:t xml:space="preserve"> of Bunbury and the Southern Ports Authority.</w:t>
      </w:r>
    </w:p>
    <w:p>
      <w:pPr>
        <w:pStyle w:val="yFootnotesection"/>
      </w:pPr>
      <w:r>
        <w:tab/>
        <w:t>[Clause 30 inserted in Gazette 19 Sep 2014 p. 3342.]</w:t>
      </w:r>
    </w:p>
    <w:p>
      <w:pPr>
        <w:pStyle w:val="yHeading5"/>
        <w:spacing w:before="180"/>
        <w:outlineLvl w:val="0"/>
      </w:pPr>
      <w:bookmarkStart w:id="718" w:name="_Toc408471910"/>
      <w:bookmarkStart w:id="719" w:name="_Toc494798100"/>
      <w:r>
        <w:rPr>
          <w:rStyle w:val="CharSClsNo"/>
        </w:rPr>
        <w:t>31</w:t>
      </w:r>
      <w:r>
        <w:t>.</w:t>
      </w:r>
      <w:r>
        <w:tab/>
        <w:t>Term used: service provider’s licence</w:t>
      </w:r>
      <w:bookmarkEnd w:id="718"/>
      <w:bookmarkEnd w:id="719"/>
    </w:p>
    <w:p>
      <w:pPr>
        <w:pStyle w:val="ySubsection"/>
        <w:spacing w:before="120"/>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outlineLvl w:val="0"/>
      </w:pPr>
      <w:bookmarkStart w:id="720" w:name="_Toc408471911"/>
      <w:bookmarkStart w:id="721" w:name="_Toc494798101"/>
      <w:r>
        <w:rPr>
          <w:rStyle w:val="CharSClsNo"/>
        </w:rPr>
        <w:t>32</w:t>
      </w:r>
      <w:r>
        <w:t>.</w:t>
      </w:r>
      <w:r>
        <w:tab/>
        <w:t>Vessel in port to maintain contact with port authority</w:t>
      </w:r>
      <w:bookmarkEnd w:id="720"/>
      <w:bookmarkEnd w:id="721"/>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722" w:name="_Toc408471912"/>
      <w:bookmarkStart w:id="723" w:name="_Toc494798102"/>
      <w:r>
        <w:rPr>
          <w:rStyle w:val="CharSClsNo"/>
        </w:rPr>
        <w:t>33</w:t>
      </w:r>
      <w:r>
        <w:t>.</w:t>
      </w:r>
      <w:r>
        <w:tab/>
        <w:t>Unlicensed persons not to provide certain services</w:t>
      </w:r>
      <w:bookmarkEnd w:id="722"/>
      <w:bookmarkEnd w:id="72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724" w:name="_Toc408471913"/>
      <w:bookmarkStart w:id="725" w:name="_Toc494798103"/>
      <w:r>
        <w:rPr>
          <w:rStyle w:val="CharSClsNo"/>
        </w:rPr>
        <w:t>34</w:t>
      </w:r>
      <w:r>
        <w:t>.</w:t>
      </w:r>
      <w:r>
        <w:tab/>
        <w:t>Service providers’ licences</w:t>
      </w:r>
      <w:bookmarkEnd w:id="724"/>
      <w:bookmarkEnd w:id="72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726" w:name="_Toc408471914"/>
      <w:bookmarkStart w:id="727" w:name="_Toc416945559"/>
      <w:bookmarkStart w:id="728" w:name="_Toc416945898"/>
      <w:bookmarkStart w:id="729" w:name="_Toc416946182"/>
      <w:bookmarkStart w:id="730" w:name="_Toc417655752"/>
      <w:bookmarkStart w:id="731" w:name="_Toc461722179"/>
      <w:bookmarkStart w:id="732" w:name="_Toc461723826"/>
      <w:bookmarkStart w:id="733" w:name="_Toc493069578"/>
      <w:bookmarkStart w:id="734" w:name="_Toc494791855"/>
      <w:bookmarkStart w:id="735" w:name="_Toc494793478"/>
      <w:bookmarkStart w:id="736" w:name="_Toc494798104"/>
      <w:r>
        <w:rPr>
          <w:rStyle w:val="CharSDivNo"/>
        </w:rPr>
        <w:t>Division 4</w:t>
      </w:r>
      <w:r>
        <w:t> — </w:t>
      </w:r>
      <w:r>
        <w:rPr>
          <w:rStyle w:val="CharSDivText"/>
        </w:rPr>
        <w:t>Port of Ashburton and Port of Dampier</w:t>
      </w:r>
      <w:bookmarkEnd w:id="726"/>
      <w:bookmarkEnd w:id="727"/>
      <w:bookmarkEnd w:id="728"/>
      <w:bookmarkEnd w:id="729"/>
      <w:bookmarkEnd w:id="730"/>
      <w:bookmarkEnd w:id="731"/>
      <w:bookmarkEnd w:id="732"/>
      <w:bookmarkEnd w:id="733"/>
      <w:bookmarkEnd w:id="734"/>
      <w:bookmarkEnd w:id="735"/>
      <w:bookmarkEnd w:id="736"/>
    </w:p>
    <w:p>
      <w:pPr>
        <w:pStyle w:val="yFootnoteheading"/>
      </w:pPr>
      <w:r>
        <w:tab/>
        <w:t>[Heading inserted in Gazette 20 Jun 2014 p. 2033.]</w:t>
      </w:r>
    </w:p>
    <w:p>
      <w:pPr>
        <w:pStyle w:val="yHeading4"/>
      </w:pPr>
      <w:bookmarkStart w:id="737" w:name="_Toc408471915"/>
      <w:bookmarkStart w:id="738" w:name="_Toc416945560"/>
      <w:bookmarkStart w:id="739" w:name="_Toc416945899"/>
      <w:bookmarkStart w:id="740" w:name="_Toc416946183"/>
      <w:bookmarkStart w:id="741" w:name="_Toc417655753"/>
      <w:bookmarkStart w:id="742" w:name="_Toc461722180"/>
      <w:bookmarkStart w:id="743" w:name="_Toc461723827"/>
      <w:bookmarkStart w:id="744" w:name="_Toc493069579"/>
      <w:bookmarkStart w:id="745" w:name="_Toc494791856"/>
      <w:bookmarkStart w:id="746" w:name="_Toc494793479"/>
      <w:bookmarkStart w:id="747" w:name="_Toc494798105"/>
      <w:r>
        <w:t>Subdivision 1 — Preliminary</w:t>
      </w:r>
      <w:bookmarkEnd w:id="737"/>
      <w:bookmarkEnd w:id="738"/>
      <w:bookmarkEnd w:id="739"/>
      <w:bookmarkEnd w:id="740"/>
      <w:bookmarkEnd w:id="741"/>
      <w:bookmarkEnd w:id="742"/>
      <w:bookmarkEnd w:id="743"/>
      <w:bookmarkEnd w:id="744"/>
      <w:bookmarkEnd w:id="745"/>
      <w:bookmarkEnd w:id="746"/>
      <w:bookmarkEnd w:id="747"/>
    </w:p>
    <w:p>
      <w:pPr>
        <w:pStyle w:val="yHeading5"/>
      </w:pPr>
      <w:bookmarkStart w:id="748" w:name="_Toc408471916"/>
      <w:bookmarkStart w:id="749" w:name="_Toc494798106"/>
      <w:r>
        <w:rPr>
          <w:rStyle w:val="CharSClsNo"/>
        </w:rPr>
        <w:t>35</w:t>
      </w:r>
      <w:r>
        <w:t>.</w:t>
      </w:r>
      <w:r>
        <w:tab/>
        <w:t>Application of this Division</w:t>
      </w:r>
      <w:bookmarkEnd w:id="748"/>
      <w:bookmarkEnd w:id="749"/>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spacing w:before="240"/>
        <w:outlineLvl w:val="0"/>
      </w:pPr>
      <w:bookmarkStart w:id="750" w:name="_Toc408471917"/>
      <w:bookmarkStart w:id="751" w:name="_Toc494798107"/>
      <w:r>
        <w:rPr>
          <w:rStyle w:val="CharSClsNo"/>
        </w:rPr>
        <w:t>36</w:t>
      </w:r>
      <w:r>
        <w:t>.</w:t>
      </w:r>
      <w:r>
        <w:tab/>
        <w:t>Terms used</w:t>
      </w:r>
      <w:bookmarkEnd w:id="750"/>
      <w:bookmarkEnd w:id="751"/>
    </w:p>
    <w:p>
      <w:pPr>
        <w:pStyle w:val="ySubsection"/>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keepNex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w:t>
      </w:r>
      <w:r>
        <w:rPr>
          <w:szCs w:val="22"/>
        </w:rPr>
        <w:t>regulation 51.</w:t>
      </w:r>
    </w:p>
    <w:p>
      <w:pPr>
        <w:pStyle w:val="yFootnotesection"/>
      </w:pPr>
      <w:r>
        <w:tab/>
        <w:t>[Clause 36 amended in Gazette 28 Jun 2013 p. 2765; 3 Oct 2017 p. 5046.]</w:t>
      </w:r>
    </w:p>
    <w:p>
      <w:pPr>
        <w:pStyle w:val="yHeading4"/>
        <w:outlineLvl w:val="0"/>
      </w:pPr>
      <w:bookmarkStart w:id="752" w:name="_Toc408471918"/>
      <w:bookmarkStart w:id="753" w:name="_Toc416945563"/>
      <w:bookmarkStart w:id="754" w:name="_Toc416945902"/>
      <w:bookmarkStart w:id="755" w:name="_Toc416946186"/>
      <w:bookmarkStart w:id="756" w:name="_Toc417655756"/>
      <w:bookmarkStart w:id="757" w:name="_Toc461722183"/>
      <w:bookmarkStart w:id="758" w:name="_Toc461723830"/>
      <w:bookmarkStart w:id="759" w:name="_Toc493069582"/>
      <w:bookmarkStart w:id="760" w:name="_Toc494791859"/>
      <w:bookmarkStart w:id="761" w:name="_Toc494793482"/>
      <w:bookmarkStart w:id="762" w:name="_Toc494798108"/>
      <w:r>
        <w:t>Subdivision 2 — Vessels in the port</w:t>
      </w:r>
      <w:bookmarkEnd w:id="752"/>
      <w:bookmarkEnd w:id="753"/>
      <w:bookmarkEnd w:id="754"/>
      <w:bookmarkEnd w:id="755"/>
      <w:bookmarkEnd w:id="756"/>
      <w:bookmarkEnd w:id="757"/>
      <w:bookmarkEnd w:id="758"/>
      <w:bookmarkEnd w:id="759"/>
      <w:bookmarkEnd w:id="760"/>
      <w:bookmarkEnd w:id="761"/>
      <w:bookmarkEnd w:id="762"/>
    </w:p>
    <w:p>
      <w:pPr>
        <w:pStyle w:val="yHeading5"/>
        <w:outlineLvl w:val="0"/>
      </w:pPr>
      <w:bookmarkStart w:id="763" w:name="_Toc408471919"/>
      <w:bookmarkStart w:id="764" w:name="_Toc494798109"/>
      <w:r>
        <w:rPr>
          <w:rStyle w:val="CharSClsNo"/>
        </w:rPr>
        <w:t>37</w:t>
      </w:r>
      <w:r>
        <w:t>.</w:t>
      </w:r>
      <w:r>
        <w:tab/>
        <w:t>Radio watch to be kept by commercial vessels</w:t>
      </w:r>
      <w:bookmarkEnd w:id="763"/>
      <w:bookmarkEnd w:id="764"/>
    </w:p>
    <w:p>
      <w:pPr>
        <w:pStyle w:val="ySubsection"/>
      </w:pPr>
      <w:r>
        <w:tab/>
        <w:t>(1)</w:t>
      </w:r>
      <w:r>
        <w:tab/>
        <w:t xml:space="preserve">For the purpose of receiving communications from the harbour master, the master of a commercial vessel must — </w:t>
      </w:r>
    </w:p>
    <w:p>
      <w:pPr>
        <w:pStyle w:val="yIndenta"/>
      </w:pPr>
      <w:r>
        <w:tab/>
        <w:t>(a)</w:t>
      </w:r>
      <w:r>
        <w:tab/>
        <w:t xml:space="preserve">when the vessel is approaching the port — maintain a listening watch on VHF Radio Channel 16 (156.8 kHz); or </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Footnotesection"/>
      </w:pPr>
      <w:r>
        <w:tab/>
        <w:t>[Clause 37 amended in Gazette 16 Sep </w:t>
      </w:r>
      <w:r>
        <w:rPr>
          <w:rStyle w:val="CharDivNo"/>
        </w:rPr>
        <w:t>2016 p. 3944</w:t>
      </w:r>
      <w:r>
        <w:t>.]</w:t>
      </w:r>
    </w:p>
    <w:p>
      <w:pPr>
        <w:pStyle w:val="yHeading5"/>
      </w:pPr>
      <w:bookmarkStart w:id="765" w:name="_Toc408471920"/>
      <w:bookmarkStart w:id="766" w:name="_Toc494798110"/>
      <w:r>
        <w:rPr>
          <w:rStyle w:val="CharSClsNo"/>
        </w:rPr>
        <w:t>38</w:t>
      </w:r>
      <w:r>
        <w:t>.</w:t>
      </w:r>
      <w:r>
        <w:tab/>
        <w:t>Boating safety exclusion zone not to be entered without authority</w:t>
      </w:r>
      <w:bookmarkEnd w:id="765"/>
      <w:bookmarkEnd w:id="766"/>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outlineLvl w:val="0"/>
      </w:pPr>
      <w:bookmarkStart w:id="767" w:name="_Toc408471921"/>
      <w:bookmarkStart w:id="768" w:name="_Toc494798111"/>
      <w:r>
        <w:rPr>
          <w:rStyle w:val="CharSClsNo"/>
        </w:rPr>
        <w:t>39</w:t>
      </w:r>
      <w:r>
        <w:t>.</w:t>
      </w:r>
      <w:r>
        <w:tab/>
        <w:t>Master of vessel to produce certificates of tonnage and registry etc. on request by certain officers</w:t>
      </w:r>
      <w:bookmarkEnd w:id="767"/>
      <w:bookmarkEnd w:id="768"/>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769" w:name="_Toc408471922"/>
      <w:bookmarkStart w:id="770" w:name="_Toc494798112"/>
      <w:r>
        <w:rPr>
          <w:rStyle w:val="CharSClsNo"/>
        </w:rPr>
        <w:t>40</w:t>
      </w:r>
      <w:r>
        <w:t>.</w:t>
      </w:r>
      <w:r>
        <w:tab/>
        <w:t>Vessel moored to wharf, anchors of to be stowed</w:t>
      </w:r>
      <w:bookmarkEnd w:id="769"/>
      <w:bookmarkEnd w:id="770"/>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771" w:name="_Toc408471923"/>
      <w:bookmarkStart w:id="772" w:name="_Toc494798113"/>
      <w:r>
        <w:rPr>
          <w:rStyle w:val="CharSClsNo"/>
        </w:rPr>
        <w:t>41</w:t>
      </w:r>
      <w:r>
        <w:t>.</w:t>
      </w:r>
      <w:r>
        <w:tab/>
        <w:t>Propellers of moored vessel not to be operated</w:t>
      </w:r>
      <w:bookmarkEnd w:id="771"/>
      <w:bookmarkEnd w:id="772"/>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773" w:name="_Toc408471924"/>
      <w:bookmarkStart w:id="774" w:name="_Toc494798114"/>
      <w:r>
        <w:rPr>
          <w:rStyle w:val="CharSClsNo"/>
        </w:rPr>
        <w:t>42</w:t>
      </w:r>
      <w:r>
        <w:t>.</w:t>
      </w:r>
      <w:r>
        <w:tab/>
        <w:t>Commercial vessels not to be beached in the port</w:t>
      </w:r>
      <w:bookmarkEnd w:id="773"/>
      <w:bookmarkEnd w:id="774"/>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775" w:name="_Toc408471925"/>
      <w:bookmarkStart w:id="776" w:name="_Toc494798115"/>
      <w:r>
        <w:rPr>
          <w:rStyle w:val="CharSClsNo"/>
        </w:rPr>
        <w:t>43</w:t>
      </w:r>
      <w:r>
        <w:t>.</w:t>
      </w:r>
      <w:r>
        <w:tab/>
        <w:t>Moored vessel not to be moved unless harbour master notified</w:t>
      </w:r>
      <w:bookmarkEnd w:id="775"/>
      <w:bookmarkEnd w:id="776"/>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777" w:name="_Toc408471926"/>
      <w:bookmarkStart w:id="778" w:name="_Toc494798116"/>
      <w:r>
        <w:rPr>
          <w:rStyle w:val="CharSClsNo"/>
        </w:rPr>
        <w:t>44</w:t>
      </w:r>
      <w:r>
        <w:t>.</w:t>
      </w:r>
      <w:r>
        <w:tab/>
        <w:t>Fire on vessel, duties of people on board</w:t>
      </w:r>
      <w:bookmarkEnd w:id="777"/>
      <w:bookmarkEnd w:id="778"/>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779" w:name="_Toc408471927"/>
      <w:bookmarkStart w:id="780" w:name="_Toc494798117"/>
      <w:r>
        <w:rPr>
          <w:rStyle w:val="CharSClsNo"/>
        </w:rPr>
        <w:t>45</w:t>
      </w:r>
      <w:r>
        <w:t>.</w:t>
      </w:r>
      <w:r>
        <w:tab/>
        <w:t>Bunkering</w:t>
      </w:r>
      <w:bookmarkEnd w:id="779"/>
      <w:bookmarkEnd w:id="78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keepLines w:val="0"/>
        <w:spacing w:before="240"/>
        <w:outlineLvl w:val="0"/>
      </w:pPr>
      <w:bookmarkStart w:id="781" w:name="_Toc408471928"/>
      <w:bookmarkStart w:id="782" w:name="_Toc494798118"/>
      <w:r>
        <w:rPr>
          <w:rStyle w:val="CharSClsNo"/>
        </w:rPr>
        <w:t>46</w:t>
      </w:r>
      <w:r>
        <w:t>.</w:t>
      </w:r>
      <w:r>
        <w:tab/>
        <w:t>Ballast to be sufficient</w:t>
      </w:r>
      <w:bookmarkEnd w:id="781"/>
      <w:bookmarkEnd w:id="782"/>
    </w:p>
    <w:p>
      <w:pPr>
        <w:pStyle w:val="ySubsection"/>
        <w:keepLines/>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783" w:name="_Toc408471929"/>
      <w:bookmarkStart w:id="784" w:name="_Toc494798119"/>
      <w:r>
        <w:rPr>
          <w:rStyle w:val="CharSClsNo"/>
        </w:rPr>
        <w:t>47</w:t>
      </w:r>
      <w:r>
        <w:t>.</w:t>
      </w:r>
      <w:r>
        <w:tab/>
        <w:t>Navigation of private vessels</w:t>
      </w:r>
      <w:bookmarkEnd w:id="783"/>
      <w:bookmarkEnd w:id="78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785" w:name="_Toc408471930"/>
      <w:bookmarkStart w:id="786" w:name="_Toc494798120"/>
      <w:r>
        <w:rPr>
          <w:rStyle w:val="CharSClsNo"/>
        </w:rPr>
        <w:t>48</w:t>
      </w:r>
      <w:r>
        <w:t>.</w:t>
      </w:r>
      <w:r>
        <w:tab/>
        <w:t>Fishing vessels, duties of masters of</w:t>
      </w:r>
      <w:bookmarkEnd w:id="785"/>
      <w:bookmarkEnd w:id="786"/>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787" w:name="_Toc408471931"/>
      <w:bookmarkStart w:id="788" w:name="_Toc416945576"/>
      <w:bookmarkStart w:id="789" w:name="_Toc416945915"/>
      <w:bookmarkStart w:id="790" w:name="_Toc416946199"/>
      <w:bookmarkStart w:id="791" w:name="_Toc417655769"/>
      <w:bookmarkStart w:id="792" w:name="_Toc461722196"/>
      <w:bookmarkStart w:id="793" w:name="_Toc461723843"/>
      <w:bookmarkStart w:id="794" w:name="_Toc493069595"/>
      <w:bookmarkStart w:id="795" w:name="_Toc494791872"/>
      <w:bookmarkStart w:id="796" w:name="_Toc494793495"/>
      <w:bookmarkStart w:id="797" w:name="_Toc494798121"/>
      <w:r>
        <w:t>Subdivision 3 — Control of moorings</w:t>
      </w:r>
      <w:bookmarkEnd w:id="787"/>
      <w:bookmarkEnd w:id="788"/>
      <w:bookmarkEnd w:id="789"/>
      <w:bookmarkEnd w:id="790"/>
      <w:bookmarkEnd w:id="791"/>
      <w:bookmarkEnd w:id="792"/>
      <w:bookmarkEnd w:id="793"/>
      <w:bookmarkEnd w:id="794"/>
      <w:bookmarkEnd w:id="795"/>
      <w:bookmarkEnd w:id="796"/>
      <w:bookmarkEnd w:id="797"/>
    </w:p>
    <w:p>
      <w:pPr>
        <w:pStyle w:val="yHeading5"/>
        <w:outlineLvl w:val="0"/>
      </w:pPr>
      <w:bookmarkStart w:id="798" w:name="_Toc408471932"/>
      <w:bookmarkStart w:id="799" w:name="_Toc494798122"/>
      <w:r>
        <w:rPr>
          <w:rStyle w:val="CharSClsNo"/>
        </w:rPr>
        <w:t>49</w:t>
      </w:r>
      <w:r>
        <w:t>.</w:t>
      </w:r>
      <w:r>
        <w:tab/>
        <w:t>Terms used</w:t>
      </w:r>
      <w:bookmarkEnd w:id="798"/>
      <w:bookmarkEnd w:id="799"/>
    </w:p>
    <w:p>
      <w:pPr>
        <w:pStyle w:val="ySubsection"/>
        <w:keepNext/>
        <w:keepLines/>
        <w:spacing w:before="180"/>
      </w:pPr>
      <w:r>
        <w:tab/>
      </w:r>
      <w:r>
        <w:tab/>
        <w:t xml:space="preserve">In this Subdivision — </w:t>
      </w:r>
    </w:p>
    <w:p>
      <w:pPr>
        <w:pStyle w:val="yDefstart"/>
      </w:pPr>
      <w:r>
        <w:tab/>
      </w:r>
      <w:r>
        <w:rPr>
          <w:rStyle w:val="CharDefText"/>
        </w:rPr>
        <w:t>mooring</w:t>
      </w:r>
      <w:r>
        <w:t xml:space="preserve"> means a structure or apparatus used or proposed to be used to secure a vessel in the port;</w:t>
      </w:r>
    </w:p>
    <w:p>
      <w:pPr>
        <w:pStyle w:val="yDefstart"/>
      </w:pPr>
      <w:r>
        <w:rPr>
          <w:b/>
          <w:i/>
        </w:rPr>
        <w:tab/>
      </w:r>
      <w:r>
        <w:rPr>
          <w:rStyle w:val="CharDefText"/>
        </w:rPr>
        <w:t>mooring handbook</w:t>
      </w:r>
      <w:r>
        <w:t xml:space="preserve"> means the mooring handbook for the port published by, and held at the offices of, the Pilbara Ports Authority and accessible on the website of the Pilbara Ports Authority;</w:t>
      </w:r>
    </w:p>
    <w:p>
      <w:pPr>
        <w:pStyle w:val="yDefstart"/>
      </w:pPr>
      <w:r>
        <w:tab/>
      </w:r>
      <w:r>
        <w:rPr>
          <w:rStyle w:val="CharDefText"/>
        </w:rPr>
        <w:t>mooring owner</w:t>
      </w:r>
      <w:r>
        <w:t xml:space="preserve"> means a person authorised to install or use a mooring under clause 52.</w:t>
      </w:r>
    </w:p>
    <w:p>
      <w:pPr>
        <w:pStyle w:val="yFootnotesection"/>
      </w:pPr>
      <w:bookmarkStart w:id="800" w:name="_Toc408471933"/>
      <w:r>
        <w:tab/>
        <w:t>[Clause 49 amended in Gazette 3 Oct 2017 p. 5046.]</w:t>
      </w:r>
    </w:p>
    <w:p>
      <w:pPr>
        <w:pStyle w:val="yHeading5"/>
        <w:outlineLvl w:val="0"/>
      </w:pPr>
      <w:bookmarkStart w:id="801" w:name="_Toc494798123"/>
      <w:r>
        <w:rPr>
          <w:rStyle w:val="CharSClsNo"/>
        </w:rPr>
        <w:t>50</w:t>
      </w:r>
      <w:r>
        <w:t>.</w:t>
      </w:r>
      <w:r>
        <w:tab/>
        <w:t>Moorings not to be installed or used without authority</w:t>
      </w:r>
      <w:bookmarkEnd w:id="800"/>
      <w:bookmarkEnd w:id="801"/>
    </w:p>
    <w:p>
      <w:pPr>
        <w:pStyle w:val="ySubsection"/>
      </w:pPr>
      <w:r>
        <w:tab/>
      </w:r>
      <w:r>
        <w:tab/>
        <w:t>Unless authorised by the harbour master under clause 52, a person must not install or use a mooring.</w:t>
      </w:r>
    </w:p>
    <w:p>
      <w:pPr>
        <w:pStyle w:val="yPenstart"/>
      </w:pPr>
      <w:r>
        <w:tab/>
        <w:t>Penalty: $5 000.</w:t>
      </w:r>
    </w:p>
    <w:p>
      <w:pPr>
        <w:pStyle w:val="yHeading5"/>
        <w:outlineLvl w:val="0"/>
      </w:pPr>
      <w:bookmarkStart w:id="802" w:name="_Toc408471934"/>
      <w:bookmarkStart w:id="803" w:name="_Toc494798124"/>
      <w:r>
        <w:rPr>
          <w:rStyle w:val="CharSClsNo"/>
        </w:rPr>
        <w:t>51</w:t>
      </w:r>
      <w:r>
        <w:t>.</w:t>
      </w:r>
      <w:r>
        <w:tab/>
        <w:t>Application for authorisation to install or use mooring</w:t>
      </w:r>
      <w:bookmarkEnd w:id="802"/>
      <w:bookmarkEnd w:id="803"/>
    </w:p>
    <w:p>
      <w:pPr>
        <w:pStyle w:val="ySubsection"/>
      </w:pPr>
      <w:r>
        <w:tab/>
        <w:t>(1)</w:t>
      </w:r>
      <w:r>
        <w:tab/>
        <w:t>A person may apply to the harbour master for authorisation to install or use a mooring.</w:t>
      </w:r>
    </w:p>
    <w:p>
      <w:pPr>
        <w:pStyle w:val="ySubsection"/>
        <w:keepNext/>
        <w:keepLines/>
      </w:pPr>
      <w:r>
        <w:tab/>
        <w:t>(2)</w:t>
      </w:r>
      <w:r>
        <w:tab/>
        <w:t xml:space="preserve">An application is to be made in the form approved by the harbour master setting out — </w:t>
      </w:r>
    </w:p>
    <w:p>
      <w:pPr>
        <w:pStyle w:val="yIndenta"/>
        <w:keepNext/>
        <w:keepLines/>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804" w:name="_Toc408471935"/>
      <w:bookmarkStart w:id="805" w:name="_Toc494798125"/>
      <w:r>
        <w:rPr>
          <w:rStyle w:val="CharSClsNo"/>
        </w:rPr>
        <w:t>52</w:t>
      </w:r>
      <w:r>
        <w:t>.</w:t>
      </w:r>
      <w:r>
        <w:tab/>
        <w:t>Authorisation of mooring</w:t>
      </w:r>
      <w:bookmarkEnd w:id="804"/>
      <w:bookmarkEnd w:id="805"/>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806" w:name="_Toc408471936"/>
      <w:bookmarkStart w:id="807" w:name="_Toc494798126"/>
      <w:r>
        <w:rPr>
          <w:rStyle w:val="CharSClsNo"/>
        </w:rPr>
        <w:t>53</w:t>
      </w:r>
      <w:r>
        <w:t>.</w:t>
      </w:r>
      <w:r>
        <w:tab/>
        <w:t>Revoking authorisation of mooring</w:t>
      </w:r>
      <w:bookmarkEnd w:id="806"/>
      <w:bookmarkEnd w:id="807"/>
    </w:p>
    <w:p>
      <w:pPr>
        <w:pStyle w:val="ySubsection"/>
        <w:keepNext/>
        <w:keepLines/>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pPr>
      <w:r>
        <w:tab/>
        <w:t>(2)</w:t>
      </w:r>
      <w:r>
        <w:tab/>
        <w:t>The revocation has effect when written notice of it is given to the mooring owner.</w:t>
      </w:r>
    </w:p>
    <w:p>
      <w:pPr>
        <w:pStyle w:val="ySubsection"/>
      </w:pPr>
      <w:r>
        <w:tab/>
        <w:t>(3)</w:t>
      </w:r>
      <w:r>
        <w:tab/>
        <w:t>The harbour master may, in the notice, direct the mooring owner to cause the mooring to be removed from the waters of the port within 14 days after the day on which the notice is given.</w:t>
      </w:r>
    </w:p>
    <w:p>
      <w:pPr>
        <w:pStyle w:val="ySubsection"/>
      </w:pPr>
      <w:r>
        <w:tab/>
        <w:t>(4)</w:t>
      </w:r>
      <w:r>
        <w:tab/>
        <w:t>If the notice includes a direction under subclause (3), it must also state the effect of subclause (5) and clause 58(1)(b), (2) and (3).</w:t>
      </w:r>
    </w:p>
    <w:p>
      <w:pPr>
        <w:pStyle w:val="ySubsection"/>
      </w:pPr>
      <w:r>
        <w:tab/>
        <w:t>(5)</w:t>
      </w:r>
      <w:r>
        <w:tab/>
        <w:t>A person who does not comply with a direction under subclause (3) commits an offence.</w:t>
      </w:r>
    </w:p>
    <w:p>
      <w:pPr>
        <w:pStyle w:val="yPenstart"/>
      </w:pPr>
      <w:r>
        <w:tab/>
        <w:t>Penalty for this subclause: a fine of $2 000.</w:t>
      </w:r>
    </w:p>
    <w:p>
      <w:pPr>
        <w:pStyle w:val="yFootnotesection"/>
      </w:pPr>
      <w:r>
        <w:tab/>
        <w:t>[Clause 53 amended in Gazette 2 Oct 2007 p. 4972; 3 Oct 2017 p. 5046.]</w:t>
      </w:r>
    </w:p>
    <w:p>
      <w:pPr>
        <w:pStyle w:val="yHeading5"/>
        <w:outlineLvl w:val="0"/>
      </w:pPr>
      <w:bookmarkStart w:id="808" w:name="_Toc408471937"/>
      <w:bookmarkStart w:id="809" w:name="_Toc494798127"/>
      <w:r>
        <w:rPr>
          <w:rStyle w:val="CharSClsNo"/>
        </w:rPr>
        <w:t>54</w:t>
      </w:r>
      <w:r>
        <w:t>.</w:t>
      </w:r>
      <w:r>
        <w:tab/>
        <w:t>Moorings to be maintained in good condition</w:t>
      </w:r>
      <w:bookmarkEnd w:id="808"/>
      <w:bookmarkEnd w:id="809"/>
    </w:p>
    <w:p>
      <w:pPr>
        <w:pStyle w:val="ySubsection"/>
      </w:pPr>
      <w:r>
        <w:tab/>
        <w:t>(1)</w:t>
      </w:r>
      <w:r>
        <w:tab/>
        <w:t>A mooring owner must ensure that the mooring is maintained in good condition.</w:t>
      </w:r>
    </w:p>
    <w:p>
      <w:pPr>
        <w:pStyle w:val="ySubsection"/>
        <w:keepNext/>
        <w:keepLines/>
      </w:pPr>
      <w:r>
        <w:tab/>
        <w:t>(2)</w:t>
      </w:r>
      <w:r>
        <w:tab/>
        <w:t>A person who does not comply with subclause (1) commits an offence.</w:t>
      </w:r>
    </w:p>
    <w:p>
      <w:pPr>
        <w:pStyle w:val="yPenstart"/>
      </w:pPr>
      <w:r>
        <w:tab/>
        <w:t>Penalty: $2 000.</w:t>
      </w:r>
    </w:p>
    <w:p>
      <w:pPr>
        <w:pStyle w:val="yHeading5"/>
        <w:outlineLvl w:val="0"/>
      </w:pPr>
      <w:bookmarkStart w:id="810" w:name="_Toc408471938"/>
      <w:bookmarkStart w:id="811" w:name="_Toc494798128"/>
      <w:r>
        <w:rPr>
          <w:rStyle w:val="CharSClsNo"/>
        </w:rPr>
        <w:t>55</w:t>
      </w:r>
      <w:r>
        <w:t>.</w:t>
      </w:r>
      <w:r>
        <w:tab/>
        <w:t>Floats on moorings</w:t>
      </w:r>
      <w:bookmarkEnd w:id="810"/>
      <w:bookmarkEnd w:id="811"/>
    </w:p>
    <w:p>
      <w:pPr>
        <w:pStyle w:val="ySubsection"/>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meets the mooring design requirements relating to mooring buoys set out in the mooring handbook and any other requirements of the harbour master relating to mooring buoys; and</w:t>
      </w:r>
    </w:p>
    <w:p>
      <w:pPr>
        <w:pStyle w:val="yIndenta"/>
      </w:pPr>
      <w:r>
        <w:tab/>
        <w:t>(c)</w:t>
      </w:r>
      <w:r>
        <w:tab/>
        <w:t>is legibly marked with a means of identification approved by the harbour master.</w:t>
      </w:r>
    </w:p>
    <w:p>
      <w:pPr>
        <w:pStyle w:val="yEdnotepara"/>
      </w:pPr>
      <w:r>
        <w:tab/>
        <w:t>[(d)</w:t>
      </w:r>
      <w:r>
        <w:tab/>
        <w:t>deleted]</w:t>
      </w:r>
    </w:p>
    <w:p>
      <w:pPr>
        <w:pStyle w:val="ySubsection"/>
      </w:pPr>
      <w:r>
        <w:tab/>
        <w:t>(2)</w:t>
      </w:r>
      <w:r>
        <w:tab/>
        <w:t>A person who does not comply with subclause (1)(a), (b) or (c) commits an offence.</w:t>
      </w:r>
    </w:p>
    <w:p>
      <w:pPr>
        <w:pStyle w:val="yPenstart"/>
      </w:pPr>
      <w:r>
        <w:tab/>
        <w:t>Penalty for this subclause: a fine of $5 000.</w:t>
      </w:r>
    </w:p>
    <w:p>
      <w:pPr>
        <w:pStyle w:val="yFootnotesection"/>
      </w:pPr>
      <w:bookmarkStart w:id="812" w:name="_Toc408471939"/>
      <w:r>
        <w:tab/>
        <w:t>[Clause 55 amended in Gazette 3 Oct 2017 p. 5046.]</w:t>
      </w:r>
    </w:p>
    <w:p>
      <w:pPr>
        <w:pStyle w:val="yHeading5"/>
        <w:outlineLvl w:val="0"/>
      </w:pPr>
      <w:bookmarkStart w:id="813" w:name="_Toc494798129"/>
      <w:r>
        <w:rPr>
          <w:rStyle w:val="CharSClsNo"/>
        </w:rPr>
        <w:t>56</w:t>
      </w:r>
      <w:r>
        <w:t>.</w:t>
      </w:r>
      <w:r>
        <w:tab/>
        <w:t>Inspection reports for moorings</w:t>
      </w:r>
      <w:bookmarkEnd w:id="812"/>
      <w:bookmarkEnd w:id="813"/>
    </w:p>
    <w:p>
      <w:pPr>
        <w:pStyle w:val="ySubsection"/>
      </w:pPr>
      <w:r>
        <w:tab/>
        <w:t>(1)</w:t>
      </w:r>
      <w:r>
        <w:tab/>
        <w:t>A person who is authorised to install a mooring under clause 52 is to obtain a written report on the condition of the mooring after it is installed.</w:t>
      </w:r>
    </w:p>
    <w:p>
      <w:pPr>
        <w:pStyle w:val="ySubsection"/>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spacing w:before="180"/>
        <w:outlineLvl w:val="0"/>
      </w:pPr>
      <w:bookmarkStart w:id="814" w:name="_Toc408471940"/>
      <w:bookmarkStart w:id="815" w:name="_Toc494798130"/>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814"/>
      <w:bookmarkEnd w:id="815"/>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816" w:name="_Toc489970713"/>
      <w:bookmarkStart w:id="817" w:name="_Toc490033436"/>
      <w:bookmarkStart w:id="818" w:name="_Toc494798131"/>
      <w:bookmarkStart w:id="819" w:name="_Toc408471941"/>
      <w:r>
        <w:rPr>
          <w:rStyle w:val="CharSClsNo"/>
        </w:rPr>
        <w:t>58</w:t>
      </w:r>
      <w:r>
        <w:t>.</w:t>
      </w:r>
      <w:r>
        <w:tab/>
        <w:t>Removal of moorings</w:t>
      </w:r>
      <w:bookmarkEnd w:id="816"/>
      <w:bookmarkEnd w:id="817"/>
      <w:bookmarkEnd w:id="818"/>
    </w:p>
    <w:p>
      <w:pPr>
        <w:pStyle w:val="ySubsection"/>
      </w:pPr>
      <w:r>
        <w:tab/>
        <w:t>(1)</w:t>
      </w:r>
      <w:r>
        <w:tab/>
        <w:t>The harbour master may remove a mooring from the waters of the port if</w:t>
      </w:r>
      <w:r>
        <w:rPr>
          <w:szCs w:val="22"/>
        </w:rPr>
        <w:t xml:space="preserve"> — </w:t>
      </w:r>
    </w:p>
    <w:p>
      <w:pPr>
        <w:pStyle w:val="Indenta"/>
      </w:pPr>
      <w:r>
        <w:rPr>
          <w:sz w:val="22"/>
          <w:szCs w:val="22"/>
        </w:rPr>
        <w:tab/>
        <w:t>(a)</w:t>
      </w:r>
      <w:r>
        <w:rPr>
          <w:sz w:val="22"/>
          <w:szCs w:val="22"/>
        </w:rPr>
        <w:tab/>
      </w:r>
      <w:r>
        <w:rPr>
          <w:sz w:val="22"/>
        </w:rPr>
        <w:t>the harbour master is unable, after reasonable enquiries, to identify or find the mooring owner; or</w:t>
      </w:r>
    </w:p>
    <w:p>
      <w:pPr>
        <w:pStyle w:val="Indenta"/>
      </w:pPr>
      <w:r>
        <w:tab/>
        <w:t>(b)</w:t>
      </w:r>
      <w:r>
        <w:tab/>
        <w:t>the mooring owner has failed to comply with a direction under clause 53(3).</w:t>
      </w:r>
    </w:p>
    <w:p>
      <w:pPr>
        <w:pStyle w:val="ySubsection"/>
      </w:pPr>
      <w:r>
        <w:tab/>
        <w:t>(2)</w:t>
      </w:r>
      <w:r>
        <w:tab/>
        <w:t>If a harbour master removes a mooring under subclause (1)(b), the mooring owner is liable for any expenses reasonably incurred by the harbour master in doing so.</w:t>
      </w:r>
    </w:p>
    <w:p>
      <w:pPr>
        <w:pStyle w:val="Subsection"/>
      </w:pPr>
      <w:r>
        <w:rPr>
          <w:sz w:val="22"/>
          <w:szCs w:val="22"/>
        </w:rPr>
        <w:tab/>
        <w:t>(3)</w:t>
      </w:r>
      <w:r>
        <w:rPr>
          <w:sz w:val="22"/>
          <w:szCs w:val="22"/>
        </w:rPr>
        <w:tab/>
        <w:t>The port authority may recover those expenses in a court of competent jurisdiction as a debt due to the port authority.</w:t>
      </w:r>
    </w:p>
    <w:p>
      <w:pPr>
        <w:pStyle w:val="yFootnotesection"/>
      </w:pPr>
      <w:r>
        <w:tab/>
        <w:t>[Clause 58 inserted in Gazette 3 Oct 2017 p. 5047.]</w:t>
      </w:r>
    </w:p>
    <w:p>
      <w:pPr>
        <w:pStyle w:val="yHeading4"/>
        <w:outlineLvl w:val="0"/>
      </w:pPr>
      <w:bookmarkStart w:id="820" w:name="_Toc408471942"/>
      <w:bookmarkStart w:id="821" w:name="_Toc416945587"/>
      <w:bookmarkStart w:id="822" w:name="_Toc416945926"/>
      <w:bookmarkStart w:id="823" w:name="_Toc416946210"/>
      <w:bookmarkStart w:id="824" w:name="_Toc417655780"/>
      <w:bookmarkStart w:id="825" w:name="_Toc461722207"/>
      <w:bookmarkStart w:id="826" w:name="_Toc461723854"/>
      <w:bookmarkStart w:id="827" w:name="_Toc493069606"/>
      <w:bookmarkStart w:id="828" w:name="_Toc494791883"/>
      <w:bookmarkStart w:id="829" w:name="_Toc494793506"/>
      <w:bookmarkStart w:id="830" w:name="_Toc494798132"/>
      <w:bookmarkEnd w:id="819"/>
      <w:r>
        <w:t>Subdivision 4 — Service providers’ licences</w:t>
      </w:r>
      <w:bookmarkEnd w:id="820"/>
      <w:bookmarkEnd w:id="821"/>
      <w:bookmarkEnd w:id="822"/>
      <w:bookmarkEnd w:id="823"/>
      <w:bookmarkEnd w:id="824"/>
      <w:bookmarkEnd w:id="825"/>
      <w:bookmarkEnd w:id="826"/>
      <w:bookmarkEnd w:id="827"/>
      <w:bookmarkEnd w:id="828"/>
      <w:bookmarkEnd w:id="829"/>
      <w:bookmarkEnd w:id="830"/>
    </w:p>
    <w:p>
      <w:pPr>
        <w:pStyle w:val="yHeading5"/>
        <w:spacing w:before="180"/>
        <w:outlineLvl w:val="0"/>
      </w:pPr>
      <w:bookmarkStart w:id="831" w:name="_Toc408471943"/>
      <w:bookmarkStart w:id="832" w:name="_Toc494798133"/>
      <w:r>
        <w:rPr>
          <w:rStyle w:val="CharSClsNo"/>
        </w:rPr>
        <w:t>59</w:t>
      </w:r>
      <w:r>
        <w:t>.</w:t>
      </w:r>
      <w:r>
        <w:tab/>
        <w:t>Term used: service provider’s licence</w:t>
      </w:r>
      <w:bookmarkEnd w:id="831"/>
      <w:bookmarkEnd w:id="832"/>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spacing w:before="180"/>
        <w:outlineLvl w:val="0"/>
      </w:pPr>
      <w:bookmarkStart w:id="833" w:name="_Toc408471944"/>
      <w:bookmarkStart w:id="834" w:name="_Toc494798134"/>
      <w:r>
        <w:rPr>
          <w:rStyle w:val="CharSClsNo"/>
        </w:rPr>
        <w:t>60</w:t>
      </w:r>
      <w:r>
        <w:t>.</w:t>
      </w:r>
      <w:r>
        <w:tab/>
        <w:t>Unlicensed persons not to provide certain services</w:t>
      </w:r>
      <w:bookmarkEnd w:id="833"/>
      <w:bookmarkEnd w:id="834"/>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spacing w:before="80"/>
      </w:pPr>
      <w:r>
        <w:tab/>
        <w:t>[Clause 60 amended in Gazette 12 Jun 2007 p. 2686.]</w:t>
      </w:r>
    </w:p>
    <w:p>
      <w:pPr>
        <w:pStyle w:val="yHeading5"/>
        <w:outlineLvl w:val="0"/>
      </w:pPr>
      <w:bookmarkStart w:id="835" w:name="_Toc408471945"/>
      <w:bookmarkStart w:id="836" w:name="_Toc494798135"/>
      <w:r>
        <w:rPr>
          <w:rStyle w:val="CharSClsNo"/>
        </w:rPr>
        <w:t>61</w:t>
      </w:r>
      <w:r>
        <w:t>.</w:t>
      </w:r>
      <w:r>
        <w:tab/>
        <w:t>Service providers’ licences</w:t>
      </w:r>
      <w:bookmarkEnd w:id="835"/>
      <w:bookmarkEnd w:id="83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837" w:name="_Toc408471946"/>
      <w:bookmarkStart w:id="838" w:name="_Toc416945591"/>
      <w:bookmarkStart w:id="839" w:name="_Toc416945930"/>
      <w:bookmarkStart w:id="840" w:name="_Toc416946214"/>
      <w:bookmarkStart w:id="841" w:name="_Toc417655784"/>
      <w:bookmarkStart w:id="842" w:name="_Toc461722211"/>
      <w:bookmarkStart w:id="843" w:name="_Toc461723858"/>
      <w:bookmarkStart w:id="844" w:name="_Toc493069610"/>
      <w:bookmarkStart w:id="845" w:name="_Toc494791887"/>
      <w:bookmarkStart w:id="846" w:name="_Toc494793510"/>
      <w:bookmarkStart w:id="847" w:name="_Toc494798136"/>
      <w:r>
        <w:t>Subdivision 5 — Goods</w:t>
      </w:r>
      <w:bookmarkEnd w:id="837"/>
      <w:bookmarkEnd w:id="838"/>
      <w:bookmarkEnd w:id="839"/>
      <w:bookmarkEnd w:id="840"/>
      <w:bookmarkEnd w:id="841"/>
      <w:bookmarkEnd w:id="842"/>
      <w:bookmarkEnd w:id="843"/>
      <w:bookmarkEnd w:id="844"/>
      <w:bookmarkEnd w:id="845"/>
      <w:bookmarkEnd w:id="846"/>
      <w:bookmarkEnd w:id="847"/>
    </w:p>
    <w:p>
      <w:pPr>
        <w:pStyle w:val="yHeading5"/>
        <w:outlineLvl w:val="0"/>
      </w:pPr>
      <w:bookmarkStart w:id="848" w:name="_Toc408471947"/>
      <w:bookmarkStart w:id="849" w:name="_Toc494798137"/>
      <w:r>
        <w:rPr>
          <w:rStyle w:val="CharSClsNo"/>
        </w:rPr>
        <w:t>62</w:t>
      </w:r>
      <w:r>
        <w:t>.</w:t>
      </w:r>
      <w:r>
        <w:tab/>
        <w:t>Goods not to be placed on port facility etc. without authority</w:t>
      </w:r>
      <w:bookmarkEnd w:id="848"/>
      <w:bookmarkEnd w:id="849"/>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1 m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outlineLvl w:val="0"/>
      </w:pPr>
      <w:bookmarkStart w:id="850" w:name="_Toc408471948"/>
      <w:bookmarkStart w:id="851" w:name="_Toc416945593"/>
      <w:bookmarkStart w:id="852" w:name="_Toc416945932"/>
      <w:bookmarkStart w:id="853" w:name="_Toc416946216"/>
      <w:bookmarkStart w:id="854" w:name="_Toc417655786"/>
      <w:bookmarkStart w:id="855" w:name="_Toc461722213"/>
      <w:bookmarkStart w:id="856" w:name="_Toc461723860"/>
      <w:bookmarkStart w:id="857" w:name="_Toc493069612"/>
      <w:bookmarkStart w:id="858" w:name="_Toc494791889"/>
      <w:bookmarkStart w:id="859" w:name="_Toc494793512"/>
      <w:bookmarkStart w:id="860" w:name="_Toc494798138"/>
      <w:r>
        <w:t>Subdivision 6 — Miscellaneous</w:t>
      </w:r>
      <w:bookmarkEnd w:id="850"/>
      <w:bookmarkEnd w:id="851"/>
      <w:bookmarkEnd w:id="852"/>
      <w:bookmarkEnd w:id="853"/>
      <w:bookmarkEnd w:id="854"/>
      <w:bookmarkEnd w:id="855"/>
      <w:bookmarkEnd w:id="856"/>
      <w:bookmarkEnd w:id="857"/>
      <w:bookmarkEnd w:id="858"/>
      <w:bookmarkEnd w:id="859"/>
      <w:bookmarkEnd w:id="860"/>
    </w:p>
    <w:p>
      <w:pPr>
        <w:pStyle w:val="yHeading5"/>
        <w:outlineLvl w:val="0"/>
      </w:pPr>
      <w:bookmarkStart w:id="861" w:name="_Toc408471949"/>
      <w:bookmarkStart w:id="862" w:name="_Toc494798139"/>
      <w:r>
        <w:rPr>
          <w:rStyle w:val="CharSClsNo"/>
        </w:rPr>
        <w:t>63</w:t>
      </w:r>
      <w:r>
        <w:t>.</w:t>
      </w:r>
      <w:r>
        <w:tab/>
        <w:t>Damage to property to be reported to harbour master</w:t>
      </w:r>
      <w:bookmarkEnd w:id="861"/>
      <w:bookmarkEnd w:id="862"/>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863" w:name="_Toc408471950"/>
      <w:bookmarkStart w:id="864" w:name="_Toc494798140"/>
      <w:r>
        <w:rPr>
          <w:rStyle w:val="CharSClsNo"/>
        </w:rPr>
        <w:t>64</w:t>
      </w:r>
      <w:r>
        <w:t>.</w:t>
      </w:r>
      <w:r>
        <w:tab/>
        <w:t>Unauthorised entry of closed areas of port</w:t>
      </w:r>
      <w:bookmarkEnd w:id="863"/>
      <w:bookmarkEnd w:id="864"/>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865" w:name="_Toc408471951"/>
      <w:bookmarkStart w:id="866" w:name="_Toc416945596"/>
      <w:bookmarkStart w:id="867" w:name="_Toc416945935"/>
      <w:bookmarkStart w:id="868" w:name="_Toc416946219"/>
      <w:bookmarkStart w:id="869" w:name="_Toc417655789"/>
      <w:bookmarkStart w:id="870" w:name="_Toc461722216"/>
      <w:bookmarkStart w:id="871" w:name="_Toc461723863"/>
      <w:bookmarkStart w:id="872" w:name="_Toc493069615"/>
      <w:bookmarkStart w:id="873" w:name="_Toc494791892"/>
      <w:bookmarkStart w:id="874" w:name="_Toc494793515"/>
      <w:bookmarkStart w:id="875" w:name="_Toc494798141"/>
      <w:r>
        <w:rPr>
          <w:rStyle w:val="CharSDivNo"/>
        </w:rPr>
        <w:t>Division 4A</w:t>
      </w:r>
      <w:r>
        <w:t> — </w:t>
      </w:r>
      <w:r>
        <w:rPr>
          <w:rStyle w:val="CharSDivText"/>
        </w:rPr>
        <w:t>Port of Esperance</w:t>
      </w:r>
      <w:bookmarkEnd w:id="865"/>
      <w:bookmarkEnd w:id="866"/>
      <w:bookmarkEnd w:id="867"/>
      <w:bookmarkEnd w:id="868"/>
      <w:bookmarkEnd w:id="869"/>
      <w:bookmarkEnd w:id="870"/>
      <w:bookmarkEnd w:id="871"/>
      <w:bookmarkEnd w:id="872"/>
      <w:bookmarkEnd w:id="873"/>
      <w:bookmarkEnd w:id="874"/>
      <w:bookmarkEnd w:id="875"/>
    </w:p>
    <w:p>
      <w:pPr>
        <w:pStyle w:val="yFootnoteheading"/>
      </w:pPr>
      <w:r>
        <w:tab/>
        <w:t>[Heading inserted in Gazette 20 Jun 2014 p. 2034.]</w:t>
      </w:r>
    </w:p>
    <w:p>
      <w:pPr>
        <w:pStyle w:val="yHeading5"/>
      </w:pPr>
      <w:bookmarkStart w:id="876" w:name="_Toc408471952"/>
      <w:bookmarkStart w:id="877" w:name="_Toc494798142"/>
      <w:r>
        <w:rPr>
          <w:rStyle w:val="CharSClsNo"/>
        </w:rPr>
        <w:t>64A</w:t>
      </w:r>
      <w:r>
        <w:t>.</w:t>
      </w:r>
      <w:r>
        <w:tab/>
        <w:t>Application of this Division</w:t>
      </w:r>
      <w:bookmarkEnd w:id="876"/>
      <w:bookmarkEnd w:id="877"/>
    </w:p>
    <w:p>
      <w:pPr>
        <w:pStyle w:val="ySubsection"/>
      </w:pPr>
      <w:r>
        <w:tab/>
      </w:r>
      <w:r>
        <w:tab/>
        <w:t xml:space="preserve">This Division applies to the </w:t>
      </w:r>
      <w:smartTag w:uri="urn:schemas-microsoft-com:office:smarttags" w:element="PlaceType">
        <w:r>
          <w:t>Port</w:t>
        </w:r>
      </w:smartTag>
      <w:r>
        <w:t xml:space="preserve"> of Esperance and the Southern Ports Authority.</w:t>
      </w:r>
    </w:p>
    <w:p>
      <w:pPr>
        <w:pStyle w:val="yFootnotesection"/>
      </w:pPr>
      <w:r>
        <w:tab/>
        <w:t>[Clause 64A inserted in Gazette 19 Sep 2014 p. 3343.]</w:t>
      </w:r>
    </w:p>
    <w:p>
      <w:pPr>
        <w:pStyle w:val="yHeading5"/>
      </w:pPr>
      <w:bookmarkStart w:id="878" w:name="_Toc408471953"/>
      <w:bookmarkStart w:id="879" w:name="_Toc494798143"/>
      <w:r>
        <w:rPr>
          <w:rStyle w:val="CharSClsNo"/>
        </w:rPr>
        <w:t>64AA</w:t>
      </w:r>
      <w:r>
        <w:t>.</w:t>
      </w:r>
      <w:r>
        <w:tab/>
        <w:t>Term used: service provider’s licence</w:t>
      </w:r>
      <w:bookmarkEnd w:id="878"/>
      <w:bookmarkEnd w:id="87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880" w:name="_Toc408471954"/>
      <w:bookmarkStart w:id="881" w:name="_Toc494798144"/>
      <w:r>
        <w:rPr>
          <w:rStyle w:val="CharSClsNo"/>
        </w:rPr>
        <w:t>64B</w:t>
      </w:r>
      <w:r>
        <w:t>.</w:t>
      </w:r>
      <w:r>
        <w:tab/>
        <w:t>Fishing vessels not to berth at berth 1, 2 or 3 without authority</w:t>
      </w:r>
      <w:bookmarkEnd w:id="880"/>
      <w:bookmarkEnd w:id="881"/>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882" w:name="_Toc408471955"/>
      <w:bookmarkStart w:id="883" w:name="_Toc494798145"/>
      <w:r>
        <w:rPr>
          <w:rStyle w:val="CharSClsNo"/>
        </w:rPr>
        <w:t>64C</w:t>
      </w:r>
      <w:r>
        <w:t>.</w:t>
      </w:r>
      <w:r>
        <w:tab/>
        <w:t>Vessel not to be moored etc. without authority</w:t>
      </w:r>
      <w:bookmarkEnd w:id="882"/>
      <w:bookmarkEnd w:id="883"/>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884" w:name="_Toc408471956"/>
      <w:bookmarkStart w:id="885" w:name="_Toc494798146"/>
      <w:r>
        <w:rPr>
          <w:rStyle w:val="CharSClsNo"/>
        </w:rPr>
        <w:t>64D</w:t>
      </w:r>
      <w:r>
        <w:t>.</w:t>
      </w:r>
      <w:r>
        <w:tab/>
        <w:t>Fishing gear not to be put in port waters without authority</w:t>
      </w:r>
      <w:bookmarkEnd w:id="884"/>
      <w:bookmarkEnd w:id="885"/>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886" w:name="_Toc408471957"/>
      <w:bookmarkStart w:id="887" w:name="_Toc494798147"/>
      <w:r>
        <w:rPr>
          <w:rStyle w:val="CharSClsNo"/>
        </w:rPr>
        <w:t>64E</w:t>
      </w:r>
      <w:r>
        <w:t>.</w:t>
      </w:r>
      <w:r>
        <w:tab/>
        <w:t>Unlicensed persons not to provide certain services</w:t>
      </w:r>
      <w:bookmarkEnd w:id="886"/>
      <w:bookmarkEnd w:id="88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888" w:name="_Toc408471958"/>
      <w:bookmarkStart w:id="889" w:name="_Toc494798148"/>
      <w:r>
        <w:rPr>
          <w:rStyle w:val="CharSClsNo"/>
        </w:rPr>
        <w:t>64F</w:t>
      </w:r>
      <w:r>
        <w:t>.</w:t>
      </w:r>
      <w:r>
        <w:tab/>
        <w:t>Service providers’ licences</w:t>
      </w:r>
      <w:bookmarkEnd w:id="888"/>
      <w:bookmarkEnd w:id="889"/>
    </w:p>
    <w:p>
      <w:pPr>
        <w:pStyle w:val="ySubsection"/>
        <w:spacing w:before="180"/>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spacing w:before="180"/>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spacing w:before="120"/>
      </w:pPr>
      <w:r>
        <w:tab/>
        <w:t>(3)</w:t>
      </w:r>
      <w:r>
        <w:tab/>
        <w:t xml:space="preserve">A service provider’s licence has effect in relation to the provision of the service, and for the period, set out in the licence subject to — </w:t>
      </w:r>
    </w:p>
    <w:p>
      <w:pPr>
        <w:pStyle w:val="yIndenta"/>
        <w:spacing w:before="100"/>
      </w:pPr>
      <w:r>
        <w:tab/>
        <w:t>(a)</w:t>
      </w:r>
      <w:r>
        <w:tab/>
        <w:t>annual payment to the port authority, by the person who is granted or holds the licence, of an amount determined by the port authority that is not more than $10 000 per annum; and</w:t>
      </w:r>
    </w:p>
    <w:p>
      <w:pPr>
        <w:pStyle w:val="yIndenta"/>
        <w:spacing w:before="100"/>
      </w:pPr>
      <w:r>
        <w:tab/>
        <w:t>(b)</w:t>
      </w:r>
      <w:r>
        <w:tab/>
        <w:t>any conditions or restrictions that the port authority imposes and sets out in the licence.</w:t>
      </w:r>
    </w:p>
    <w:p>
      <w:pPr>
        <w:pStyle w:val="ySubsection"/>
        <w:spacing w:before="18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spacing w:before="100"/>
      </w:pPr>
      <w:r>
        <w:tab/>
        <w:t>(a)</w:t>
      </w:r>
      <w:r>
        <w:tab/>
        <w:t>suspend the operation of the licence for any period that the port authority considers appropriate; or</w:t>
      </w:r>
    </w:p>
    <w:p>
      <w:pPr>
        <w:pStyle w:val="yIndenta"/>
        <w:spacing w:before="100"/>
      </w:pPr>
      <w:r>
        <w:tab/>
        <w:t>(b)</w:t>
      </w:r>
      <w:r>
        <w:tab/>
        <w:t>cancel the licence.</w:t>
      </w:r>
    </w:p>
    <w:p>
      <w:pPr>
        <w:pStyle w:val="ySubsection"/>
        <w:spacing w:before="180"/>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80"/>
      </w:pPr>
      <w:r>
        <w:tab/>
        <w:t>(6)</w:t>
      </w:r>
      <w:r>
        <w:tab/>
        <w:t>A notice under subclause (4) has effect on the day on which the person who holds the service provider’s licence is given the notice or on any later day specified in the notice.</w:t>
      </w:r>
    </w:p>
    <w:p>
      <w:pPr>
        <w:pStyle w:val="ySubsection"/>
        <w:spacing w:before="18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80"/>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ageBreakBefore/>
        <w:spacing w:before="0"/>
        <w:rPr>
          <w:rStyle w:val="CharSDivText"/>
        </w:rPr>
      </w:pPr>
      <w:bookmarkStart w:id="890" w:name="_Toc408471959"/>
      <w:bookmarkStart w:id="891" w:name="_Toc416945604"/>
      <w:bookmarkStart w:id="892" w:name="_Toc416945943"/>
      <w:bookmarkStart w:id="893" w:name="_Toc416946227"/>
      <w:bookmarkStart w:id="894" w:name="_Toc417655797"/>
      <w:bookmarkStart w:id="895" w:name="_Toc461722224"/>
      <w:bookmarkStart w:id="896" w:name="_Toc461723871"/>
      <w:bookmarkStart w:id="897" w:name="_Toc493069623"/>
      <w:bookmarkStart w:id="898" w:name="_Toc494791900"/>
      <w:bookmarkStart w:id="899" w:name="_Toc494793523"/>
      <w:bookmarkStart w:id="900" w:name="_Toc494798149"/>
      <w:r>
        <w:rPr>
          <w:rStyle w:val="CharSDivNo"/>
        </w:rPr>
        <w:t>Division 5</w:t>
      </w:r>
      <w:r>
        <w:t> — </w:t>
      </w:r>
      <w:r>
        <w:rPr>
          <w:rStyle w:val="CharSDivText"/>
        </w:rPr>
        <w:t>Port of Fremantle</w:t>
      </w:r>
      <w:bookmarkEnd w:id="890"/>
      <w:bookmarkEnd w:id="891"/>
      <w:bookmarkEnd w:id="892"/>
      <w:bookmarkEnd w:id="893"/>
      <w:bookmarkEnd w:id="894"/>
      <w:bookmarkEnd w:id="895"/>
      <w:bookmarkEnd w:id="896"/>
      <w:bookmarkEnd w:id="897"/>
      <w:bookmarkEnd w:id="898"/>
      <w:bookmarkEnd w:id="899"/>
      <w:bookmarkEnd w:id="900"/>
    </w:p>
    <w:p>
      <w:pPr>
        <w:pStyle w:val="yFootnoteheading"/>
      </w:pPr>
      <w:r>
        <w:tab/>
        <w:t>[Heading inserted in Gazette 20 Jun 2014 p. 2034.]</w:t>
      </w:r>
    </w:p>
    <w:p>
      <w:pPr>
        <w:pStyle w:val="yHeading4"/>
        <w:keepNext w:val="0"/>
        <w:spacing w:before="200"/>
      </w:pPr>
      <w:bookmarkStart w:id="901" w:name="_Toc408471960"/>
      <w:bookmarkStart w:id="902" w:name="_Toc416945605"/>
      <w:bookmarkStart w:id="903" w:name="_Toc416945944"/>
      <w:bookmarkStart w:id="904" w:name="_Toc416946228"/>
      <w:bookmarkStart w:id="905" w:name="_Toc417655798"/>
      <w:bookmarkStart w:id="906" w:name="_Toc461722225"/>
      <w:bookmarkStart w:id="907" w:name="_Toc461723872"/>
      <w:bookmarkStart w:id="908" w:name="_Toc493069624"/>
      <w:bookmarkStart w:id="909" w:name="_Toc494791901"/>
      <w:bookmarkStart w:id="910" w:name="_Toc494793524"/>
      <w:bookmarkStart w:id="911" w:name="_Toc494798150"/>
      <w:r>
        <w:t>Subdivision 1 — General matters</w:t>
      </w:r>
      <w:bookmarkEnd w:id="901"/>
      <w:bookmarkEnd w:id="902"/>
      <w:bookmarkEnd w:id="903"/>
      <w:bookmarkEnd w:id="904"/>
      <w:bookmarkEnd w:id="905"/>
      <w:bookmarkEnd w:id="906"/>
      <w:bookmarkEnd w:id="907"/>
      <w:bookmarkEnd w:id="908"/>
      <w:bookmarkEnd w:id="909"/>
      <w:bookmarkEnd w:id="910"/>
      <w:bookmarkEnd w:id="911"/>
    </w:p>
    <w:p>
      <w:pPr>
        <w:pStyle w:val="yHeading5"/>
        <w:keepNext w:val="0"/>
        <w:keepLines w:val="0"/>
        <w:outlineLvl w:val="0"/>
      </w:pPr>
      <w:bookmarkStart w:id="912" w:name="_Toc408471961"/>
      <w:bookmarkStart w:id="913" w:name="_Toc494798151"/>
      <w:r>
        <w:rPr>
          <w:rStyle w:val="CharSClsNo"/>
        </w:rPr>
        <w:t>65</w:t>
      </w:r>
      <w:r>
        <w:t>.</w:t>
      </w:r>
      <w:r>
        <w:tab/>
        <w:t>Application of this Division</w:t>
      </w:r>
      <w:bookmarkEnd w:id="912"/>
      <w:bookmarkEnd w:id="913"/>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914" w:name="_Toc408471962"/>
      <w:bookmarkStart w:id="915" w:name="_Toc494798152"/>
      <w:r>
        <w:rPr>
          <w:rStyle w:val="CharSClsNo"/>
        </w:rPr>
        <w:t>66</w:t>
      </w:r>
      <w:r>
        <w:t>.</w:t>
      </w:r>
      <w:r>
        <w:tab/>
        <w:t>Terms used</w:t>
      </w:r>
      <w:bookmarkEnd w:id="914"/>
      <w:bookmarkEnd w:id="915"/>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outlineLvl w:val="0"/>
      </w:pPr>
      <w:bookmarkStart w:id="916" w:name="_Toc408471963"/>
      <w:bookmarkStart w:id="917" w:name="_Toc494798153"/>
      <w:r>
        <w:rPr>
          <w:rStyle w:val="CharSClsNo"/>
        </w:rPr>
        <w:t>67</w:t>
      </w:r>
      <w:r>
        <w:t>.</w:t>
      </w:r>
      <w:r>
        <w:tab/>
        <w:t>Signal station, position of</w:t>
      </w:r>
      <w:bookmarkEnd w:id="916"/>
      <w:bookmarkEnd w:id="917"/>
    </w:p>
    <w:p>
      <w:pPr>
        <w:pStyle w:val="ySubsection"/>
      </w:pPr>
      <w:r>
        <w:tab/>
      </w:r>
      <w:r>
        <w:tab/>
        <w:t>The signal station for the port is on the port authority’s building located at latitude 32° 3′ 20″ south and longitude 115° 44′ 23″ east.</w:t>
      </w:r>
    </w:p>
    <w:p>
      <w:pPr>
        <w:pStyle w:val="yHeading5"/>
        <w:outlineLvl w:val="0"/>
      </w:pPr>
      <w:bookmarkStart w:id="918" w:name="_Toc408471964"/>
      <w:bookmarkStart w:id="919" w:name="_Toc494798154"/>
      <w:r>
        <w:rPr>
          <w:rStyle w:val="CharSClsNo"/>
        </w:rPr>
        <w:t>68</w:t>
      </w:r>
      <w:r>
        <w:t>.</w:t>
      </w:r>
      <w:r>
        <w:tab/>
        <w:t>Inner Harbour Entrance Channel, duties of masters of small vessels entering</w:t>
      </w:r>
      <w:bookmarkEnd w:id="918"/>
      <w:bookmarkEnd w:id="919"/>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920" w:name="_Toc408471965"/>
      <w:bookmarkStart w:id="921" w:name="_Toc494798155"/>
      <w:r>
        <w:rPr>
          <w:rStyle w:val="CharSClsNo"/>
        </w:rPr>
        <w:t>69</w:t>
      </w:r>
      <w:r>
        <w:t>.</w:t>
      </w:r>
      <w:r>
        <w:tab/>
        <w:t>Notice of arrival at port</w:t>
      </w:r>
      <w:bookmarkEnd w:id="920"/>
      <w:bookmarkEnd w:id="921"/>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spacing w:before="180"/>
        <w:outlineLvl w:val="0"/>
      </w:pPr>
      <w:bookmarkStart w:id="922" w:name="_Toc408471966"/>
      <w:bookmarkStart w:id="923" w:name="_Toc494798156"/>
      <w:r>
        <w:rPr>
          <w:rStyle w:val="CharSClsNo"/>
        </w:rPr>
        <w:t>70</w:t>
      </w:r>
      <w:r>
        <w:t>.</w:t>
      </w:r>
      <w:r>
        <w:tab/>
        <w:t>Notice of dangerous cargoes</w:t>
      </w:r>
      <w:bookmarkEnd w:id="922"/>
      <w:bookmarkEnd w:id="923"/>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spacing w:before="180"/>
        <w:outlineLvl w:val="0"/>
      </w:pPr>
      <w:bookmarkStart w:id="924" w:name="_Toc408471967"/>
      <w:bookmarkStart w:id="925" w:name="_Toc494798157"/>
      <w:r>
        <w:rPr>
          <w:rStyle w:val="CharSClsNo"/>
        </w:rPr>
        <w:t>71</w:t>
      </w:r>
      <w:r>
        <w:t>.</w:t>
      </w:r>
      <w:r>
        <w:tab/>
        <w:t>Where vessel is to be anchored on entering port</w:t>
      </w:r>
      <w:bookmarkEnd w:id="924"/>
      <w:bookmarkEnd w:id="925"/>
    </w:p>
    <w:p>
      <w:pPr>
        <w:pStyle w:val="ySubsection"/>
      </w:pPr>
      <w:r>
        <w:tab/>
        <w:t>(1)</w:t>
      </w:r>
      <w:r>
        <w:tab/>
        <w:t>Subject to subclauses (2) and (3) and clause 72, the master of a vessel that enters the port is to anchor the vessel in Gage Roads, south of latitude 32° 01′ south.</w:t>
      </w:r>
    </w:p>
    <w:p>
      <w:pPr>
        <w:pStyle w:val="ySubsection"/>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926" w:name="_Toc408471968"/>
      <w:bookmarkStart w:id="927" w:name="_Toc494798158"/>
      <w:r>
        <w:rPr>
          <w:rStyle w:val="CharSClsNo"/>
        </w:rPr>
        <w:t>72</w:t>
      </w:r>
      <w:r>
        <w:t>.</w:t>
      </w:r>
      <w:r>
        <w:tab/>
        <w:t>Vessels not to enter certain areas of port</w:t>
      </w:r>
      <w:bookmarkEnd w:id="926"/>
      <w:bookmarkEnd w:id="927"/>
    </w:p>
    <w:p>
      <w:pPr>
        <w:pStyle w:val="ySubsection"/>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pPr>
      <w:r>
        <w:tab/>
        <w:t>(2)</w:t>
      </w:r>
      <w:r>
        <w:tab/>
        <w:t>This subclause applies to the area of the port bounded by lines starting from the light tower on the North Mole and extending on a bearing of 286½° for 2.3 nautical miles; then on a bearing of 180° for 1.2 nautical miles; then on a bearing of 80½° for 2.65 nautical miles to the light tower on the South Mole.</w:t>
      </w:r>
    </w:p>
    <w:p>
      <w:pPr>
        <w:pStyle w:val="ySubsection"/>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928" w:name="_Toc408471969"/>
      <w:bookmarkStart w:id="929" w:name="_Toc416945614"/>
      <w:bookmarkStart w:id="930" w:name="_Toc416945953"/>
      <w:bookmarkStart w:id="931" w:name="_Toc416946237"/>
      <w:bookmarkStart w:id="932" w:name="_Toc417655807"/>
      <w:bookmarkStart w:id="933" w:name="_Toc461722234"/>
      <w:bookmarkStart w:id="934" w:name="_Toc461723881"/>
      <w:bookmarkStart w:id="935" w:name="_Toc493069633"/>
      <w:bookmarkStart w:id="936" w:name="_Toc494791910"/>
      <w:bookmarkStart w:id="937" w:name="_Toc494793533"/>
      <w:bookmarkStart w:id="938" w:name="_Toc494798159"/>
      <w:r>
        <w:t>Subdivision 2 — Pilotage exemption certificates</w:t>
      </w:r>
      <w:bookmarkEnd w:id="928"/>
      <w:bookmarkEnd w:id="929"/>
      <w:bookmarkEnd w:id="930"/>
      <w:bookmarkEnd w:id="931"/>
      <w:bookmarkEnd w:id="932"/>
      <w:bookmarkEnd w:id="933"/>
      <w:bookmarkEnd w:id="934"/>
      <w:bookmarkEnd w:id="935"/>
      <w:bookmarkEnd w:id="936"/>
      <w:bookmarkEnd w:id="937"/>
      <w:bookmarkEnd w:id="938"/>
    </w:p>
    <w:p>
      <w:pPr>
        <w:pStyle w:val="yHeading5"/>
        <w:outlineLvl w:val="0"/>
      </w:pPr>
      <w:bookmarkStart w:id="939" w:name="_Toc408471970"/>
      <w:bookmarkStart w:id="940" w:name="_Toc494798160"/>
      <w:r>
        <w:rPr>
          <w:rStyle w:val="CharSClsNo"/>
        </w:rPr>
        <w:t>73</w:t>
      </w:r>
      <w:r>
        <w:t>.</w:t>
      </w:r>
      <w:r>
        <w:tab/>
        <w:t>Terms used</w:t>
      </w:r>
      <w:bookmarkEnd w:id="939"/>
      <w:bookmarkEnd w:id="940"/>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941" w:name="_Toc408471971"/>
      <w:bookmarkStart w:id="942" w:name="_Toc494798161"/>
      <w:r>
        <w:rPr>
          <w:rStyle w:val="CharSClsNo"/>
        </w:rPr>
        <w:t>74</w:t>
      </w:r>
      <w:r>
        <w:t>.</w:t>
      </w:r>
      <w:r>
        <w:tab/>
        <w:t>Eligibility for pilotage exemption certificates</w:t>
      </w:r>
      <w:bookmarkEnd w:id="941"/>
      <w:bookmarkEnd w:id="942"/>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certificate of competency under the Navigation Act or the Marine Act that authorises the person to command a vessel of each kind for which the pilotage exemption certificate is sought; or</w:t>
      </w:r>
    </w:p>
    <w:p>
      <w:pPr>
        <w:pStyle w:val="yEdnotepara"/>
        <w:ind w:hanging="617"/>
      </w:pPr>
      <w:r>
        <w:tab/>
        <w:t>[(b), (c)</w:t>
      </w:r>
      <w:r>
        <w:tab/>
        <w:t xml:space="preserve"> deleted]</w:t>
      </w:r>
    </w:p>
    <w:p>
      <w:pPr>
        <w:pStyle w:val="yIndenta"/>
      </w:pPr>
      <w:r>
        <w:tab/>
        <w:t>(d)</w:t>
      </w:r>
      <w:r>
        <w:tab/>
        <w:t>a certificate of competency or other qualification recognised by AMSA as equivalent to a certificate of competency mentioned in paragraph (a).</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t>[Clause 74 amended in Gazette 18 Sep 2009 p. 3623; 5 Sep 2014 p. 3215.]</w:t>
      </w:r>
    </w:p>
    <w:p>
      <w:pPr>
        <w:pStyle w:val="yHeading5"/>
        <w:spacing w:before="180"/>
        <w:outlineLvl w:val="0"/>
      </w:pPr>
      <w:bookmarkStart w:id="943" w:name="_Toc408471972"/>
      <w:bookmarkStart w:id="944" w:name="_Toc494798162"/>
      <w:r>
        <w:rPr>
          <w:rStyle w:val="CharSClsNo"/>
        </w:rPr>
        <w:t>75</w:t>
      </w:r>
      <w:r>
        <w:t>.</w:t>
      </w:r>
      <w:r>
        <w:tab/>
        <w:t>Applications for pilotage exemption certificates</w:t>
      </w:r>
      <w:bookmarkEnd w:id="943"/>
      <w:bookmarkEnd w:id="944"/>
    </w:p>
    <w:p>
      <w:pPr>
        <w:pStyle w:val="ySubsection"/>
        <w:spacing w:before="120"/>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 xml:space="preserve">the applicant meets the medical fitness requirements in </w:t>
      </w:r>
      <w:r>
        <w:rPr>
          <w:i/>
        </w:rPr>
        <w:t>Marine Order 9 (Health — medical fitness) 2010</w:t>
      </w:r>
      <w:r>
        <w:t>, given effect under the Navigation Act section 343(2); and</w:t>
      </w:r>
    </w:p>
    <w:p>
      <w:pPr>
        <w:pStyle w:val="yIndenti0"/>
      </w:pPr>
      <w:r>
        <w:tab/>
        <w:t>(iv)</w:t>
      </w:r>
      <w:r>
        <w:tab/>
        <w:t>the applicant has complied with clause 76(3), if that provision applies to the applicant.</w:t>
      </w:r>
    </w:p>
    <w:p>
      <w:pPr>
        <w:pStyle w:val="ySubsection"/>
        <w:spacing w:before="120"/>
      </w:pPr>
      <w:r>
        <w:tab/>
        <w:t>(2)</w:t>
      </w:r>
      <w:r>
        <w:tab/>
        <w:t xml:space="preserve">An application is valid under this subclause if at least one of the occasions referred to in clause 74(3) or 74(4)(a), as the case requires, was — </w:t>
      </w:r>
    </w:p>
    <w:p>
      <w:pPr>
        <w:pStyle w:val="yIndenta"/>
        <w:spacing w:before="60"/>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Footnotesection"/>
      </w:pPr>
      <w:r>
        <w:tab/>
        <w:t>[Clause 75 amended in Gazette 5 Sep 2014 p. 3215.]</w:t>
      </w:r>
    </w:p>
    <w:p>
      <w:pPr>
        <w:pStyle w:val="yHeading5"/>
        <w:outlineLvl w:val="0"/>
      </w:pPr>
      <w:bookmarkStart w:id="945" w:name="_Toc408471973"/>
      <w:bookmarkStart w:id="946" w:name="_Toc494798163"/>
      <w:r>
        <w:rPr>
          <w:rStyle w:val="CharSClsNo"/>
        </w:rPr>
        <w:t>76</w:t>
      </w:r>
      <w:r>
        <w:t>.</w:t>
      </w:r>
      <w:r>
        <w:tab/>
        <w:t>Issue of pilotage exemption certificates</w:t>
      </w:r>
      <w:bookmarkEnd w:id="945"/>
      <w:bookmarkEnd w:id="946"/>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pPr>
      <w:r>
        <w:tab/>
        <w:t>(b)</w:t>
      </w:r>
      <w:r>
        <w:tab/>
        <w:t xml:space="preserve">satisfies the harbour master — </w:t>
      </w:r>
    </w:p>
    <w:p>
      <w:pPr>
        <w:pStyle w:val="yIndenti0"/>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spacing w:before="120"/>
      </w:pPr>
      <w:r>
        <w:tab/>
      </w:r>
      <w:r>
        <w:tab/>
        <w:t>as determined by the harbour master.</w:t>
      </w:r>
    </w:p>
    <w:p>
      <w:pPr>
        <w:pStyle w:val="yHeading5"/>
        <w:outlineLvl w:val="0"/>
      </w:pPr>
      <w:bookmarkStart w:id="947" w:name="_Toc408471974"/>
      <w:bookmarkStart w:id="948" w:name="_Toc494798164"/>
      <w:r>
        <w:rPr>
          <w:rStyle w:val="CharSClsNo"/>
        </w:rPr>
        <w:t>77</w:t>
      </w:r>
      <w:r>
        <w:t>.</w:t>
      </w:r>
      <w:r>
        <w:tab/>
        <w:t>Vessels to which pilotage exemption certificates apply</w:t>
      </w:r>
      <w:bookmarkEnd w:id="947"/>
      <w:bookmarkEnd w:id="948"/>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949" w:name="_Toc408471975"/>
      <w:bookmarkStart w:id="950" w:name="_Toc494798165"/>
      <w:r>
        <w:rPr>
          <w:rStyle w:val="CharSClsNo"/>
        </w:rPr>
        <w:t>78</w:t>
      </w:r>
      <w:r>
        <w:t>.</w:t>
      </w:r>
      <w:r>
        <w:tab/>
        <w:t>Pilotage exemption certificates have effect only during daylight hours unless otherwise endorsed</w:t>
      </w:r>
      <w:bookmarkEnd w:id="949"/>
      <w:bookmarkEnd w:id="950"/>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951" w:name="_Toc408471976"/>
      <w:bookmarkStart w:id="952" w:name="_Toc494798166"/>
      <w:r>
        <w:rPr>
          <w:rStyle w:val="CharSClsNo"/>
        </w:rPr>
        <w:t>79</w:t>
      </w:r>
      <w:r>
        <w:t>.</w:t>
      </w:r>
      <w:r>
        <w:tab/>
        <w:t>Endorsement of pilotage exemption certificates for longer vessels than certificate applies to</w:t>
      </w:r>
      <w:bookmarkEnd w:id="951"/>
      <w:bookmarkEnd w:id="952"/>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b/>
          <w:i/>
        </w:rPr>
        <w:t xml:space="preserve"> </w:t>
      </w:r>
      <w:r>
        <w:rPr>
          <w:rStyle w:val="CharDefText"/>
        </w:rPr>
        <w:t>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953" w:name="_Toc408471977"/>
      <w:bookmarkStart w:id="954" w:name="_Toc494798167"/>
      <w:r>
        <w:rPr>
          <w:rStyle w:val="CharSClsNo"/>
        </w:rPr>
        <w:t>80</w:t>
      </w:r>
      <w:r>
        <w:t>.</w:t>
      </w:r>
      <w:r>
        <w:tab/>
        <w:t>Validity and renewal of pilotage exemption certificates</w:t>
      </w:r>
      <w:bookmarkEnd w:id="953"/>
      <w:bookmarkEnd w:id="954"/>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medical fitness,</w:t>
      </w:r>
    </w:p>
    <w:p>
      <w:pPr>
        <w:pStyle w:val="ySubsection"/>
      </w:pPr>
      <w:r>
        <w:tab/>
      </w:r>
      <w:r>
        <w:tab/>
        <w:t>the harbour master may renew the certificate for a period that, in the discretion of the harbour master, does not exceed 2 years.</w:t>
      </w:r>
    </w:p>
    <w:p>
      <w:pPr>
        <w:pStyle w:val="yFootnotesection"/>
      </w:pPr>
      <w:r>
        <w:tab/>
        <w:t>[Clause 80 amended in Gazette 5 Sep 2014 p. 3216.]</w:t>
      </w:r>
    </w:p>
    <w:p>
      <w:pPr>
        <w:pStyle w:val="yHeading5"/>
        <w:outlineLvl w:val="0"/>
      </w:pPr>
      <w:bookmarkStart w:id="955" w:name="_Toc408471978"/>
      <w:bookmarkStart w:id="956" w:name="_Toc494798168"/>
      <w:r>
        <w:rPr>
          <w:rStyle w:val="CharSClsNo"/>
        </w:rPr>
        <w:t>81</w:t>
      </w:r>
      <w:r>
        <w:t>.</w:t>
      </w:r>
      <w:r>
        <w:tab/>
        <w:t>Expiry of pilotage exemption certificates</w:t>
      </w:r>
      <w:bookmarkEnd w:id="955"/>
      <w:bookmarkEnd w:id="95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957" w:name="_Toc408471979"/>
      <w:bookmarkStart w:id="958" w:name="_Toc494798169"/>
      <w:r>
        <w:rPr>
          <w:rStyle w:val="CharSClsNo"/>
        </w:rPr>
        <w:t>82</w:t>
      </w:r>
      <w:r>
        <w:t>.</w:t>
      </w:r>
      <w:r>
        <w:tab/>
        <w:t>Revalidation of expired pilotage exemption certificates</w:t>
      </w:r>
      <w:bookmarkEnd w:id="957"/>
      <w:bookmarkEnd w:id="958"/>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959" w:name="_Toc408471980"/>
      <w:bookmarkStart w:id="960" w:name="_Toc494798170"/>
      <w:r>
        <w:rPr>
          <w:rStyle w:val="CharSClsNo"/>
        </w:rPr>
        <w:t>83</w:t>
      </w:r>
      <w:r>
        <w:t>.</w:t>
      </w:r>
      <w:r>
        <w:tab/>
        <w:t>Restrictions on pilotage exemption certificates</w:t>
      </w:r>
      <w:bookmarkEnd w:id="959"/>
      <w:bookmarkEnd w:id="960"/>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961" w:name="_Toc408471981"/>
      <w:bookmarkStart w:id="962" w:name="_Toc494798171"/>
      <w:r>
        <w:rPr>
          <w:rStyle w:val="CharSClsNo"/>
        </w:rPr>
        <w:t>84</w:t>
      </w:r>
      <w:r>
        <w:t>.</w:t>
      </w:r>
      <w:r>
        <w:tab/>
        <w:t>Revoking pilotage exemption certificates</w:t>
      </w:r>
      <w:bookmarkEnd w:id="961"/>
      <w:bookmarkEnd w:id="96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963" w:name="_Toc408471982"/>
      <w:bookmarkStart w:id="964" w:name="_Toc494798172"/>
      <w:r>
        <w:rPr>
          <w:rStyle w:val="CharSClsNo"/>
        </w:rPr>
        <w:t>85</w:t>
      </w:r>
      <w:r>
        <w:t>.</w:t>
      </w:r>
      <w:r>
        <w:tab/>
        <w:t>Use of pilotage exemption certificates to be recorded</w:t>
      </w:r>
      <w:bookmarkEnd w:id="963"/>
      <w:bookmarkEnd w:id="964"/>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965" w:name="_Toc408471983"/>
      <w:bookmarkStart w:id="966" w:name="_Toc494798173"/>
      <w:r>
        <w:rPr>
          <w:rStyle w:val="CharSClsNo"/>
        </w:rPr>
        <w:t>86</w:t>
      </w:r>
      <w:r>
        <w:t>.</w:t>
      </w:r>
      <w:r>
        <w:tab/>
        <w:t>Compulsory pilotage areas, declaration of</w:t>
      </w:r>
      <w:bookmarkEnd w:id="965"/>
      <w:bookmarkEnd w:id="966"/>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967" w:name="_Toc408471984"/>
      <w:bookmarkStart w:id="968" w:name="_Toc416945629"/>
      <w:bookmarkStart w:id="969" w:name="_Toc416945968"/>
      <w:bookmarkStart w:id="970" w:name="_Toc416946252"/>
      <w:bookmarkStart w:id="971" w:name="_Toc417655822"/>
      <w:bookmarkStart w:id="972" w:name="_Toc461722249"/>
      <w:bookmarkStart w:id="973" w:name="_Toc461723896"/>
      <w:bookmarkStart w:id="974" w:name="_Toc493069648"/>
      <w:bookmarkStart w:id="975" w:name="_Toc494791925"/>
      <w:bookmarkStart w:id="976" w:name="_Toc494793548"/>
      <w:bookmarkStart w:id="977" w:name="_Toc494798174"/>
      <w:r>
        <w:t>Subdivision 3 — Certificates of local knowledge</w:t>
      </w:r>
      <w:bookmarkEnd w:id="967"/>
      <w:bookmarkEnd w:id="968"/>
      <w:bookmarkEnd w:id="969"/>
      <w:bookmarkEnd w:id="970"/>
      <w:bookmarkEnd w:id="971"/>
      <w:bookmarkEnd w:id="972"/>
      <w:bookmarkEnd w:id="973"/>
      <w:bookmarkEnd w:id="974"/>
      <w:bookmarkEnd w:id="975"/>
      <w:bookmarkEnd w:id="976"/>
      <w:bookmarkEnd w:id="977"/>
    </w:p>
    <w:p>
      <w:pPr>
        <w:pStyle w:val="yHeading5"/>
        <w:outlineLvl w:val="0"/>
      </w:pPr>
      <w:bookmarkStart w:id="978" w:name="_Toc408471985"/>
      <w:bookmarkStart w:id="979" w:name="_Toc494798175"/>
      <w:r>
        <w:rPr>
          <w:rStyle w:val="CharSClsNo"/>
        </w:rPr>
        <w:t>87</w:t>
      </w:r>
      <w:r>
        <w:t>.</w:t>
      </w:r>
      <w:r>
        <w:tab/>
        <w:t>Eligibility for certificates of local knowledge</w:t>
      </w:r>
      <w:bookmarkEnd w:id="978"/>
      <w:bookmarkEnd w:id="979"/>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980" w:name="_Toc408471986"/>
      <w:bookmarkStart w:id="981" w:name="_Toc494798176"/>
      <w:r>
        <w:rPr>
          <w:rStyle w:val="CharSClsNo"/>
        </w:rPr>
        <w:t>88</w:t>
      </w:r>
      <w:r>
        <w:t>.</w:t>
      </w:r>
      <w:r>
        <w:tab/>
        <w:t>Application for certificates of local knowledge</w:t>
      </w:r>
      <w:bookmarkEnd w:id="980"/>
      <w:bookmarkEnd w:id="981"/>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982" w:name="_Toc408471987"/>
      <w:bookmarkStart w:id="983" w:name="_Toc494798177"/>
      <w:r>
        <w:rPr>
          <w:rStyle w:val="CharSClsNo"/>
        </w:rPr>
        <w:t>89</w:t>
      </w:r>
      <w:r>
        <w:t>.</w:t>
      </w:r>
      <w:r>
        <w:tab/>
        <w:t>Issue of certificates of local knowledge</w:t>
      </w:r>
      <w:bookmarkEnd w:id="982"/>
      <w:bookmarkEnd w:id="983"/>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(2)</w:t>
      </w:r>
      <w:r>
        <w:tab/>
        <w:t>The harbour master is to make available to a person who requests it written information explaining what is required to satisfy the harbour master under subclause (1)(b) and clause 88(c).</w:t>
      </w:r>
    </w:p>
    <w:p>
      <w:pPr>
        <w:pStyle w:val="ySubsection"/>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984" w:name="_Toc408471988"/>
      <w:bookmarkStart w:id="985" w:name="_Toc494798178"/>
      <w:r>
        <w:rPr>
          <w:rStyle w:val="CharSClsNo"/>
        </w:rPr>
        <w:t>90</w:t>
      </w:r>
      <w:r>
        <w:t>.</w:t>
      </w:r>
      <w:r>
        <w:tab/>
        <w:t>Validity and renewal of certificates of local knowledge</w:t>
      </w:r>
      <w:bookmarkEnd w:id="984"/>
      <w:bookmarkEnd w:id="985"/>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 90 inserted in Gazette 18 Sep 2009 p. 3623</w:t>
      </w:r>
      <w:r>
        <w:noBreakHyphen/>
        <w:t>4.]</w:t>
      </w:r>
    </w:p>
    <w:p>
      <w:pPr>
        <w:pStyle w:val="yHeading5"/>
        <w:outlineLvl w:val="0"/>
      </w:pPr>
      <w:bookmarkStart w:id="986" w:name="_Toc408471989"/>
      <w:bookmarkStart w:id="987" w:name="_Toc494798179"/>
      <w:r>
        <w:rPr>
          <w:rStyle w:val="CharSClsNo"/>
        </w:rPr>
        <w:t>91A</w:t>
      </w:r>
      <w:r>
        <w:t>.</w:t>
      </w:r>
      <w:r>
        <w:tab/>
        <w:t>Revalidation of expired certificate of local knowledge</w:t>
      </w:r>
      <w:bookmarkEnd w:id="986"/>
      <w:bookmarkEnd w:id="987"/>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988" w:name="_Toc408471990"/>
      <w:bookmarkStart w:id="989" w:name="_Toc494798180"/>
      <w:r>
        <w:rPr>
          <w:rStyle w:val="CharSClsNo"/>
        </w:rPr>
        <w:t>91B</w:t>
      </w:r>
      <w:r>
        <w:t>.</w:t>
      </w:r>
      <w:r>
        <w:tab/>
        <w:t>Revoking certificate of local knowledge</w:t>
      </w:r>
      <w:bookmarkEnd w:id="988"/>
      <w:bookmarkEnd w:id="989"/>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990" w:name="_Toc408471991"/>
      <w:bookmarkStart w:id="991" w:name="_Toc494798181"/>
      <w:r>
        <w:rPr>
          <w:rStyle w:val="CharSClsNo"/>
        </w:rPr>
        <w:t>91</w:t>
      </w:r>
      <w:r>
        <w:t>.</w:t>
      </w:r>
      <w:r>
        <w:tab/>
        <w:t>Effect of certificates of local knowledge</w:t>
      </w:r>
      <w:bookmarkEnd w:id="990"/>
      <w:bookmarkEnd w:id="991"/>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992" w:name="_Toc408471992"/>
      <w:bookmarkStart w:id="993" w:name="_Toc416945637"/>
      <w:bookmarkStart w:id="994" w:name="_Toc416945976"/>
      <w:bookmarkStart w:id="995" w:name="_Toc416946260"/>
      <w:bookmarkStart w:id="996" w:name="_Toc417655830"/>
      <w:bookmarkStart w:id="997" w:name="_Toc461722257"/>
      <w:bookmarkStart w:id="998" w:name="_Toc461723904"/>
      <w:bookmarkStart w:id="999" w:name="_Toc493069656"/>
      <w:bookmarkStart w:id="1000" w:name="_Toc494791933"/>
      <w:bookmarkStart w:id="1001" w:name="_Toc494793556"/>
      <w:bookmarkStart w:id="1002" w:name="_Toc494798182"/>
      <w:r>
        <w:t>Subdivision 4 — Things obstructing or interfering with operations of port</w:t>
      </w:r>
      <w:bookmarkEnd w:id="992"/>
      <w:bookmarkEnd w:id="993"/>
      <w:bookmarkEnd w:id="994"/>
      <w:bookmarkEnd w:id="995"/>
      <w:bookmarkEnd w:id="996"/>
      <w:bookmarkEnd w:id="997"/>
      <w:bookmarkEnd w:id="998"/>
      <w:bookmarkEnd w:id="999"/>
      <w:bookmarkEnd w:id="1000"/>
      <w:bookmarkEnd w:id="1001"/>
      <w:bookmarkEnd w:id="1002"/>
      <w:r>
        <w:t xml:space="preserve"> </w:t>
      </w:r>
    </w:p>
    <w:p>
      <w:pPr>
        <w:pStyle w:val="yHeading5"/>
        <w:outlineLvl w:val="0"/>
      </w:pPr>
      <w:bookmarkStart w:id="1003" w:name="_Toc408471993"/>
      <w:bookmarkStart w:id="1004" w:name="_Toc494798183"/>
      <w:r>
        <w:rPr>
          <w:rStyle w:val="CharSClsNo"/>
        </w:rPr>
        <w:t>92</w:t>
      </w:r>
      <w:r>
        <w:t>.</w:t>
      </w:r>
      <w:r>
        <w:tab/>
        <w:t>Things obstructing etc. port operations, powers as to</w:t>
      </w:r>
      <w:bookmarkEnd w:id="1003"/>
      <w:bookmarkEnd w:id="1004"/>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1005" w:name="_Toc408471994"/>
      <w:bookmarkStart w:id="1006" w:name="_Toc416945639"/>
      <w:bookmarkStart w:id="1007" w:name="_Toc416945978"/>
      <w:bookmarkStart w:id="1008" w:name="_Toc416946262"/>
      <w:bookmarkStart w:id="1009" w:name="_Toc417655832"/>
      <w:bookmarkStart w:id="1010" w:name="_Toc461722259"/>
      <w:bookmarkStart w:id="1011" w:name="_Toc461723906"/>
      <w:bookmarkStart w:id="1012" w:name="_Toc493069658"/>
      <w:bookmarkStart w:id="1013" w:name="_Toc494791935"/>
      <w:bookmarkStart w:id="1014" w:name="_Toc494793558"/>
      <w:bookmarkStart w:id="1015" w:name="_Toc494798184"/>
      <w:r>
        <w:t>Subdivision 5 — Fees and charges</w:t>
      </w:r>
      <w:bookmarkEnd w:id="1005"/>
      <w:bookmarkEnd w:id="1006"/>
      <w:bookmarkEnd w:id="1007"/>
      <w:bookmarkEnd w:id="1008"/>
      <w:bookmarkEnd w:id="1009"/>
      <w:bookmarkEnd w:id="1010"/>
      <w:bookmarkEnd w:id="1011"/>
      <w:bookmarkEnd w:id="1012"/>
      <w:bookmarkEnd w:id="1013"/>
      <w:bookmarkEnd w:id="1014"/>
      <w:bookmarkEnd w:id="1015"/>
    </w:p>
    <w:p>
      <w:pPr>
        <w:pStyle w:val="yHeading5"/>
        <w:outlineLvl w:val="0"/>
      </w:pPr>
      <w:bookmarkStart w:id="1016" w:name="_Toc408471995"/>
      <w:bookmarkStart w:id="1017" w:name="_Toc494798185"/>
      <w:r>
        <w:rPr>
          <w:rStyle w:val="CharSClsNo"/>
        </w:rPr>
        <w:t>93</w:t>
      </w:r>
      <w:r>
        <w:t>.</w:t>
      </w:r>
      <w:r>
        <w:tab/>
        <w:t>Fees for pilotage exemption certificates and certificates of local knowledge</w:t>
      </w:r>
      <w:bookmarkEnd w:id="1016"/>
      <w:bookmarkEnd w:id="1017"/>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1018" w:name="_Toc408471996"/>
      <w:bookmarkStart w:id="1019" w:name="_Toc416945641"/>
      <w:bookmarkStart w:id="1020" w:name="_Toc416945980"/>
      <w:bookmarkStart w:id="1021" w:name="_Toc416946264"/>
      <w:bookmarkStart w:id="1022" w:name="_Toc417655834"/>
      <w:bookmarkStart w:id="1023" w:name="_Toc461722261"/>
      <w:bookmarkStart w:id="1024" w:name="_Toc461723908"/>
      <w:bookmarkStart w:id="1025" w:name="_Toc493069660"/>
      <w:bookmarkStart w:id="1026" w:name="_Toc494791937"/>
      <w:bookmarkStart w:id="1027" w:name="_Toc494793560"/>
      <w:bookmarkStart w:id="1028" w:name="_Toc494798186"/>
      <w:r>
        <w:t>Subdivision 6 — Licences</w:t>
      </w:r>
      <w:bookmarkEnd w:id="1018"/>
      <w:bookmarkEnd w:id="1019"/>
      <w:bookmarkEnd w:id="1020"/>
      <w:bookmarkEnd w:id="1021"/>
      <w:bookmarkEnd w:id="1022"/>
      <w:bookmarkEnd w:id="1023"/>
      <w:bookmarkEnd w:id="1024"/>
      <w:bookmarkEnd w:id="1025"/>
      <w:bookmarkEnd w:id="1026"/>
      <w:bookmarkEnd w:id="1027"/>
      <w:bookmarkEnd w:id="1028"/>
    </w:p>
    <w:p>
      <w:pPr>
        <w:pStyle w:val="yHeading5"/>
        <w:spacing w:before="180"/>
        <w:outlineLvl w:val="0"/>
      </w:pPr>
      <w:bookmarkStart w:id="1029" w:name="_Toc408471997"/>
      <w:bookmarkStart w:id="1030" w:name="_Toc494798187"/>
      <w:r>
        <w:rPr>
          <w:rStyle w:val="CharSClsNo"/>
        </w:rPr>
        <w:t>94</w:t>
      </w:r>
      <w:r>
        <w:t>.</w:t>
      </w:r>
      <w:r>
        <w:tab/>
        <w:t>Terms used</w:t>
      </w:r>
      <w:bookmarkEnd w:id="1029"/>
      <w:bookmarkEnd w:id="1030"/>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1031" w:name="_Toc408471998"/>
      <w:bookmarkStart w:id="1032" w:name="_Toc494798188"/>
      <w:r>
        <w:rPr>
          <w:rStyle w:val="CharSClsNo"/>
        </w:rPr>
        <w:t>95</w:t>
      </w:r>
      <w:r>
        <w:rPr>
          <w:szCs w:val="22"/>
        </w:rPr>
        <w:t>.</w:t>
      </w:r>
      <w:r>
        <w:rPr>
          <w:szCs w:val="22"/>
        </w:rPr>
        <w:tab/>
        <w:t>Unlicensed persons not to provide certain services</w:t>
      </w:r>
      <w:bookmarkEnd w:id="1031"/>
      <w:bookmarkEnd w:id="1032"/>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1033" w:name="_Toc408471999"/>
      <w:bookmarkStart w:id="1034" w:name="_Toc494798189"/>
      <w:r>
        <w:rPr>
          <w:rStyle w:val="CharSClsNo"/>
        </w:rPr>
        <w:t>96</w:t>
      </w:r>
      <w:r>
        <w:rPr>
          <w:szCs w:val="22"/>
        </w:rPr>
        <w:t>.</w:t>
      </w:r>
      <w:r>
        <w:rPr>
          <w:szCs w:val="22"/>
        </w:rPr>
        <w:tab/>
        <w:t>Service provider’s licence</w:t>
      </w:r>
      <w:bookmarkEnd w:id="1033"/>
      <w:bookmarkEnd w:id="1034"/>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1035" w:name="_Toc408472000"/>
      <w:bookmarkStart w:id="1036" w:name="_Toc494798190"/>
      <w:r>
        <w:rPr>
          <w:rStyle w:val="CharSClsNo"/>
        </w:rPr>
        <w:t>97</w:t>
      </w:r>
      <w:r>
        <w:t>.</w:t>
      </w:r>
      <w:r>
        <w:tab/>
        <w:t>Excavation work, excavation licence needed to provide</w:t>
      </w:r>
      <w:bookmarkEnd w:id="1035"/>
      <w:bookmarkEnd w:id="1036"/>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1037" w:name="_Toc408472001"/>
      <w:bookmarkStart w:id="1038" w:name="_Toc494798191"/>
      <w:r>
        <w:rPr>
          <w:rStyle w:val="CharSClsNo"/>
        </w:rPr>
        <w:t>98</w:t>
      </w:r>
      <w:r>
        <w:t>.</w:t>
      </w:r>
      <w:r>
        <w:tab/>
        <w:t>Excavation licences</w:t>
      </w:r>
      <w:bookmarkEnd w:id="1037"/>
      <w:bookmarkEnd w:id="1038"/>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1039" w:name="_Toc408472002"/>
      <w:bookmarkStart w:id="1040" w:name="_Toc494798192"/>
      <w:r>
        <w:rPr>
          <w:rStyle w:val="CharSClsNo"/>
        </w:rPr>
        <w:t>99</w:t>
      </w:r>
      <w:r>
        <w:t>.</w:t>
      </w:r>
      <w:r>
        <w:tab/>
        <w:t>Protection from liability for port authority for licensed excavation work</w:t>
      </w:r>
      <w:bookmarkEnd w:id="1039"/>
      <w:bookmarkEnd w:id="1040"/>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1041" w:name="_Toc408472003"/>
      <w:bookmarkStart w:id="1042" w:name="_Toc416945648"/>
      <w:bookmarkStart w:id="1043" w:name="_Toc416945987"/>
      <w:bookmarkStart w:id="1044" w:name="_Toc416946271"/>
      <w:bookmarkStart w:id="1045" w:name="_Toc417655841"/>
      <w:bookmarkStart w:id="1046" w:name="_Toc461722268"/>
      <w:bookmarkStart w:id="1047" w:name="_Toc461723915"/>
      <w:bookmarkStart w:id="1048" w:name="_Toc493069667"/>
      <w:bookmarkStart w:id="1049" w:name="_Toc494791944"/>
      <w:bookmarkStart w:id="1050" w:name="_Toc494793567"/>
      <w:bookmarkStart w:id="1051" w:name="_Toc494798193"/>
      <w:r>
        <w:t>Subdivision 7 — Miscellaneous</w:t>
      </w:r>
      <w:bookmarkEnd w:id="1041"/>
      <w:bookmarkEnd w:id="1042"/>
      <w:bookmarkEnd w:id="1043"/>
      <w:bookmarkEnd w:id="1044"/>
      <w:bookmarkEnd w:id="1045"/>
      <w:bookmarkEnd w:id="1046"/>
      <w:bookmarkEnd w:id="1047"/>
      <w:bookmarkEnd w:id="1048"/>
      <w:bookmarkEnd w:id="1049"/>
      <w:bookmarkEnd w:id="1050"/>
      <w:bookmarkEnd w:id="1051"/>
    </w:p>
    <w:p>
      <w:pPr>
        <w:pStyle w:val="yHeading5"/>
        <w:outlineLvl w:val="0"/>
      </w:pPr>
      <w:bookmarkStart w:id="1052" w:name="_Toc408472004"/>
      <w:bookmarkStart w:id="1053" w:name="_Toc494798194"/>
      <w:r>
        <w:rPr>
          <w:rStyle w:val="CharSClsNo"/>
        </w:rPr>
        <w:t>100</w:t>
      </w:r>
      <w:r>
        <w:t>.</w:t>
      </w:r>
      <w:r>
        <w:tab/>
        <w:t>No swimming outside designated areas without authority</w:t>
      </w:r>
      <w:bookmarkEnd w:id="1052"/>
      <w:bookmarkEnd w:id="1053"/>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1054" w:name="_Toc408472005"/>
      <w:bookmarkStart w:id="1055" w:name="_Toc494798195"/>
      <w:r>
        <w:rPr>
          <w:rStyle w:val="CharSClsNo"/>
        </w:rPr>
        <w:t>101</w:t>
      </w:r>
      <w:r>
        <w:t>.</w:t>
      </w:r>
      <w:r>
        <w:tab/>
        <w:t>Motor boats and water skiing in Inner Harbour, restrictions on</w:t>
      </w:r>
      <w:bookmarkEnd w:id="1054"/>
      <w:bookmarkEnd w:id="1055"/>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1056" w:name="_Toc408472006"/>
      <w:bookmarkStart w:id="1057" w:name="_Toc416945651"/>
      <w:bookmarkStart w:id="1058" w:name="_Toc416945990"/>
      <w:bookmarkStart w:id="1059" w:name="_Toc416946274"/>
      <w:bookmarkStart w:id="1060" w:name="_Toc417655844"/>
      <w:bookmarkStart w:id="1061" w:name="_Toc461722271"/>
      <w:bookmarkStart w:id="1062" w:name="_Toc461723918"/>
      <w:bookmarkStart w:id="1063" w:name="_Toc493069670"/>
      <w:bookmarkStart w:id="1064" w:name="_Toc494791947"/>
      <w:bookmarkStart w:id="1065" w:name="_Toc494793570"/>
      <w:bookmarkStart w:id="1066" w:name="_Toc494798196"/>
      <w:r>
        <w:rPr>
          <w:rStyle w:val="CharSDivNo"/>
        </w:rPr>
        <w:t>Division 6</w:t>
      </w:r>
      <w:r>
        <w:t> — </w:t>
      </w:r>
      <w:r>
        <w:rPr>
          <w:rStyle w:val="CharSDivText"/>
        </w:rPr>
        <w:t>Port of Geraldton</w:t>
      </w:r>
      <w:bookmarkEnd w:id="1056"/>
      <w:bookmarkEnd w:id="1057"/>
      <w:bookmarkEnd w:id="1058"/>
      <w:bookmarkEnd w:id="1059"/>
      <w:bookmarkEnd w:id="1060"/>
      <w:bookmarkEnd w:id="1061"/>
      <w:bookmarkEnd w:id="1062"/>
      <w:bookmarkEnd w:id="1063"/>
      <w:bookmarkEnd w:id="1064"/>
      <w:bookmarkEnd w:id="1065"/>
      <w:bookmarkEnd w:id="1066"/>
    </w:p>
    <w:p>
      <w:pPr>
        <w:pStyle w:val="yFootnoteheading"/>
      </w:pPr>
      <w:r>
        <w:tab/>
        <w:t>[Heading inserted in Gazette 20 Jun 2014 p. 2034.]</w:t>
      </w:r>
    </w:p>
    <w:p>
      <w:pPr>
        <w:pStyle w:val="yHeading5"/>
      </w:pPr>
      <w:bookmarkStart w:id="1067" w:name="_Toc408472007"/>
      <w:bookmarkStart w:id="1068" w:name="_Toc494798197"/>
      <w:r>
        <w:rPr>
          <w:rStyle w:val="CharSClsNo"/>
        </w:rPr>
        <w:t>102</w:t>
      </w:r>
      <w:r>
        <w:t>.</w:t>
      </w:r>
      <w:r>
        <w:tab/>
        <w:t>Application of this Division</w:t>
      </w:r>
      <w:bookmarkEnd w:id="1067"/>
      <w:bookmarkEnd w:id="1068"/>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outlineLvl w:val="9"/>
      </w:pPr>
      <w:bookmarkStart w:id="1069" w:name="_Toc408472008"/>
      <w:bookmarkStart w:id="1070" w:name="_Toc494798198"/>
      <w:r>
        <w:rPr>
          <w:rStyle w:val="CharSClsNo"/>
        </w:rPr>
        <w:t>102A</w:t>
      </w:r>
      <w:r>
        <w:t>.</w:t>
      </w:r>
      <w:r>
        <w:tab/>
        <w:t>Term used: service provider’s licence</w:t>
      </w:r>
      <w:bookmarkEnd w:id="1069"/>
      <w:bookmarkEnd w:id="1070"/>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1071" w:name="_Toc408472009"/>
      <w:bookmarkStart w:id="1072" w:name="_Toc494798199"/>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1071"/>
      <w:bookmarkEnd w:id="1072"/>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outlineLvl w:val="0"/>
      </w:pPr>
      <w:bookmarkStart w:id="1073" w:name="_Toc408472010"/>
      <w:bookmarkStart w:id="1074" w:name="_Toc494798200"/>
      <w:r>
        <w:rPr>
          <w:rStyle w:val="CharSClsNo"/>
        </w:rPr>
        <w:t>104</w:t>
      </w:r>
      <w:r>
        <w:t>.</w:t>
      </w:r>
      <w:r>
        <w:tab/>
        <w:t>Vessel moored to have at least one person on watch</w:t>
      </w:r>
      <w:bookmarkEnd w:id="1073"/>
      <w:bookmarkEnd w:id="1074"/>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1075" w:name="_Toc408472011"/>
      <w:bookmarkStart w:id="1076" w:name="_Toc494798201"/>
      <w:r>
        <w:rPr>
          <w:rStyle w:val="CharSClsNo"/>
        </w:rPr>
        <w:t>105</w:t>
      </w:r>
      <w:r>
        <w:t>.</w:t>
      </w:r>
      <w:r>
        <w:tab/>
        <w:t>Motor boats and water skiing, restrictions on</w:t>
      </w:r>
      <w:bookmarkEnd w:id="1075"/>
      <w:bookmarkEnd w:id="107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1077" w:name="_Toc408472012"/>
      <w:bookmarkStart w:id="1078" w:name="_Toc494798202"/>
      <w:r>
        <w:rPr>
          <w:rStyle w:val="CharSClsNo"/>
        </w:rPr>
        <w:t>106</w:t>
      </w:r>
      <w:r>
        <w:t>.</w:t>
      </w:r>
      <w:r>
        <w:tab/>
        <w:t>Small vessels to leave channel and water ski area if other vessel sounds warning</w:t>
      </w:r>
      <w:bookmarkEnd w:id="1077"/>
      <w:bookmarkEnd w:id="1078"/>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1079" w:name="_Toc408472013"/>
      <w:bookmarkStart w:id="1080" w:name="_Toc494798203"/>
      <w:r>
        <w:rPr>
          <w:rStyle w:val="CharSClsNo"/>
        </w:rPr>
        <w:t>106A</w:t>
      </w:r>
      <w:r>
        <w:t>.</w:t>
      </w:r>
      <w:r>
        <w:tab/>
        <w:t>Unlicensed persons not to provide certain services</w:t>
      </w:r>
      <w:bookmarkEnd w:id="1079"/>
      <w:bookmarkEnd w:id="108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1081" w:name="_Toc408472014"/>
      <w:bookmarkStart w:id="1082" w:name="_Toc494798204"/>
      <w:r>
        <w:rPr>
          <w:rStyle w:val="CharSClsNo"/>
        </w:rPr>
        <w:t>106B</w:t>
      </w:r>
      <w:r>
        <w:t>.</w:t>
      </w:r>
      <w:r>
        <w:tab/>
        <w:t>Service provider’s licences</w:t>
      </w:r>
      <w:bookmarkEnd w:id="1081"/>
      <w:bookmarkEnd w:id="10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1083" w:name="_Toc408472015"/>
      <w:bookmarkStart w:id="1084" w:name="_Toc416945660"/>
      <w:bookmarkStart w:id="1085" w:name="_Toc416945999"/>
      <w:bookmarkStart w:id="1086" w:name="_Toc416946283"/>
      <w:bookmarkStart w:id="1087" w:name="_Toc417655853"/>
      <w:bookmarkStart w:id="1088" w:name="_Toc461722280"/>
      <w:bookmarkStart w:id="1089" w:name="_Toc461723927"/>
      <w:bookmarkStart w:id="1090" w:name="_Toc493069679"/>
      <w:bookmarkStart w:id="1091" w:name="_Toc494791956"/>
      <w:bookmarkStart w:id="1092" w:name="_Toc494793579"/>
      <w:bookmarkStart w:id="1093" w:name="_Toc494798205"/>
      <w:r>
        <w:rPr>
          <w:rStyle w:val="CharSDivNo"/>
        </w:rPr>
        <w:t>Division 7</w:t>
      </w:r>
      <w:r>
        <w:t> — </w:t>
      </w:r>
      <w:r>
        <w:rPr>
          <w:rStyle w:val="CharSDivText"/>
        </w:rPr>
        <w:t>Port of Port Hedland</w:t>
      </w:r>
      <w:bookmarkEnd w:id="1083"/>
      <w:bookmarkEnd w:id="1084"/>
      <w:bookmarkEnd w:id="1085"/>
      <w:bookmarkEnd w:id="1086"/>
      <w:bookmarkEnd w:id="1087"/>
      <w:bookmarkEnd w:id="1088"/>
      <w:bookmarkEnd w:id="1089"/>
      <w:bookmarkEnd w:id="1090"/>
      <w:bookmarkEnd w:id="1091"/>
      <w:bookmarkEnd w:id="1092"/>
      <w:bookmarkEnd w:id="1093"/>
    </w:p>
    <w:p>
      <w:pPr>
        <w:pStyle w:val="yFootnoteheading"/>
      </w:pPr>
      <w:r>
        <w:tab/>
        <w:t>[Heading inserted in Gazette 20 Jun 2014 p. 2034.]</w:t>
      </w:r>
    </w:p>
    <w:p>
      <w:pPr>
        <w:pStyle w:val="yHeading5"/>
      </w:pPr>
      <w:bookmarkStart w:id="1094" w:name="_Toc408472016"/>
      <w:bookmarkStart w:id="1095" w:name="_Toc494798206"/>
      <w:r>
        <w:rPr>
          <w:rStyle w:val="CharSClsNo"/>
        </w:rPr>
        <w:t>107</w:t>
      </w:r>
      <w:r>
        <w:t>.</w:t>
      </w:r>
      <w:r>
        <w:tab/>
        <w:t>Application of this Division</w:t>
      </w:r>
      <w:bookmarkEnd w:id="1094"/>
      <w:bookmarkEnd w:id="1095"/>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outlineLvl w:val="9"/>
      </w:pPr>
      <w:bookmarkStart w:id="1096" w:name="_Toc408472017"/>
      <w:bookmarkStart w:id="1097" w:name="_Toc494798207"/>
      <w:r>
        <w:rPr>
          <w:rStyle w:val="CharSClsNo"/>
        </w:rPr>
        <w:t>107A</w:t>
      </w:r>
      <w:r>
        <w:t>.</w:t>
      </w:r>
      <w:r>
        <w:tab/>
        <w:t>Term used: service provider’s licence</w:t>
      </w:r>
      <w:bookmarkEnd w:id="1096"/>
      <w:bookmarkEnd w:id="1097"/>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1098" w:name="_Toc408472018"/>
      <w:bookmarkStart w:id="1099" w:name="_Toc494798208"/>
      <w:r>
        <w:rPr>
          <w:rStyle w:val="CharSClsNo"/>
        </w:rPr>
        <w:t>108</w:t>
      </w:r>
      <w:r>
        <w:t>.</w:t>
      </w:r>
      <w:r>
        <w:tab/>
        <w:t>Riding animals and driving etc. vehicles on wharves, restrictions on</w:t>
      </w:r>
      <w:bookmarkEnd w:id="1098"/>
      <w:bookmarkEnd w:id="1099"/>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spacing w:before="240"/>
        <w:outlineLvl w:val="0"/>
      </w:pPr>
      <w:bookmarkStart w:id="1100" w:name="_Toc408472019"/>
      <w:bookmarkStart w:id="1101" w:name="_Toc494798209"/>
      <w:r>
        <w:rPr>
          <w:rStyle w:val="CharSClsNo"/>
        </w:rPr>
        <w:t>109</w:t>
      </w:r>
      <w:r>
        <w:t>.</w:t>
      </w:r>
      <w:r>
        <w:tab/>
        <w:t>Horse riding etc. prohibited in designated areas</w:t>
      </w:r>
      <w:bookmarkEnd w:id="1100"/>
      <w:bookmarkEnd w:id="1101"/>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spacing w:before="240"/>
        <w:outlineLvl w:val="0"/>
      </w:pPr>
      <w:bookmarkStart w:id="1102" w:name="_Toc408472020"/>
      <w:bookmarkStart w:id="1103" w:name="_Toc494798210"/>
      <w:r>
        <w:rPr>
          <w:rStyle w:val="CharSClsNo"/>
        </w:rPr>
        <w:t>110</w:t>
      </w:r>
      <w:r>
        <w:t>.</w:t>
      </w:r>
      <w:r>
        <w:tab/>
        <w:t>Mooring and fishing in restricted area not permitted without authority</w:t>
      </w:r>
      <w:bookmarkEnd w:id="1102"/>
      <w:bookmarkEnd w:id="1103"/>
    </w:p>
    <w:p>
      <w:pPr>
        <w:pStyle w:val="ySubsection"/>
      </w:pPr>
      <w:r>
        <w:tab/>
        <w:t>(1)</w:t>
      </w:r>
      <w:r>
        <w:tab/>
        <w:t xml:space="preserve">Unless authorised in writing by the harbour master, a person must not — </w:t>
      </w:r>
    </w:p>
    <w:p>
      <w:pPr>
        <w:pStyle w:val="yIndenta"/>
      </w:pPr>
      <w:r>
        <w:tab/>
        <w:t>(a)</w:t>
      </w:r>
      <w:r>
        <w:tab/>
        <w:t>moor or anchor a vessel in the restricted area; or</w:t>
      </w:r>
    </w:p>
    <w:p>
      <w:pPr>
        <w:pStyle w:val="yIndenta"/>
      </w:pPr>
      <w:r>
        <w:tab/>
        <w:t>(b)</w:t>
      </w:r>
      <w:r>
        <w:tab/>
        <w:t>fish in the restricted area.</w:t>
      </w:r>
    </w:p>
    <w:p>
      <w:pPr>
        <w:pStyle w:val="yPenstart"/>
      </w:pPr>
      <w:r>
        <w:tab/>
        <w:t>Penalty for this subclause: a fine of $5 000.</w:t>
      </w:r>
    </w:p>
    <w:p>
      <w:pPr>
        <w:pStyle w:val="ySubsection"/>
        <w:spacing w:before="18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Footnotesection"/>
      </w:pPr>
      <w:bookmarkStart w:id="1104" w:name="_Toc408472021"/>
      <w:r>
        <w:tab/>
        <w:t>[Clause 110 amended in Gazette 3 Oct 2017 p. 5047.]</w:t>
      </w:r>
    </w:p>
    <w:p>
      <w:pPr>
        <w:pStyle w:val="yHeading5"/>
        <w:spacing w:before="240"/>
        <w:outlineLvl w:val="9"/>
      </w:pPr>
      <w:bookmarkStart w:id="1105" w:name="_Toc494798211"/>
      <w:r>
        <w:rPr>
          <w:rStyle w:val="CharSClsNo"/>
        </w:rPr>
        <w:t>110A</w:t>
      </w:r>
      <w:r>
        <w:t>.</w:t>
      </w:r>
      <w:r>
        <w:tab/>
        <w:t>Unlicensed persons not to provide certain services</w:t>
      </w:r>
      <w:bookmarkEnd w:id="1104"/>
      <w:bookmarkEnd w:id="110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spacing w:before="240"/>
        <w:outlineLvl w:val="0"/>
      </w:pPr>
      <w:bookmarkStart w:id="1106" w:name="_Toc408472022"/>
      <w:bookmarkStart w:id="1107" w:name="_Toc494798212"/>
      <w:r>
        <w:rPr>
          <w:rStyle w:val="CharSClsNo"/>
        </w:rPr>
        <w:t>110B</w:t>
      </w:r>
      <w:r>
        <w:t>.</w:t>
      </w:r>
      <w:r>
        <w:tab/>
        <w:t>Service provider’s licences</w:t>
      </w:r>
      <w:bookmarkEnd w:id="1106"/>
      <w:bookmarkEnd w:id="110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sectPr>
          <w:headerReference w:type="even" r:id="rId26"/>
          <w:headerReference w:type="default" r:id="rId27"/>
          <w:pgSz w:w="11907" w:h="16840" w:code="9"/>
          <w:pgMar w:top="2381" w:right="2410" w:bottom="3544" w:left="2410" w:header="720" w:footer="3544" w:gutter="0"/>
          <w:cols w:space="720"/>
        </w:sectPr>
      </w:pPr>
      <w:bookmarkStart w:id="1109" w:name="_Toc408472023"/>
      <w:bookmarkStart w:id="1110" w:name="_Toc416945668"/>
      <w:bookmarkStart w:id="1111" w:name="_Toc416946007"/>
      <w:bookmarkStart w:id="1112" w:name="_Toc416946291"/>
      <w:bookmarkStart w:id="1113" w:name="_Toc417655861"/>
      <w:bookmarkStart w:id="1114" w:name="_Toc461722288"/>
      <w:bookmarkStart w:id="1115" w:name="_Toc461723935"/>
    </w:p>
    <w:p>
      <w:pPr>
        <w:pStyle w:val="yScheduleHeading"/>
        <w:outlineLvl w:val="0"/>
      </w:pPr>
      <w:bookmarkStart w:id="1116" w:name="_Toc493069687"/>
      <w:bookmarkStart w:id="1117" w:name="_Toc494791964"/>
      <w:bookmarkStart w:id="1118" w:name="_Toc494793587"/>
      <w:bookmarkStart w:id="1119" w:name="_Toc494798213"/>
      <w:r>
        <w:rPr>
          <w:rStyle w:val="CharSchNo"/>
        </w:rPr>
        <w:t>Schedule 3</w:t>
      </w:r>
      <w:r>
        <w:rPr>
          <w:rStyle w:val="CharSDivNo"/>
        </w:rPr>
        <w:t> </w:t>
      </w:r>
      <w:r>
        <w:t>—</w:t>
      </w:r>
      <w:r>
        <w:rPr>
          <w:rStyle w:val="CharSDivText"/>
        </w:rPr>
        <w:t> </w:t>
      </w:r>
      <w:r>
        <w:rPr>
          <w:rStyle w:val="CharSchText"/>
        </w:rPr>
        <w:t>Prescribed offences and modified penalties</w:t>
      </w:r>
      <w:bookmarkEnd w:id="1109"/>
      <w:bookmarkEnd w:id="1110"/>
      <w:bookmarkEnd w:id="1111"/>
      <w:bookmarkEnd w:id="1112"/>
      <w:bookmarkEnd w:id="1113"/>
      <w:bookmarkEnd w:id="1114"/>
      <w:bookmarkEnd w:id="1115"/>
      <w:bookmarkEnd w:id="1116"/>
      <w:bookmarkEnd w:id="1117"/>
      <w:bookmarkEnd w:id="1118"/>
      <w:bookmarkEnd w:id="1119"/>
    </w:p>
    <w:p>
      <w:pPr>
        <w:pStyle w:val="yShoulderClause"/>
        <w:spacing w:after="80"/>
      </w:pPr>
      <w:r>
        <w:t>[r. 108 &amp; 109]</w:t>
      </w:r>
    </w:p>
    <w:tbl>
      <w:tblPr>
        <w:tblW w:w="0" w:type="auto"/>
        <w:tblInd w:w="-32" w:type="dxa"/>
        <w:tblLayout w:type="fixed"/>
        <w:tblLook w:val="0000" w:firstRow="0" w:lastRow="0" w:firstColumn="0" w:lastColumn="0" w:noHBand="0" w:noVBand="0"/>
      </w:tblPr>
      <w:tblGrid>
        <w:gridCol w:w="700"/>
        <w:gridCol w:w="7"/>
        <w:gridCol w:w="5387"/>
        <w:gridCol w:w="1115"/>
        <w:gridCol w:w="19"/>
      </w:tblGrid>
      <w:tr>
        <w:trPr>
          <w:cantSplit/>
          <w:tblHeader/>
        </w:trPr>
        <w:tc>
          <w:tcPr>
            <w:tcW w:w="707" w:type="dxa"/>
            <w:gridSpan w:val="2"/>
          </w:tcPr>
          <w:p>
            <w:pPr>
              <w:pStyle w:val="yTableNAm"/>
              <w:spacing w:before="100"/>
            </w:pPr>
          </w:p>
        </w:tc>
        <w:tc>
          <w:tcPr>
            <w:tcW w:w="5387" w:type="dxa"/>
          </w:tcPr>
          <w:p>
            <w:pPr>
              <w:pStyle w:val="yTableNAm"/>
              <w:spacing w:before="100"/>
              <w:rPr>
                <w:b/>
              </w:rPr>
            </w:pPr>
            <w:r>
              <w:rPr>
                <w:b/>
              </w:rPr>
              <w:t>Prescribed offence</w:t>
            </w:r>
          </w:p>
        </w:tc>
        <w:tc>
          <w:tcPr>
            <w:tcW w:w="1134" w:type="dxa"/>
            <w:gridSpan w:val="2"/>
          </w:tcPr>
          <w:p>
            <w:pPr>
              <w:pStyle w:val="yTableNAm"/>
              <w:spacing w:before="100"/>
              <w:rPr>
                <w:b/>
              </w:rPr>
            </w:pPr>
            <w:r>
              <w:rPr>
                <w:b/>
              </w:rPr>
              <w:t>Modified penalty</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General</w:t>
            </w:r>
          </w:p>
        </w:tc>
        <w:tc>
          <w:tcPr>
            <w:tcW w:w="1134" w:type="dxa"/>
            <w:gridSpan w:val="2"/>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rPr>
                <w:i/>
              </w:rPr>
            </w:pPr>
            <w:r>
              <w:rPr>
                <w:i/>
              </w:rPr>
              <w:t>[1.</w:t>
            </w:r>
          </w:p>
        </w:tc>
        <w:tc>
          <w:tcPr>
            <w:tcW w:w="5387" w:type="dxa"/>
            <w:tcBorders>
              <w:top w:val="nil"/>
              <w:left w:val="nil"/>
              <w:bottom w:val="nil"/>
              <w:right w:val="nil"/>
            </w:tcBorders>
          </w:tcPr>
          <w:p>
            <w:pPr>
              <w:pStyle w:val="yTableNAm"/>
              <w:spacing w:before="100"/>
            </w:pPr>
            <w:r>
              <w:rPr>
                <w:i/>
              </w:rPr>
              <w:t>deleted]</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w:t>
            </w:r>
          </w:p>
        </w:tc>
        <w:tc>
          <w:tcPr>
            <w:tcW w:w="5387" w:type="dxa"/>
            <w:tcBorders>
              <w:top w:val="nil"/>
              <w:left w:val="nil"/>
              <w:bottom w:val="nil"/>
              <w:right w:val="nil"/>
            </w:tcBorders>
          </w:tcPr>
          <w:p>
            <w:pPr>
              <w:pStyle w:val="yTableNAm"/>
              <w:tabs>
                <w:tab w:val="clear" w:pos="567"/>
                <w:tab w:val="right" w:leader="dot" w:pos="5137"/>
              </w:tabs>
              <w:spacing w:before="100"/>
            </w:pPr>
            <w:r>
              <w:t>Regulation 13(2): failing to comply with a direction of an authorised member of staff to leave or keep off wharf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1AA.</w:t>
            </w:r>
          </w:p>
        </w:tc>
        <w:tc>
          <w:tcPr>
            <w:tcW w:w="5387" w:type="dxa"/>
            <w:tcBorders>
              <w:top w:val="nil"/>
              <w:left w:val="nil"/>
              <w:bottom w:val="nil"/>
              <w:right w:val="nil"/>
            </w:tcBorders>
          </w:tcPr>
          <w:p>
            <w:pPr>
              <w:pStyle w:val="yTableNAm"/>
              <w:tabs>
                <w:tab w:val="clear" w:pos="567"/>
                <w:tab w:val="right" w:leader="dot" w:pos="5137"/>
              </w:tabs>
              <w:spacing w:before="100"/>
            </w:pPr>
            <w:r>
              <w:t>Regulation 71: placing or leaving dead animals or waste substances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1B.</w:t>
            </w:r>
          </w:p>
        </w:tc>
        <w:tc>
          <w:tcPr>
            <w:tcW w:w="5387" w:type="dxa"/>
            <w:tcBorders>
              <w:top w:val="nil"/>
              <w:left w:val="nil"/>
              <w:bottom w:val="nil"/>
              <w:right w:val="nil"/>
            </w:tcBorders>
          </w:tcPr>
          <w:p>
            <w:pPr>
              <w:pStyle w:val="yTableNAm"/>
              <w:tabs>
                <w:tab w:val="clear" w:pos="567"/>
                <w:tab w:val="right" w:leader="dot" w:pos="5137"/>
              </w:tabs>
              <w:spacing w:before="100"/>
            </w:pPr>
            <w:r>
              <w:t>Regulation 72: interfering with port authority notice, sign or notice board</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1C.</w:t>
            </w:r>
          </w:p>
        </w:tc>
        <w:tc>
          <w:tcPr>
            <w:tcW w:w="5387" w:type="dxa"/>
            <w:tcBorders>
              <w:top w:val="nil"/>
              <w:left w:val="nil"/>
              <w:bottom w:val="nil"/>
              <w:right w:val="nil"/>
            </w:tcBorders>
          </w:tcPr>
          <w:p>
            <w:pPr>
              <w:pStyle w:val="yTableNAm"/>
              <w:tabs>
                <w:tab w:val="clear" w:pos="567"/>
                <w:tab w:val="right" w:leader="dot" w:pos="5137"/>
              </w:tabs>
              <w:spacing w:before="100"/>
            </w:pPr>
            <w:r>
              <w:t>Regulation 73: unauthorised writing, painting or placing notices on port property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1D.</w:t>
            </w:r>
          </w:p>
        </w:tc>
        <w:tc>
          <w:tcPr>
            <w:tcW w:w="5387" w:type="dxa"/>
            <w:tcBorders>
              <w:top w:val="nil"/>
              <w:left w:val="nil"/>
              <w:bottom w:val="nil"/>
              <w:right w:val="nil"/>
            </w:tcBorders>
          </w:tcPr>
          <w:p>
            <w:pPr>
              <w:pStyle w:val="yTableNAm"/>
              <w:tabs>
                <w:tab w:val="clear" w:pos="567"/>
                <w:tab w:val="right" w:leader="dot" w:pos="5137"/>
              </w:tabs>
              <w:spacing w:before="100"/>
            </w:pPr>
            <w:r>
              <w:t>Regulation 76(2): failing to comply with reasonable direction of authorised member of staff</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1E.</w:t>
            </w:r>
          </w:p>
        </w:tc>
        <w:tc>
          <w:tcPr>
            <w:tcW w:w="5387" w:type="dxa"/>
            <w:tcBorders>
              <w:top w:val="nil"/>
              <w:left w:val="nil"/>
              <w:bottom w:val="nil"/>
              <w:right w:val="nil"/>
            </w:tcBorders>
          </w:tcPr>
          <w:p>
            <w:pPr>
              <w:pStyle w:val="yTableNAm"/>
              <w:tabs>
                <w:tab w:val="clear" w:pos="567"/>
                <w:tab w:val="right" w:leader="dot" w:pos="5137"/>
              </w:tabs>
              <w:spacing w:before="100"/>
            </w:pPr>
            <w:r>
              <w:t>Regulation 77(1): unauthorised causing or permitting animal to enter, or remain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1F.</w:t>
            </w:r>
          </w:p>
        </w:tc>
        <w:tc>
          <w:tcPr>
            <w:tcW w:w="5387" w:type="dxa"/>
            <w:tcBorders>
              <w:top w:val="nil"/>
              <w:left w:val="nil"/>
              <w:bottom w:val="nil"/>
              <w:right w:val="nil"/>
            </w:tcBorders>
          </w:tcPr>
          <w:p>
            <w:pPr>
              <w:pStyle w:val="yTableNAm"/>
              <w:tabs>
                <w:tab w:val="clear" w:pos="567"/>
                <w:tab w:val="right" w:leader="dot" w:pos="5137"/>
              </w:tabs>
              <w:spacing w:before="100"/>
            </w:pPr>
            <w:r>
              <w:t>Regulation 78(1): being drunk or behaving in a disorderly manner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1G.</w:t>
            </w:r>
          </w:p>
        </w:tc>
        <w:tc>
          <w:tcPr>
            <w:tcW w:w="5387" w:type="dxa"/>
            <w:tcBorders>
              <w:top w:val="nil"/>
              <w:left w:val="nil"/>
              <w:bottom w:val="nil"/>
              <w:right w:val="nil"/>
            </w:tcBorders>
          </w:tcPr>
          <w:p>
            <w:pPr>
              <w:pStyle w:val="yTableNAm"/>
              <w:tabs>
                <w:tab w:val="clear" w:pos="567"/>
                <w:tab w:val="right" w:leader="dot" w:pos="5137"/>
              </w:tabs>
              <w:spacing w:before="100"/>
            </w:pPr>
            <w:r>
              <w:t>Regulation 83(1): unauthorised selling or supplying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1H.</w:t>
            </w:r>
          </w:p>
        </w:tc>
        <w:tc>
          <w:tcPr>
            <w:tcW w:w="5387" w:type="dxa"/>
            <w:tcBorders>
              <w:top w:val="nil"/>
              <w:left w:val="nil"/>
              <w:bottom w:val="nil"/>
              <w:right w:val="nil"/>
            </w:tcBorders>
          </w:tcPr>
          <w:p>
            <w:pPr>
              <w:pStyle w:val="yTableNAm"/>
              <w:tabs>
                <w:tab w:val="clear" w:pos="567"/>
                <w:tab w:val="right" w:leader="dot" w:pos="5137"/>
              </w:tabs>
              <w:spacing w:before="100"/>
            </w:pPr>
            <w:r>
              <w:t>Regulation 83(2): unauthorised soliciting of business in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1I.</w:t>
            </w:r>
          </w:p>
        </w:tc>
        <w:tc>
          <w:tcPr>
            <w:tcW w:w="5387" w:type="dxa"/>
            <w:tcBorders>
              <w:top w:val="nil"/>
              <w:left w:val="nil"/>
              <w:bottom w:val="nil"/>
              <w:right w:val="nil"/>
            </w:tcBorders>
          </w:tcPr>
          <w:p>
            <w:pPr>
              <w:pStyle w:val="yTableNAm"/>
              <w:tabs>
                <w:tab w:val="clear" w:pos="567"/>
                <w:tab w:val="right" w:leader="dot" w:pos="5137"/>
              </w:tabs>
              <w:spacing w:before="100"/>
            </w:pPr>
            <w:r>
              <w:t>Regulation 90: unauthorised entry to closed area of port or closed port facility</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w:t>
            </w:r>
          </w:p>
        </w:tc>
        <w:tc>
          <w:tcPr>
            <w:tcW w:w="5387" w:type="dxa"/>
            <w:tcBorders>
              <w:top w:val="nil"/>
              <w:left w:val="nil"/>
              <w:bottom w:val="nil"/>
              <w:right w:val="nil"/>
            </w:tcBorders>
          </w:tcPr>
          <w:p>
            <w:pPr>
              <w:pStyle w:val="yTableNAm"/>
              <w:tabs>
                <w:tab w:val="clear" w:pos="567"/>
                <w:tab w:val="right" w:leader="dot" w:pos="5137"/>
              </w:tabs>
              <w:spacing w:before="100"/>
            </w:pPr>
            <w:r>
              <w:t>Regulation 91(1): unauthorised fishing in designated area of a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1JA.</w:t>
            </w:r>
          </w:p>
        </w:tc>
        <w:tc>
          <w:tcPr>
            <w:tcW w:w="5387" w:type="dxa"/>
            <w:tcBorders>
              <w:top w:val="nil"/>
              <w:left w:val="nil"/>
              <w:bottom w:val="nil"/>
              <w:right w:val="nil"/>
            </w:tcBorders>
          </w:tcPr>
          <w:p>
            <w:pPr>
              <w:pStyle w:val="yTableNAm"/>
              <w:tabs>
                <w:tab w:val="clear" w:pos="567"/>
                <w:tab w:val="right" w:leader="dot" w:pos="5137"/>
              </w:tabs>
              <w:spacing w:before="100"/>
            </w:pPr>
            <w:r>
              <w:t>Regulation 92(1): obstruction of navigable waters by fishing gear</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7" w:type="dxa"/>
            <w:gridSpan w:val="2"/>
            <w:tcBorders>
              <w:top w:val="nil"/>
              <w:left w:val="nil"/>
              <w:bottom w:val="nil"/>
              <w:right w:val="nil"/>
            </w:tcBorders>
          </w:tcPr>
          <w:p>
            <w:pPr>
              <w:pStyle w:val="yTableNAm"/>
              <w:spacing w:before="100"/>
            </w:pPr>
            <w:r>
              <w:t>1K.</w:t>
            </w:r>
          </w:p>
        </w:tc>
        <w:tc>
          <w:tcPr>
            <w:tcW w:w="5387" w:type="dxa"/>
            <w:tcBorders>
              <w:top w:val="nil"/>
              <w:left w:val="nil"/>
              <w:bottom w:val="nil"/>
              <w:right w:val="nil"/>
            </w:tcBorders>
          </w:tcPr>
          <w:p>
            <w:pPr>
              <w:pStyle w:val="yTableNAm"/>
              <w:tabs>
                <w:tab w:val="clear" w:pos="567"/>
                <w:tab w:val="right" w:leader="dot" w:pos="5137"/>
              </w:tabs>
              <w:spacing w:before="100"/>
            </w:pPr>
            <w:r>
              <w:t>Regulation 94(1): unauthorised camping in a port</w:t>
            </w:r>
            <w:r>
              <w:tab/>
            </w:r>
          </w:p>
        </w:tc>
        <w:tc>
          <w:tcPr>
            <w:tcW w:w="1134" w:type="dxa"/>
            <w:gridSpan w:val="2"/>
            <w:tcBorders>
              <w:top w:val="nil"/>
              <w:left w:val="nil"/>
              <w:bottom w:val="nil"/>
              <w:right w:val="nil"/>
            </w:tcBorders>
          </w:tcPr>
          <w:p>
            <w:pPr>
              <w:pStyle w:val="yTableNAm"/>
              <w:spacing w:before="100"/>
            </w:pPr>
            <w:r>
              <w:t>$200.00</w:t>
            </w:r>
          </w:p>
        </w:tc>
      </w:tr>
      <w:tr>
        <w:trPr>
          <w:cantSplit/>
        </w:trPr>
        <w:tc>
          <w:tcPr>
            <w:tcW w:w="707" w:type="dxa"/>
            <w:gridSpan w:val="2"/>
          </w:tcPr>
          <w:p>
            <w:pPr>
              <w:pStyle w:val="yTableNAm"/>
              <w:spacing w:before="100"/>
            </w:pPr>
            <w:r>
              <w:t>2.</w:t>
            </w:r>
          </w:p>
        </w:tc>
        <w:tc>
          <w:tcPr>
            <w:tcW w:w="5387" w:type="dxa"/>
          </w:tcPr>
          <w:p>
            <w:pPr>
              <w:pStyle w:val="yTableNAm"/>
              <w:tabs>
                <w:tab w:val="clear" w:pos="567"/>
                <w:tab w:val="right" w:leader="dot" w:pos="5137"/>
              </w:tabs>
              <w:spacing w:before="100"/>
            </w:pPr>
            <w:r>
              <w:t>Regulation 103: failing to comply with a traffic sign</w:t>
            </w:r>
            <w:r>
              <w:tab/>
            </w:r>
          </w:p>
        </w:tc>
        <w:tc>
          <w:tcPr>
            <w:tcW w:w="1134" w:type="dxa"/>
            <w:gridSpan w:val="2"/>
          </w:tcPr>
          <w:p>
            <w:pPr>
              <w:pStyle w:val="yTableNAm"/>
              <w:spacing w:before="100"/>
            </w:pPr>
            <w:r>
              <w:t>$80.00</w:t>
            </w:r>
          </w:p>
        </w:tc>
      </w:tr>
      <w:tr>
        <w:trPr>
          <w:cantSplit/>
        </w:trPr>
        <w:tc>
          <w:tcPr>
            <w:tcW w:w="707" w:type="dxa"/>
            <w:gridSpan w:val="2"/>
          </w:tcPr>
          <w:p>
            <w:pPr>
              <w:pStyle w:val="yTableNAm"/>
              <w:spacing w:before="100"/>
            </w:pPr>
            <w:r>
              <w:t>3.</w:t>
            </w:r>
          </w:p>
        </w:tc>
        <w:tc>
          <w:tcPr>
            <w:tcW w:w="5387" w:type="dxa"/>
          </w:tcPr>
          <w:p>
            <w:pPr>
              <w:pStyle w:val="yTableNAm"/>
              <w:tabs>
                <w:tab w:val="clear" w:pos="567"/>
                <w:tab w:val="right" w:leader="dot" w:pos="5137"/>
              </w:tabs>
              <w:spacing w:before="100"/>
            </w:pPr>
            <w:r>
              <w:t>Regulation 104(2): stopping a vehicle (other than an over</w:t>
            </w:r>
            <w:r>
              <w:noBreakHyphen/>
              <w:t>length vehicle) in a no</w:t>
            </w:r>
            <w:r>
              <w:noBreakHyphen/>
              <w:t>stopping area</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4.</w:t>
            </w:r>
          </w:p>
        </w:tc>
        <w:tc>
          <w:tcPr>
            <w:tcW w:w="5387" w:type="dxa"/>
          </w:tcPr>
          <w:p>
            <w:pPr>
              <w:pStyle w:val="yTableNAm"/>
              <w:tabs>
                <w:tab w:val="clear" w:pos="567"/>
                <w:tab w:val="right" w:leader="dot" w:pos="5137"/>
              </w:tabs>
              <w:spacing w:before="100"/>
            </w:pPr>
            <w:r>
              <w:t>Regulation 104(2): stopping an over</w:t>
            </w:r>
            <w:r>
              <w:noBreakHyphen/>
              <w:t>length vehicle in a no</w:t>
            </w:r>
            <w:r>
              <w:noBreakHyphen/>
              <w:t>stopping area</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5.</w:t>
            </w:r>
          </w:p>
        </w:tc>
        <w:tc>
          <w:tcPr>
            <w:tcW w:w="5387" w:type="dxa"/>
          </w:tcPr>
          <w:p>
            <w:pPr>
              <w:pStyle w:val="yTableNAm"/>
              <w:tabs>
                <w:tab w:val="clear" w:pos="567"/>
                <w:tab w:val="right" w:leader="dot" w:pos="5137"/>
              </w:tabs>
              <w:spacing w:before="100"/>
            </w:pPr>
            <w:r>
              <w:t>Regulation 105(3)(a): parking a vehicle (other than an over</w:t>
            </w:r>
            <w:r>
              <w:noBreakHyphen/>
              <w:t>length vehicle) in a parking area otherwise than in accordance with a notice, sign, etc.</w:t>
            </w:r>
            <w:r>
              <w:tab/>
            </w:r>
          </w:p>
        </w:tc>
        <w:tc>
          <w:tcPr>
            <w:tcW w:w="1134" w:type="dxa"/>
            <w:gridSpan w:val="2"/>
          </w:tcPr>
          <w:p>
            <w:pPr>
              <w:pStyle w:val="yTableNAm"/>
              <w:spacing w:before="100"/>
            </w:pPr>
            <w:r>
              <w:br/>
            </w:r>
            <w:r>
              <w:br/>
              <w:t>$40.00</w:t>
            </w:r>
          </w:p>
        </w:tc>
      </w:tr>
      <w:tr>
        <w:trPr>
          <w:cantSplit/>
        </w:trPr>
        <w:tc>
          <w:tcPr>
            <w:tcW w:w="707" w:type="dxa"/>
            <w:gridSpan w:val="2"/>
          </w:tcPr>
          <w:p>
            <w:pPr>
              <w:pStyle w:val="yTableNAm"/>
              <w:spacing w:before="100"/>
            </w:pPr>
            <w:r>
              <w:t>6.</w:t>
            </w:r>
          </w:p>
        </w:tc>
        <w:tc>
          <w:tcPr>
            <w:tcW w:w="5387" w:type="dxa"/>
          </w:tcPr>
          <w:p>
            <w:pPr>
              <w:pStyle w:val="yTableNAm"/>
              <w:tabs>
                <w:tab w:val="clear" w:pos="567"/>
                <w:tab w:val="right" w:leader="dot" w:pos="5137"/>
              </w:tabs>
              <w:spacing w:before="100"/>
            </w:pPr>
            <w:r>
              <w:t>Regulation 105(3)(a): parking an over</w:t>
            </w:r>
            <w:r>
              <w:noBreakHyphen/>
              <w:t>length vehicle in a parking area otherwise than in accordance with a notice, sign, etc.</w:t>
            </w:r>
            <w:r>
              <w:tab/>
            </w:r>
          </w:p>
        </w:tc>
        <w:tc>
          <w:tcPr>
            <w:tcW w:w="1134" w:type="dxa"/>
            <w:gridSpan w:val="2"/>
          </w:tcPr>
          <w:p>
            <w:pPr>
              <w:pStyle w:val="yTableNAm"/>
              <w:spacing w:before="100"/>
            </w:pPr>
            <w:r>
              <w:br/>
            </w:r>
            <w:r>
              <w:br/>
              <w:t>$80.00</w:t>
            </w:r>
          </w:p>
        </w:tc>
      </w:tr>
      <w:tr>
        <w:trPr>
          <w:cantSplit/>
        </w:trPr>
        <w:tc>
          <w:tcPr>
            <w:tcW w:w="707" w:type="dxa"/>
            <w:gridSpan w:val="2"/>
          </w:tcPr>
          <w:p>
            <w:pPr>
              <w:pStyle w:val="yTableNAm"/>
              <w:spacing w:before="100"/>
            </w:pPr>
            <w:r>
              <w:t>7.</w:t>
            </w:r>
          </w:p>
        </w:tc>
        <w:tc>
          <w:tcPr>
            <w:tcW w:w="5387" w:type="dxa"/>
          </w:tcPr>
          <w:p>
            <w:pPr>
              <w:pStyle w:val="yTableNAm"/>
              <w:tabs>
                <w:tab w:val="clear" w:pos="567"/>
                <w:tab w:val="right" w:leader="dot" w:pos="5137"/>
              </w:tabs>
              <w:spacing w:before="100"/>
            </w:pPr>
            <w:r>
              <w:t>Regulation 105(3)(b): parking a vehicle (other than an over</w:t>
            </w:r>
            <w:r>
              <w:noBreakHyphen/>
              <w:t>length vehicle) in a no</w:t>
            </w:r>
            <w:r>
              <w:noBreakHyphen/>
              <w:t xml:space="preserve">parking area </w:t>
            </w:r>
            <w:r>
              <w:tab/>
            </w:r>
          </w:p>
        </w:tc>
        <w:tc>
          <w:tcPr>
            <w:tcW w:w="1134" w:type="dxa"/>
            <w:gridSpan w:val="2"/>
          </w:tcPr>
          <w:p>
            <w:pPr>
              <w:pStyle w:val="yTableNAm"/>
              <w:spacing w:before="100"/>
            </w:pPr>
            <w:r>
              <w:br/>
              <w:t>$40.00</w:t>
            </w:r>
          </w:p>
        </w:tc>
      </w:tr>
      <w:tr>
        <w:trPr>
          <w:cantSplit/>
        </w:trPr>
        <w:tc>
          <w:tcPr>
            <w:tcW w:w="707" w:type="dxa"/>
            <w:gridSpan w:val="2"/>
          </w:tcPr>
          <w:p>
            <w:pPr>
              <w:pStyle w:val="yTableNAm"/>
              <w:spacing w:before="100"/>
            </w:pPr>
            <w:r>
              <w:t>8.</w:t>
            </w:r>
          </w:p>
        </w:tc>
        <w:tc>
          <w:tcPr>
            <w:tcW w:w="5387" w:type="dxa"/>
          </w:tcPr>
          <w:p>
            <w:pPr>
              <w:pStyle w:val="yTableNAm"/>
              <w:tabs>
                <w:tab w:val="clear" w:pos="567"/>
                <w:tab w:val="right" w:leader="dot" w:pos="5137"/>
              </w:tabs>
              <w:spacing w:before="100"/>
            </w:pPr>
            <w:r>
              <w:t>Regulation 105(3)(b): parking an over</w:t>
            </w:r>
            <w:r>
              <w:noBreakHyphen/>
              <w:t>length vehicle in a no</w:t>
            </w:r>
            <w:r>
              <w:noBreakHyphen/>
              <w:t xml:space="preserve">parking area </w:t>
            </w:r>
            <w:r>
              <w:tab/>
            </w:r>
          </w:p>
        </w:tc>
        <w:tc>
          <w:tcPr>
            <w:tcW w:w="1134" w:type="dxa"/>
            <w:gridSpan w:val="2"/>
          </w:tcPr>
          <w:p>
            <w:pPr>
              <w:pStyle w:val="yTableNAm"/>
              <w:spacing w:before="100"/>
            </w:pPr>
            <w:r>
              <w:br/>
              <w:t>$80.00</w:t>
            </w:r>
          </w:p>
        </w:tc>
      </w:tr>
      <w:tr>
        <w:trPr>
          <w:cantSplit/>
        </w:trPr>
        <w:tc>
          <w:tcPr>
            <w:tcW w:w="707" w:type="dxa"/>
            <w:gridSpan w:val="2"/>
          </w:tcPr>
          <w:p>
            <w:pPr>
              <w:pStyle w:val="yTableNAm"/>
              <w:spacing w:before="100"/>
            </w:pPr>
            <w:r>
              <w:t>8A.</w:t>
            </w:r>
          </w:p>
        </w:tc>
        <w:tc>
          <w:tcPr>
            <w:tcW w:w="5387" w:type="dxa"/>
          </w:tcPr>
          <w:p>
            <w:pPr>
              <w:pStyle w:val="yTableNAm"/>
              <w:spacing w:before="100"/>
            </w:pPr>
            <w:r>
              <w:t>Regulation 115(2): giving false name or address to, or failing to comply with direction of, an authorised officer ..</w:t>
            </w:r>
          </w:p>
        </w:tc>
        <w:tc>
          <w:tcPr>
            <w:tcW w:w="1134" w:type="dxa"/>
            <w:gridSpan w:val="2"/>
          </w:tcPr>
          <w:p>
            <w:pPr>
              <w:pStyle w:val="yTableNAm"/>
              <w:spacing w:before="100"/>
            </w:pPr>
            <w:r>
              <w:br/>
              <w:t>$200.00</w:t>
            </w:r>
          </w:p>
        </w:tc>
      </w:tr>
      <w:tr>
        <w:trPr>
          <w:gridAfter w:val="1"/>
          <w:wAfter w:w="19" w:type="dxa"/>
          <w:cantSplit/>
        </w:trPr>
        <w:tc>
          <w:tcPr>
            <w:tcW w:w="700" w:type="dxa"/>
          </w:tcPr>
          <w:p>
            <w:pPr>
              <w:pStyle w:val="yTableNAm"/>
              <w:spacing w:before="100"/>
              <w:rPr>
                <w:b/>
              </w:rPr>
            </w:pPr>
          </w:p>
        </w:tc>
        <w:tc>
          <w:tcPr>
            <w:tcW w:w="5394" w:type="dxa"/>
            <w:gridSpan w:val="2"/>
          </w:tcPr>
          <w:p>
            <w:pPr>
              <w:pStyle w:val="yTableNAm"/>
              <w:spacing w:before="100"/>
              <w:rPr>
                <w:b/>
              </w:rPr>
            </w:pPr>
            <w:r>
              <w:rPr>
                <w:b/>
              </w:rPr>
              <w:t>Port of Balla Balla</w:t>
            </w:r>
          </w:p>
        </w:tc>
        <w:tc>
          <w:tcPr>
            <w:tcW w:w="1115" w:type="dxa"/>
          </w:tcPr>
          <w:p>
            <w:pPr>
              <w:pStyle w:val="yTableNAm"/>
              <w:spacing w:before="100"/>
              <w:rPr>
                <w:b/>
              </w:rPr>
            </w:pPr>
          </w:p>
        </w:tc>
      </w:tr>
      <w:tr>
        <w:trPr>
          <w:gridAfter w:val="1"/>
          <w:wAfter w:w="19" w:type="dxa"/>
          <w:cantSplit/>
        </w:trPr>
        <w:tc>
          <w:tcPr>
            <w:tcW w:w="700" w:type="dxa"/>
          </w:tcPr>
          <w:p>
            <w:pPr>
              <w:pStyle w:val="yTableNAm"/>
            </w:pPr>
            <w:r>
              <w:t>8B.</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5E(2): failing to produce on demand certificate of tonnage and certificate of registry etc.</w:t>
            </w:r>
            <w:r>
              <w:tab/>
            </w:r>
          </w:p>
        </w:tc>
        <w:tc>
          <w:tcPr>
            <w:tcW w:w="1115" w:type="dxa"/>
          </w:tcPr>
          <w:p>
            <w:pPr>
              <w:pStyle w:val="yTableNAm"/>
            </w:pPr>
            <w:r>
              <w:br/>
              <w:t>$200.00</w:t>
            </w:r>
          </w:p>
        </w:tc>
      </w:tr>
      <w:tr>
        <w:trPr>
          <w:gridAfter w:val="1"/>
          <w:wAfter w:w="19" w:type="dxa"/>
          <w:cantSplit/>
        </w:trPr>
        <w:tc>
          <w:tcPr>
            <w:tcW w:w="700" w:type="dxa"/>
          </w:tcPr>
          <w:p>
            <w:pPr>
              <w:pStyle w:val="yTableNAm"/>
            </w:pPr>
            <w:r>
              <w:t>8C.</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5G(1): unauthorised bunkering of a vessel</w:t>
            </w:r>
            <w:r>
              <w:tab/>
            </w:r>
          </w:p>
        </w:tc>
        <w:tc>
          <w:tcPr>
            <w:tcW w:w="1115" w:type="dxa"/>
          </w:tcPr>
          <w:p>
            <w:pPr>
              <w:pStyle w:val="yTableNAm"/>
            </w:pPr>
            <w:r>
              <w:br/>
              <w:t>$200.00</w:t>
            </w:r>
          </w:p>
        </w:tc>
      </w:tr>
      <w:tr>
        <w:trPr>
          <w:gridAfter w:val="1"/>
          <w:wAfter w:w="19" w:type="dxa"/>
          <w:cantSplit/>
        </w:trPr>
        <w:tc>
          <w:tcPr>
            <w:tcW w:w="700" w:type="dxa"/>
          </w:tcPr>
          <w:p>
            <w:pPr>
              <w:pStyle w:val="yTableNAm"/>
            </w:pPr>
            <w:r>
              <w:t>8D.</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5G(3): failing to notify harbour master of beginning and end of bunkering</w:t>
            </w:r>
            <w:r>
              <w:tab/>
            </w:r>
          </w:p>
        </w:tc>
        <w:tc>
          <w:tcPr>
            <w:tcW w:w="1115" w:type="dxa"/>
          </w:tcPr>
          <w:p>
            <w:pPr>
              <w:pStyle w:val="yTableNAm"/>
            </w:pPr>
            <w:r>
              <w:br/>
              <w:t>$200.00</w:t>
            </w:r>
          </w:p>
        </w:tc>
      </w:tr>
      <w:tr>
        <w:trPr>
          <w:gridAfter w:val="1"/>
          <w:wAfter w:w="19" w:type="dxa"/>
          <w:cantSplit/>
        </w:trPr>
        <w:tc>
          <w:tcPr>
            <w:tcW w:w="700" w:type="dxa"/>
          </w:tcPr>
          <w:p>
            <w:pPr>
              <w:pStyle w:val="yTableNAm"/>
            </w:pPr>
            <w:r>
              <w:t>8E.</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5H(2): failing to ensure a private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8F.</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5I(2): failing to ensure no fishing from a fishing vessel in a channel, fairway, etc.</w:t>
            </w:r>
            <w:r>
              <w:tab/>
            </w:r>
          </w:p>
        </w:tc>
        <w:tc>
          <w:tcPr>
            <w:tcW w:w="1115" w:type="dxa"/>
          </w:tcPr>
          <w:p>
            <w:pPr>
              <w:pStyle w:val="yTableNAm"/>
            </w:pPr>
            <w:r>
              <w:br/>
              <w:t>$500.00</w:t>
            </w:r>
          </w:p>
        </w:tc>
      </w:tr>
      <w:tr>
        <w:trPr>
          <w:gridAfter w:val="1"/>
          <w:wAfter w:w="19" w:type="dxa"/>
          <w:cantSplit/>
        </w:trPr>
        <w:tc>
          <w:tcPr>
            <w:tcW w:w="700" w:type="dxa"/>
          </w:tcPr>
          <w:p>
            <w:pPr>
              <w:pStyle w:val="yTableNAm"/>
            </w:pPr>
            <w:r>
              <w:t>8G.</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5I(4): failing to ensure a fishing vessel does not impede passage of commercial vessel or keeps safe distance from commercial vessel</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8H.</w:t>
            </w:r>
          </w:p>
        </w:tc>
        <w:tc>
          <w:tcPr>
            <w:tcW w:w="5394" w:type="dxa"/>
            <w:gridSpan w:val="2"/>
          </w:tcPr>
          <w:p>
            <w:pPr>
              <w:pStyle w:val="yTableNAm"/>
              <w:tabs>
                <w:tab w:val="clear" w:pos="567"/>
                <w:tab w:val="right" w:leader="dot" w:pos="5137"/>
              </w:tabs>
              <w:spacing w:before="100"/>
            </w:pPr>
            <w:r>
              <w:t>Schedule 1 clause 5K: unauthorised installation or use of mooring</w:t>
            </w:r>
            <w:r>
              <w:tab/>
            </w:r>
          </w:p>
        </w:tc>
        <w:tc>
          <w:tcPr>
            <w:tcW w:w="1115" w:type="dxa"/>
          </w:tcPr>
          <w:p>
            <w:pPr>
              <w:pStyle w:val="yTableNAm"/>
            </w:pPr>
            <w:r>
              <w:br/>
              <w:t>$500.00</w:t>
            </w:r>
          </w:p>
        </w:tc>
      </w:tr>
      <w:tr>
        <w:trPr>
          <w:gridAfter w:val="1"/>
          <w:wAfter w:w="19" w:type="dxa"/>
          <w:cantSplit/>
        </w:trPr>
        <w:tc>
          <w:tcPr>
            <w:tcW w:w="700" w:type="dxa"/>
          </w:tcPr>
          <w:p>
            <w:pPr>
              <w:pStyle w:val="yTableNAm"/>
            </w:pPr>
            <w:r>
              <w:t>8I.</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5N(5): failing to comply with direction to cause removal of mooring within 14 days after revocation of authorisation to install or use the mooring</w:t>
            </w:r>
            <w:r>
              <w:tab/>
            </w:r>
          </w:p>
        </w:tc>
        <w:tc>
          <w:tcPr>
            <w:tcW w:w="1115" w:type="dxa"/>
          </w:tcPr>
          <w:p>
            <w:pPr>
              <w:pStyle w:val="yTableNAm"/>
            </w:pPr>
            <w:r>
              <w:br/>
            </w:r>
            <w:r>
              <w:br/>
              <w:t>$500.00</w:t>
            </w:r>
          </w:p>
        </w:tc>
      </w:tr>
      <w:tr>
        <w:trPr>
          <w:gridAfter w:val="1"/>
          <w:wAfter w:w="19" w:type="dxa"/>
          <w:cantSplit/>
        </w:trPr>
        <w:tc>
          <w:tcPr>
            <w:tcW w:w="700" w:type="dxa"/>
          </w:tcPr>
          <w:p>
            <w:pPr>
              <w:pStyle w:val="yTableNAm"/>
            </w:pPr>
            <w:r>
              <w:t>8J.</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5W(1): unauthorised placing of goods on port facility, port land, etc.</w:t>
            </w:r>
            <w:r>
              <w:tab/>
            </w:r>
          </w:p>
        </w:tc>
        <w:tc>
          <w:tcPr>
            <w:tcW w:w="1115" w:type="dxa"/>
          </w:tcPr>
          <w:p>
            <w:pPr>
              <w:pStyle w:val="yTableNAm"/>
            </w:pPr>
            <w:r>
              <w:br/>
              <w:t>$200.00</w:t>
            </w:r>
          </w:p>
        </w:tc>
      </w:tr>
      <w:tr>
        <w:trPr>
          <w:gridAfter w:val="1"/>
          <w:wAfter w:w="19" w:type="dxa"/>
          <w:cantSplit/>
        </w:trPr>
        <w:tc>
          <w:tcPr>
            <w:tcW w:w="700" w:type="dxa"/>
          </w:tcPr>
          <w:p>
            <w:pPr>
              <w:pStyle w:val="yTableNAm"/>
            </w:pPr>
            <w:r>
              <w:t>8K.</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5W(2): unloading goods on to wharf, or placing goods on wharf, otherwise than where directed by harbour master</w:t>
            </w:r>
            <w:r>
              <w:tab/>
            </w:r>
          </w:p>
        </w:tc>
        <w:tc>
          <w:tcPr>
            <w:tcW w:w="1115" w:type="dxa"/>
          </w:tcPr>
          <w:p>
            <w:pPr>
              <w:pStyle w:val="yTableNAm"/>
            </w:pPr>
            <w:r>
              <w:br/>
            </w:r>
            <w:r>
              <w:br/>
              <w:t>$200.00</w:t>
            </w:r>
          </w:p>
        </w:tc>
      </w:tr>
      <w:tr>
        <w:trPr>
          <w:gridAfter w:val="1"/>
          <w:wAfter w:w="19" w:type="dxa"/>
          <w:cantSplit/>
        </w:trPr>
        <w:tc>
          <w:tcPr>
            <w:tcW w:w="700" w:type="dxa"/>
          </w:tcPr>
          <w:p>
            <w:pPr>
              <w:pStyle w:val="yTableNAm"/>
            </w:pPr>
            <w:r>
              <w:t>8L.</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5W(3): unloading goods on to wharf, or placing goods on wharf, in a manner that obstructs or interferes with, or is likely to obstruct or interfere with, a mooring point, hose connection or electrical fixture</w:t>
            </w:r>
            <w:r>
              <w:tab/>
            </w:r>
          </w:p>
        </w:tc>
        <w:tc>
          <w:tcPr>
            <w:tcW w:w="1115" w:type="dxa"/>
          </w:tcPr>
          <w:p>
            <w:pPr>
              <w:pStyle w:val="yTableNAm"/>
            </w:pPr>
            <w:r>
              <w:br/>
            </w:r>
            <w:r>
              <w:br/>
            </w:r>
            <w:r>
              <w:br/>
              <w:t>$200.00</w:t>
            </w:r>
          </w:p>
        </w:tc>
      </w:tr>
      <w:tr>
        <w:trPr>
          <w:gridAfter w:val="1"/>
          <w:wAfter w:w="19" w:type="dxa"/>
          <w:cantSplit/>
        </w:trPr>
        <w:tc>
          <w:tcPr>
            <w:tcW w:w="700" w:type="dxa"/>
          </w:tcPr>
          <w:p>
            <w:pPr>
              <w:pStyle w:val="yTableNAm"/>
            </w:pPr>
            <w:r>
              <w:t>8M.</w:t>
            </w:r>
          </w:p>
        </w:tc>
        <w:tc>
          <w:tcPr>
            <w:tcW w:w="5394" w:type="dxa"/>
            <w:gridSpan w:val="2"/>
          </w:tcPr>
          <w:p>
            <w:pPr>
              <w:pStyle w:val="yTableNAm"/>
              <w:tabs>
                <w:tab w:val="clear" w:pos="567"/>
                <w:tab w:val="right" w:leader="dot" w:pos="5137"/>
              </w:tabs>
              <w:spacing w:before="100"/>
            </w:pPr>
            <w:r>
              <w:t>Schedule </w:t>
            </w:r>
            <w:r>
              <w:rPr>
                <w:snapToGrid w:val="0"/>
              </w:rPr>
              <w:t>1</w:t>
            </w:r>
            <w:r>
              <w:t xml:space="preserve"> clause 5X(2): failing to report incident resulting in damage to port facility, vessel, navigational aid, etc.</w:t>
            </w:r>
            <w:r>
              <w:tab/>
            </w:r>
          </w:p>
        </w:tc>
        <w:tc>
          <w:tcPr>
            <w:tcW w:w="1115" w:type="dxa"/>
          </w:tcPr>
          <w:p>
            <w:pPr>
              <w:pStyle w:val="yTableNAm"/>
            </w:pPr>
            <w:r>
              <w:br/>
            </w:r>
            <w:r>
              <w:br/>
              <w:t>$200.00</w:t>
            </w:r>
          </w:p>
        </w:tc>
      </w:tr>
      <w:tr>
        <w:trPr>
          <w:cantSplit/>
        </w:trPr>
        <w:tc>
          <w:tcPr>
            <w:tcW w:w="707" w:type="dxa"/>
            <w:gridSpan w:val="2"/>
          </w:tcPr>
          <w:p>
            <w:pPr>
              <w:pStyle w:val="yTableNAm"/>
              <w:spacing w:before="100"/>
            </w:pPr>
          </w:p>
        </w:tc>
        <w:tc>
          <w:tcPr>
            <w:tcW w:w="5387" w:type="dxa"/>
          </w:tcPr>
          <w:p>
            <w:pPr>
              <w:pStyle w:val="yTableNAm"/>
              <w:spacing w:before="100"/>
              <w:rPr>
                <w:b/>
              </w:rPr>
            </w:pPr>
            <w:r>
              <w:rPr>
                <w:b/>
              </w:rPr>
              <w:t>Port of Ashburton and Port of Dampier</w:t>
            </w:r>
          </w:p>
        </w:tc>
        <w:tc>
          <w:tcPr>
            <w:tcW w:w="1134" w:type="dxa"/>
            <w:gridSpan w:val="2"/>
          </w:tcPr>
          <w:p>
            <w:pPr>
              <w:pStyle w:val="yTableNAm"/>
              <w:spacing w:before="100"/>
            </w:pPr>
          </w:p>
        </w:tc>
      </w:tr>
      <w:tr>
        <w:trPr>
          <w:cantSplit/>
        </w:trPr>
        <w:tc>
          <w:tcPr>
            <w:tcW w:w="707" w:type="dxa"/>
            <w:gridSpan w:val="2"/>
          </w:tcPr>
          <w:p>
            <w:pPr>
              <w:pStyle w:val="yTableNAm"/>
              <w:spacing w:before="100"/>
            </w:pPr>
            <w:r>
              <w:t>9.</w:t>
            </w:r>
          </w:p>
        </w:tc>
        <w:tc>
          <w:tcPr>
            <w:tcW w:w="5387" w:type="dxa"/>
          </w:tcPr>
          <w:p>
            <w:pPr>
              <w:pStyle w:val="yTableNAm"/>
              <w:tabs>
                <w:tab w:val="clear" w:pos="567"/>
                <w:tab w:val="right" w:leader="dot" w:pos="5137"/>
              </w:tabs>
              <w:spacing w:before="100"/>
            </w:pPr>
            <w:r>
              <w:t>Schedule </w:t>
            </w:r>
            <w:r>
              <w:rPr>
                <w:snapToGrid w:val="0"/>
              </w:rPr>
              <w:t>1</w:t>
            </w:r>
            <w:r>
              <w:t xml:space="preserve"> </w:t>
            </w:r>
            <w:r>
              <w:rPr>
                <w:szCs w:val="22"/>
              </w:rPr>
              <w:t>clause 38(2): vessel entering boating safety exclusion zone</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10.</w:t>
            </w:r>
          </w:p>
        </w:tc>
        <w:tc>
          <w:tcPr>
            <w:tcW w:w="5387" w:type="dxa"/>
          </w:tcPr>
          <w:p>
            <w:pPr>
              <w:pStyle w:val="yTableNAm"/>
              <w:tabs>
                <w:tab w:val="clear" w:pos="567"/>
                <w:tab w:val="right" w:leader="dot" w:pos="5137"/>
              </w:tabs>
              <w:spacing w:before="100"/>
            </w:pPr>
            <w:r>
              <w:t>Schedule </w:t>
            </w:r>
            <w:r>
              <w:rPr>
                <w:snapToGrid w:val="0"/>
              </w:rPr>
              <w:t>1</w:t>
            </w:r>
            <w:r>
              <w:t xml:space="preserve"> clause 39(2): failing to produce on demand certificate of tonnage and certificate of registry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11.</w:t>
            </w:r>
          </w:p>
        </w:tc>
        <w:tc>
          <w:tcPr>
            <w:tcW w:w="5387" w:type="dxa"/>
          </w:tcPr>
          <w:p>
            <w:pPr>
              <w:pStyle w:val="yTableNAm"/>
              <w:tabs>
                <w:tab w:val="clear" w:pos="567"/>
                <w:tab w:val="right" w:leader="dot" w:pos="5137"/>
              </w:tabs>
              <w:spacing w:before="100"/>
            </w:pPr>
            <w:r>
              <w:t>Schedule </w:t>
            </w:r>
            <w:r>
              <w:rPr>
                <w:snapToGrid w:val="0"/>
              </w:rPr>
              <w:t>1</w:t>
            </w:r>
            <w:r>
              <w:t xml:space="preserve"> clause 41(1): operating propeller of a vessel moored to a wharf</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12.</w:t>
            </w:r>
          </w:p>
        </w:tc>
        <w:tc>
          <w:tcPr>
            <w:tcW w:w="5387" w:type="dxa"/>
          </w:tcPr>
          <w:p>
            <w:pPr>
              <w:pStyle w:val="yTableNAm"/>
              <w:tabs>
                <w:tab w:val="clear" w:pos="567"/>
                <w:tab w:val="right" w:leader="dot" w:pos="5137"/>
              </w:tabs>
              <w:spacing w:before="100"/>
            </w:pPr>
            <w:r>
              <w:t>Schedule </w:t>
            </w:r>
            <w:r>
              <w:rPr>
                <w:snapToGrid w:val="0"/>
              </w:rPr>
              <w:t>1</w:t>
            </w:r>
            <w:r>
              <w:t xml:space="preserve"> clause 45(1): unauthorised bunkering of a vessel</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13.</w:t>
            </w:r>
          </w:p>
        </w:tc>
        <w:tc>
          <w:tcPr>
            <w:tcW w:w="5387" w:type="dxa"/>
          </w:tcPr>
          <w:p>
            <w:pPr>
              <w:pStyle w:val="yTableNAm"/>
              <w:tabs>
                <w:tab w:val="clear" w:pos="567"/>
                <w:tab w:val="right" w:leader="dot" w:pos="5137"/>
              </w:tabs>
              <w:spacing w:before="100"/>
            </w:pPr>
            <w:r>
              <w:t>Schedule </w:t>
            </w:r>
            <w:r>
              <w:rPr>
                <w:snapToGrid w:val="0"/>
              </w:rPr>
              <w:t>1</w:t>
            </w:r>
            <w:r>
              <w:t xml:space="preserve"> clause 45(3): failing to notify harbour master of beginning and end of bunkering</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14.</w:t>
            </w:r>
          </w:p>
        </w:tc>
        <w:tc>
          <w:tcPr>
            <w:tcW w:w="5387" w:type="dxa"/>
          </w:tcPr>
          <w:p>
            <w:pPr>
              <w:pStyle w:val="yTableNAm"/>
              <w:tabs>
                <w:tab w:val="clear" w:pos="567"/>
                <w:tab w:val="right" w:leader="dot" w:pos="5137"/>
              </w:tabs>
              <w:spacing w:before="100"/>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15.</w:t>
            </w:r>
          </w:p>
        </w:tc>
        <w:tc>
          <w:tcPr>
            <w:tcW w:w="5387" w:type="dxa"/>
          </w:tcPr>
          <w:p>
            <w:pPr>
              <w:pStyle w:val="yTableNAm"/>
              <w:tabs>
                <w:tab w:val="clear" w:pos="567"/>
                <w:tab w:val="right" w:leader="dot" w:pos="5137"/>
              </w:tabs>
              <w:spacing w:before="100"/>
            </w:pPr>
            <w:r>
              <w:t>Schedule </w:t>
            </w:r>
            <w:r>
              <w:rPr>
                <w:snapToGrid w:val="0"/>
              </w:rPr>
              <w:t>1</w:t>
            </w:r>
            <w:r>
              <w:t xml:space="preserve"> clause 48(1): failing to ensure no fishing from a fishing vessel in a channel, fairway, etc.</w:t>
            </w:r>
            <w:r>
              <w:tab/>
            </w:r>
          </w:p>
        </w:tc>
        <w:tc>
          <w:tcPr>
            <w:tcW w:w="1134" w:type="dxa"/>
            <w:gridSpan w:val="2"/>
          </w:tcPr>
          <w:p>
            <w:pPr>
              <w:pStyle w:val="yTableNAm"/>
              <w:spacing w:before="100"/>
            </w:pPr>
            <w:r>
              <w:br/>
              <w:t>$500.00</w:t>
            </w:r>
          </w:p>
        </w:tc>
      </w:tr>
      <w:tr>
        <w:trPr>
          <w:cantSplit/>
        </w:trPr>
        <w:tc>
          <w:tcPr>
            <w:tcW w:w="707" w:type="dxa"/>
            <w:gridSpan w:val="2"/>
          </w:tcPr>
          <w:p>
            <w:pPr>
              <w:pStyle w:val="yTableNAm"/>
              <w:spacing w:before="100"/>
            </w:pPr>
            <w:r>
              <w:t>16.</w:t>
            </w:r>
          </w:p>
        </w:tc>
        <w:tc>
          <w:tcPr>
            <w:tcW w:w="5387" w:type="dxa"/>
          </w:tcPr>
          <w:p>
            <w:pPr>
              <w:pStyle w:val="yTableNAm"/>
              <w:tabs>
                <w:tab w:val="clear" w:pos="567"/>
                <w:tab w:val="right" w:leader="dot" w:pos="5137"/>
              </w:tabs>
              <w:spacing w:before="100"/>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gridSpan w:val="2"/>
          </w:tcPr>
          <w:p>
            <w:pPr>
              <w:pStyle w:val="yTableNAm"/>
              <w:spacing w:before="100"/>
            </w:pPr>
            <w:r>
              <w:br/>
            </w:r>
            <w:r>
              <w:br/>
            </w:r>
            <w:r>
              <w:rPr>
                <w:szCs w:val="22"/>
              </w:rPr>
              <w:t>$500.00</w:t>
            </w:r>
          </w:p>
        </w:tc>
      </w:tr>
      <w:tr>
        <w:trPr>
          <w:cantSplit/>
        </w:trPr>
        <w:tc>
          <w:tcPr>
            <w:tcW w:w="707" w:type="dxa"/>
            <w:gridSpan w:val="2"/>
          </w:tcPr>
          <w:p>
            <w:pPr>
              <w:pStyle w:val="yTableNAm"/>
              <w:spacing w:before="100"/>
            </w:pPr>
            <w:r>
              <w:t>17.</w:t>
            </w:r>
          </w:p>
        </w:tc>
        <w:tc>
          <w:tcPr>
            <w:tcW w:w="5387" w:type="dxa"/>
          </w:tcPr>
          <w:p>
            <w:pPr>
              <w:pStyle w:val="yTableNAm"/>
              <w:tabs>
                <w:tab w:val="clear" w:pos="567"/>
                <w:tab w:val="right" w:leader="dot" w:pos="5137"/>
              </w:tabs>
              <w:spacing w:before="100"/>
            </w:pPr>
            <w:r>
              <w:t>Schedule </w:t>
            </w:r>
            <w:r>
              <w:rPr>
                <w:snapToGrid w:val="0"/>
              </w:rPr>
              <w:t>1</w:t>
            </w:r>
            <w:r>
              <w:t xml:space="preserve"> clause 50: unauthorised installation or use of mooring</w:t>
            </w:r>
            <w:r>
              <w:tab/>
            </w:r>
          </w:p>
        </w:tc>
        <w:tc>
          <w:tcPr>
            <w:tcW w:w="1134" w:type="dxa"/>
            <w:gridSpan w:val="2"/>
          </w:tcPr>
          <w:p>
            <w:pPr>
              <w:pStyle w:val="yTableNAm"/>
              <w:spacing w:before="100"/>
            </w:pPr>
            <w:r>
              <w:br/>
            </w:r>
            <w:r>
              <w:rPr>
                <w:szCs w:val="22"/>
              </w:rPr>
              <w:t>$500.00</w:t>
            </w:r>
          </w:p>
        </w:tc>
      </w:tr>
      <w:tr>
        <w:trPr>
          <w:cantSplit/>
        </w:trPr>
        <w:tc>
          <w:tcPr>
            <w:tcW w:w="707" w:type="dxa"/>
            <w:gridSpan w:val="2"/>
          </w:tcPr>
          <w:p>
            <w:pPr>
              <w:pStyle w:val="yTableNAm"/>
              <w:spacing w:before="100"/>
            </w:pPr>
            <w:r>
              <w:t>17A.</w:t>
            </w:r>
          </w:p>
        </w:tc>
        <w:tc>
          <w:tcPr>
            <w:tcW w:w="5387" w:type="dxa"/>
          </w:tcPr>
          <w:p>
            <w:pPr>
              <w:pStyle w:val="yTableNAm"/>
              <w:tabs>
                <w:tab w:val="clear" w:pos="567"/>
                <w:tab w:val="right" w:leader="dot" w:pos="5137"/>
              </w:tabs>
              <w:spacing w:before="100"/>
            </w:pPr>
            <w:r>
              <w:t>Schedule </w:t>
            </w:r>
            <w:r>
              <w:rPr>
                <w:snapToGrid w:val="0"/>
              </w:rPr>
              <w:t>1</w:t>
            </w:r>
            <w:r>
              <w:t xml:space="preserve"> clause 53(5): failing to comply with direction to cause removal of mooring within 14 days after revocation of authorisation to install or use the mooring</w:t>
            </w:r>
            <w:r>
              <w:tab/>
            </w:r>
          </w:p>
        </w:tc>
        <w:tc>
          <w:tcPr>
            <w:tcW w:w="1134" w:type="dxa"/>
            <w:gridSpan w:val="2"/>
          </w:tcPr>
          <w:p>
            <w:pPr>
              <w:pStyle w:val="yTableNAm"/>
              <w:spacing w:before="100"/>
            </w:pPr>
            <w:r>
              <w:br/>
            </w:r>
            <w:r>
              <w:br/>
              <w:t>$500.00</w:t>
            </w:r>
          </w:p>
        </w:tc>
      </w:tr>
      <w:tr>
        <w:trPr>
          <w:cantSplit/>
        </w:trPr>
        <w:tc>
          <w:tcPr>
            <w:tcW w:w="707" w:type="dxa"/>
            <w:gridSpan w:val="2"/>
          </w:tcPr>
          <w:p>
            <w:pPr>
              <w:pStyle w:val="yTableNAm"/>
              <w:spacing w:before="100"/>
            </w:pPr>
            <w:r>
              <w:t>18.</w:t>
            </w:r>
          </w:p>
        </w:tc>
        <w:tc>
          <w:tcPr>
            <w:tcW w:w="5387" w:type="dxa"/>
          </w:tcPr>
          <w:p>
            <w:pPr>
              <w:pStyle w:val="yTableNAm"/>
              <w:tabs>
                <w:tab w:val="clear" w:pos="567"/>
                <w:tab w:val="right" w:leader="dot" w:pos="5137"/>
              </w:tabs>
              <w:spacing w:before="100"/>
            </w:pPr>
            <w:r>
              <w:t>Schedule </w:t>
            </w:r>
            <w:r>
              <w:rPr>
                <w:snapToGrid w:val="0"/>
              </w:rPr>
              <w:t>1</w:t>
            </w:r>
            <w:r>
              <w:t xml:space="preserve"> clause 62(1): unauthorised placing of goods on port facility, port land, etc.</w:t>
            </w:r>
            <w:r>
              <w:tab/>
            </w:r>
          </w:p>
        </w:tc>
        <w:tc>
          <w:tcPr>
            <w:tcW w:w="1134" w:type="dxa"/>
            <w:gridSpan w:val="2"/>
          </w:tcPr>
          <w:p>
            <w:pPr>
              <w:pStyle w:val="yTableNAm"/>
              <w:spacing w:before="100"/>
            </w:pPr>
            <w:r>
              <w:br/>
              <w:t>$200.00</w:t>
            </w:r>
          </w:p>
        </w:tc>
      </w:tr>
      <w:tr>
        <w:trPr>
          <w:cantSplit/>
        </w:trPr>
        <w:tc>
          <w:tcPr>
            <w:tcW w:w="707" w:type="dxa"/>
            <w:gridSpan w:val="2"/>
          </w:tcPr>
          <w:p>
            <w:pPr>
              <w:pStyle w:val="yTableNAm"/>
              <w:spacing w:before="100"/>
            </w:pPr>
            <w:r>
              <w:t>19.</w:t>
            </w:r>
          </w:p>
        </w:tc>
        <w:tc>
          <w:tcPr>
            <w:tcW w:w="5387" w:type="dxa"/>
          </w:tcPr>
          <w:p>
            <w:pPr>
              <w:pStyle w:val="yTableNAm"/>
              <w:tabs>
                <w:tab w:val="clear" w:pos="567"/>
                <w:tab w:val="right" w:leader="dot" w:pos="5137"/>
              </w:tabs>
              <w:spacing w:before="100"/>
            </w:pPr>
            <w:r>
              <w:t>Schedule </w:t>
            </w:r>
            <w:r>
              <w:rPr>
                <w:snapToGrid w:val="0"/>
              </w:rPr>
              <w:t>1</w:t>
            </w:r>
            <w:r>
              <w:t xml:space="preserve"> clause 62(2): unloading goods on to wharf, or placing goods on wharf, otherwise than where directed by harbour master</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20.</w:t>
            </w:r>
          </w:p>
        </w:tc>
        <w:tc>
          <w:tcPr>
            <w:tcW w:w="5387" w:type="dxa"/>
          </w:tcPr>
          <w:p>
            <w:pPr>
              <w:pStyle w:val="yTableNAm"/>
              <w:tabs>
                <w:tab w:val="clear" w:pos="567"/>
                <w:tab w:val="right" w:leader="dot" w:pos="5137"/>
              </w:tabs>
              <w:spacing w:before="100"/>
            </w:pPr>
            <w:r>
              <w:t>Schedule </w:t>
            </w:r>
            <w:r>
              <w:rPr>
                <w:snapToGrid w:val="0"/>
              </w:rPr>
              <w:t>1</w:t>
            </w:r>
            <w:r>
              <w:t xml:space="preserve"> clause 62(3): unloading goods on to wharf, or placing goods on wharf, less than 1 m from mooring point, hose connection, etc.</w:t>
            </w:r>
            <w:r>
              <w:tab/>
            </w:r>
          </w:p>
        </w:tc>
        <w:tc>
          <w:tcPr>
            <w:tcW w:w="1134" w:type="dxa"/>
            <w:gridSpan w:val="2"/>
          </w:tcPr>
          <w:p>
            <w:pPr>
              <w:pStyle w:val="yTableNAm"/>
              <w:spacing w:before="100"/>
            </w:pPr>
            <w:r>
              <w:br/>
            </w:r>
            <w:r>
              <w:br/>
              <w:t>$200.00</w:t>
            </w:r>
          </w:p>
        </w:tc>
      </w:tr>
      <w:tr>
        <w:trPr>
          <w:cantSplit/>
        </w:trPr>
        <w:tc>
          <w:tcPr>
            <w:tcW w:w="707" w:type="dxa"/>
            <w:gridSpan w:val="2"/>
          </w:tcPr>
          <w:p>
            <w:pPr>
              <w:pStyle w:val="yTableNAm"/>
              <w:spacing w:before="100"/>
            </w:pPr>
            <w:r>
              <w:t>21.</w:t>
            </w:r>
          </w:p>
        </w:tc>
        <w:tc>
          <w:tcPr>
            <w:tcW w:w="5387" w:type="dxa"/>
          </w:tcPr>
          <w:p>
            <w:pPr>
              <w:pStyle w:val="yTableNAm"/>
              <w:tabs>
                <w:tab w:val="clear" w:pos="567"/>
                <w:tab w:val="right" w:leader="dot" w:pos="5137"/>
              </w:tabs>
              <w:spacing w:before="100"/>
            </w:pPr>
            <w:r>
              <w:t>Schedule </w:t>
            </w:r>
            <w:r>
              <w:rPr>
                <w:snapToGrid w:val="0"/>
              </w:rPr>
              <w:t>1</w:t>
            </w:r>
            <w:r>
              <w:t xml:space="preserve"> clause 63(2): failing to report incident resulting in damage to port facility, vessel, navigational aid, etc.</w:t>
            </w:r>
            <w:r>
              <w:tab/>
            </w:r>
          </w:p>
        </w:tc>
        <w:tc>
          <w:tcPr>
            <w:tcW w:w="1134" w:type="dxa"/>
            <w:gridSpan w:val="2"/>
          </w:tcPr>
          <w:p>
            <w:pPr>
              <w:pStyle w:val="yTableNAm"/>
              <w:spacing w:before="100"/>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Esperance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22.</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64B: unauthorised berthing of fishing vessel at main wharf berth 1, 2 or 3</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23.</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64C: unauthorised mooring, anchoring, landing or beaching of vessel in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24.</w:t>
            </w:r>
          </w:p>
        </w:tc>
        <w:tc>
          <w:tcPr>
            <w:tcW w:w="5387" w:type="dxa"/>
            <w:tcBorders>
              <w:top w:val="nil"/>
              <w:left w:val="nil"/>
              <w:bottom w:val="nil"/>
              <w:right w:val="nil"/>
            </w:tcBorders>
          </w:tcPr>
          <w:p>
            <w:pPr>
              <w:pStyle w:val="yTableNAm"/>
              <w:tabs>
                <w:tab w:val="clear" w:pos="567"/>
                <w:tab w:val="right" w:leader="dot" w:pos="5137"/>
              </w:tabs>
              <w:spacing w:before="100"/>
            </w:pPr>
            <w:r>
              <w:t>Schedule 1 clause 64D: unauthorised placing of fishing gear in waters of port</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p>
        </w:tc>
        <w:tc>
          <w:tcPr>
            <w:tcW w:w="5387" w:type="dxa"/>
            <w:tcBorders>
              <w:top w:val="nil"/>
              <w:left w:val="nil"/>
              <w:bottom w:val="nil"/>
              <w:right w:val="nil"/>
            </w:tcBorders>
          </w:tcPr>
          <w:p>
            <w:pPr>
              <w:pStyle w:val="yTableNAm"/>
              <w:spacing w:before="100"/>
              <w:rPr>
                <w:b/>
              </w:rPr>
            </w:pPr>
            <w:r>
              <w:rPr>
                <w:b/>
              </w:rPr>
              <w:t>Port of Fremantle</w:t>
            </w:r>
          </w:p>
        </w:tc>
        <w:tc>
          <w:tcPr>
            <w:tcW w:w="1134" w:type="dxa"/>
            <w:gridSpan w:val="2"/>
            <w:tcBorders>
              <w:top w:val="nil"/>
              <w:left w:val="nil"/>
              <w:bottom w:val="nil"/>
              <w:right w:val="nil"/>
            </w:tcBorders>
          </w:tcPr>
          <w:p>
            <w:pPr>
              <w:pStyle w:val="yTableNAm"/>
              <w:spacing w:before="100"/>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25.</w:t>
            </w:r>
          </w:p>
        </w:tc>
        <w:tc>
          <w:tcPr>
            <w:tcW w:w="5387" w:type="dxa"/>
            <w:tcBorders>
              <w:top w:val="nil"/>
              <w:left w:val="nil"/>
              <w:bottom w:val="nil"/>
              <w:right w:val="nil"/>
            </w:tcBorders>
          </w:tcPr>
          <w:p>
            <w:pPr>
              <w:pStyle w:val="yTableNAm"/>
              <w:tabs>
                <w:tab w:val="clear" w:pos="567"/>
                <w:tab w:val="right" w:leader="dot" w:pos="5137"/>
              </w:tabs>
              <w:spacing w:before="100"/>
            </w:pPr>
            <w:r>
              <w:t>Schedule 1 clause 100: unauthorised swimming in waters of port outside designated area</w:t>
            </w:r>
            <w:r>
              <w:tab/>
            </w:r>
          </w:p>
        </w:tc>
        <w:tc>
          <w:tcPr>
            <w:tcW w:w="1134" w:type="dxa"/>
            <w:gridSpan w:val="2"/>
            <w:tcBorders>
              <w:top w:val="nil"/>
              <w:left w:val="nil"/>
              <w:bottom w:val="nil"/>
              <w:right w:val="nil"/>
            </w:tcBorders>
          </w:tcPr>
          <w:p>
            <w:pPr>
              <w:pStyle w:val="yTableNAm"/>
              <w:spacing w:before="100"/>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gridSpan w:val="2"/>
            <w:tcBorders>
              <w:top w:val="nil"/>
              <w:left w:val="nil"/>
              <w:bottom w:val="nil"/>
              <w:right w:val="nil"/>
            </w:tcBorders>
          </w:tcPr>
          <w:p>
            <w:pPr>
              <w:pStyle w:val="yTableNAm"/>
              <w:spacing w:before="100"/>
            </w:pPr>
            <w:r>
              <w:t>26.</w:t>
            </w:r>
          </w:p>
        </w:tc>
        <w:tc>
          <w:tcPr>
            <w:tcW w:w="5387" w:type="dxa"/>
            <w:tcBorders>
              <w:top w:val="nil"/>
              <w:left w:val="nil"/>
              <w:bottom w:val="nil"/>
              <w:right w:val="nil"/>
            </w:tcBorders>
          </w:tcPr>
          <w:p>
            <w:pPr>
              <w:pStyle w:val="yTableNAm"/>
              <w:tabs>
                <w:tab w:val="clear" w:pos="567"/>
                <w:tab w:val="right" w:leader="dot" w:pos="5137"/>
              </w:tabs>
              <w:spacing w:before="100"/>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gridSpan w:val="2"/>
            <w:tcBorders>
              <w:top w:val="nil"/>
              <w:left w:val="nil"/>
              <w:bottom w:val="nil"/>
              <w:right w:val="nil"/>
            </w:tcBorders>
          </w:tcPr>
          <w:p>
            <w:pPr>
              <w:pStyle w:val="yTableNAm"/>
              <w:spacing w:before="100"/>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2035;3 Oct 2017 p. 5047</w:t>
      </w:r>
      <w:r>
        <w:noBreakHyphen/>
        <w:t>8.]</w:t>
      </w:r>
    </w:p>
    <w:p>
      <w:pPr>
        <w:pStyle w:val="yScheduleHeading"/>
        <w:outlineLvl w:val="0"/>
      </w:pPr>
      <w:bookmarkStart w:id="1120" w:name="_Toc408472024"/>
      <w:bookmarkStart w:id="1121" w:name="_Toc416945669"/>
      <w:bookmarkStart w:id="1122" w:name="_Toc416946008"/>
      <w:bookmarkStart w:id="1123" w:name="_Toc416946292"/>
      <w:bookmarkStart w:id="1124" w:name="_Toc417655862"/>
      <w:bookmarkStart w:id="1125" w:name="_Toc461722289"/>
      <w:bookmarkStart w:id="1126" w:name="_Toc461723936"/>
      <w:bookmarkStart w:id="1127" w:name="_Toc493069688"/>
      <w:bookmarkStart w:id="1128" w:name="_Toc494791965"/>
      <w:bookmarkStart w:id="1129" w:name="_Toc494793588"/>
      <w:bookmarkStart w:id="1130" w:name="_Toc494798214"/>
      <w:r>
        <w:rPr>
          <w:rStyle w:val="CharSchNo"/>
        </w:rPr>
        <w:t>Schedule 4</w:t>
      </w:r>
      <w:r>
        <w:t xml:space="preserve"> — </w:t>
      </w:r>
      <w:r>
        <w:rPr>
          <w:rStyle w:val="CharSchText"/>
        </w:rPr>
        <w:t>Forms</w:t>
      </w:r>
      <w:bookmarkEnd w:id="1120"/>
      <w:bookmarkEnd w:id="1121"/>
      <w:bookmarkEnd w:id="1122"/>
      <w:bookmarkEnd w:id="1123"/>
      <w:bookmarkEnd w:id="1124"/>
      <w:bookmarkEnd w:id="1125"/>
      <w:bookmarkEnd w:id="1126"/>
      <w:bookmarkEnd w:id="1127"/>
      <w:bookmarkEnd w:id="1128"/>
      <w:bookmarkEnd w:id="1129"/>
      <w:bookmarkEnd w:id="1130"/>
    </w:p>
    <w:p>
      <w:pPr>
        <w:pStyle w:val="yShoulderClause"/>
      </w:pPr>
      <w:r>
        <w:t>[r. 111, 112]</w:t>
      </w:r>
    </w:p>
    <w:p>
      <w:pPr>
        <w:pStyle w:val="yMiscellaneousHeading"/>
      </w:pPr>
      <w:r>
        <w:rPr>
          <w:rStyle w:val="CharSClsNo"/>
        </w:rP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(7)</w:t>
      </w:r>
      <w:r>
        <w:rPr>
          <w:snapToGrid w:val="0"/>
        </w:rPr>
        <w:t xml:space="preserve"> ..........................................................</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rPr>
          <w:rStyle w:val="CharSClsNo"/>
        </w:rP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Infringement notice No. ............................... dated ......./......./....... for the alleged offence of ...............................................................................................................</w:t>
      </w:r>
    </w:p>
    <w:p>
      <w:pPr>
        <w:pStyle w:val="yMiscellaneousBody"/>
        <w:rPr>
          <w:snapToGrid w:val="0"/>
        </w:rPr>
      </w:pPr>
      <w:r>
        <w:rPr>
          <w:snapToGrid w:val="0"/>
        </w:rPr>
        <w:t>................................................................................................................................</w:t>
      </w:r>
    </w:p>
    <w:p>
      <w:pPr>
        <w:pStyle w:val="yMiscellaneousBody"/>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pStyle w:val="CentredBaseLine"/>
        <w:jc w:val="center"/>
      </w:pP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outlineLvl w:val="0"/>
      </w:pPr>
      <w:bookmarkStart w:id="1131" w:name="_Toc493069689"/>
      <w:bookmarkStart w:id="1132" w:name="_Toc494791966"/>
      <w:bookmarkStart w:id="1133" w:name="_Toc494793589"/>
      <w:bookmarkStart w:id="1134" w:name="_Toc494798215"/>
      <w:r>
        <w:t>Notes</w:t>
      </w:r>
      <w:bookmarkEnd w:id="424"/>
      <w:bookmarkEnd w:id="425"/>
      <w:bookmarkEnd w:id="426"/>
      <w:bookmarkEnd w:id="427"/>
      <w:bookmarkEnd w:id="428"/>
      <w:bookmarkEnd w:id="429"/>
      <w:bookmarkEnd w:id="430"/>
      <w:bookmarkEnd w:id="1131"/>
      <w:bookmarkEnd w:id="1132"/>
      <w:bookmarkEnd w:id="1133"/>
      <w:bookmarkEnd w:id="1134"/>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1135" w:name="_Toc408472026"/>
      <w:bookmarkStart w:id="1136" w:name="_Toc494798216"/>
      <w:r>
        <w:t>Compilation table</w:t>
      </w:r>
      <w:bookmarkEnd w:id="1135"/>
      <w:bookmarkEnd w:id="11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Port Authorities Regulations 2001</w:t>
            </w:r>
          </w:p>
        </w:tc>
        <w:tc>
          <w:tcPr>
            <w:tcW w:w="1276" w:type="dxa"/>
            <w:tcBorders>
              <w:top w:val="single" w:sz="8" w:space="0" w:color="auto"/>
            </w:tcBorders>
          </w:tcPr>
          <w:p>
            <w:pPr>
              <w:pStyle w:val="nTable"/>
              <w:spacing w:after="40"/>
            </w:pPr>
            <w:r>
              <w:t>18 May 2001 p. 2417</w:t>
            </w:r>
            <w:r>
              <w:noBreakHyphen/>
              <w:t>545</w:t>
            </w:r>
          </w:p>
        </w:tc>
        <w:tc>
          <w:tcPr>
            <w:tcW w:w="2693" w:type="dxa"/>
            <w:tcBorders>
              <w:top w:val="single" w:sz="8" w:space="0" w:color="auto"/>
            </w:tcBorders>
          </w:tcPr>
          <w:p>
            <w:pPr>
              <w:pStyle w:val="nTable"/>
              <w:spacing w:after="40"/>
            </w:pPr>
            <w:r>
              <w:t>1 Jun 2001 (see r. 2)</w:t>
            </w:r>
          </w:p>
        </w:tc>
      </w:tr>
      <w:tr>
        <w:tc>
          <w:tcPr>
            <w:tcW w:w="3119" w:type="dxa"/>
          </w:tcPr>
          <w:p>
            <w:pPr>
              <w:pStyle w:val="nTable"/>
              <w:spacing w:after="40"/>
              <w:rPr>
                <w:i/>
              </w:rPr>
            </w:pPr>
            <w:r>
              <w:rPr>
                <w:i/>
              </w:rPr>
              <w:t>Port Authorities Amendment Regulations 2002</w:t>
            </w:r>
          </w:p>
        </w:tc>
        <w:tc>
          <w:tcPr>
            <w:tcW w:w="1276" w:type="dxa"/>
          </w:tcPr>
          <w:p>
            <w:pPr>
              <w:pStyle w:val="nTable"/>
              <w:spacing w:after="40"/>
            </w:pPr>
            <w:r>
              <w:t>22 Mar 2002 p. 1655</w:t>
            </w:r>
          </w:p>
        </w:tc>
        <w:tc>
          <w:tcPr>
            <w:tcW w:w="2693" w:type="dxa"/>
          </w:tcPr>
          <w:p>
            <w:pPr>
              <w:pStyle w:val="nTable"/>
              <w:spacing w:after="40"/>
            </w:pPr>
            <w:r>
              <w:t>22 Mar 2002</w:t>
            </w:r>
          </w:p>
        </w:tc>
      </w:tr>
      <w:tr>
        <w:tc>
          <w:tcPr>
            <w:tcW w:w="3119" w:type="dxa"/>
          </w:tcPr>
          <w:p>
            <w:pPr>
              <w:pStyle w:val="nTable"/>
              <w:spacing w:after="40"/>
              <w:rPr>
                <w:i/>
              </w:rPr>
            </w:pPr>
            <w:r>
              <w:rPr>
                <w:i/>
              </w:rPr>
              <w:t>Port Authorities Amendment Regulations 2003</w:t>
            </w:r>
          </w:p>
        </w:tc>
        <w:tc>
          <w:tcPr>
            <w:tcW w:w="1276" w:type="dxa"/>
          </w:tcPr>
          <w:p>
            <w:pPr>
              <w:pStyle w:val="nTable"/>
              <w:spacing w:after="40"/>
            </w:pPr>
            <w:r>
              <w:t>31 Jan 2003 p. 293</w:t>
            </w:r>
            <w:r>
              <w:noBreakHyphen/>
              <w:t>9</w:t>
            </w:r>
          </w:p>
        </w:tc>
        <w:tc>
          <w:tcPr>
            <w:tcW w:w="2693" w:type="dxa"/>
          </w:tcPr>
          <w:p>
            <w:pPr>
              <w:pStyle w:val="nTable"/>
              <w:spacing w:after="40"/>
            </w:pPr>
            <w:r>
              <w:t>31 Jan 2003</w:t>
            </w:r>
          </w:p>
        </w:tc>
      </w:tr>
      <w:tr>
        <w:tc>
          <w:tcPr>
            <w:tcW w:w="3119" w:type="dxa"/>
          </w:tcPr>
          <w:p>
            <w:pPr>
              <w:pStyle w:val="nTable"/>
              <w:spacing w:after="40"/>
              <w:rPr>
                <w:i/>
              </w:rPr>
            </w:pPr>
            <w:r>
              <w:rPr>
                <w:i/>
              </w:rPr>
              <w:t>Port Authorities Amendment Regulations (No. 2) 2003</w:t>
            </w:r>
          </w:p>
        </w:tc>
        <w:tc>
          <w:tcPr>
            <w:tcW w:w="1276" w:type="dxa"/>
          </w:tcPr>
          <w:p>
            <w:pPr>
              <w:pStyle w:val="nTable"/>
              <w:spacing w:after="40"/>
            </w:pPr>
            <w:r>
              <w:t>27 Jun 2003 p. 2501</w:t>
            </w:r>
          </w:p>
        </w:tc>
        <w:tc>
          <w:tcPr>
            <w:tcW w:w="2693" w:type="dxa"/>
          </w:tcPr>
          <w:p>
            <w:pPr>
              <w:pStyle w:val="nTable"/>
              <w:spacing w:after="40"/>
            </w:pPr>
            <w:r>
              <w:t>1 Jul 2003 (see r. 2)</w:t>
            </w:r>
          </w:p>
        </w:tc>
      </w:tr>
      <w:tr>
        <w:tc>
          <w:tcPr>
            <w:tcW w:w="3119" w:type="dxa"/>
          </w:tcPr>
          <w:p>
            <w:pPr>
              <w:pStyle w:val="nTable"/>
              <w:spacing w:after="40"/>
              <w:rPr>
                <w:i/>
              </w:rPr>
            </w:pPr>
            <w:r>
              <w:rPr>
                <w:i/>
              </w:rPr>
              <w:t>Port Authorities Amendment Regulations 2004</w:t>
            </w:r>
          </w:p>
        </w:tc>
        <w:tc>
          <w:tcPr>
            <w:tcW w:w="1276" w:type="dxa"/>
          </w:tcPr>
          <w:p>
            <w:pPr>
              <w:pStyle w:val="nTable"/>
              <w:spacing w:after="40"/>
            </w:pPr>
            <w:r>
              <w:t>13 Feb 2004 p. 545</w:t>
            </w:r>
            <w:r>
              <w:noBreakHyphen/>
              <w:t>6</w:t>
            </w:r>
          </w:p>
        </w:tc>
        <w:tc>
          <w:tcPr>
            <w:tcW w:w="2693" w:type="dxa"/>
          </w:tcPr>
          <w:p>
            <w:pPr>
              <w:pStyle w:val="nTable"/>
              <w:spacing w:after="40"/>
            </w:pPr>
            <w:r>
              <w:t xml:space="preserve">14 Feb 2004 (see r. 2 and </w:t>
            </w:r>
            <w:r>
              <w:rPr>
                <w:i/>
              </w:rPr>
              <w:t>Gazette</w:t>
            </w:r>
            <w:r>
              <w:t xml:space="preserve"> 13 Feb 2004 p. 537)</w:t>
            </w:r>
          </w:p>
        </w:tc>
      </w:tr>
      <w:tr>
        <w:tc>
          <w:tcPr>
            <w:tcW w:w="3119" w:type="dxa"/>
          </w:tcPr>
          <w:p>
            <w:pPr>
              <w:pStyle w:val="nTable"/>
              <w:spacing w:after="40"/>
              <w:rPr>
                <w:i/>
              </w:rPr>
            </w:pPr>
            <w:r>
              <w:rPr>
                <w:i/>
              </w:rPr>
              <w:t>Port Authorities Amendment Regulations (No. 2) 2004</w:t>
            </w:r>
          </w:p>
        </w:tc>
        <w:tc>
          <w:tcPr>
            <w:tcW w:w="1276" w:type="dxa"/>
          </w:tcPr>
          <w:p>
            <w:pPr>
              <w:pStyle w:val="nTable"/>
              <w:spacing w:after="40"/>
            </w:pPr>
            <w:r>
              <w:t>10 Dec 2004 p. 5915</w:t>
            </w:r>
            <w:r>
              <w:noBreakHyphen/>
              <w:t>16</w:t>
            </w:r>
          </w:p>
        </w:tc>
        <w:tc>
          <w:tcPr>
            <w:tcW w:w="2693" w:type="dxa"/>
          </w:tcPr>
          <w:p>
            <w:pPr>
              <w:pStyle w:val="nTable"/>
              <w:spacing w:after="40"/>
            </w:pPr>
            <w:r>
              <w:t>10 Dec 2004</w:t>
            </w:r>
          </w:p>
        </w:tc>
      </w:tr>
      <w:tr>
        <w:trPr>
          <w:cantSplit/>
        </w:trPr>
        <w:tc>
          <w:tcPr>
            <w:tcW w:w="7088" w:type="dxa"/>
            <w:gridSpan w:val="3"/>
          </w:tcPr>
          <w:p>
            <w:pPr>
              <w:pStyle w:val="nTable"/>
              <w:spacing w:after="40"/>
            </w:pPr>
            <w:r>
              <w:rPr>
                <w:b/>
              </w:rPr>
              <w:t xml:space="preserve">Reprint 1: The </w:t>
            </w:r>
            <w:r>
              <w:rPr>
                <w:b/>
                <w:i/>
              </w:rPr>
              <w:t>Port Authorities Regulations 2001</w:t>
            </w:r>
            <w:r>
              <w:rPr>
                <w:b/>
              </w:rPr>
              <w:t xml:space="preserve"> as at 20 May 2005</w:t>
            </w:r>
            <w:r>
              <w:t xml:space="preserve"> (includes amendments listed above)</w:t>
            </w:r>
          </w:p>
        </w:tc>
      </w:tr>
      <w:tr>
        <w:tc>
          <w:tcPr>
            <w:tcW w:w="3119" w:type="dxa"/>
          </w:tcPr>
          <w:p>
            <w:pPr>
              <w:pStyle w:val="nTable"/>
              <w:spacing w:after="40"/>
              <w:rPr>
                <w:i/>
              </w:rPr>
            </w:pPr>
            <w:r>
              <w:rPr>
                <w:i/>
              </w:rPr>
              <w:t>Port Authorities Amendment Regulations 2005</w:t>
            </w:r>
          </w:p>
        </w:tc>
        <w:tc>
          <w:tcPr>
            <w:tcW w:w="1276" w:type="dxa"/>
          </w:tcPr>
          <w:p>
            <w:pPr>
              <w:pStyle w:val="nTable"/>
              <w:spacing w:after="40"/>
            </w:pPr>
            <w:r>
              <w:t>26 Jul 2005 p. 3401</w:t>
            </w:r>
            <w:r>
              <w:noBreakHyphen/>
              <w:t>2</w:t>
            </w:r>
          </w:p>
        </w:tc>
        <w:tc>
          <w:tcPr>
            <w:tcW w:w="2693" w:type="dxa"/>
          </w:tcPr>
          <w:p>
            <w:pPr>
              <w:pStyle w:val="nTable"/>
              <w:spacing w:after="40"/>
            </w:pPr>
            <w:r>
              <w:t>26 Jul 2005</w:t>
            </w:r>
          </w:p>
        </w:tc>
      </w:tr>
      <w:tr>
        <w:tc>
          <w:tcPr>
            <w:tcW w:w="3119" w:type="dxa"/>
          </w:tcPr>
          <w:p>
            <w:pPr>
              <w:pStyle w:val="nTable"/>
              <w:spacing w:after="40"/>
              <w:rPr>
                <w:i/>
              </w:rPr>
            </w:pPr>
            <w:r>
              <w:rPr>
                <w:i/>
              </w:rPr>
              <w:t>Port Authorities Amendment Regulations (No. 2) 2005</w:t>
            </w:r>
          </w:p>
        </w:tc>
        <w:tc>
          <w:tcPr>
            <w:tcW w:w="1276" w:type="dxa"/>
          </w:tcPr>
          <w:p>
            <w:pPr>
              <w:pStyle w:val="nTable"/>
              <w:spacing w:after="40"/>
            </w:pPr>
            <w:r>
              <w:t>30 Aug 2005 p. 4057</w:t>
            </w:r>
            <w:r>
              <w:noBreakHyphen/>
              <w:t>8</w:t>
            </w:r>
          </w:p>
        </w:tc>
        <w:tc>
          <w:tcPr>
            <w:tcW w:w="2693" w:type="dxa"/>
          </w:tcPr>
          <w:p>
            <w:pPr>
              <w:pStyle w:val="nTable"/>
              <w:spacing w:after="40"/>
            </w:pPr>
            <w:r>
              <w:t>30 Aug 2005</w:t>
            </w:r>
          </w:p>
        </w:tc>
      </w:tr>
      <w:tr>
        <w:tc>
          <w:tcPr>
            <w:tcW w:w="3119" w:type="dxa"/>
          </w:tcPr>
          <w:p>
            <w:pPr>
              <w:pStyle w:val="nTable"/>
              <w:spacing w:after="40"/>
              <w:rPr>
                <w:i/>
              </w:rPr>
            </w:pPr>
            <w:r>
              <w:rPr>
                <w:i/>
              </w:rPr>
              <w:t>Port Authorities Amendment Regulations (No. 4) 2005</w:t>
            </w:r>
          </w:p>
        </w:tc>
        <w:tc>
          <w:tcPr>
            <w:tcW w:w="1276" w:type="dxa"/>
          </w:tcPr>
          <w:p>
            <w:pPr>
              <w:pStyle w:val="nTable"/>
              <w:spacing w:after="40"/>
            </w:pPr>
            <w:r>
              <w:t>16 Sep 2005 p. 4327</w:t>
            </w:r>
            <w:r>
              <w:noBreakHyphen/>
              <w:t>8</w:t>
            </w:r>
          </w:p>
        </w:tc>
        <w:tc>
          <w:tcPr>
            <w:tcW w:w="2693" w:type="dxa"/>
          </w:tcPr>
          <w:p>
            <w:pPr>
              <w:pStyle w:val="nTable"/>
              <w:spacing w:after="40"/>
            </w:pPr>
            <w:r>
              <w:t>16 Sep 2005</w:t>
            </w:r>
          </w:p>
        </w:tc>
      </w:tr>
      <w:tr>
        <w:tc>
          <w:tcPr>
            <w:tcW w:w="3119" w:type="dxa"/>
          </w:tcPr>
          <w:p>
            <w:pPr>
              <w:pStyle w:val="nTable"/>
              <w:spacing w:after="40"/>
              <w:rPr>
                <w:i/>
              </w:rPr>
            </w:pPr>
            <w:r>
              <w:rPr>
                <w:i/>
              </w:rPr>
              <w:t>Port Authorities Amendment Regulations (No. 2) 2006</w:t>
            </w:r>
          </w:p>
        </w:tc>
        <w:tc>
          <w:tcPr>
            <w:tcW w:w="1276" w:type="dxa"/>
          </w:tcPr>
          <w:p>
            <w:pPr>
              <w:pStyle w:val="nTable"/>
              <w:spacing w:after="40"/>
            </w:pPr>
            <w:r>
              <w:t>29 Aug 2006 p. 3579</w:t>
            </w:r>
            <w:r>
              <w:noBreakHyphen/>
              <w:t>81</w:t>
            </w:r>
          </w:p>
        </w:tc>
        <w:tc>
          <w:tcPr>
            <w:tcW w:w="2693" w:type="dxa"/>
          </w:tcPr>
          <w:p>
            <w:pPr>
              <w:pStyle w:val="nTable"/>
              <w:spacing w:after="40"/>
            </w:pPr>
            <w:r>
              <w:t>29 Aug 2006</w:t>
            </w:r>
          </w:p>
        </w:tc>
      </w:tr>
      <w:tr>
        <w:tc>
          <w:tcPr>
            <w:tcW w:w="3119" w:type="dxa"/>
          </w:tcPr>
          <w:p>
            <w:pPr>
              <w:pStyle w:val="nTable"/>
              <w:spacing w:after="40"/>
              <w:rPr>
                <w:i/>
              </w:rPr>
            </w:pPr>
            <w:r>
              <w:rPr>
                <w:i/>
              </w:rPr>
              <w:t>Port Authorities Amendment Regulations (No. 3) 2006</w:t>
            </w:r>
          </w:p>
        </w:tc>
        <w:tc>
          <w:tcPr>
            <w:tcW w:w="1276" w:type="dxa"/>
          </w:tcPr>
          <w:p>
            <w:pPr>
              <w:pStyle w:val="nTable"/>
              <w:spacing w:after="40"/>
            </w:pPr>
            <w:r>
              <w:t>29 Aug 2006 p. 3581</w:t>
            </w:r>
            <w:r>
              <w:noBreakHyphen/>
              <w:t>2</w:t>
            </w:r>
          </w:p>
        </w:tc>
        <w:tc>
          <w:tcPr>
            <w:tcW w:w="2693" w:type="dxa"/>
          </w:tcPr>
          <w:p>
            <w:pPr>
              <w:pStyle w:val="nTable"/>
              <w:spacing w:after="40"/>
            </w:pPr>
            <w:r>
              <w:t>29 Aug 2006</w:t>
            </w:r>
          </w:p>
        </w:tc>
      </w:tr>
      <w:tr>
        <w:trPr>
          <w:cantSplit/>
        </w:trPr>
        <w:tc>
          <w:tcPr>
            <w:tcW w:w="7088" w:type="dxa"/>
            <w:gridSpan w:val="3"/>
          </w:tcPr>
          <w:p>
            <w:pPr>
              <w:pStyle w:val="nTable"/>
              <w:spacing w:after="40"/>
            </w:pPr>
            <w:r>
              <w:rPr>
                <w:b/>
              </w:rPr>
              <w:t xml:space="preserve">Reprint 2: The </w:t>
            </w:r>
            <w:r>
              <w:rPr>
                <w:b/>
                <w:i/>
              </w:rPr>
              <w:t>Port Authorities Regulations 2001</w:t>
            </w:r>
            <w:r>
              <w:rPr>
                <w:b/>
              </w:rPr>
              <w:t xml:space="preserve"> as at 10 Nov 2006</w:t>
            </w:r>
            <w:r>
              <w:t xml:space="preserve"> (includes amendments listed above)</w:t>
            </w:r>
          </w:p>
        </w:tc>
      </w:tr>
      <w:tr>
        <w:tc>
          <w:tcPr>
            <w:tcW w:w="3119" w:type="dxa"/>
          </w:tcPr>
          <w:p>
            <w:pPr>
              <w:pStyle w:val="nTable"/>
              <w:spacing w:after="40"/>
              <w:rPr>
                <w:i/>
              </w:rPr>
            </w:pPr>
            <w:r>
              <w:rPr>
                <w:i/>
              </w:rPr>
              <w:t>Port Authorities Amendment Regulations 2007</w:t>
            </w:r>
          </w:p>
        </w:tc>
        <w:tc>
          <w:tcPr>
            <w:tcW w:w="1276" w:type="dxa"/>
          </w:tcPr>
          <w:p>
            <w:pPr>
              <w:pStyle w:val="nTable"/>
              <w:spacing w:after="40"/>
            </w:pPr>
            <w:r>
              <w:t>12 Jun 2007 p. 2679</w:t>
            </w:r>
            <w:r>
              <w:noBreakHyphen/>
              <w:t>94</w:t>
            </w:r>
          </w:p>
        </w:tc>
        <w:tc>
          <w:tcPr>
            <w:tcW w:w="2693" w:type="dxa"/>
          </w:tcPr>
          <w:p>
            <w:pPr>
              <w:pStyle w:val="nTable"/>
              <w:spacing w:after="40"/>
            </w:pPr>
            <w:r>
              <w:t>12 Jun 2007</w:t>
            </w:r>
          </w:p>
        </w:tc>
      </w:tr>
      <w:tr>
        <w:trPr>
          <w:cantSplit/>
        </w:trPr>
        <w:tc>
          <w:tcPr>
            <w:tcW w:w="3119" w:type="dxa"/>
          </w:tcPr>
          <w:p>
            <w:pPr>
              <w:pStyle w:val="nTable"/>
              <w:spacing w:after="40"/>
              <w:rPr>
                <w:i/>
              </w:rPr>
            </w:pPr>
            <w:r>
              <w:rPr>
                <w:i/>
              </w:rPr>
              <w:t>Port Authorities Amendment Regulations (No. 4) 2007</w:t>
            </w:r>
          </w:p>
        </w:tc>
        <w:tc>
          <w:tcPr>
            <w:tcW w:w="1276" w:type="dxa"/>
          </w:tcPr>
          <w:p>
            <w:pPr>
              <w:pStyle w:val="nTable"/>
              <w:spacing w:after="40"/>
            </w:pPr>
            <w:r>
              <w:t>22 Jun 2007 p. 2849</w:t>
            </w:r>
            <w:r>
              <w:noBreakHyphen/>
              <w:t>50</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3) 2007</w:t>
            </w:r>
          </w:p>
        </w:tc>
        <w:tc>
          <w:tcPr>
            <w:tcW w:w="1276" w:type="dxa"/>
          </w:tcPr>
          <w:p>
            <w:pPr>
              <w:pStyle w:val="nTable"/>
              <w:spacing w:after="40"/>
            </w:pPr>
            <w:r>
              <w:t>22 Jun 2007 p. 2850</w:t>
            </w:r>
            <w:r>
              <w:noBreakHyphen/>
              <w:t>1</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2) 2007</w:t>
            </w:r>
          </w:p>
        </w:tc>
        <w:tc>
          <w:tcPr>
            <w:tcW w:w="1276" w:type="dxa"/>
          </w:tcPr>
          <w:p>
            <w:pPr>
              <w:pStyle w:val="nTable"/>
              <w:spacing w:after="40"/>
            </w:pPr>
            <w:r>
              <w:t>22 Jun 2007 p. 2852</w:t>
            </w:r>
          </w:p>
        </w:tc>
        <w:tc>
          <w:tcPr>
            <w:tcW w:w="2693" w:type="dxa"/>
          </w:tcPr>
          <w:p>
            <w:pPr>
              <w:pStyle w:val="nTable"/>
              <w:spacing w:after="40"/>
              <w:rPr>
                <w:snapToGrid w:val="0"/>
              </w:rPr>
            </w:pPr>
            <w:r>
              <w:rPr>
                <w:snapToGrid w:val="0"/>
              </w:rPr>
              <w:t>r. 1 and 2: 22 Jun 2007 (see r. 2(a));</w:t>
            </w:r>
            <w:r>
              <w:rPr>
                <w:snapToGrid w:val="0"/>
              </w:rPr>
              <w:br/>
              <w:t>Regulations other than r. 1 and 2: 1 Jul 2007 (see r. 2(b))</w:t>
            </w:r>
          </w:p>
        </w:tc>
      </w:tr>
      <w:tr>
        <w:tc>
          <w:tcPr>
            <w:tcW w:w="3119" w:type="dxa"/>
          </w:tcPr>
          <w:p>
            <w:pPr>
              <w:pStyle w:val="nTable"/>
              <w:spacing w:after="40"/>
              <w:rPr>
                <w:i/>
              </w:rPr>
            </w:pPr>
            <w:r>
              <w:rPr>
                <w:i/>
              </w:rPr>
              <w:t>Port Authorities Amendment Regulations (No. 5) 2007</w:t>
            </w:r>
          </w:p>
        </w:tc>
        <w:tc>
          <w:tcPr>
            <w:tcW w:w="1276" w:type="dxa"/>
          </w:tcPr>
          <w:p>
            <w:pPr>
              <w:pStyle w:val="nTable"/>
              <w:spacing w:after="40"/>
            </w:pPr>
            <w:r>
              <w:t>2 Oct 2007 p. 4970</w:t>
            </w:r>
            <w:r>
              <w:noBreakHyphen/>
              <w:t>2</w:t>
            </w:r>
          </w:p>
        </w:tc>
        <w:tc>
          <w:tcPr>
            <w:tcW w:w="2693" w:type="dxa"/>
          </w:tcPr>
          <w:p>
            <w:pPr>
              <w:pStyle w:val="nTable"/>
              <w:spacing w:after="40"/>
              <w:rPr>
                <w:snapToGrid w:val="0"/>
              </w:rPr>
            </w:pPr>
            <w:r>
              <w:rPr>
                <w:spacing w:val="-2"/>
              </w:rPr>
              <w:t>r. 1 and 2: 2 Oct 2007 (see r. 2(a));</w:t>
            </w:r>
            <w:r>
              <w:rPr>
                <w:spacing w:val="-2"/>
              </w:rPr>
              <w:br/>
              <w:t>Regulations other than r. 1 and 2: 3 Oct 2007 (see r. 2(b))</w:t>
            </w:r>
          </w:p>
        </w:tc>
      </w:tr>
      <w:tr>
        <w:trPr>
          <w:cantSplit/>
        </w:trPr>
        <w:tc>
          <w:tcPr>
            <w:tcW w:w="7088" w:type="dxa"/>
            <w:gridSpan w:val="3"/>
          </w:tcPr>
          <w:p>
            <w:pPr>
              <w:pStyle w:val="nTable"/>
              <w:spacing w:after="40"/>
              <w:rPr>
                <w:snapToGrid w:val="0"/>
              </w:rPr>
            </w:pPr>
            <w:r>
              <w:rPr>
                <w:b/>
              </w:rPr>
              <w:t xml:space="preserve">Reprint 3: The </w:t>
            </w:r>
            <w:r>
              <w:rPr>
                <w:b/>
                <w:i/>
              </w:rPr>
              <w:t>Port Authorities Regulations 2001</w:t>
            </w:r>
            <w:r>
              <w:rPr>
                <w:b/>
              </w:rPr>
              <w:t xml:space="preserve"> as at 12 Oct 2007</w:t>
            </w:r>
            <w:r>
              <w:t xml:space="preserve"> (includes amendments listed above)</w:t>
            </w:r>
          </w:p>
        </w:tc>
      </w:tr>
      <w:tr>
        <w:tc>
          <w:tcPr>
            <w:tcW w:w="3119" w:type="dxa"/>
          </w:tcPr>
          <w:p>
            <w:pPr>
              <w:pStyle w:val="nTable"/>
              <w:spacing w:after="40"/>
              <w:rPr>
                <w:i/>
              </w:rPr>
            </w:pPr>
            <w:r>
              <w:rPr>
                <w:i/>
              </w:rPr>
              <w:t>Port Authorities Amendment Regulations (No. 6) 2007</w:t>
            </w:r>
          </w:p>
        </w:tc>
        <w:tc>
          <w:tcPr>
            <w:tcW w:w="1276" w:type="dxa"/>
          </w:tcPr>
          <w:p>
            <w:pPr>
              <w:pStyle w:val="nTable"/>
              <w:spacing w:after="40"/>
            </w:pPr>
            <w:r>
              <w:t>30 Nov 2007 p. 5939</w:t>
            </w:r>
            <w:r>
              <w:noBreakHyphen/>
              <w:t>40</w:t>
            </w:r>
          </w:p>
        </w:tc>
        <w:tc>
          <w:tcPr>
            <w:tcW w:w="2693" w:type="dxa"/>
          </w:tcPr>
          <w:p>
            <w:pPr>
              <w:pStyle w:val="nTable"/>
              <w:spacing w:after="40"/>
              <w:rPr>
                <w:snapToGrid w:val="0"/>
              </w:rPr>
            </w:pPr>
            <w:r>
              <w:t>r. 1 and 2: 30 Nov 2007 (see r. 2(a));</w:t>
            </w:r>
            <w:r>
              <w:br/>
              <w:t>Regulations other than r. 1 and 2: 1 Dec 2007 (see r. 2(b))</w:t>
            </w:r>
          </w:p>
        </w:tc>
      </w:tr>
      <w:tr>
        <w:tc>
          <w:tcPr>
            <w:tcW w:w="3119" w:type="dxa"/>
          </w:tcPr>
          <w:p>
            <w:pPr>
              <w:pStyle w:val="nTable"/>
              <w:spacing w:after="40"/>
              <w:rPr>
                <w:i/>
              </w:rPr>
            </w:pPr>
            <w:r>
              <w:rPr>
                <w:i/>
              </w:rPr>
              <w:t>Port Authorities Amendment Regulations 2008</w:t>
            </w:r>
          </w:p>
        </w:tc>
        <w:tc>
          <w:tcPr>
            <w:tcW w:w="1276" w:type="dxa"/>
          </w:tcPr>
          <w:p>
            <w:pPr>
              <w:pStyle w:val="nTable"/>
              <w:spacing w:after="40"/>
            </w:pPr>
            <w:r>
              <w:t>5 Sep 2008 p. 4139</w:t>
            </w:r>
            <w:r>
              <w:noBreakHyphen/>
              <w:t>40</w:t>
            </w:r>
          </w:p>
        </w:tc>
        <w:tc>
          <w:tcPr>
            <w:tcW w:w="2693" w:type="dxa"/>
          </w:tcPr>
          <w:p>
            <w:pPr>
              <w:pStyle w:val="nTable"/>
              <w:spacing w:after="40"/>
            </w:pPr>
            <w:r>
              <w:t>r. 1 and 2: 5 Sep 2008 (see r. 2(a));</w:t>
            </w:r>
            <w:r>
              <w:br/>
              <w:t>Regulations other than r. 1 and 2: 6 Sep 2008 (see r. 2(b))</w:t>
            </w:r>
          </w:p>
        </w:tc>
      </w:tr>
      <w:tr>
        <w:tc>
          <w:tcPr>
            <w:tcW w:w="3119" w:type="dxa"/>
          </w:tcPr>
          <w:p>
            <w:pPr>
              <w:pStyle w:val="nTable"/>
              <w:spacing w:after="40"/>
              <w:rPr>
                <w:i/>
              </w:rPr>
            </w:pPr>
            <w:r>
              <w:rPr>
                <w:i/>
              </w:rPr>
              <w:t>Port Authorities Amendment Regulations (No. 2) 2008</w:t>
            </w:r>
          </w:p>
        </w:tc>
        <w:tc>
          <w:tcPr>
            <w:tcW w:w="1276" w:type="dxa"/>
          </w:tcPr>
          <w:p>
            <w:pPr>
              <w:pStyle w:val="nTable"/>
              <w:spacing w:after="40"/>
            </w:pPr>
            <w:r>
              <w:t>31 Oct 2008 p. 4775</w:t>
            </w:r>
          </w:p>
        </w:tc>
        <w:tc>
          <w:tcPr>
            <w:tcW w:w="2693" w:type="dxa"/>
          </w:tcPr>
          <w:p>
            <w:pPr>
              <w:pStyle w:val="nTable"/>
              <w:spacing w:after="40"/>
            </w:pPr>
            <w:r>
              <w:t>r. 1 and 2: 31 Oct 2008 (see r. 2(a));</w:t>
            </w:r>
            <w:r>
              <w:br/>
              <w:t>Regulations other than r. 1 and 2: 1 Nov 2008 (see r. 2(b))</w:t>
            </w:r>
          </w:p>
        </w:tc>
      </w:tr>
      <w:tr>
        <w:tc>
          <w:tcPr>
            <w:tcW w:w="3119" w:type="dxa"/>
          </w:tcPr>
          <w:p>
            <w:pPr>
              <w:pStyle w:val="nTable"/>
              <w:spacing w:after="40"/>
              <w:rPr>
                <w:i/>
              </w:rPr>
            </w:pPr>
            <w:r>
              <w:rPr>
                <w:i/>
              </w:rPr>
              <w:t>Port Authorities Amendment Regulations 2009</w:t>
            </w:r>
          </w:p>
        </w:tc>
        <w:tc>
          <w:tcPr>
            <w:tcW w:w="1276" w:type="dxa"/>
          </w:tcPr>
          <w:p>
            <w:pPr>
              <w:pStyle w:val="nTable"/>
              <w:spacing w:after="40"/>
            </w:pPr>
            <w:r>
              <w:t>23 Jun 2009 p. 2485</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c>
          <w:tcPr>
            <w:tcW w:w="3119" w:type="dxa"/>
          </w:tcPr>
          <w:p>
            <w:pPr>
              <w:pStyle w:val="nTable"/>
              <w:spacing w:after="40"/>
              <w:rPr>
                <w:i/>
              </w:rPr>
            </w:pPr>
            <w:r>
              <w:rPr>
                <w:i/>
              </w:rPr>
              <w:t>Port Authorities Amendment Regulations (No. 2) 2009</w:t>
            </w:r>
          </w:p>
        </w:tc>
        <w:tc>
          <w:tcPr>
            <w:tcW w:w="1276" w:type="dxa"/>
          </w:tcPr>
          <w:p>
            <w:pPr>
              <w:pStyle w:val="nTable"/>
              <w:spacing w:after="40"/>
            </w:pPr>
            <w:r>
              <w:t>18 Sep 2009 p. 3623</w:t>
            </w:r>
            <w:r>
              <w:noBreakHyphen/>
              <w:t>5</w:t>
            </w:r>
          </w:p>
        </w:tc>
        <w:tc>
          <w:tcPr>
            <w:tcW w:w="2693" w:type="dxa"/>
          </w:tcPr>
          <w:p>
            <w:pPr>
              <w:pStyle w:val="nTable"/>
              <w:spacing w:after="40"/>
              <w:rPr>
                <w:snapToGrid w:val="0"/>
              </w:rPr>
            </w:pPr>
            <w:r>
              <w:rPr>
                <w:snapToGrid w:val="0"/>
              </w:rPr>
              <w:t>r. 1 and 2: 18 Sep 2009 (see r. 2(a));</w:t>
            </w:r>
            <w:r>
              <w:rPr>
                <w:snapToGrid w:val="0"/>
              </w:rPr>
              <w:br/>
              <w:t>Regulations other than r. 1 and 2: 19 Sep 2009 (see r. 2(b))</w:t>
            </w:r>
          </w:p>
        </w:tc>
      </w:tr>
      <w:tr>
        <w:trPr>
          <w:cantSplit/>
        </w:trPr>
        <w:tc>
          <w:tcPr>
            <w:tcW w:w="7088" w:type="dxa"/>
            <w:gridSpan w:val="3"/>
          </w:tcPr>
          <w:p>
            <w:pPr>
              <w:pStyle w:val="nTable"/>
              <w:spacing w:after="40"/>
              <w:rPr>
                <w:snapToGrid w:val="0"/>
              </w:rPr>
            </w:pPr>
            <w:r>
              <w:rPr>
                <w:b/>
              </w:rPr>
              <w:t xml:space="preserve">Reprint 4: The </w:t>
            </w:r>
            <w:r>
              <w:rPr>
                <w:b/>
                <w:i/>
              </w:rPr>
              <w:t>Port Authorities Regulations 2001</w:t>
            </w:r>
            <w:r>
              <w:rPr>
                <w:b/>
              </w:rPr>
              <w:t xml:space="preserve"> as at 25 Sep 2009</w:t>
            </w:r>
            <w:r>
              <w:t xml:space="preserve"> (includes amendments listed above)</w:t>
            </w:r>
          </w:p>
        </w:tc>
      </w:tr>
      <w:tr>
        <w:trPr>
          <w:cantSplit/>
        </w:trPr>
        <w:tc>
          <w:tcPr>
            <w:tcW w:w="3119" w:type="dxa"/>
          </w:tcPr>
          <w:p>
            <w:pPr>
              <w:pStyle w:val="nTable"/>
              <w:spacing w:after="40"/>
              <w:rPr>
                <w:i/>
              </w:rPr>
            </w:pPr>
            <w:r>
              <w:rPr>
                <w:i/>
              </w:rPr>
              <w:t>Port Authorities Amendment Regulations (No. 4) 2009</w:t>
            </w:r>
          </w:p>
        </w:tc>
        <w:tc>
          <w:tcPr>
            <w:tcW w:w="1276" w:type="dxa"/>
          </w:tcPr>
          <w:p>
            <w:pPr>
              <w:pStyle w:val="nTable"/>
              <w:spacing w:after="40"/>
            </w:pPr>
            <w:r>
              <w:t>16 Oct 2009 p. 4068</w:t>
            </w:r>
          </w:p>
        </w:tc>
        <w:tc>
          <w:tcPr>
            <w:tcW w:w="2693" w:type="dxa"/>
          </w:tcPr>
          <w:p>
            <w:pPr>
              <w:pStyle w:val="nTable"/>
              <w:spacing w:after="40"/>
              <w:rPr>
                <w:snapToGrid w:val="0"/>
              </w:rPr>
            </w:pPr>
            <w:r>
              <w:rPr>
                <w:snapToGrid w:val="0"/>
              </w:rPr>
              <w:t>r. 1 and 2: 16 Oct 2009 (see r. 2(a));</w:t>
            </w:r>
            <w:r>
              <w:rPr>
                <w:snapToGrid w:val="0"/>
              </w:rPr>
              <w:br/>
              <w:t>Regulations other than r. 1 and 2: 17 Oct 2009 (see r. 2(b))</w:t>
            </w:r>
          </w:p>
        </w:tc>
      </w:tr>
      <w:tr>
        <w:tc>
          <w:tcPr>
            <w:tcW w:w="3119" w:type="dxa"/>
          </w:tcPr>
          <w:p>
            <w:pPr>
              <w:pStyle w:val="nTable"/>
              <w:spacing w:after="40"/>
              <w:rPr>
                <w:i/>
              </w:rPr>
            </w:pPr>
            <w:r>
              <w:rPr>
                <w:i/>
              </w:rPr>
              <w:t>Port Authorities Amendment Regulations 2010</w:t>
            </w:r>
          </w:p>
        </w:tc>
        <w:tc>
          <w:tcPr>
            <w:tcW w:w="1276" w:type="dxa"/>
          </w:tcPr>
          <w:p>
            <w:pPr>
              <w:pStyle w:val="nTable"/>
              <w:keepNext/>
              <w:keepLines/>
              <w:spacing w:after="40"/>
            </w:pPr>
            <w:r>
              <w:t>4 Jun 2010 p. 2475</w:t>
            </w:r>
          </w:p>
        </w:tc>
        <w:tc>
          <w:tcPr>
            <w:tcW w:w="2693" w:type="dxa"/>
          </w:tcPr>
          <w:p>
            <w:pPr>
              <w:pStyle w:val="nTable"/>
              <w:keepNext/>
              <w:keepLines/>
              <w:spacing w:after="40"/>
              <w:rPr>
                <w:snapToGrid w:val="0"/>
              </w:rPr>
            </w:pPr>
            <w:r>
              <w:rPr>
                <w:snapToGrid w:val="0"/>
              </w:rPr>
              <w:t>r. 1 and 2: 4 Jun 2010 (see r. 2(a));</w:t>
            </w:r>
            <w:r>
              <w:rPr>
                <w:snapToGrid w:val="0"/>
              </w:rPr>
              <w:br/>
              <w:t>Regulations other than r. 1 and 2: 5 Jun 2010 (see r. 2(b))</w:t>
            </w:r>
          </w:p>
        </w:tc>
      </w:tr>
      <w:tr>
        <w:tc>
          <w:tcPr>
            <w:tcW w:w="3119" w:type="dxa"/>
          </w:tcPr>
          <w:p>
            <w:pPr>
              <w:pStyle w:val="nTable"/>
              <w:spacing w:after="40"/>
              <w:rPr>
                <w:i/>
              </w:rPr>
            </w:pPr>
            <w:r>
              <w:rPr>
                <w:i/>
              </w:rPr>
              <w:t>Port Authorities Amendment Regulations (No. 2) 2010</w:t>
            </w:r>
          </w:p>
        </w:tc>
        <w:tc>
          <w:tcPr>
            <w:tcW w:w="1276" w:type="dxa"/>
          </w:tcPr>
          <w:p>
            <w:pPr>
              <w:pStyle w:val="nTable"/>
              <w:spacing w:after="40"/>
            </w:pPr>
            <w:r>
              <w:t>4 Jun 2010 p. 2476</w:t>
            </w:r>
            <w:r>
              <w:noBreakHyphen/>
              <w:t>7</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4) 2010</w:t>
            </w:r>
          </w:p>
        </w:tc>
        <w:tc>
          <w:tcPr>
            <w:tcW w:w="1276" w:type="dxa"/>
          </w:tcPr>
          <w:p>
            <w:pPr>
              <w:pStyle w:val="nTable"/>
              <w:spacing w:after="40"/>
            </w:pPr>
            <w:r>
              <w:t>4 Jun 2010 p. 2478</w:t>
            </w:r>
            <w:r>
              <w:noBreakHyphen/>
              <w:t>9</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3) 2010</w:t>
            </w:r>
            <w:r>
              <w:rPr>
                <w:iCs/>
              </w:rPr>
              <w:t> </w:t>
            </w:r>
          </w:p>
        </w:tc>
        <w:tc>
          <w:tcPr>
            <w:tcW w:w="1276" w:type="dxa"/>
          </w:tcPr>
          <w:p>
            <w:pPr>
              <w:pStyle w:val="nTable"/>
              <w:spacing w:after="40"/>
            </w:pPr>
            <w:r>
              <w:t>4 Jun 2010 p. 2479</w:t>
            </w:r>
            <w:r>
              <w:noBreakHyphen/>
              <w:t>81</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(No. 5) 2010</w:t>
            </w:r>
            <w:r>
              <w:rPr>
                <w:iCs/>
              </w:rPr>
              <w:t> </w:t>
            </w:r>
          </w:p>
        </w:tc>
        <w:tc>
          <w:tcPr>
            <w:tcW w:w="1276" w:type="dxa"/>
          </w:tcPr>
          <w:p>
            <w:pPr>
              <w:pStyle w:val="nTable"/>
              <w:spacing w:after="40"/>
            </w:pPr>
            <w:r>
              <w:t>4 Jun 2010 p. 2481</w:t>
            </w:r>
            <w:r>
              <w:noBreakHyphen/>
              <w:t>2</w:t>
            </w:r>
          </w:p>
        </w:tc>
        <w:tc>
          <w:tcPr>
            <w:tcW w:w="2693" w:type="dxa"/>
          </w:tcPr>
          <w:p>
            <w:pPr>
              <w:pStyle w:val="nTable"/>
              <w:keepNext/>
              <w:keepLines/>
              <w:spacing w:after="40"/>
              <w:rPr>
                <w:snapToGrid w:val="0"/>
              </w:rPr>
            </w:pPr>
            <w:r>
              <w:rPr>
                <w:snapToGrid w:val="0"/>
              </w:rPr>
              <w:t>r. 1 and 2: 4 Jun 2010 (see r. 2(a));</w:t>
            </w:r>
            <w:r>
              <w:rPr>
                <w:snapToGrid w:val="0"/>
              </w:rPr>
              <w:br/>
              <w:t xml:space="preserve">Regulations other than r. 1 and 2: </w:t>
            </w:r>
            <w:r>
              <w:t>1 Jul 2010 (see r. 2(b))</w:t>
            </w:r>
          </w:p>
        </w:tc>
      </w:tr>
      <w:tr>
        <w:tc>
          <w:tcPr>
            <w:tcW w:w="3119" w:type="dxa"/>
          </w:tcPr>
          <w:p>
            <w:pPr>
              <w:pStyle w:val="nTable"/>
              <w:spacing w:after="40"/>
              <w:rPr>
                <w:i/>
              </w:rPr>
            </w:pPr>
            <w:r>
              <w:rPr>
                <w:i/>
              </w:rPr>
              <w:t>Port Authorities Amendment Regulations 2011</w:t>
            </w:r>
          </w:p>
        </w:tc>
        <w:tc>
          <w:tcPr>
            <w:tcW w:w="1276" w:type="dxa"/>
          </w:tcPr>
          <w:p>
            <w:pPr>
              <w:pStyle w:val="nTable"/>
              <w:spacing w:after="40"/>
            </w:pPr>
            <w:r>
              <w:t>30 Jun 2011 p. 2623</w:t>
            </w:r>
            <w:r>
              <w:noBreakHyphen/>
              <w:t>6</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2) 2011</w:t>
            </w:r>
          </w:p>
        </w:tc>
        <w:tc>
          <w:tcPr>
            <w:tcW w:w="1276" w:type="dxa"/>
          </w:tcPr>
          <w:p>
            <w:pPr>
              <w:pStyle w:val="nTable"/>
              <w:spacing w:after="40"/>
            </w:pPr>
            <w:r>
              <w:t>30 Jun 2011 p. 2627</w:t>
            </w:r>
            <w:r>
              <w:noBreakHyphen/>
              <w:t>8</w:t>
            </w:r>
          </w:p>
        </w:tc>
        <w:tc>
          <w:tcPr>
            <w:tcW w:w="2693" w:type="dxa"/>
          </w:tcPr>
          <w:p>
            <w:pPr>
              <w:pStyle w:val="nTable"/>
              <w:spacing w:after="40"/>
              <w:rPr>
                <w:snapToGrid w:val="0"/>
              </w:rPr>
            </w:pPr>
            <w:r>
              <w:rPr>
                <w:snapToGrid w:val="0"/>
              </w:rPr>
              <w:t>r. 1 and 2: 30 Jun 2011 (see r. 2(a));</w:t>
            </w:r>
            <w:r>
              <w:rPr>
                <w:snapToGrid w:val="0"/>
              </w:rPr>
              <w:br/>
              <w:t xml:space="preserve">Regulations other than r. 1 and 2: </w:t>
            </w:r>
            <w:r>
              <w:t>1 Jul 2011 (see r. 2(b))</w:t>
            </w:r>
          </w:p>
        </w:tc>
      </w:tr>
      <w:tr>
        <w:tc>
          <w:tcPr>
            <w:tcW w:w="3119" w:type="dxa"/>
          </w:tcPr>
          <w:p>
            <w:pPr>
              <w:pStyle w:val="nTable"/>
              <w:spacing w:after="40"/>
              <w:rPr>
                <w:i/>
              </w:rPr>
            </w:pPr>
            <w:r>
              <w:rPr>
                <w:i/>
              </w:rPr>
              <w:t>Port Authorities Amendment Regulations (No. 4) 2011</w:t>
            </w:r>
          </w:p>
        </w:tc>
        <w:tc>
          <w:tcPr>
            <w:tcW w:w="1276" w:type="dxa"/>
          </w:tcPr>
          <w:p>
            <w:pPr>
              <w:pStyle w:val="nTable"/>
              <w:spacing w:after="40"/>
            </w:pPr>
            <w:r>
              <w:t>12 Aug 2011 p. 3244</w:t>
            </w:r>
            <w:r>
              <w:noBreakHyphen/>
              <w:t>5</w:t>
            </w:r>
          </w:p>
        </w:tc>
        <w:tc>
          <w:tcPr>
            <w:tcW w:w="2693" w:type="dxa"/>
          </w:tcPr>
          <w:p>
            <w:pPr>
              <w:pStyle w:val="nTable"/>
              <w:spacing w:after="40"/>
              <w:rPr>
                <w:snapToGrid w:val="0"/>
              </w:rPr>
            </w:pPr>
            <w:r>
              <w:rPr>
                <w:snapToGrid w:val="0"/>
              </w:rPr>
              <w:t>r. 1 and 2: 12 Aug 2011 (see r. 2(a));</w:t>
            </w:r>
            <w:r>
              <w:rPr>
                <w:snapToGrid w:val="0"/>
              </w:rPr>
              <w:br/>
              <w:t xml:space="preserve">Regulations other than r. 1 and 2: </w:t>
            </w:r>
            <w:r>
              <w:t>13 Aug 2011 (see r. 2(b))</w:t>
            </w:r>
          </w:p>
        </w:tc>
      </w:tr>
      <w:tr>
        <w:tc>
          <w:tcPr>
            <w:tcW w:w="3119" w:type="dxa"/>
          </w:tcPr>
          <w:p>
            <w:pPr>
              <w:pStyle w:val="nTable"/>
              <w:spacing w:after="40"/>
              <w:rPr>
                <w:i/>
              </w:rPr>
            </w:pPr>
            <w:r>
              <w:rPr>
                <w:i/>
              </w:rPr>
              <w:t>Port Authorities Amendment Regulations (No. 5) 2011</w:t>
            </w:r>
          </w:p>
        </w:tc>
        <w:tc>
          <w:tcPr>
            <w:tcW w:w="1276" w:type="dxa"/>
          </w:tcPr>
          <w:p>
            <w:pPr>
              <w:pStyle w:val="nTable"/>
              <w:spacing w:after="40"/>
            </w:pPr>
            <w:r>
              <w:t>20 Dec 2011 p. 5401</w:t>
            </w:r>
          </w:p>
        </w:tc>
        <w:tc>
          <w:tcPr>
            <w:tcW w:w="2693" w:type="dxa"/>
          </w:tcPr>
          <w:p>
            <w:pPr>
              <w:pStyle w:val="nTable"/>
              <w:spacing w:after="40"/>
              <w:rPr>
                <w:snapToGrid w:val="0"/>
              </w:rPr>
            </w:pPr>
            <w:r>
              <w:rPr>
                <w:snapToGrid w:val="0"/>
              </w:rPr>
              <w:t>r. 1 and 2: 20 Dec 2011 (see r. 2(a));</w:t>
            </w:r>
            <w:r>
              <w:rPr>
                <w:snapToGrid w:val="0"/>
              </w:rPr>
              <w:br/>
              <w:t>Regulations other than r. 1 and 2: 2</w:t>
            </w:r>
            <w:r>
              <w:t>1 Dec 2011 (see r. 2(b))</w:t>
            </w:r>
          </w:p>
        </w:tc>
      </w:tr>
      <w:tr>
        <w:trPr>
          <w:cantSplit/>
        </w:trPr>
        <w:tc>
          <w:tcPr>
            <w:tcW w:w="7088" w:type="dxa"/>
            <w:gridSpan w:val="3"/>
            <w:shd w:val="clear" w:color="auto" w:fill="auto"/>
          </w:tcPr>
          <w:p>
            <w:pPr>
              <w:pStyle w:val="nTable"/>
              <w:spacing w:after="40"/>
              <w:rPr>
                <w:snapToGrid w:val="0"/>
              </w:rPr>
            </w:pPr>
            <w:r>
              <w:rPr>
                <w:b/>
              </w:rPr>
              <w:t xml:space="preserve">Reprint 5: The </w:t>
            </w:r>
            <w:r>
              <w:rPr>
                <w:b/>
                <w:i/>
              </w:rPr>
              <w:t>Port Authorities Regulations 2001</w:t>
            </w:r>
            <w:r>
              <w:rPr>
                <w:b/>
              </w:rPr>
              <w:t xml:space="preserve"> as at 6 Jan 2012</w:t>
            </w:r>
            <w:r>
              <w:t xml:space="preserve"> (includes amendments listed above)</w:t>
            </w:r>
          </w:p>
        </w:tc>
      </w:tr>
      <w:tr>
        <w:tc>
          <w:tcPr>
            <w:tcW w:w="3119" w:type="dxa"/>
          </w:tcPr>
          <w:p>
            <w:pPr>
              <w:pStyle w:val="nTable"/>
              <w:spacing w:after="40"/>
              <w:rPr>
                <w:i/>
              </w:rPr>
            </w:pPr>
            <w:r>
              <w:rPr>
                <w:i/>
              </w:rPr>
              <w:t>Port Authorities Amendment Regulations 2012</w:t>
            </w:r>
          </w:p>
        </w:tc>
        <w:tc>
          <w:tcPr>
            <w:tcW w:w="1276" w:type="dxa"/>
          </w:tcPr>
          <w:p>
            <w:pPr>
              <w:pStyle w:val="nTable"/>
              <w:spacing w:after="40"/>
            </w:pPr>
            <w:r>
              <w:t>25 May 2012 p. 2209</w:t>
            </w:r>
          </w:p>
        </w:tc>
        <w:tc>
          <w:tcPr>
            <w:tcW w:w="2693" w:type="dxa"/>
          </w:tcPr>
          <w:p>
            <w:pPr>
              <w:pStyle w:val="nTable"/>
              <w:spacing w:after="40"/>
              <w:rPr>
                <w:snapToGrid w:val="0"/>
              </w:rPr>
            </w:pPr>
            <w:r>
              <w:rPr>
                <w:snapToGrid w:val="0"/>
              </w:rPr>
              <w:t>r. 1 and 2: 25 May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2) 2012</w:t>
            </w:r>
          </w:p>
        </w:tc>
        <w:tc>
          <w:tcPr>
            <w:tcW w:w="1276" w:type="dxa"/>
          </w:tcPr>
          <w:p>
            <w:pPr>
              <w:pStyle w:val="nTable"/>
              <w:spacing w:after="40"/>
            </w:pPr>
            <w:r>
              <w:t>15 Jun 2012 p. 2520</w:t>
            </w:r>
          </w:p>
        </w:tc>
        <w:tc>
          <w:tcPr>
            <w:tcW w:w="2693" w:type="dxa"/>
          </w:tcPr>
          <w:p>
            <w:pPr>
              <w:pStyle w:val="nTable"/>
              <w:spacing w:after="40"/>
              <w:rPr>
                <w:snapToGrid w:val="0"/>
              </w:rPr>
            </w:pPr>
            <w:r>
              <w:rPr>
                <w:snapToGrid w:val="0"/>
              </w:rPr>
              <w:t>r. 1 and 2: 15 Jun 2012 (see r. 2(a));</w:t>
            </w:r>
            <w:r>
              <w:rPr>
                <w:snapToGrid w:val="0"/>
              </w:rPr>
              <w:br/>
              <w:t xml:space="preserve">Regulations other than r. 1 and 2: </w:t>
            </w:r>
            <w:r>
              <w:t>1 Jul 2012 (see r. 2(b))</w:t>
            </w:r>
          </w:p>
        </w:tc>
      </w:tr>
      <w:tr>
        <w:tc>
          <w:tcPr>
            <w:tcW w:w="3119" w:type="dxa"/>
          </w:tcPr>
          <w:p>
            <w:pPr>
              <w:pStyle w:val="nTable"/>
              <w:spacing w:after="40"/>
              <w:rPr>
                <w:i/>
              </w:rPr>
            </w:pPr>
            <w:r>
              <w:rPr>
                <w:i/>
              </w:rPr>
              <w:t>Port Authorities Amendment Regulations (No. 3) 2012</w:t>
            </w:r>
          </w:p>
        </w:tc>
        <w:tc>
          <w:tcPr>
            <w:tcW w:w="1276" w:type="dxa"/>
          </w:tcPr>
          <w:p>
            <w:pPr>
              <w:pStyle w:val="nTable"/>
              <w:spacing w:after="40"/>
            </w:pPr>
            <w:r>
              <w:t>24 Aug 2012 p. 3959</w:t>
            </w:r>
            <w:r>
              <w:noBreakHyphen/>
              <w:t>60</w:t>
            </w:r>
          </w:p>
        </w:tc>
        <w:tc>
          <w:tcPr>
            <w:tcW w:w="2693" w:type="dxa"/>
          </w:tcPr>
          <w:p>
            <w:pPr>
              <w:pStyle w:val="nTable"/>
              <w:spacing w:after="40"/>
              <w:rPr>
                <w:snapToGrid w:val="0"/>
              </w:rPr>
            </w:pPr>
            <w:r>
              <w:rPr>
                <w:snapToGrid w:val="0"/>
              </w:rPr>
              <w:t>r. 1 and 2: 24 Aug 2012 (see r. 2(a));</w:t>
            </w:r>
            <w:r>
              <w:rPr>
                <w:snapToGrid w:val="0"/>
              </w:rPr>
              <w:br/>
              <w:t>Regulations other than r. 1 and 2: 25 Aug 2012 (see r. 2(b))</w:t>
            </w:r>
          </w:p>
        </w:tc>
      </w:tr>
      <w:tr>
        <w:tc>
          <w:tcPr>
            <w:tcW w:w="3119" w:type="dxa"/>
          </w:tcPr>
          <w:p>
            <w:pPr>
              <w:pStyle w:val="nTable"/>
              <w:spacing w:after="40"/>
              <w:rPr>
                <w:i/>
              </w:rPr>
            </w:pPr>
            <w:r>
              <w:rPr>
                <w:i/>
              </w:rPr>
              <w:t>Port Authorities Amendment (Fremantle) Regulations 2013</w:t>
            </w:r>
          </w:p>
        </w:tc>
        <w:tc>
          <w:tcPr>
            <w:tcW w:w="1276" w:type="dxa"/>
          </w:tcPr>
          <w:p>
            <w:pPr>
              <w:pStyle w:val="nTable"/>
              <w:spacing w:after="40"/>
            </w:pPr>
            <w:r>
              <w:t>29 Jan 2013 p. 336-8</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(Esperance Pilotage Fees) Regulations 2013</w:t>
            </w:r>
          </w:p>
        </w:tc>
        <w:tc>
          <w:tcPr>
            <w:tcW w:w="1276" w:type="dxa"/>
          </w:tcPr>
          <w:p>
            <w:pPr>
              <w:pStyle w:val="nTable"/>
              <w:spacing w:after="40"/>
            </w:pPr>
            <w:r>
              <w:t>29 Jan 2013 p. 338-40</w:t>
            </w:r>
          </w:p>
        </w:tc>
        <w:tc>
          <w:tcPr>
            <w:tcW w:w="2693" w:type="dxa"/>
          </w:tcPr>
          <w:p>
            <w:pPr>
              <w:pStyle w:val="nTable"/>
              <w:spacing w:after="40"/>
              <w:rPr>
                <w:snapToGrid w:val="0"/>
              </w:rPr>
            </w:pPr>
            <w:r>
              <w:rPr>
                <w:snapToGrid w:val="0"/>
              </w:rPr>
              <w:t>r. 1 and 2: 29 Jan 2013 (see r. 2(a));</w:t>
            </w:r>
            <w:r>
              <w:rPr>
                <w:snapToGrid w:val="0"/>
              </w:rPr>
              <w:br/>
              <w:t>Regulations other than r. 1 and 2: 30 Jan 2013 (see r. 2(b))</w:t>
            </w:r>
          </w:p>
        </w:tc>
      </w:tr>
      <w:tr>
        <w:tc>
          <w:tcPr>
            <w:tcW w:w="3119" w:type="dxa"/>
          </w:tcPr>
          <w:p>
            <w:pPr>
              <w:pStyle w:val="nTable"/>
              <w:spacing w:after="40"/>
              <w:rPr>
                <w:i/>
              </w:rPr>
            </w:pPr>
            <w:r>
              <w:rPr>
                <w:i/>
              </w:rPr>
              <w:t>Port Authorities Amendment Regulations (No. 2) 2013</w:t>
            </w:r>
          </w:p>
        </w:tc>
        <w:tc>
          <w:tcPr>
            <w:tcW w:w="1276" w:type="dxa"/>
          </w:tcPr>
          <w:p>
            <w:pPr>
              <w:pStyle w:val="nTable"/>
              <w:spacing w:after="40"/>
            </w:pPr>
            <w:r>
              <w:t>28 Jun 2013 p. 2765-6</w:t>
            </w:r>
          </w:p>
        </w:tc>
        <w:tc>
          <w:tcPr>
            <w:tcW w:w="2693" w:type="dxa"/>
          </w:tcPr>
          <w:p>
            <w:pPr>
              <w:pStyle w:val="nTable"/>
              <w:spacing w:after="40"/>
              <w:rPr>
                <w:snapToGrid w:val="0"/>
              </w:rPr>
            </w:pPr>
            <w:r>
              <w:rPr>
                <w:snapToGrid w:val="0"/>
              </w:rPr>
              <w:t>r. 1 and 2: 28 Jun 2013 (see r. 2(a));</w:t>
            </w:r>
            <w:r>
              <w:rPr>
                <w:snapToGrid w:val="0"/>
              </w:rPr>
              <w:br/>
              <w:t>Regulations other than r. 1 and 2: 29 Jun 2013 (see r. 2(b))</w:t>
            </w:r>
          </w:p>
        </w:tc>
      </w:tr>
      <w:tr>
        <w:tc>
          <w:tcPr>
            <w:tcW w:w="3119" w:type="dxa"/>
          </w:tcPr>
          <w:p>
            <w:pPr>
              <w:pStyle w:val="nTable"/>
              <w:spacing w:after="40"/>
              <w:rPr>
                <w:i/>
              </w:rPr>
            </w:pPr>
            <w:r>
              <w:rPr>
                <w:i/>
              </w:rPr>
              <w:t>Port Authorities Amendment Regulations (No. 4) 2013</w:t>
            </w:r>
          </w:p>
        </w:tc>
        <w:tc>
          <w:tcPr>
            <w:tcW w:w="1276" w:type="dxa"/>
          </w:tcPr>
          <w:p>
            <w:pPr>
              <w:pStyle w:val="nTable"/>
              <w:spacing w:after="40"/>
            </w:pPr>
            <w:r>
              <w:t>12 Jul 2013 p. 3224</w:t>
            </w:r>
            <w:r>
              <w:noBreakHyphen/>
              <w:t>5</w:t>
            </w:r>
          </w:p>
        </w:tc>
        <w:tc>
          <w:tcPr>
            <w:tcW w:w="2693" w:type="dxa"/>
          </w:tcPr>
          <w:p>
            <w:pPr>
              <w:pStyle w:val="nTable"/>
              <w:spacing w:after="40"/>
              <w:rPr>
                <w:snapToGrid w:val="0"/>
              </w:rPr>
            </w:pPr>
            <w:r>
              <w:rPr>
                <w:snapToGrid w:val="0"/>
              </w:rPr>
              <w:t>r. 1 and 2: 12 Jul 2013 (see r. 2(a));</w:t>
            </w:r>
            <w:r>
              <w:rPr>
                <w:snapToGrid w:val="0"/>
              </w:rPr>
              <w:br/>
              <w:t>Regulations other than r. 1 and 2: 13 Jul 2013 (see r. 2(b))</w:t>
            </w:r>
          </w:p>
        </w:tc>
      </w:tr>
      <w:tr>
        <w:tc>
          <w:tcPr>
            <w:tcW w:w="3119" w:type="dxa"/>
          </w:tcPr>
          <w:p>
            <w:pPr>
              <w:pStyle w:val="nTable"/>
              <w:spacing w:after="40"/>
              <w:rPr>
                <w:i/>
              </w:rPr>
            </w:pPr>
            <w:r>
              <w:rPr>
                <w:i/>
              </w:rPr>
              <w:t>Port Authorities Amendment Regulations 2013</w:t>
            </w:r>
          </w:p>
        </w:tc>
        <w:tc>
          <w:tcPr>
            <w:tcW w:w="1276" w:type="dxa"/>
          </w:tcPr>
          <w:p>
            <w:pPr>
              <w:pStyle w:val="nTable"/>
              <w:spacing w:after="40"/>
            </w:pPr>
            <w:r>
              <w:t>13 Aug 2013 p. 3737-8</w:t>
            </w:r>
          </w:p>
        </w:tc>
        <w:tc>
          <w:tcPr>
            <w:tcW w:w="2693" w:type="dxa"/>
          </w:tcPr>
          <w:p>
            <w:pPr>
              <w:pStyle w:val="nTable"/>
              <w:spacing w:after="40"/>
              <w:rPr>
                <w:snapToGrid w:val="0"/>
              </w:rPr>
            </w:pPr>
            <w:r>
              <w:rPr>
                <w:snapToGrid w:val="0"/>
              </w:rPr>
              <w:t>r. 1 and 2: 13 Aug 2013 (see r. 2(a));</w:t>
            </w:r>
            <w:r>
              <w:rPr>
                <w:snapToGrid w:val="0"/>
              </w:rPr>
              <w:br/>
              <w:t>Regulations other than r. 1 and 2: 14 Aug 2013 (see r. 2(b))</w:t>
            </w:r>
          </w:p>
        </w:tc>
      </w:tr>
      <w:tr>
        <w:tc>
          <w:tcPr>
            <w:tcW w:w="3119" w:type="dxa"/>
          </w:tcPr>
          <w:p>
            <w:pPr>
              <w:pStyle w:val="nTable"/>
              <w:spacing w:after="40"/>
              <w:rPr>
                <w:i/>
              </w:rPr>
            </w:pPr>
            <w:r>
              <w:rPr>
                <w:i/>
              </w:rPr>
              <w:t>Port Authorities Amendment Regulations (No. 2) 2014</w:t>
            </w:r>
          </w:p>
        </w:tc>
        <w:tc>
          <w:tcPr>
            <w:tcW w:w="1276" w:type="dxa"/>
          </w:tcPr>
          <w:p>
            <w:pPr>
              <w:pStyle w:val="nTable"/>
              <w:spacing w:after="40"/>
            </w:pPr>
            <w:r>
              <w:rPr>
                <w:rStyle w:val="CharDivNo"/>
              </w:rPr>
              <w:t>20 Jun 2014 p. </w:t>
            </w:r>
            <w:r>
              <w:t>2029</w:t>
            </w:r>
            <w:r>
              <w:noBreakHyphen/>
              <w:t>35</w:t>
            </w:r>
          </w:p>
        </w:tc>
        <w:tc>
          <w:tcPr>
            <w:tcW w:w="2693" w:type="dxa"/>
          </w:tcPr>
          <w:p>
            <w:pPr>
              <w:pStyle w:val="nTable"/>
              <w:spacing w:after="40"/>
              <w:rPr>
                <w:snapToGrid w:val="0"/>
              </w:rPr>
            </w:pPr>
            <w:r>
              <w:rPr>
                <w:rFonts w:ascii="Times" w:hAnsi="Times"/>
                <w:bCs/>
                <w:snapToGrid w:val="0"/>
              </w:rPr>
              <w:t>r. 1 and 2: 20 Jun 2014 (see r. 2(a));</w:t>
            </w:r>
            <w:r>
              <w:rPr>
                <w:rFonts w:ascii="Times" w:hAnsi="Times"/>
                <w:bCs/>
                <w:snapToGrid w:val="0"/>
              </w:rPr>
              <w:br/>
              <w:t>Regulations other than r. 1 and 2: 1 Jul 2014 (see r. 2(b)(i))</w:t>
            </w:r>
          </w:p>
        </w:tc>
      </w:tr>
      <w:tr>
        <w:trPr>
          <w:cantSplit/>
        </w:trPr>
        <w:tc>
          <w:tcPr>
            <w:tcW w:w="3119" w:type="dxa"/>
            <w:shd w:val="clear" w:color="auto" w:fill="auto"/>
          </w:tcPr>
          <w:p>
            <w:pPr>
              <w:pStyle w:val="nTable"/>
              <w:tabs>
                <w:tab w:val="left" w:pos="879"/>
              </w:tabs>
              <w:spacing w:after="40"/>
              <w:rPr>
                <w:i/>
              </w:rPr>
            </w:pPr>
            <w:r>
              <w:rPr>
                <w:i/>
              </w:rPr>
              <w:t>Port Authorities Amendment Regulations (No. 4) 2014</w:t>
            </w:r>
          </w:p>
        </w:tc>
        <w:tc>
          <w:tcPr>
            <w:tcW w:w="1276" w:type="dxa"/>
            <w:shd w:val="clear" w:color="auto" w:fill="auto"/>
          </w:tcPr>
          <w:p>
            <w:pPr>
              <w:pStyle w:val="nTable"/>
              <w:tabs>
                <w:tab w:val="left" w:pos="879"/>
              </w:tabs>
              <w:spacing w:after="40"/>
              <w:rPr>
                <w:rStyle w:val="CharDivNo"/>
              </w:rPr>
            </w:pPr>
            <w:r>
              <w:rPr>
                <w:rStyle w:val="CharDivNo"/>
              </w:rPr>
              <w:t>5 Sep 2014 p. 3214</w:t>
            </w:r>
            <w:r>
              <w:rPr>
                <w:rStyle w:val="CharDivNo"/>
              </w:rPr>
              <w:noBreakHyphen/>
              <w:t>16</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5 Sep 2014 (see r. 2(a));</w:t>
            </w:r>
            <w:r>
              <w:rPr>
                <w:rFonts w:ascii="Times" w:hAnsi="Times"/>
                <w:bCs/>
                <w:snapToGrid w:val="0"/>
              </w:rPr>
              <w:br/>
              <w:t>Regulations other than r. 1 and 2: 6 Sep 2014 (see r. 2(b))</w:t>
            </w:r>
          </w:p>
        </w:tc>
      </w:tr>
      <w:tr>
        <w:trPr>
          <w:cantSplit/>
        </w:trPr>
        <w:tc>
          <w:tcPr>
            <w:tcW w:w="3119" w:type="dxa"/>
            <w:shd w:val="clear" w:color="auto" w:fill="auto"/>
          </w:tcPr>
          <w:p>
            <w:pPr>
              <w:pStyle w:val="nTable"/>
              <w:tabs>
                <w:tab w:val="left" w:pos="879"/>
              </w:tabs>
              <w:spacing w:after="40"/>
              <w:rPr>
                <w:i/>
              </w:rPr>
            </w:pPr>
            <w:r>
              <w:rPr>
                <w:i/>
              </w:rPr>
              <w:t>Port Authorities Amendment Regulations (No. 5) 2014</w:t>
            </w:r>
          </w:p>
        </w:tc>
        <w:tc>
          <w:tcPr>
            <w:tcW w:w="1276" w:type="dxa"/>
            <w:shd w:val="clear" w:color="auto" w:fill="auto"/>
          </w:tcPr>
          <w:p>
            <w:pPr>
              <w:pStyle w:val="nTable"/>
              <w:tabs>
                <w:tab w:val="left" w:pos="879"/>
              </w:tabs>
              <w:spacing w:after="40"/>
              <w:rPr>
                <w:rStyle w:val="CharDivNo"/>
              </w:rPr>
            </w:pPr>
            <w:r>
              <w:rPr>
                <w:rStyle w:val="CharDivNo"/>
              </w:rPr>
              <w:t>19 Sep 2014 p. 3342-3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rPr>
              <w:t>r. 1 and 2: 19 Sep 2014 (see r. 2(a));</w:t>
            </w:r>
            <w:r>
              <w:rPr>
                <w:rFonts w:ascii="Times" w:hAnsi="Times"/>
                <w:bCs/>
                <w:snapToGrid w:val="0"/>
              </w:rPr>
              <w:br/>
              <w:t>Regulations other than r. 1 and 2: 1 Oct 2014 (see r. 2(b)(i))</w:t>
            </w:r>
          </w:p>
        </w:tc>
      </w:tr>
      <w:tr>
        <w:tc>
          <w:tcPr>
            <w:tcW w:w="7088" w:type="dxa"/>
            <w:gridSpan w:val="3"/>
            <w:shd w:val="clear" w:color="auto" w:fill="auto"/>
          </w:tcPr>
          <w:p>
            <w:pPr>
              <w:pStyle w:val="nTable"/>
              <w:tabs>
                <w:tab w:val="left" w:pos="879"/>
              </w:tabs>
              <w:spacing w:after="40"/>
              <w:rPr>
                <w:rFonts w:ascii="Times" w:hAnsi="Times"/>
                <w:bCs/>
                <w:snapToGrid w:val="0"/>
                <w:spacing w:val="-2"/>
              </w:rPr>
            </w:pPr>
            <w:r>
              <w:rPr>
                <w:b/>
              </w:rPr>
              <w:t xml:space="preserve">Reprint 6: The </w:t>
            </w:r>
            <w:r>
              <w:rPr>
                <w:b/>
                <w:i/>
              </w:rPr>
              <w:t>Port Authorities Regulations 2001</w:t>
            </w:r>
            <w:r>
              <w:rPr>
                <w:b/>
              </w:rPr>
              <w:t xml:space="preserve"> as at 21 Nov 2014</w:t>
            </w:r>
            <w:r>
              <w:t xml:space="preserve"> (includes amendments listed above)</w:t>
            </w:r>
          </w:p>
        </w:tc>
      </w:tr>
      <w:tr>
        <w:trPr>
          <w:cantSplit/>
        </w:trPr>
        <w:tc>
          <w:tcPr>
            <w:tcW w:w="3119" w:type="dxa"/>
            <w:shd w:val="clear" w:color="auto" w:fill="auto"/>
          </w:tcPr>
          <w:p>
            <w:pPr>
              <w:pStyle w:val="nTable"/>
              <w:tabs>
                <w:tab w:val="left" w:pos="879"/>
              </w:tabs>
              <w:spacing w:after="40"/>
              <w:rPr>
                <w:i/>
              </w:rPr>
            </w:pPr>
            <w:r>
              <w:rPr>
                <w:i/>
              </w:rPr>
              <w:t>Port Authorities Amendment Regulations 2014</w:t>
            </w:r>
          </w:p>
        </w:tc>
        <w:tc>
          <w:tcPr>
            <w:tcW w:w="1276" w:type="dxa"/>
            <w:shd w:val="clear" w:color="auto" w:fill="auto"/>
          </w:tcPr>
          <w:p>
            <w:pPr>
              <w:pStyle w:val="nTable"/>
              <w:tabs>
                <w:tab w:val="left" w:pos="879"/>
              </w:tabs>
              <w:spacing w:after="40"/>
              <w:rPr>
                <w:rStyle w:val="CharDivNo"/>
              </w:rPr>
            </w:pPr>
            <w:r>
              <w:t>8 Jan 2015 p. 61</w:t>
            </w:r>
            <w:r>
              <w:noBreakHyphen/>
              <w:t>3</w:t>
            </w:r>
          </w:p>
        </w:tc>
        <w:tc>
          <w:tcPr>
            <w:tcW w:w="2693" w:type="dxa"/>
            <w:shd w:val="clear" w:color="auto" w:fill="auto"/>
          </w:tcPr>
          <w:p>
            <w:pPr>
              <w:pStyle w:val="nTable"/>
              <w:tabs>
                <w:tab w:val="left" w:pos="879"/>
              </w:tabs>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tabs>
                <w:tab w:val="left" w:pos="879"/>
              </w:tabs>
              <w:spacing w:after="40"/>
            </w:pPr>
            <w:r>
              <w:rPr>
                <w:i/>
              </w:rPr>
              <w:t>Transport Regulations Amendment (Vessel Pilotage) Regulations 2016</w:t>
            </w:r>
            <w:r>
              <w:t xml:space="preserve"> Pt. 2</w:t>
            </w:r>
          </w:p>
        </w:tc>
        <w:tc>
          <w:tcPr>
            <w:tcW w:w="1276" w:type="dxa"/>
            <w:shd w:val="clear" w:color="auto" w:fill="auto"/>
          </w:tcPr>
          <w:p>
            <w:pPr>
              <w:pStyle w:val="nTable"/>
              <w:tabs>
                <w:tab w:val="left" w:pos="879"/>
              </w:tabs>
              <w:spacing w:after="40"/>
            </w:pPr>
            <w:r>
              <w:t>16 Sep 2016 p. 3943</w:t>
            </w:r>
            <w:r>
              <w:noBreakHyphen/>
              <w:t>5</w:t>
            </w:r>
          </w:p>
        </w:tc>
        <w:tc>
          <w:tcPr>
            <w:tcW w:w="2693" w:type="dxa"/>
            <w:shd w:val="clear" w:color="auto" w:fill="auto"/>
          </w:tcPr>
          <w:p>
            <w:pPr>
              <w:pStyle w:val="nTable"/>
              <w:tabs>
                <w:tab w:val="left" w:pos="879"/>
              </w:tabs>
              <w:spacing w:after="40"/>
              <w:rPr>
                <w:rFonts w:ascii="Times" w:hAnsi="Times"/>
                <w:bCs/>
                <w:snapToGrid w:val="0"/>
                <w:spacing w:val="-2"/>
              </w:rPr>
            </w:pPr>
            <w:r>
              <w:t>Pt. 2 (other than r. 4(2)): 17 Sep 2016</w:t>
            </w:r>
            <w:r>
              <w:rPr>
                <w:rFonts w:ascii="Times" w:hAnsi="Times"/>
                <w:bCs/>
                <w:snapToGrid w:val="0"/>
                <w:spacing w:val="-2"/>
              </w:rPr>
              <w:t xml:space="preserve"> (see r. 2(c));</w:t>
            </w:r>
            <w:r>
              <w:rPr>
                <w:rFonts w:ascii="Times" w:hAnsi="Times"/>
                <w:bCs/>
                <w:snapToGrid w:val="0"/>
                <w:spacing w:val="-2"/>
              </w:rPr>
              <w:br/>
              <w:t>r. 4(2): 17 Sep 2017 (see r. 2(b))</w:t>
            </w:r>
          </w:p>
        </w:tc>
      </w:tr>
      <w:tr>
        <w:trPr>
          <w:cantSplit/>
        </w:trPr>
        <w:tc>
          <w:tcPr>
            <w:tcW w:w="3119" w:type="dxa"/>
            <w:tcBorders>
              <w:bottom w:val="single" w:sz="4" w:space="0" w:color="auto"/>
            </w:tcBorders>
            <w:shd w:val="clear" w:color="auto" w:fill="auto"/>
          </w:tcPr>
          <w:p>
            <w:pPr>
              <w:pStyle w:val="nTable"/>
              <w:tabs>
                <w:tab w:val="left" w:pos="879"/>
              </w:tabs>
              <w:spacing w:after="40"/>
              <w:rPr>
                <w:i/>
              </w:rPr>
            </w:pPr>
            <w:r>
              <w:rPr>
                <w:i/>
              </w:rPr>
              <w:t>Port Authorities Amendment Regulations 2017</w:t>
            </w:r>
          </w:p>
        </w:tc>
        <w:tc>
          <w:tcPr>
            <w:tcW w:w="1276" w:type="dxa"/>
            <w:tcBorders>
              <w:bottom w:val="single" w:sz="4" w:space="0" w:color="auto"/>
            </w:tcBorders>
            <w:shd w:val="clear" w:color="auto" w:fill="auto"/>
          </w:tcPr>
          <w:p>
            <w:pPr>
              <w:pStyle w:val="nTable"/>
              <w:tabs>
                <w:tab w:val="left" w:pos="879"/>
              </w:tabs>
              <w:spacing w:after="40"/>
            </w:pPr>
            <w:r>
              <w:t>3 Oct 2017 p. 5037</w:t>
            </w:r>
            <w:r>
              <w:noBreakHyphen/>
              <w:t>48</w:t>
            </w:r>
          </w:p>
        </w:tc>
        <w:tc>
          <w:tcPr>
            <w:tcW w:w="2693" w:type="dxa"/>
            <w:tcBorders>
              <w:bottom w:val="single" w:sz="4" w:space="0" w:color="auto"/>
            </w:tcBorders>
            <w:shd w:val="clear" w:color="auto" w:fill="auto"/>
          </w:tcPr>
          <w:p>
            <w:pPr>
              <w:pStyle w:val="nTable"/>
              <w:tabs>
                <w:tab w:val="left" w:pos="879"/>
              </w:tabs>
              <w:spacing w:after="40"/>
            </w:pPr>
            <w:r>
              <w:rPr>
                <w:rFonts w:ascii="Times" w:hAnsi="Times"/>
                <w:bCs/>
                <w:snapToGrid w:val="0"/>
                <w:spacing w:val="-2"/>
              </w:rPr>
              <w:t>r. 1 and 2: 3 Oct 2017 (see r. 2(a));</w:t>
            </w:r>
            <w:r>
              <w:rPr>
                <w:rFonts w:ascii="Times" w:hAnsi="Times"/>
                <w:bCs/>
                <w:snapToGrid w:val="0"/>
                <w:spacing w:val="-2"/>
              </w:rPr>
              <w:br/>
              <w:t>Regulations other than r. 1 and 2: 4 Oct 2017 (see r. 2(b))</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138" w:name="_Toc494793591"/>
      <w:bookmarkStart w:id="1139" w:name="_Toc494798217"/>
      <w:r>
        <w:rPr>
          <w:sz w:val="28"/>
        </w:rPr>
        <w:t>Defined terms</w:t>
      </w:r>
      <w:bookmarkEnd w:id="1138"/>
      <w:bookmarkEnd w:id="11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abandoned property</w:t>
      </w:r>
      <w:r>
        <w:tab/>
        <w:t>88(1)</w:t>
      </w:r>
    </w:p>
    <w:p>
      <w:pPr>
        <w:pStyle w:val="DefinedTerms"/>
      </w:pPr>
      <w:r>
        <w:t>AMSA</w:t>
      </w:r>
      <w:r>
        <w:tab/>
        <w:t>Sch. 1 cl. 73</w:t>
      </w:r>
    </w:p>
    <w:p>
      <w:pPr>
        <w:pStyle w:val="DefinedTerms"/>
      </w:pPr>
      <w:r>
        <w:t>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boating safety exclusion zone</w:t>
      </w:r>
      <w:r>
        <w:tab/>
        <w:t>Sch. 1 cl. 38(1)</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5D, Sch. 1 cl. 11(3), Sch. 1 cl. 36</w:t>
      </w:r>
    </w:p>
    <w:p>
      <w:pPr>
        <w:pStyle w:val="DefinedTerms"/>
      </w:pPr>
      <w:r>
        <w:t>dangerous goods</w:t>
      </w:r>
      <w:r>
        <w:tab/>
        <w:t>Sch. 1 cl. 8(4), Sch. 1 cl.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Sch. 1 cl. 70(4)</w:t>
      </w:r>
    </w:p>
    <w:p>
      <w:pPr>
        <w:pStyle w:val="DefinedTerms"/>
      </w:pPr>
      <w:r>
        <w:t>first vessel</w:t>
      </w:r>
      <w:r>
        <w:tab/>
        <w:t>40(1)</w:t>
      </w:r>
    </w:p>
    <w:p>
      <w:pPr>
        <w:pStyle w:val="DefinedTerms"/>
      </w:pPr>
      <w:r>
        <w:t>fishing vessel</w:t>
      </w:r>
      <w:r>
        <w:tab/>
        <w:t>Sch. 1 cl. 2, Sch. 1 cl. 5D, Sch. 1 cl.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5J, Sch. 1 cl. 13, Sch. 1 cl. 49</w:t>
      </w:r>
    </w:p>
    <w:p>
      <w:pPr>
        <w:pStyle w:val="DefinedTerms"/>
      </w:pPr>
      <w:r>
        <w:t>mooring buoy</w:t>
      </w:r>
      <w:r>
        <w:tab/>
        <w:t>Sch. 1 cl. 5P(1), Sch. 1 cl. 19(1), Sch. 1 cl. 55(1)</w:t>
      </w:r>
    </w:p>
    <w:p>
      <w:pPr>
        <w:pStyle w:val="DefinedTerms"/>
      </w:pPr>
      <w:r>
        <w:t>mooring handbook</w:t>
      </w:r>
      <w:r>
        <w:tab/>
        <w:t>Sch. 1 cl. 5J, Sch. 1 cl. 49</w:t>
      </w:r>
    </w:p>
    <w:p>
      <w:pPr>
        <w:pStyle w:val="DefinedTerms"/>
      </w:pPr>
      <w:r>
        <w:t>mooring owner</w:t>
      </w:r>
      <w:r>
        <w:tab/>
        <w:t>Sch. 1 cl. 5J, Sch. 1 cl. 13, Sch. 1 cl. 49</w:t>
      </w:r>
    </w:p>
    <w:p>
      <w:pPr>
        <w:pStyle w:val="DefinedTerms"/>
      </w:pPr>
      <w:r>
        <w:t>motor boat</w:t>
      </w:r>
      <w:r>
        <w:tab/>
        <w:t>98(2), Sch. 1 cl. 101(2), Sch. 1 cl.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Sch. 1 cl.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5I(1), 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5ZA(1), Sch. 1 cl. 110(2)</w:t>
      </w:r>
    </w:p>
    <w:p>
      <w:pPr>
        <w:pStyle w:val="DefinedTerms"/>
      </w:pPr>
      <w:r>
        <w:t>service provider’s licence</w:t>
      </w:r>
      <w:r>
        <w:tab/>
        <w:t>Sch. 1 cl. 2, Sch. 1 cl. 5T, Sch. 1 cl. 23,</w:t>
      </w:r>
      <w:r>
        <w:br/>
      </w:r>
      <w:r>
        <w:tab/>
        <w:t xml:space="preserve">Sch. 1 cl. 31, Sch. 1 cl. 59, Sch. 1 cl. 64AA, </w:t>
      </w:r>
      <w:r>
        <w:br/>
      </w:r>
      <w:r>
        <w:tab/>
        <w:t>Sch. 1 cl. 94, Sch. 1 cl. 102A, Sch. 1 cl. 107A</w:t>
      </w:r>
    </w:p>
    <w:p>
      <w:pPr>
        <w:pStyle w:val="DefinedTerms"/>
      </w:pPr>
      <w:r>
        <w:t>small vessel</w:t>
      </w:r>
      <w:r>
        <w:tab/>
        <w:t>Sch. 1 cl. 68(4), Sch. 1 cl.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Sch. 1 cl. 105(2)</w:t>
      </w:r>
    </w:p>
    <w:p>
      <w:pPr>
        <w:pStyle w:val="DefinedTerms"/>
      </w:pPr>
      <w:r>
        <w:t>water ski area</w:t>
      </w:r>
      <w:r>
        <w:tab/>
        <w:t>Sch. 1 cl. 106(4)</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sz w:val="2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140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Oct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08" w:name="Schedule"/>
    <w:bookmarkEnd w:id="11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for particular ports and port authorities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Port of Port Hedland</w:t>
          </w:r>
          <w:r>
            <w:cr/>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Provisions for particular ports and port authorities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Port of Port Hedland</w:t>
          </w:r>
          <w:r>
            <w:cr/>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7</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7</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37" w:name="Compilation"/>
    <w:bookmarkEnd w:id="113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0" w:name="DefinedTerms"/>
    <w:bookmarkEnd w:id="114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1" w:name="Coversheet"/>
    <w:bookmarkEnd w:id="11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Port Authorities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Port Authorities Regulations 2001</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 w:numId="27">
    <w:abstractNumId w:val="22"/>
  </w:num>
  <w:num w:numId="28">
    <w:abstractNumId w:val="1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518"/>
    <w:docVar w:name="WAFER_20140109165318" w:val="RemoveTocBookmarks,RemoveUnusedBookmarks,RemoveLanguageTags,UsedStyles,ResetPageSize,UpdateArrangement"/>
    <w:docVar w:name="WAFER_20140109165318_GUID" w:val="c69aa3d0-a6c9-44d0-9eda-1373a4fb98e3"/>
    <w:docVar w:name="WAFER_20140908111040" w:val="RemoveTocBookmarks,RemoveUnusedBookmarks,RemoveLanguageTags,UsedStyles,ResetPageSize,RemoveBadVanishTags,ResetStyles,RemoveDocumentProtection,RemoveTrackChanges,RemoveCustomizations"/>
    <w:docVar w:name="WAFER_20140908111040_GUID" w:val="4ad4c896-66b6-45cd-9bdf-2309928d49ab"/>
    <w:docVar w:name="WAFER_20150107135521" w:val="RemoveTocBookmarks,RemoveUnusedBookmarks,RemoveLanguageTags,UsedStyles,ResetPageSize,UpdateArrangement"/>
    <w:docVar w:name="WAFER_20150107135521_GUID" w:val="fd05310c-74c7-496f-8b63-83a7f22edc57"/>
    <w:docVar w:name="WAFER_20150416103153" w:val="ResetPageSize,UpdateArrangement,UpdateNTable"/>
    <w:docVar w:name="WAFER_20150416103153_GUID" w:val="6e545dde-a07e-4480-b350-2c0dc6923c08"/>
    <w:docVar w:name="WAFER_20151126104749" w:val="UpdateStyles"/>
    <w:docVar w:name="WAFER_20151126104749_GUID" w:val="b8730dfa-9cf2-423f-bfe3-dd0e7719628f"/>
    <w:docVar w:name="WAFER_20151126114518" w:val="UsedStyles"/>
    <w:docVar w:name="WAFER_20151126114518_GUID" w:val="acac5929-c996-4e50-b02f-f108fb58d0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4D1A-3B86-48EB-B86A-9212935E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155</Pages>
  <Words>39002</Words>
  <Characters>185264</Characters>
  <Application>Microsoft Office Word</Application>
  <DocSecurity>0</DocSecurity>
  <Lines>5146</Lines>
  <Paragraphs>3347</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220919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2001 - 06-f0-00</dc:title>
  <dc:subject/>
  <dc:creator/>
  <cp:keywords/>
  <dc:description/>
  <cp:lastModifiedBy>svcMRProcess</cp:lastModifiedBy>
  <cp:revision>4</cp:revision>
  <cp:lastPrinted>2017-09-13T04:46:00Z</cp:lastPrinted>
  <dcterms:created xsi:type="dcterms:W3CDTF">2018-09-13T10:37:00Z</dcterms:created>
  <dcterms:modified xsi:type="dcterms:W3CDTF">2018-09-13T10:37:00Z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DocumentType">
    <vt:lpwstr>Reg</vt:lpwstr>
  </property>
  <property fmtid="{D5CDD505-2E9C-101B-9397-08002B2CF9AE}" pid="4" name="OwlsUID">
    <vt:i4>611</vt:i4>
  </property>
  <property fmtid="{D5CDD505-2E9C-101B-9397-08002B2CF9AE}" pid="5" name="ReprintNo">
    <vt:lpwstr>6</vt:lpwstr>
  </property>
  <property fmtid="{D5CDD505-2E9C-101B-9397-08002B2CF9AE}" pid="6" name="ReprintedAsAt">
    <vt:filetime>2014-11-20T16:00:00Z</vt:filetime>
  </property>
  <property fmtid="{D5CDD505-2E9C-101B-9397-08002B2CF9AE}" pid="7" name="AsAtDate">
    <vt:lpwstr>04 Oct 2017</vt:lpwstr>
  </property>
  <property fmtid="{D5CDD505-2E9C-101B-9397-08002B2CF9AE}" pid="8" name="Suffix">
    <vt:lpwstr>06-f0-00</vt:lpwstr>
  </property>
  <property fmtid="{D5CDD505-2E9C-101B-9397-08002B2CF9AE}" pid="9" name="CommencementDate">
    <vt:lpwstr>20171004</vt:lpwstr>
  </property>
</Properties>
</file>