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29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Prohibited Behaviour Orders Act 2010</w:t>
      </w:r>
      <w:r>
        <w:rPr>
          <w:sz w:val="48"/>
        </w:rPr>
        <w:fldChar w:fldCharType="end"/>
      </w:r>
    </w:p>
    <w:p>
      <w:pPr>
        <w:pStyle w:val="ReprintNo"/>
      </w:pPr>
      <w:r>
        <w:t>Reprint 1:  The Act as at 22 September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B05EE5" w:rsidRDefault="00B05EE5">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B05EE5" w:rsidRDefault="00B05EE5">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B05EE5" w:rsidRDefault="00B05EE5">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B05EE5" w:rsidRDefault="00B05EE5">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num" w:pos="1209"/>
        </w:tabs>
        <w:ind w:left="1200"/>
        <w:rPr>
          <w:sz w:val="20"/>
        </w:rPr>
      </w:pPr>
      <w:r>
        <w:rPr>
          <w:sz w:val="20"/>
        </w:rPr>
        <w:t>removed (because it was repealed or deleted from the law); or</w:t>
      </w:r>
    </w:p>
    <w:p>
      <w:pPr>
        <w:numPr>
          <w:ilvl w:val="0"/>
          <w:numId w:val="13"/>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September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Prohibited Behaviour Orders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_Toc494449209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_Toc494449210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_Toc494449211 \h </w:instrText>
      </w:r>
      <w:r>
        <w:fldChar w:fldCharType="separate"/>
      </w:r>
      <w:r>
        <w:t>2</w:t>
      </w:r>
      <w:r>
        <w:fldChar w:fldCharType="end"/>
      </w:r>
    </w:p>
    <w:p>
      <w:pPr>
        <w:pStyle w:val="TOC8"/>
        <w:rPr>
          <w:rFonts w:asciiTheme="minorHAnsi" w:eastAsiaTheme="minorEastAsia" w:hAnsiTheme="minorHAnsi" w:cstheme="minorBidi"/>
          <w:szCs w:val="22"/>
        </w:rPr>
      </w:pPr>
      <w:r>
        <w:t>4.</w:t>
      </w:r>
      <w:r>
        <w:tab/>
        <w:t>Constrained persons to be natural persons</w:t>
      </w:r>
      <w:r>
        <w:tab/>
      </w:r>
      <w:r>
        <w:fldChar w:fldCharType="begin"/>
      </w:r>
      <w:r>
        <w:instrText xml:space="preserve"> PAGEREF _Toc494449212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_Toc494449213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Prohibited behaviour orders</w:t>
      </w:r>
    </w:p>
    <w:p>
      <w:pPr>
        <w:pStyle w:val="TOC4"/>
        <w:tabs>
          <w:tab w:val="right" w:leader="dot" w:pos="7077"/>
        </w:tabs>
        <w:rPr>
          <w:rFonts w:asciiTheme="minorHAnsi" w:eastAsiaTheme="minorEastAsia" w:hAnsiTheme="minorHAnsi" w:cstheme="minorBidi"/>
          <w:b w:val="0"/>
          <w:szCs w:val="22"/>
        </w:rPr>
      </w:pPr>
      <w:r>
        <w:t>Division 1 — Making PBOs, general</w:t>
      </w:r>
    </w:p>
    <w:p>
      <w:pPr>
        <w:pStyle w:val="TOC8"/>
        <w:rPr>
          <w:rFonts w:asciiTheme="minorHAnsi" w:eastAsiaTheme="minorEastAsia" w:hAnsiTheme="minorHAnsi" w:cstheme="minorBidi"/>
          <w:szCs w:val="22"/>
        </w:rPr>
      </w:pPr>
      <w:r>
        <w:t>5.</w:t>
      </w:r>
      <w:r>
        <w:tab/>
        <w:t>Application for PBO</w:t>
      </w:r>
      <w:r>
        <w:tab/>
      </w:r>
      <w:r>
        <w:fldChar w:fldCharType="begin"/>
      </w:r>
      <w:r>
        <w:instrText xml:space="preserve"> PAGEREF _Toc494449216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Court may make PBO after sentencing</w:t>
      </w:r>
      <w:r>
        <w:tab/>
      </w:r>
      <w:r>
        <w:fldChar w:fldCharType="begin"/>
      </w:r>
      <w:r>
        <w:instrText xml:space="preserve"> PAGEREF _Toc494449217 \h </w:instrText>
      </w:r>
      <w:r>
        <w:fldChar w:fldCharType="separate"/>
      </w:r>
      <w:r>
        <w:t>5</w:t>
      </w:r>
      <w:r>
        <w:fldChar w:fldCharType="end"/>
      </w:r>
    </w:p>
    <w:p>
      <w:pPr>
        <w:pStyle w:val="TOC8"/>
        <w:rPr>
          <w:rFonts w:asciiTheme="minorHAnsi" w:eastAsiaTheme="minorEastAsia" w:hAnsiTheme="minorHAnsi" w:cstheme="minorBidi"/>
          <w:szCs w:val="22"/>
        </w:rPr>
      </w:pPr>
      <w:r>
        <w:t>7.</w:t>
      </w:r>
      <w:r>
        <w:tab/>
        <w:t>Hearing of PBO proceedings</w:t>
      </w:r>
      <w:r>
        <w:tab/>
      </w:r>
      <w:r>
        <w:fldChar w:fldCharType="begin"/>
      </w:r>
      <w:r>
        <w:instrText xml:space="preserve"> PAGEREF _Toc494449218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Grounds for PBO</w:t>
      </w:r>
      <w:r>
        <w:tab/>
      </w:r>
      <w:r>
        <w:fldChar w:fldCharType="begin"/>
      </w:r>
      <w:r>
        <w:instrText xml:space="preserve"> PAGEREF _Toc494449219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 by court</w:t>
      </w:r>
      <w:r>
        <w:tab/>
      </w:r>
      <w:r>
        <w:fldChar w:fldCharType="begin"/>
      </w:r>
      <w:r>
        <w:instrText xml:space="preserve"> PAGEREF _Toc494449220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Constraints imposed by PBO</w:t>
      </w:r>
      <w:r>
        <w:tab/>
      </w:r>
      <w:r>
        <w:fldChar w:fldCharType="begin"/>
      </w:r>
      <w:r>
        <w:instrText xml:space="preserve"> PAGEREF _Toc494449221 \h </w:instrText>
      </w:r>
      <w:r>
        <w:fldChar w:fldCharType="separate"/>
      </w:r>
      <w:r>
        <w:t>8</w:t>
      </w:r>
      <w:r>
        <w:fldChar w:fldCharType="end"/>
      </w:r>
    </w:p>
    <w:p>
      <w:pPr>
        <w:pStyle w:val="TOC8"/>
        <w:rPr>
          <w:rFonts w:asciiTheme="minorHAnsi" w:eastAsiaTheme="minorEastAsia" w:hAnsiTheme="minorHAnsi" w:cstheme="minorBidi"/>
          <w:szCs w:val="22"/>
        </w:rPr>
      </w:pPr>
      <w:r>
        <w:t>11.</w:t>
      </w:r>
      <w:r>
        <w:tab/>
        <w:t>When PBO comes into force</w:t>
      </w:r>
      <w:r>
        <w:tab/>
      </w:r>
      <w:r>
        <w:fldChar w:fldCharType="begin"/>
      </w:r>
      <w:r>
        <w:instrText xml:space="preserve"> PAGEREF _Toc494449222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Duration of PBO</w:t>
      </w:r>
      <w:r>
        <w:tab/>
      </w:r>
      <w:r>
        <w:fldChar w:fldCharType="begin"/>
      </w:r>
      <w:r>
        <w:instrText xml:space="preserve"> PAGEREF _Toc494449223 \h </w:instrText>
      </w:r>
      <w:r>
        <w:fldChar w:fldCharType="separate"/>
      </w:r>
      <w:r>
        <w:t>10</w:t>
      </w:r>
      <w:r>
        <w:fldChar w:fldCharType="end"/>
      </w:r>
    </w:p>
    <w:p>
      <w:pPr>
        <w:pStyle w:val="TOC8"/>
        <w:rPr>
          <w:rFonts w:asciiTheme="minorHAnsi" w:eastAsiaTheme="minorEastAsia" w:hAnsiTheme="minorHAnsi" w:cstheme="minorBidi"/>
          <w:szCs w:val="22"/>
        </w:rPr>
      </w:pPr>
      <w:r>
        <w:t>13.</w:t>
      </w:r>
      <w:r>
        <w:tab/>
        <w:t>PBO ceases to have force if conviction set aside or quashed</w:t>
      </w:r>
      <w:r>
        <w:tab/>
      </w:r>
      <w:r>
        <w:fldChar w:fldCharType="begin"/>
      </w:r>
      <w:r>
        <w:instrText xml:space="preserve"> PAGEREF _Toc494449224 \h </w:instrText>
      </w:r>
      <w:r>
        <w:fldChar w:fldCharType="separate"/>
      </w:r>
      <w:r>
        <w:t>11</w:t>
      </w:r>
      <w:r>
        <w:fldChar w:fldCharType="end"/>
      </w:r>
    </w:p>
    <w:p>
      <w:pPr>
        <w:pStyle w:val="TOC8"/>
        <w:rPr>
          <w:rFonts w:asciiTheme="minorHAnsi" w:eastAsiaTheme="minorEastAsia" w:hAnsiTheme="minorHAnsi" w:cstheme="minorBidi"/>
          <w:szCs w:val="22"/>
        </w:rPr>
      </w:pPr>
      <w:r>
        <w:t>14.</w:t>
      </w:r>
      <w:r>
        <w:tab/>
        <w:t>Explanation about PBO to be given</w:t>
      </w:r>
      <w:r>
        <w:tab/>
      </w:r>
      <w:r>
        <w:fldChar w:fldCharType="begin"/>
      </w:r>
      <w:r>
        <w:instrText xml:space="preserve"> PAGEREF _Toc494449225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Registrar to give copies of PBOs</w:t>
      </w:r>
      <w:r>
        <w:tab/>
      </w:r>
      <w:r>
        <w:fldChar w:fldCharType="begin"/>
      </w:r>
      <w:r>
        <w:instrText xml:space="preserve"> PAGEREF _Toc494449226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Making PBOs against youths</w:t>
      </w:r>
    </w:p>
    <w:p>
      <w:pPr>
        <w:pStyle w:val="TOC8"/>
        <w:rPr>
          <w:rFonts w:asciiTheme="minorHAnsi" w:eastAsiaTheme="minorEastAsia" w:hAnsiTheme="minorHAnsi" w:cstheme="minorBidi"/>
          <w:szCs w:val="22"/>
        </w:rPr>
      </w:pPr>
      <w:r>
        <w:t>16.</w:t>
      </w:r>
      <w:r>
        <w:tab/>
        <w:t>Term used: youth</w:t>
      </w:r>
      <w:r>
        <w:noBreakHyphen/>
        <w:t>related PBO proceedings</w:t>
      </w:r>
      <w:r>
        <w:tab/>
      </w:r>
      <w:r>
        <w:fldChar w:fldCharType="begin"/>
      </w:r>
      <w:r>
        <w:instrText xml:space="preserve"> PAGEREF _Toc494449228 \h </w:instrText>
      </w:r>
      <w:r>
        <w:fldChar w:fldCharType="separate"/>
      </w:r>
      <w:r>
        <w:t>12</w:t>
      </w:r>
      <w:r>
        <w:fldChar w:fldCharType="end"/>
      </w:r>
    </w:p>
    <w:p>
      <w:pPr>
        <w:pStyle w:val="TOC8"/>
        <w:rPr>
          <w:rFonts w:asciiTheme="minorHAnsi" w:eastAsiaTheme="minorEastAsia" w:hAnsiTheme="minorHAnsi" w:cstheme="minorBidi"/>
          <w:szCs w:val="22"/>
        </w:rPr>
      </w:pPr>
      <w:r>
        <w:t>17.</w:t>
      </w:r>
      <w:r>
        <w:tab/>
        <w:t>No PBO where court refrains from imposing punishment on youth</w:t>
      </w:r>
      <w:r>
        <w:tab/>
      </w:r>
      <w:r>
        <w:fldChar w:fldCharType="begin"/>
      </w:r>
      <w:r>
        <w:instrText xml:space="preserve"> PAGEREF _Toc494449229 \h </w:instrText>
      </w:r>
      <w:r>
        <w:fldChar w:fldCharType="separate"/>
      </w:r>
      <w:r>
        <w:t>12</w:t>
      </w:r>
      <w:r>
        <w:fldChar w:fldCharType="end"/>
      </w:r>
    </w:p>
    <w:p>
      <w:pPr>
        <w:pStyle w:val="TOC8"/>
        <w:rPr>
          <w:rFonts w:asciiTheme="minorHAnsi" w:eastAsiaTheme="minorEastAsia" w:hAnsiTheme="minorHAnsi" w:cstheme="minorBidi"/>
          <w:szCs w:val="22"/>
        </w:rPr>
      </w:pPr>
      <w:r>
        <w:t>18.</w:t>
      </w:r>
      <w:r>
        <w:tab/>
        <w:t>Child welfare laws not affected</w:t>
      </w:r>
      <w:r>
        <w:tab/>
      </w:r>
      <w:r>
        <w:fldChar w:fldCharType="begin"/>
      </w:r>
      <w:r>
        <w:instrText xml:space="preserve"> PAGEREF _Toc494449230 \h </w:instrText>
      </w:r>
      <w:r>
        <w:fldChar w:fldCharType="separate"/>
      </w:r>
      <w:r>
        <w:t>13</w:t>
      </w:r>
      <w:r>
        <w:fldChar w:fldCharType="end"/>
      </w:r>
    </w:p>
    <w:p>
      <w:pPr>
        <w:pStyle w:val="TOC8"/>
        <w:rPr>
          <w:rFonts w:asciiTheme="minorHAnsi" w:eastAsiaTheme="minorEastAsia" w:hAnsiTheme="minorHAnsi" w:cstheme="minorBidi"/>
          <w:szCs w:val="22"/>
        </w:rPr>
      </w:pPr>
      <w:r>
        <w:t>19.</w:t>
      </w:r>
      <w:r>
        <w:tab/>
        <w:t>Court to take into account certain principles and considerations</w:t>
      </w:r>
      <w:r>
        <w:tab/>
      </w:r>
      <w:r>
        <w:fldChar w:fldCharType="begin"/>
      </w:r>
      <w:r>
        <w:instrText xml:space="preserve"> PAGEREF _Toc494449231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attend</w:t>
      </w:r>
      <w:r>
        <w:tab/>
      </w:r>
      <w:r>
        <w:fldChar w:fldCharType="begin"/>
      </w:r>
      <w:r>
        <w:instrText xml:space="preserve"> PAGEREF _Toc494449232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Varying or cancelling PBOs</w:t>
      </w:r>
    </w:p>
    <w:p>
      <w:pPr>
        <w:pStyle w:val="TOC8"/>
        <w:rPr>
          <w:rFonts w:asciiTheme="minorHAnsi" w:eastAsiaTheme="minorEastAsia" w:hAnsiTheme="minorHAnsi" w:cstheme="minorBidi"/>
          <w:szCs w:val="22"/>
        </w:rPr>
      </w:pPr>
      <w:r>
        <w:t>21.</w:t>
      </w:r>
      <w:r>
        <w:tab/>
        <w:t>Application</w:t>
      </w:r>
      <w:r>
        <w:tab/>
      </w:r>
      <w:r>
        <w:fldChar w:fldCharType="begin"/>
      </w:r>
      <w:r>
        <w:instrText xml:space="preserve"> PAGEREF _Toc494449234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r>
      <w:r>
        <w:t xml:space="preserve">Registrar </w:t>
      </w:r>
      <w:r>
        <w:rPr>
          <w:snapToGrid w:val="0"/>
        </w:rPr>
        <w:t>to fix hearing and notify parties</w:t>
      </w:r>
      <w:r>
        <w:tab/>
      </w:r>
      <w:r>
        <w:fldChar w:fldCharType="begin"/>
      </w:r>
      <w:r>
        <w:instrText xml:space="preserve"> PAGEREF _Toc494449235 \h </w:instrText>
      </w:r>
      <w:r>
        <w:fldChar w:fldCharType="separate"/>
      </w:r>
      <w:r>
        <w:t>14</w:t>
      </w:r>
      <w:r>
        <w:fldChar w:fldCharType="end"/>
      </w:r>
    </w:p>
    <w:p>
      <w:pPr>
        <w:pStyle w:val="TOC8"/>
        <w:rPr>
          <w:rFonts w:asciiTheme="minorHAnsi" w:eastAsiaTheme="minorEastAsia" w:hAnsiTheme="minorHAnsi" w:cstheme="minorBidi"/>
          <w:szCs w:val="22"/>
        </w:rPr>
      </w:pPr>
      <w:r>
        <w:t>23.</w:t>
      </w:r>
      <w:r>
        <w:tab/>
        <w:t>Applications to extend period of PBOs</w:t>
      </w:r>
      <w:r>
        <w:tab/>
      </w:r>
      <w:r>
        <w:fldChar w:fldCharType="begin"/>
      </w:r>
      <w:r>
        <w:instrText xml:space="preserve"> PAGEREF _Toc494449236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Variation or cancellation</w:t>
      </w:r>
      <w:r>
        <w:tab/>
      </w:r>
      <w:r>
        <w:fldChar w:fldCharType="begin"/>
      </w:r>
      <w:r>
        <w:instrText xml:space="preserve"> PAGEREF _Toc494449237 \h </w:instrText>
      </w:r>
      <w:r>
        <w:fldChar w:fldCharType="separate"/>
      </w:r>
      <w:r>
        <w:t>15</w:t>
      </w:r>
      <w:r>
        <w:fldChar w:fldCharType="end"/>
      </w:r>
    </w:p>
    <w:p>
      <w:pPr>
        <w:pStyle w:val="TOC8"/>
        <w:rPr>
          <w:rFonts w:asciiTheme="minorHAnsi" w:eastAsiaTheme="minorEastAsia" w:hAnsiTheme="minorHAnsi" w:cstheme="minorBidi"/>
          <w:szCs w:val="22"/>
        </w:rPr>
      </w:pPr>
      <w:r>
        <w:t>25.</w:t>
      </w:r>
      <w:r>
        <w:tab/>
        <w:t>Correcting minor errors in PBOs</w:t>
      </w:r>
      <w:r>
        <w:tab/>
      </w:r>
      <w:r>
        <w:fldChar w:fldCharType="begin"/>
      </w:r>
      <w:r>
        <w:instrText xml:space="preserve"> PAGEREF _Toc494449238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PBO proceedings</w:t>
      </w:r>
    </w:p>
    <w:p>
      <w:pPr>
        <w:pStyle w:val="TOC8"/>
        <w:rPr>
          <w:rFonts w:asciiTheme="minorHAnsi" w:eastAsiaTheme="minorEastAsia" w:hAnsiTheme="minorHAnsi" w:cstheme="minorBidi"/>
          <w:szCs w:val="22"/>
        </w:rPr>
      </w:pPr>
      <w:r>
        <w:t>26.</w:t>
      </w:r>
      <w:r>
        <w:tab/>
        <w:t>Evidence in PBO proceedings</w:t>
      </w:r>
      <w:r>
        <w:tab/>
      </w:r>
      <w:r>
        <w:fldChar w:fldCharType="begin"/>
      </w:r>
      <w:r>
        <w:instrText xml:space="preserve"> PAGEREF _Toc494449240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PBO proceedings, general provisions about</w:t>
      </w:r>
      <w:r>
        <w:tab/>
      </w:r>
      <w:r>
        <w:fldChar w:fldCharType="begin"/>
      </w:r>
      <w:r>
        <w:instrText xml:space="preserve"> PAGEREF _Toc494449241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Practice and procedure</w:t>
      </w:r>
      <w:r>
        <w:tab/>
      </w:r>
      <w:r>
        <w:fldChar w:fldCharType="begin"/>
      </w:r>
      <w:r>
        <w:instrText xml:space="preserve"> PAGEREF _Toc494449242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Firearms constraints in PBOs</w:t>
      </w:r>
    </w:p>
    <w:p>
      <w:pPr>
        <w:pStyle w:val="TOC8"/>
        <w:rPr>
          <w:rFonts w:asciiTheme="minorHAnsi" w:eastAsiaTheme="minorEastAsia" w:hAnsiTheme="minorHAnsi" w:cstheme="minorBidi"/>
          <w:szCs w:val="22"/>
        </w:rPr>
      </w:pPr>
      <w:r>
        <w:t>29</w:t>
      </w:r>
      <w:r>
        <w:rPr>
          <w:snapToGrid w:val="0"/>
        </w:rPr>
        <w:t>.</w:t>
      </w:r>
      <w:r>
        <w:rPr>
          <w:snapToGrid w:val="0"/>
        </w:rPr>
        <w:tab/>
        <w:t>Application of this Part</w:t>
      </w:r>
      <w:r>
        <w:tab/>
      </w:r>
      <w:r>
        <w:fldChar w:fldCharType="begin"/>
      </w:r>
      <w:r>
        <w:instrText xml:space="preserve"> PAGEREF _Toc494449244 \h </w:instrText>
      </w:r>
      <w:r>
        <w:fldChar w:fldCharType="separate"/>
      </w:r>
      <w:r>
        <w:t>19</w:t>
      </w:r>
      <w:r>
        <w:fldChar w:fldCharType="end"/>
      </w:r>
    </w:p>
    <w:p>
      <w:pPr>
        <w:pStyle w:val="TOC8"/>
        <w:rPr>
          <w:rFonts w:asciiTheme="minorHAnsi" w:eastAsiaTheme="minorEastAsia" w:hAnsiTheme="minorHAnsi" w:cstheme="minorBidi"/>
          <w:szCs w:val="22"/>
        </w:rPr>
      </w:pPr>
      <w:r>
        <w:t>30.</w:t>
      </w:r>
      <w:r>
        <w:tab/>
        <w:t>Constrained person to give up possession of firearms and licences</w:t>
      </w:r>
      <w:r>
        <w:tab/>
      </w:r>
      <w:r>
        <w:fldChar w:fldCharType="begin"/>
      </w:r>
      <w:r>
        <w:instrText xml:space="preserve"> PAGEREF _Toc494449245 \h </w:instrText>
      </w:r>
      <w:r>
        <w:fldChar w:fldCharType="separate"/>
      </w:r>
      <w:r>
        <w:t>19</w:t>
      </w:r>
      <w:r>
        <w:fldChar w:fldCharType="end"/>
      </w:r>
    </w:p>
    <w:p>
      <w:pPr>
        <w:pStyle w:val="TOC8"/>
        <w:rPr>
          <w:rFonts w:asciiTheme="minorHAnsi" w:eastAsiaTheme="minorEastAsia" w:hAnsiTheme="minorHAnsi" w:cstheme="minorBidi"/>
          <w:szCs w:val="22"/>
        </w:rPr>
      </w:pPr>
      <w:r>
        <w:t>31.</w:t>
      </w:r>
      <w:r>
        <w:tab/>
        <w:t>Seizure of firearms</w:t>
      </w:r>
      <w:r>
        <w:tab/>
      </w:r>
      <w:r>
        <w:fldChar w:fldCharType="begin"/>
      </w:r>
      <w:r>
        <w:instrText xml:space="preserve"> PAGEREF _Toc494449246 \h </w:instrText>
      </w:r>
      <w:r>
        <w:fldChar w:fldCharType="separate"/>
      </w:r>
      <w:r>
        <w:t>20</w:t>
      </w:r>
      <w:r>
        <w:fldChar w:fldCharType="end"/>
      </w:r>
    </w:p>
    <w:p>
      <w:pPr>
        <w:pStyle w:val="TOC8"/>
        <w:rPr>
          <w:rFonts w:asciiTheme="minorHAnsi" w:eastAsiaTheme="minorEastAsia" w:hAnsiTheme="minorHAnsi" w:cstheme="minorBidi"/>
          <w:szCs w:val="22"/>
        </w:rPr>
      </w:pPr>
      <w:r>
        <w:t>32.</w:t>
      </w:r>
      <w:r>
        <w:tab/>
        <w:t>Notification of co</w:t>
      </w:r>
      <w:r>
        <w:noBreakHyphen/>
        <w:t>licensees and responsible persons</w:t>
      </w:r>
      <w:r>
        <w:tab/>
      </w:r>
      <w:r>
        <w:fldChar w:fldCharType="begin"/>
      </w:r>
      <w:r>
        <w:instrText xml:space="preserve"> PAGEREF _Toc494449247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33</w:t>
      </w:r>
      <w:r>
        <w:rPr>
          <w:snapToGrid w:val="0"/>
        </w:rPr>
        <w:t>.</w:t>
      </w:r>
      <w:r>
        <w:rPr>
          <w:snapToGrid w:val="0"/>
        </w:rPr>
        <w:tab/>
        <w:t>Giving of documents</w:t>
      </w:r>
      <w:r>
        <w:tab/>
      </w:r>
      <w:r>
        <w:fldChar w:fldCharType="begin"/>
      </w:r>
      <w:r>
        <w:instrText xml:space="preserve"> PAGEREF _Toc494449249 \h </w:instrText>
      </w:r>
      <w:r>
        <w:fldChar w:fldCharType="separate"/>
      </w:r>
      <w:r>
        <w:t>23</w:t>
      </w:r>
      <w:r>
        <w:fldChar w:fldCharType="end"/>
      </w:r>
    </w:p>
    <w:p>
      <w:pPr>
        <w:pStyle w:val="TOC8"/>
        <w:rPr>
          <w:rFonts w:asciiTheme="minorHAnsi" w:eastAsiaTheme="minorEastAsia" w:hAnsiTheme="minorHAnsi" w:cstheme="minorBidi"/>
          <w:szCs w:val="22"/>
        </w:rPr>
      </w:pPr>
      <w:r>
        <w:t>34.</w:t>
      </w:r>
      <w:r>
        <w:tab/>
        <w:t>Publication of details of constrained people</w:t>
      </w:r>
      <w:r>
        <w:tab/>
      </w:r>
      <w:r>
        <w:fldChar w:fldCharType="begin"/>
      </w:r>
      <w:r>
        <w:instrText xml:space="preserve"> PAGEREF _Toc494449250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Breach of </w:t>
      </w:r>
      <w:r>
        <w:t>PBO</w:t>
      </w:r>
      <w:r>
        <w:tab/>
      </w:r>
      <w:r>
        <w:fldChar w:fldCharType="begin"/>
      </w:r>
      <w:r>
        <w:instrText xml:space="preserve"> PAGEREF _Toc494449251 \h </w:instrText>
      </w:r>
      <w:r>
        <w:fldChar w:fldCharType="separate"/>
      </w:r>
      <w:r>
        <w:t>24</w:t>
      </w:r>
      <w:r>
        <w:fldChar w:fldCharType="end"/>
      </w:r>
    </w:p>
    <w:p>
      <w:pPr>
        <w:pStyle w:val="TOC8"/>
        <w:rPr>
          <w:rFonts w:asciiTheme="minorHAnsi" w:eastAsiaTheme="minorEastAsia" w:hAnsiTheme="minorHAnsi" w:cstheme="minorBidi"/>
          <w:szCs w:val="22"/>
        </w:rPr>
      </w:pPr>
      <w:r>
        <w:t>36.</w:t>
      </w:r>
      <w:r>
        <w:tab/>
        <w:t>Defence</w:t>
      </w:r>
      <w:r>
        <w:tab/>
      </w:r>
      <w:r>
        <w:fldChar w:fldCharType="begin"/>
      </w:r>
      <w:r>
        <w:instrText xml:space="preserve"> PAGEREF _Toc494449252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Appeals</w:t>
      </w:r>
      <w:r>
        <w:tab/>
      </w:r>
      <w:r>
        <w:fldChar w:fldCharType="begin"/>
      </w:r>
      <w:r>
        <w:instrText xml:space="preserve"> PAGEREF _Toc494449253 \h </w:instrText>
      </w:r>
      <w:r>
        <w:fldChar w:fldCharType="separate"/>
      </w:r>
      <w:r>
        <w:t>25</w:t>
      </w:r>
      <w:r>
        <w:fldChar w:fldCharType="end"/>
      </w:r>
    </w:p>
    <w:p>
      <w:pPr>
        <w:pStyle w:val="TOC8"/>
        <w:rPr>
          <w:rFonts w:asciiTheme="minorHAnsi" w:eastAsiaTheme="minorEastAsia" w:hAnsiTheme="minorHAnsi" w:cstheme="minorBidi"/>
          <w:szCs w:val="22"/>
        </w:rPr>
      </w:pPr>
      <w:r>
        <w:t>38.</w:t>
      </w:r>
      <w:r>
        <w:tab/>
        <w:t>Protection from liability for wrongdoing</w:t>
      </w:r>
      <w:r>
        <w:tab/>
      </w:r>
      <w:r>
        <w:fldChar w:fldCharType="begin"/>
      </w:r>
      <w:r>
        <w:instrText xml:space="preserve"> PAGEREF _Toc494449254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Regulations</w:t>
      </w:r>
      <w:r>
        <w:tab/>
      </w:r>
      <w:r>
        <w:fldChar w:fldCharType="begin"/>
      </w:r>
      <w:r>
        <w:instrText xml:space="preserve"> PAGEREF _Toc494449255 \h </w:instrText>
      </w:r>
      <w:r>
        <w:fldChar w:fldCharType="separate"/>
      </w:r>
      <w:r>
        <w:t>27</w:t>
      </w:r>
      <w:r>
        <w:fldChar w:fldCharType="end"/>
      </w:r>
    </w:p>
    <w:p>
      <w:pPr>
        <w:pStyle w:val="TOC8"/>
        <w:rPr>
          <w:rFonts w:asciiTheme="minorHAnsi" w:eastAsiaTheme="minorEastAsia" w:hAnsiTheme="minorHAnsi" w:cstheme="minorBidi"/>
          <w:szCs w:val="22"/>
        </w:rPr>
      </w:pPr>
      <w:r>
        <w:t>40.</w:t>
      </w:r>
      <w:r>
        <w:tab/>
        <w:t>Review of Act</w:t>
      </w:r>
      <w:r>
        <w:tab/>
      </w:r>
      <w:r>
        <w:fldChar w:fldCharType="begin"/>
      </w:r>
      <w:r>
        <w:instrText xml:space="preserve"> PAGEREF _Toc494449256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_Toc494449258 \h </w:instrText>
      </w:r>
      <w:r>
        <w:fldChar w:fldCharType="separate"/>
      </w:r>
      <w:r>
        <w:t>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_Toc494449259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September 2017</w:t>
            </w:r>
          </w:p>
        </w:tc>
      </w:tr>
    </w:tbl>
    <w:p>
      <w:pPr>
        <w:pStyle w:val="WA"/>
        <w:spacing w:before="12"/>
      </w:pPr>
      <w:r>
        <w:t>Western Australia</w:t>
      </w:r>
    </w:p>
    <w:p>
      <w:pPr>
        <w:pStyle w:val="NameofActReg"/>
        <w:suppressLineNumbers/>
        <w:spacing w:before="120"/>
      </w:pPr>
      <w:r>
        <w:t>Prohibited Behaviour Orders Act 2010</w:t>
      </w:r>
    </w:p>
    <w:p>
      <w:pPr>
        <w:pStyle w:val="LongTitle"/>
        <w:suppressLineNumbers/>
        <w:rPr>
          <w:snapToGrid w:val="0"/>
        </w:rPr>
      </w:pPr>
      <w:r>
        <w:rPr>
          <w:snapToGrid w:val="0"/>
        </w:rPr>
        <w:t>An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22"/>
          <w:headerReference w:type="default" r:id="rId23"/>
          <w:footerReference w:type="even" r:id="rId24"/>
          <w:footerReference w:type="default" r:id="rId25"/>
          <w:headerReference w:type="first" r:id="rId26"/>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85203019"/>
      <w:bookmarkStart w:id="4" w:name="_Toc491237192"/>
      <w:bookmarkStart w:id="5" w:name="_Toc491345200"/>
      <w:bookmarkStart w:id="6" w:name="_Toc49444920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94449209"/>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Prohibited Behaviour Orders Act 2010 </w:t>
      </w:r>
      <w:r>
        <w:rPr>
          <w:iCs/>
          <w:snapToGrid w:val="0"/>
          <w:vertAlign w:val="superscript"/>
        </w:rPr>
        <w:t>1</w:t>
      </w:r>
      <w:r>
        <w:rPr>
          <w:snapToGrid w:val="0"/>
        </w:rPr>
        <w:t>.</w:t>
      </w:r>
    </w:p>
    <w:p>
      <w:pPr>
        <w:pStyle w:val="Heading5"/>
        <w:rPr>
          <w:snapToGrid w:val="0"/>
        </w:rPr>
      </w:pPr>
      <w:bookmarkStart w:id="8" w:name="_Toc494449210"/>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494449211"/>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10" w:name="_Toc494449212"/>
      <w:r>
        <w:rPr>
          <w:rStyle w:val="CharSectno"/>
        </w:rPr>
        <w:t>4</w:t>
      </w:r>
      <w:r>
        <w:t>.</w:t>
      </w:r>
      <w:r>
        <w:tab/>
        <w:t>Constrained persons to be natural persons</w:t>
      </w:r>
      <w:bookmarkEnd w:id="10"/>
    </w:p>
    <w:p>
      <w:pPr>
        <w:pStyle w:val="Subsection"/>
      </w:pPr>
      <w:r>
        <w:tab/>
      </w:r>
      <w:r>
        <w:tab/>
        <w:t>A constrained person must be a natural person.</w:t>
      </w:r>
    </w:p>
    <w:p>
      <w:pPr>
        <w:pStyle w:val="Heading5"/>
      </w:pPr>
      <w:bookmarkStart w:id="11" w:name="_Toc494449213"/>
      <w:r>
        <w:rPr>
          <w:rStyle w:val="CharSectno"/>
        </w:rPr>
        <w:t>5A</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105.]</w:t>
      </w:r>
    </w:p>
    <w:p>
      <w:pPr>
        <w:pStyle w:val="Heading2"/>
      </w:pPr>
      <w:bookmarkStart w:id="12" w:name="_Toc485203025"/>
      <w:bookmarkStart w:id="13" w:name="_Toc491237198"/>
      <w:bookmarkStart w:id="14" w:name="_Toc491345206"/>
      <w:bookmarkStart w:id="15" w:name="_Toc494449214"/>
      <w:r>
        <w:rPr>
          <w:rStyle w:val="CharPartNo"/>
        </w:rPr>
        <w:t>Part 2</w:t>
      </w:r>
      <w:r>
        <w:t> — </w:t>
      </w:r>
      <w:r>
        <w:rPr>
          <w:rStyle w:val="CharPartText"/>
        </w:rPr>
        <w:t>Prohibited behaviour orders</w:t>
      </w:r>
      <w:bookmarkEnd w:id="12"/>
      <w:bookmarkEnd w:id="13"/>
      <w:bookmarkEnd w:id="14"/>
      <w:bookmarkEnd w:id="15"/>
    </w:p>
    <w:p>
      <w:pPr>
        <w:pStyle w:val="Heading3"/>
      </w:pPr>
      <w:bookmarkStart w:id="16" w:name="_Toc485203026"/>
      <w:bookmarkStart w:id="17" w:name="_Toc491237199"/>
      <w:bookmarkStart w:id="18" w:name="_Toc491345207"/>
      <w:bookmarkStart w:id="19" w:name="_Toc494449215"/>
      <w:r>
        <w:rPr>
          <w:rStyle w:val="CharDivNo"/>
        </w:rPr>
        <w:t>Division 1</w:t>
      </w:r>
      <w:r>
        <w:t> — </w:t>
      </w:r>
      <w:r>
        <w:rPr>
          <w:rStyle w:val="CharDivText"/>
        </w:rPr>
        <w:t>Making PBOs, general</w:t>
      </w:r>
      <w:bookmarkEnd w:id="16"/>
      <w:bookmarkEnd w:id="17"/>
      <w:bookmarkEnd w:id="18"/>
      <w:bookmarkEnd w:id="19"/>
    </w:p>
    <w:p>
      <w:pPr>
        <w:pStyle w:val="Heading5"/>
      </w:pPr>
      <w:bookmarkStart w:id="20" w:name="_Toc494449216"/>
      <w:r>
        <w:rPr>
          <w:rStyle w:val="CharSectno"/>
        </w:rPr>
        <w:t>5</w:t>
      </w:r>
      <w:r>
        <w:t>.</w:t>
      </w:r>
      <w:r>
        <w:tab/>
        <w:t>Application for PBO</w:t>
      </w:r>
      <w:bookmarkEnd w:id="20"/>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21" w:name="_Toc494449217"/>
      <w:r>
        <w:rPr>
          <w:rStyle w:val="CharSectno"/>
        </w:rPr>
        <w:t>6</w:t>
      </w:r>
      <w:r>
        <w:rPr>
          <w:snapToGrid w:val="0"/>
        </w:rPr>
        <w:t>.</w:t>
      </w:r>
      <w:r>
        <w:rPr>
          <w:snapToGrid w:val="0"/>
        </w:rPr>
        <w:tab/>
        <w:t>Court may make PBO after sentencing</w:t>
      </w:r>
      <w:bookmarkEnd w:id="21"/>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22" w:name="_Toc494449218"/>
      <w:r>
        <w:rPr>
          <w:rStyle w:val="CharSectno"/>
        </w:rPr>
        <w:t>7</w:t>
      </w:r>
      <w:r>
        <w:t>.</w:t>
      </w:r>
      <w:r>
        <w:tab/>
        <w:t>Hearing of PBO proceedings</w:t>
      </w:r>
      <w:bookmarkEnd w:id="22"/>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23" w:name="_Toc494449219"/>
      <w:r>
        <w:rPr>
          <w:rStyle w:val="CharSectno"/>
        </w:rPr>
        <w:t>8</w:t>
      </w:r>
      <w:r>
        <w:rPr>
          <w:snapToGrid w:val="0"/>
        </w:rPr>
        <w:t>.</w:t>
      </w:r>
      <w:r>
        <w:rPr>
          <w:snapToGrid w:val="0"/>
        </w:rPr>
        <w:tab/>
        <w:t>Grounds for PBO</w:t>
      </w:r>
      <w:bookmarkEnd w:id="23"/>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24" w:name="_Toc494449220"/>
      <w:r>
        <w:rPr>
          <w:rStyle w:val="CharSectno"/>
        </w:rPr>
        <w:t>9</w:t>
      </w:r>
      <w:r>
        <w:rPr>
          <w:snapToGrid w:val="0"/>
        </w:rPr>
        <w:t>.</w:t>
      </w:r>
      <w:r>
        <w:rPr>
          <w:snapToGrid w:val="0"/>
        </w:rPr>
        <w:tab/>
        <w:t>Matters to be considered by court</w:t>
      </w:r>
      <w:bookmarkEnd w:id="24"/>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25" w:name="_Toc494449221"/>
      <w:r>
        <w:rPr>
          <w:rStyle w:val="CharSectno"/>
        </w:rPr>
        <w:t>10</w:t>
      </w:r>
      <w:r>
        <w:rPr>
          <w:snapToGrid w:val="0"/>
        </w:rPr>
        <w:t>.</w:t>
      </w:r>
      <w:r>
        <w:rPr>
          <w:snapToGrid w:val="0"/>
        </w:rPr>
        <w:tab/>
        <w:t>Constraints imposed by PBO</w:t>
      </w:r>
      <w:bookmarkEnd w:id="25"/>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(aa)</w:t>
      </w:r>
      <w:r>
        <w:tab/>
        <w:t xml:space="preserve">a condition of an interim control order or a control order under the </w:t>
      </w:r>
      <w:r>
        <w:rPr>
          <w:i/>
        </w:rPr>
        <w:t>Criminal Organisations Control Act 2012</w:t>
      </w:r>
      <w:r>
        <w:t>; or</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Footnotesection"/>
      </w:pPr>
      <w:r>
        <w:tab/>
        <w:t>[Section 10 amended by No. 8 of 2012 s. 165; No. 49 of 2012 s. 180.]</w:t>
      </w:r>
    </w:p>
    <w:p>
      <w:pPr>
        <w:pStyle w:val="Heading5"/>
      </w:pPr>
      <w:bookmarkStart w:id="26" w:name="_Toc494449222"/>
      <w:r>
        <w:rPr>
          <w:rStyle w:val="CharSectno"/>
        </w:rPr>
        <w:t>11</w:t>
      </w:r>
      <w:r>
        <w:t>.</w:t>
      </w:r>
      <w:r>
        <w:tab/>
        <w:t>When PBO comes into force</w:t>
      </w:r>
      <w:bookmarkEnd w:id="26"/>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27" w:name="_Toc494449223"/>
      <w:r>
        <w:rPr>
          <w:rStyle w:val="CharSectno"/>
        </w:rPr>
        <w:t>12</w:t>
      </w:r>
      <w:r>
        <w:rPr>
          <w:snapToGrid w:val="0"/>
        </w:rPr>
        <w:t>.</w:t>
      </w:r>
      <w:r>
        <w:rPr>
          <w:snapToGrid w:val="0"/>
        </w:rPr>
        <w:tab/>
        <w:t>Duration of PBO</w:t>
      </w:r>
      <w:bookmarkEnd w:id="27"/>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28" w:name="_Toc494449224"/>
      <w:r>
        <w:rPr>
          <w:rStyle w:val="CharSectno"/>
        </w:rPr>
        <w:t>13</w:t>
      </w:r>
      <w:r>
        <w:t>.</w:t>
      </w:r>
      <w:r>
        <w:tab/>
        <w:t>PBO ceases to have force if conviction set aside or quashed</w:t>
      </w:r>
      <w:bookmarkEnd w:id="28"/>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29" w:name="_Toc494449225"/>
      <w:r>
        <w:rPr>
          <w:rStyle w:val="CharSectno"/>
        </w:rPr>
        <w:t>14</w:t>
      </w:r>
      <w:r>
        <w:t>.</w:t>
      </w:r>
      <w:r>
        <w:tab/>
        <w:t>Explanation about PBO to be given</w:t>
      </w:r>
      <w:bookmarkEnd w:id="29"/>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30" w:name="_Toc494449226"/>
      <w:r>
        <w:rPr>
          <w:rStyle w:val="CharSectno"/>
        </w:rPr>
        <w:t>15</w:t>
      </w:r>
      <w:r>
        <w:rPr>
          <w:snapToGrid w:val="0"/>
        </w:rPr>
        <w:t>.</w:t>
      </w:r>
      <w:r>
        <w:rPr>
          <w:snapToGrid w:val="0"/>
        </w:rPr>
        <w:tab/>
        <w:t>Registrar to give copies of PBOs</w:t>
      </w:r>
      <w:bookmarkEnd w:id="30"/>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31" w:name="_Toc485203038"/>
      <w:bookmarkStart w:id="32" w:name="_Toc491237211"/>
      <w:bookmarkStart w:id="33" w:name="_Toc491345219"/>
      <w:bookmarkStart w:id="34" w:name="_Toc494449227"/>
      <w:r>
        <w:rPr>
          <w:rStyle w:val="CharDivNo"/>
        </w:rPr>
        <w:t>Division 2</w:t>
      </w:r>
      <w:r>
        <w:t> — </w:t>
      </w:r>
      <w:r>
        <w:rPr>
          <w:rStyle w:val="CharDivText"/>
        </w:rPr>
        <w:t>Making PBOs against youths</w:t>
      </w:r>
      <w:bookmarkEnd w:id="31"/>
      <w:bookmarkEnd w:id="32"/>
      <w:bookmarkEnd w:id="33"/>
      <w:bookmarkEnd w:id="34"/>
    </w:p>
    <w:p>
      <w:pPr>
        <w:pStyle w:val="Heading5"/>
      </w:pPr>
      <w:bookmarkStart w:id="35" w:name="_Toc494449228"/>
      <w:r>
        <w:rPr>
          <w:rStyle w:val="CharSectno"/>
        </w:rPr>
        <w:t>16</w:t>
      </w:r>
      <w:r>
        <w:t>.</w:t>
      </w:r>
      <w:r>
        <w:tab/>
        <w:t>Term used: youth</w:t>
      </w:r>
      <w:r>
        <w:noBreakHyphen/>
        <w:t>related PBO proceedings</w:t>
      </w:r>
      <w:bookmarkEnd w:id="35"/>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36" w:name="_Toc494449229"/>
      <w:r>
        <w:rPr>
          <w:rStyle w:val="CharSectno"/>
        </w:rPr>
        <w:t>17</w:t>
      </w:r>
      <w:r>
        <w:t>.</w:t>
      </w:r>
      <w:r>
        <w:tab/>
        <w:t>No PBO where court refrains from imposing punishment on youth</w:t>
      </w:r>
      <w:bookmarkEnd w:id="36"/>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37" w:name="_Toc494449230"/>
      <w:r>
        <w:rPr>
          <w:rStyle w:val="CharSectno"/>
        </w:rPr>
        <w:t>18</w:t>
      </w:r>
      <w:r>
        <w:t>.</w:t>
      </w:r>
      <w:r>
        <w:tab/>
        <w:t>Child welfare laws not affected</w:t>
      </w:r>
      <w:bookmarkEnd w:id="37"/>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pPr>
      <w:bookmarkStart w:id="38" w:name="_Toc494449231"/>
      <w:r>
        <w:rPr>
          <w:rStyle w:val="CharSectno"/>
        </w:rPr>
        <w:t>19</w:t>
      </w:r>
      <w:r>
        <w:t>.</w:t>
      </w:r>
      <w:r>
        <w:tab/>
        <w:t>Court to take into account certain principles and considerations</w:t>
      </w:r>
      <w:bookmarkEnd w:id="38"/>
    </w:p>
    <w:p>
      <w:pPr>
        <w:pStyle w:val="Subsection"/>
        <w:keepNext/>
        <w:keepLines/>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39" w:name="_Toc494449232"/>
      <w:r>
        <w:rPr>
          <w:rStyle w:val="CharSectno"/>
        </w:rPr>
        <w:t>20</w:t>
      </w:r>
      <w:r>
        <w:rPr>
          <w:snapToGrid w:val="0"/>
        </w:rPr>
        <w:t>.</w:t>
      </w:r>
      <w:r>
        <w:rPr>
          <w:snapToGrid w:val="0"/>
        </w:rPr>
        <w:tab/>
        <w:t>Responsible adult to attend</w:t>
      </w:r>
      <w:bookmarkEnd w:id="39"/>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40" w:name="_Toc485203044"/>
      <w:bookmarkStart w:id="41" w:name="_Toc491237217"/>
      <w:bookmarkStart w:id="42" w:name="_Toc491345225"/>
      <w:bookmarkStart w:id="43" w:name="_Toc494449233"/>
      <w:r>
        <w:rPr>
          <w:rStyle w:val="CharDivNo"/>
        </w:rPr>
        <w:t>Division 3</w:t>
      </w:r>
      <w:r>
        <w:t> — </w:t>
      </w:r>
      <w:r>
        <w:rPr>
          <w:rStyle w:val="CharDivText"/>
        </w:rPr>
        <w:t>Varying or cancelling PBOs</w:t>
      </w:r>
      <w:bookmarkEnd w:id="40"/>
      <w:bookmarkEnd w:id="41"/>
      <w:bookmarkEnd w:id="42"/>
      <w:bookmarkEnd w:id="43"/>
    </w:p>
    <w:p>
      <w:pPr>
        <w:pStyle w:val="Heading5"/>
      </w:pPr>
      <w:bookmarkStart w:id="44" w:name="_Toc494449234"/>
      <w:r>
        <w:rPr>
          <w:rStyle w:val="CharSectno"/>
        </w:rPr>
        <w:t>21</w:t>
      </w:r>
      <w:r>
        <w:t>.</w:t>
      </w:r>
      <w:r>
        <w:tab/>
        <w:t>Application</w:t>
      </w:r>
      <w:bookmarkEnd w:id="44"/>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45" w:name="_Toc494449235"/>
      <w:r>
        <w:rPr>
          <w:rStyle w:val="CharSectno"/>
        </w:rPr>
        <w:t>22</w:t>
      </w:r>
      <w:r>
        <w:rPr>
          <w:snapToGrid w:val="0"/>
        </w:rPr>
        <w:t>.</w:t>
      </w:r>
      <w:r>
        <w:rPr>
          <w:snapToGrid w:val="0"/>
        </w:rPr>
        <w:tab/>
      </w:r>
      <w:r>
        <w:t xml:space="preserve">Registrar </w:t>
      </w:r>
      <w:r>
        <w:rPr>
          <w:snapToGrid w:val="0"/>
        </w:rPr>
        <w:t>to fix hearing and notify parties</w:t>
      </w:r>
      <w:bookmarkEnd w:id="45"/>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46" w:name="_Toc494449236"/>
      <w:r>
        <w:rPr>
          <w:rStyle w:val="CharSectno"/>
        </w:rPr>
        <w:t>23</w:t>
      </w:r>
      <w:r>
        <w:t>.</w:t>
      </w:r>
      <w:r>
        <w:tab/>
        <w:t>Applications to extend period of PBOs</w:t>
      </w:r>
      <w:bookmarkEnd w:id="46"/>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47" w:name="_Toc494449237"/>
      <w:r>
        <w:rPr>
          <w:rStyle w:val="CharSectno"/>
        </w:rPr>
        <w:t>24</w:t>
      </w:r>
      <w:r>
        <w:rPr>
          <w:snapToGrid w:val="0"/>
        </w:rPr>
        <w:t>.</w:t>
      </w:r>
      <w:r>
        <w:rPr>
          <w:snapToGrid w:val="0"/>
        </w:rPr>
        <w:tab/>
        <w:t>Variation or cancellation</w:t>
      </w:r>
      <w:bookmarkEnd w:id="47"/>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48" w:name="_Toc494449238"/>
      <w:r>
        <w:rPr>
          <w:rStyle w:val="CharSectno"/>
        </w:rPr>
        <w:t>25</w:t>
      </w:r>
      <w:r>
        <w:t>.</w:t>
      </w:r>
      <w:r>
        <w:tab/>
        <w:t>Correcting minor errors in PBOs</w:t>
      </w:r>
      <w:bookmarkEnd w:id="48"/>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49" w:name="_Toc485203050"/>
      <w:bookmarkStart w:id="50" w:name="_Toc491237223"/>
      <w:bookmarkStart w:id="51" w:name="_Toc491345231"/>
      <w:bookmarkStart w:id="52" w:name="_Toc494449239"/>
      <w:r>
        <w:rPr>
          <w:rStyle w:val="CharDivNo"/>
        </w:rPr>
        <w:t>Division 4</w:t>
      </w:r>
      <w:r>
        <w:t> — </w:t>
      </w:r>
      <w:r>
        <w:rPr>
          <w:rStyle w:val="CharDivText"/>
        </w:rPr>
        <w:t>PBO proceedings</w:t>
      </w:r>
      <w:bookmarkEnd w:id="49"/>
      <w:bookmarkEnd w:id="50"/>
      <w:bookmarkEnd w:id="51"/>
      <w:bookmarkEnd w:id="52"/>
    </w:p>
    <w:p>
      <w:pPr>
        <w:pStyle w:val="Heading5"/>
      </w:pPr>
      <w:bookmarkStart w:id="53" w:name="_Toc494449240"/>
      <w:r>
        <w:rPr>
          <w:rStyle w:val="CharSectno"/>
        </w:rPr>
        <w:t>26</w:t>
      </w:r>
      <w:r>
        <w:t>.</w:t>
      </w:r>
      <w:r>
        <w:tab/>
        <w:t>Evidence in PBO proceedings</w:t>
      </w:r>
      <w:bookmarkEnd w:id="53"/>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pageBreakBefore/>
        <w:spacing w:before="260"/>
        <w:rPr>
          <w:snapToGrid w:val="0"/>
        </w:rPr>
      </w:pPr>
      <w:bookmarkStart w:id="54" w:name="_Toc494449241"/>
      <w:r>
        <w:rPr>
          <w:rStyle w:val="CharSectno"/>
        </w:rPr>
        <w:t>27</w:t>
      </w:r>
      <w:r>
        <w:rPr>
          <w:snapToGrid w:val="0"/>
        </w:rPr>
        <w:t>.</w:t>
      </w:r>
      <w:r>
        <w:rPr>
          <w:snapToGrid w:val="0"/>
        </w:rPr>
        <w:tab/>
        <w:t>PBO proceedings, general provisions about</w:t>
      </w:r>
      <w:bookmarkEnd w:id="54"/>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55" w:name="_Toc494449242"/>
      <w:r>
        <w:rPr>
          <w:rStyle w:val="CharSectno"/>
        </w:rPr>
        <w:t>28</w:t>
      </w:r>
      <w:r>
        <w:rPr>
          <w:snapToGrid w:val="0"/>
        </w:rPr>
        <w:t>.</w:t>
      </w:r>
      <w:r>
        <w:rPr>
          <w:snapToGrid w:val="0"/>
        </w:rPr>
        <w:tab/>
        <w:t>Practice and procedure</w:t>
      </w:r>
      <w:bookmarkEnd w:id="55"/>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 xml:space="preserve">in the </w:t>
      </w:r>
      <w:smartTag w:uri="urn:schemas-microsoft-com:office:smarttags" w:element="address">
        <w:smartTag w:uri="urn:schemas-microsoft-com:office:smarttags" w:element="Street">
          <w:r>
            <w:t>Magistrates Court</w:t>
          </w:r>
        </w:smartTag>
      </w:smartTag>
      <w:r>
        <w:t> — the practice and procedure applying in that court under the</w:t>
      </w:r>
      <w:r>
        <w:rPr>
          <w:i/>
        </w:rP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56" w:name="_Toc485203054"/>
      <w:bookmarkStart w:id="57" w:name="_Toc491237227"/>
      <w:bookmarkStart w:id="58" w:name="_Toc491345235"/>
      <w:bookmarkStart w:id="59" w:name="_Toc494449243"/>
      <w:r>
        <w:rPr>
          <w:rStyle w:val="CharPartNo"/>
        </w:rPr>
        <w:t>Part 3</w:t>
      </w:r>
      <w:r>
        <w:rPr>
          <w:rStyle w:val="CharDivNo"/>
        </w:rPr>
        <w:t> </w:t>
      </w:r>
      <w:r>
        <w:t>—</w:t>
      </w:r>
      <w:r>
        <w:rPr>
          <w:rStyle w:val="CharDivText"/>
        </w:rPr>
        <w:t> </w:t>
      </w:r>
      <w:r>
        <w:rPr>
          <w:rStyle w:val="CharPartText"/>
        </w:rPr>
        <w:t>Firearms constraints in PBOs</w:t>
      </w:r>
      <w:bookmarkEnd w:id="56"/>
      <w:bookmarkEnd w:id="57"/>
      <w:bookmarkEnd w:id="58"/>
      <w:bookmarkEnd w:id="59"/>
    </w:p>
    <w:p>
      <w:pPr>
        <w:pStyle w:val="Heading5"/>
        <w:rPr>
          <w:snapToGrid w:val="0"/>
        </w:rPr>
      </w:pPr>
      <w:bookmarkStart w:id="60" w:name="_Toc494449244"/>
      <w:r>
        <w:rPr>
          <w:rStyle w:val="CharSectno"/>
        </w:rPr>
        <w:t>29</w:t>
      </w:r>
      <w:r>
        <w:rPr>
          <w:snapToGrid w:val="0"/>
        </w:rPr>
        <w:t>.</w:t>
      </w:r>
      <w:r>
        <w:rPr>
          <w:snapToGrid w:val="0"/>
        </w:rPr>
        <w:tab/>
        <w:t>Application of this Part</w:t>
      </w:r>
      <w:bookmarkEnd w:id="60"/>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61" w:name="_Toc494449245"/>
      <w:r>
        <w:rPr>
          <w:rStyle w:val="CharSectno"/>
        </w:rPr>
        <w:t>30</w:t>
      </w:r>
      <w:r>
        <w:t>.</w:t>
      </w:r>
      <w:r>
        <w:tab/>
        <w:t>Constrained person to give up possession of firearms and licences</w:t>
      </w:r>
      <w:bookmarkEnd w:id="61"/>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62" w:name="_Toc494449246"/>
      <w:r>
        <w:rPr>
          <w:rStyle w:val="CharSectno"/>
        </w:rPr>
        <w:t>31</w:t>
      </w:r>
      <w:r>
        <w:t>.</w:t>
      </w:r>
      <w:r>
        <w:tab/>
        <w:t>Seizure of firearms</w:t>
      </w:r>
      <w:bookmarkEnd w:id="62"/>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63" w:name="_Toc494449247"/>
      <w:r>
        <w:rPr>
          <w:rStyle w:val="CharSectno"/>
        </w:rPr>
        <w:t>32</w:t>
      </w:r>
      <w:r>
        <w:t>.</w:t>
      </w:r>
      <w:r>
        <w:tab/>
        <w:t>Notification of co</w:t>
      </w:r>
      <w:r>
        <w:noBreakHyphen/>
        <w:t>licensees and responsible persons</w:t>
      </w:r>
      <w:bookmarkEnd w:id="63"/>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64" w:name="_Toc485203059"/>
      <w:bookmarkStart w:id="65" w:name="_Toc491237232"/>
      <w:bookmarkStart w:id="66" w:name="_Toc491345240"/>
      <w:bookmarkStart w:id="67" w:name="_Toc494449248"/>
      <w:r>
        <w:rPr>
          <w:rStyle w:val="CharPartNo"/>
        </w:rPr>
        <w:t>Part 4</w:t>
      </w:r>
      <w:r>
        <w:rPr>
          <w:rStyle w:val="CharDivNo"/>
        </w:rPr>
        <w:t> </w:t>
      </w:r>
      <w:r>
        <w:t>—</w:t>
      </w:r>
      <w:r>
        <w:rPr>
          <w:rStyle w:val="CharDivText"/>
        </w:rPr>
        <w:t> </w:t>
      </w:r>
      <w:r>
        <w:rPr>
          <w:rStyle w:val="CharPartText"/>
        </w:rPr>
        <w:t>General</w:t>
      </w:r>
      <w:bookmarkEnd w:id="64"/>
      <w:bookmarkEnd w:id="65"/>
      <w:bookmarkEnd w:id="66"/>
      <w:bookmarkEnd w:id="67"/>
    </w:p>
    <w:p>
      <w:pPr>
        <w:pStyle w:val="Heading5"/>
        <w:rPr>
          <w:snapToGrid w:val="0"/>
        </w:rPr>
      </w:pPr>
      <w:bookmarkStart w:id="68" w:name="_Toc494449249"/>
      <w:r>
        <w:rPr>
          <w:rStyle w:val="CharSectno"/>
        </w:rPr>
        <w:t>33</w:t>
      </w:r>
      <w:r>
        <w:rPr>
          <w:snapToGrid w:val="0"/>
        </w:rPr>
        <w:t>.</w:t>
      </w:r>
      <w:r>
        <w:rPr>
          <w:snapToGrid w:val="0"/>
        </w:rPr>
        <w:tab/>
        <w:t>Giving of documents</w:t>
      </w:r>
      <w:bookmarkEnd w:id="68"/>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69" w:name="_Toc494449250"/>
      <w:r>
        <w:rPr>
          <w:rStyle w:val="CharSectno"/>
        </w:rPr>
        <w:t>34</w:t>
      </w:r>
      <w:r>
        <w:t>.</w:t>
      </w:r>
      <w:r>
        <w:tab/>
        <w:t>Publication of details of constrained people</w:t>
      </w:r>
      <w:bookmarkEnd w:id="69"/>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70" w:name="_Toc494449251"/>
      <w:r>
        <w:rPr>
          <w:rStyle w:val="CharSectno"/>
        </w:rPr>
        <w:t>35</w:t>
      </w:r>
      <w:r>
        <w:rPr>
          <w:snapToGrid w:val="0"/>
        </w:rPr>
        <w:t>.</w:t>
      </w:r>
      <w:r>
        <w:rPr>
          <w:snapToGrid w:val="0"/>
        </w:rPr>
        <w:tab/>
        <w:t xml:space="preserve">Breach of </w:t>
      </w:r>
      <w:r>
        <w:t>PBO</w:t>
      </w:r>
      <w:bookmarkEnd w:id="70"/>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 xml:space="preserve">if the PBO was made by the </w:t>
      </w:r>
      <w:smartTag w:uri="urn:schemas-microsoft-com:office:smarttags" w:element="address">
        <w:smartTag w:uri="urn:schemas-microsoft-com:office:smarttags" w:element="Street">
          <w:r>
            <w:t>Magistrates Court</w:t>
          </w:r>
        </w:smartTag>
      </w:smartTag>
      <w:r>
        <w: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 xml:space="preserve">if the alleged offender is an adult — in the </w:t>
      </w:r>
      <w:smartTag w:uri="urn:schemas-microsoft-com:office:smarttags" w:element="address">
        <w:smartTag w:uri="urn:schemas-microsoft-com:office:smarttags" w:element="Street">
          <w:r>
            <w:t>Magistrates Court</w:t>
          </w:r>
        </w:smartTag>
      </w:smartTag>
      <w:r>
        <w:t>.</w:t>
      </w:r>
    </w:p>
    <w:p>
      <w:pPr>
        <w:pStyle w:val="Heading5"/>
      </w:pPr>
      <w:bookmarkStart w:id="71" w:name="_Toc494449252"/>
      <w:r>
        <w:rPr>
          <w:rStyle w:val="CharSectno"/>
        </w:rPr>
        <w:t>36</w:t>
      </w:r>
      <w:r>
        <w:t>.</w:t>
      </w:r>
      <w:r>
        <w:tab/>
        <w:t>Defence</w:t>
      </w:r>
      <w:bookmarkEnd w:id="71"/>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72" w:name="_Toc494449253"/>
      <w:r>
        <w:rPr>
          <w:rStyle w:val="CharSectno"/>
        </w:rPr>
        <w:t>37</w:t>
      </w:r>
      <w:r>
        <w:rPr>
          <w:snapToGrid w:val="0"/>
        </w:rPr>
        <w:t>.</w:t>
      </w:r>
      <w:r>
        <w:rPr>
          <w:snapToGrid w:val="0"/>
        </w:rPr>
        <w:tab/>
        <w:t>Appeals</w:t>
      </w:r>
      <w:bookmarkEnd w:id="72"/>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w:t>
      </w:r>
      <w:smartTag w:uri="urn:schemas-microsoft-com:office:smarttags" w:element="address">
        <w:smartTag w:uri="urn:schemas-microsoft-com:office:smarttags" w:element="Street">
          <w:r>
            <w:t>Magistrates Court</w:t>
          </w:r>
        </w:smartTag>
      </w:smartTag>
      <w:r>
        <w:t xml:space="preserve">, the appeal is to be made in accordance with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73" w:name="_Toc494449254"/>
      <w:r>
        <w:rPr>
          <w:rStyle w:val="CharSectno"/>
        </w:rPr>
        <w:t>38</w:t>
      </w:r>
      <w:r>
        <w:t>.</w:t>
      </w:r>
      <w:r>
        <w:tab/>
        <w:t>Protection from liability for wrongdoing</w:t>
      </w:r>
      <w:bookmarkEnd w:id="7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74" w:name="_Toc494449255"/>
      <w:r>
        <w:rPr>
          <w:rStyle w:val="CharSectno"/>
        </w:rPr>
        <w:t>39</w:t>
      </w:r>
      <w:r>
        <w:rPr>
          <w:snapToGrid w:val="0"/>
        </w:rPr>
        <w:t>.</w:t>
      </w:r>
      <w:r>
        <w:rPr>
          <w:snapToGrid w:val="0"/>
        </w:rPr>
        <w:tab/>
        <w:t>Regulations</w:t>
      </w:r>
      <w:bookmarkEnd w:id="74"/>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75" w:name="_Toc494449256"/>
      <w:r>
        <w:rPr>
          <w:rStyle w:val="CharSectno"/>
        </w:rPr>
        <w:t>40</w:t>
      </w:r>
      <w:r>
        <w:t>.</w:t>
      </w:r>
      <w:r>
        <w:tab/>
        <w:t>Review of Act</w:t>
      </w:r>
      <w:bookmarkEnd w:id="75"/>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Ednotepart"/>
      </w:pPr>
      <w:r>
        <w:t>[Part 5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lankClose"/>
      </w:pP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76" w:name="_Toc485203086"/>
      <w:bookmarkStart w:id="77" w:name="_Toc491237241"/>
      <w:bookmarkStart w:id="78" w:name="_Toc491345249"/>
      <w:bookmarkStart w:id="79" w:name="_Toc494449257"/>
      <w:r>
        <w:t>Notes</w:t>
      </w:r>
      <w:bookmarkEnd w:id="76"/>
      <w:bookmarkEnd w:id="77"/>
      <w:bookmarkEnd w:id="78"/>
      <w:bookmarkEnd w:id="79"/>
    </w:p>
    <w:p>
      <w:pPr>
        <w:pStyle w:val="nSubsection"/>
      </w:pPr>
      <w:r>
        <w:rPr>
          <w:vertAlign w:val="superscript"/>
        </w:rPr>
        <w:t>1</w:t>
      </w:r>
      <w:r>
        <w:tab/>
        <w:t xml:space="preserve">This reprint is a compilation as at 22 September 2017 of the </w:t>
      </w:r>
      <w:r>
        <w:rPr>
          <w:i/>
          <w:noProof/>
        </w:rPr>
        <w:t>Prohibited Behaviour Orders Act 2010</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80" w:name="_Toc494449258"/>
      <w:r>
        <w:rPr>
          <w:snapToGrid w:val="0"/>
        </w:rPr>
        <w:t>Compilation table</w:t>
      </w:r>
      <w:bookmarkEnd w:id="8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Prohibited Behaviour Orders Act 2010</w:t>
            </w:r>
          </w:p>
        </w:tc>
        <w:tc>
          <w:tcPr>
            <w:tcW w:w="1134" w:type="dxa"/>
            <w:tcBorders>
              <w:bottom w:val="nil"/>
            </w:tcBorders>
          </w:tcPr>
          <w:p>
            <w:pPr>
              <w:pStyle w:val="nTable"/>
              <w:spacing w:after="40"/>
            </w:pPr>
            <w:r>
              <w:t>59 of 2010</w:t>
            </w:r>
          </w:p>
        </w:tc>
        <w:tc>
          <w:tcPr>
            <w:tcW w:w="1134" w:type="dxa"/>
            <w:tcBorders>
              <w:bottom w:val="nil"/>
            </w:tcBorders>
          </w:tcPr>
          <w:p>
            <w:pPr>
              <w:pStyle w:val="nTable"/>
              <w:spacing w:after="40"/>
            </w:pPr>
            <w:r>
              <w:t>8 Dec 2010</w:t>
            </w:r>
          </w:p>
        </w:tc>
        <w:tc>
          <w:tcPr>
            <w:tcW w:w="2551" w:type="dxa"/>
            <w:tcBorders>
              <w:bottom w:val="nil"/>
            </w:tcBorders>
          </w:tcPr>
          <w:p>
            <w:pPr>
              <w:pStyle w:val="nTable"/>
              <w:spacing w:after="40"/>
            </w:pPr>
            <w:r>
              <w:t>s. 1 and 2: 8 Dec 2010 (see s. 2(a));</w:t>
            </w:r>
            <w:r>
              <w:br/>
              <w:t xml:space="preserve">Act other than s. 1 and 2: 23 Feb 2011 (see s. 2(b) and </w:t>
            </w:r>
            <w:r>
              <w:rPr>
                <w:i/>
              </w:rPr>
              <w:t>Gazette</w:t>
            </w:r>
            <w:r>
              <w:t xml:space="preserve"> 23 Feb 2011 p. 633)</w:t>
            </w:r>
          </w:p>
        </w:tc>
      </w:tr>
      <w:tr>
        <w:tc>
          <w:tcPr>
            <w:tcW w:w="2268" w:type="dxa"/>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43</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1"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c>
          <w:tcPr>
            <w:tcW w:w="2268" w:type="dxa"/>
            <w:tcBorders>
              <w:top w:val="nil"/>
              <w:bottom w:val="nil"/>
            </w:tcBorders>
          </w:tcPr>
          <w:p>
            <w:pPr>
              <w:pStyle w:val="nTable"/>
              <w:spacing w:after="40"/>
              <w:rPr>
                <w:i/>
                <w:snapToGrid w:val="0"/>
              </w:rPr>
            </w:pPr>
            <w:r>
              <w:rPr>
                <w:i/>
                <w:snapToGrid w:val="0"/>
              </w:rPr>
              <w:t>Criminal Organisations Control Act 2012</w:t>
            </w:r>
            <w:r>
              <w:rPr>
                <w:snapToGrid w:val="0"/>
              </w:rPr>
              <w:t xml:space="preserve"> s. 180</w:t>
            </w:r>
          </w:p>
        </w:tc>
        <w:tc>
          <w:tcPr>
            <w:tcW w:w="1134" w:type="dxa"/>
            <w:tcBorders>
              <w:top w:val="nil"/>
              <w:bottom w:val="nil"/>
            </w:tcBorders>
          </w:tcPr>
          <w:p>
            <w:pPr>
              <w:pStyle w:val="nTable"/>
              <w:spacing w:after="40"/>
            </w:pPr>
            <w:r>
              <w:rPr>
                <w:snapToGrid w:val="0"/>
              </w:rPr>
              <w:t>49 of 2012</w:t>
            </w:r>
          </w:p>
        </w:tc>
        <w:tc>
          <w:tcPr>
            <w:tcW w:w="1134" w:type="dxa"/>
            <w:tcBorders>
              <w:top w:val="nil"/>
              <w:bottom w:val="nil"/>
            </w:tcBorders>
          </w:tcPr>
          <w:p>
            <w:pPr>
              <w:pStyle w:val="nTable"/>
              <w:spacing w:after="40"/>
            </w:pPr>
            <w:r>
              <w:t>29 Nov 2012</w:t>
            </w:r>
          </w:p>
        </w:tc>
        <w:tc>
          <w:tcPr>
            <w:tcW w:w="2551" w:type="dxa"/>
            <w:tcBorders>
              <w:top w:val="nil"/>
              <w:bottom w:val="nil"/>
            </w:tcBorders>
          </w:tcPr>
          <w:p>
            <w:pPr>
              <w:pStyle w:val="nTable"/>
              <w:spacing w:after="40"/>
            </w:pPr>
            <w:r>
              <w:t>2 Nov 2013 (see s. 2(b) and Gazette 1 Nov 2013 p. 4891)</w:t>
            </w:r>
          </w:p>
        </w:tc>
      </w:tr>
      <w:tr>
        <w:tc>
          <w:tcPr>
            <w:tcW w:w="2268" w:type="dxa"/>
            <w:tcBorders>
              <w:top w:val="nil"/>
              <w:bottom w:val="nil"/>
              <w:right w:val="nil"/>
            </w:tcBorders>
          </w:tcPr>
          <w:p>
            <w:pPr>
              <w:pStyle w:val="nTable"/>
              <w:spacing w:after="40"/>
              <w:rPr>
                <w:i/>
                <w:snapToGrid w:val="0"/>
              </w:rPr>
            </w:pPr>
            <w:r>
              <w:rPr>
                <w:i/>
                <w:snapToGrid w:val="0"/>
              </w:rPr>
              <w:t xml:space="preserve">Courts and Tribunals (Electronic Processes Facilitation) Act 2013 </w:t>
            </w:r>
            <w:r>
              <w:rPr>
                <w:snapToGrid w:val="0"/>
              </w:rPr>
              <w:t>Pt. 3 Div. 16 (other than s. 106)</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pPr>
            <w:r>
              <w:rPr>
                <w:snapToGrid w:val="0"/>
              </w:rPr>
              <w:t xml:space="preserve">25 Nov 2013 (see s. 2(b) and </w:t>
            </w:r>
            <w:r>
              <w:rPr>
                <w:i/>
                <w:snapToGrid w:val="0"/>
              </w:rPr>
              <w:t xml:space="preserve">Gazette </w:t>
            </w:r>
            <w:r>
              <w:rPr>
                <w:snapToGrid w:val="0"/>
              </w:rPr>
              <w:t>22 Nov 2013 p. 5391)</w:t>
            </w:r>
          </w:p>
        </w:tc>
      </w:tr>
      <w:t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Prohibited Behaviour Orders Act 2010</w:t>
            </w:r>
            <w:r>
              <w:rPr>
                <w:b/>
                <w:snapToGrid w:val="0"/>
              </w:rPr>
              <w:t xml:space="preserve"> as at 22 Sep 2017</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 referred to in the table.</w:t>
      </w:r>
    </w:p>
    <w:p>
      <w:pPr>
        <w:pStyle w:val="nHeading3"/>
      </w:pPr>
      <w:bookmarkStart w:id="81" w:name="_Toc494449259"/>
      <w:r>
        <w:t>Provisions that have not come into operation</w:t>
      </w:r>
      <w:bookmarkEnd w:id="8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top w:val="single" w:sz="8" w:space="0" w:color="auto"/>
              <w:bottom w:val="single" w:sz="8" w:space="0" w:color="auto"/>
              <w:right w:val="nil"/>
            </w:tcBorders>
            <w:shd w:val="clear" w:color="auto" w:fill="auto"/>
          </w:tcPr>
          <w:p>
            <w:pPr>
              <w:pStyle w:val="nTable"/>
              <w:spacing w:after="40"/>
              <w:rPr>
                <w:i/>
                <w:snapToGrid w:val="0"/>
              </w:rPr>
            </w:pPr>
            <w:r>
              <w:rPr>
                <w:i/>
                <w:snapToGrid w:val="0"/>
              </w:rPr>
              <w:t>Courts and Tribunals (Electronic Processes Facilitation) Act 2013</w:t>
            </w:r>
            <w:r>
              <w:rPr>
                <w:snapToGrid w:val="0"/>
              </w:rPr>
              <w:t xml:space="preserve"> s. 106 </w:t>
            </w:r>
            <w:r>
              <w:rPr>
                <w:snapToGrid w:val="0"/>
                <w:vertAlign w:val="superscript"/>
              </w:rPr>
              <w:t>2</w:t>
            </w:r>
          </w:p>
        </w:tc>
        <w:tc>
          <w:tcPr>
            <w:tcW w:w="1134" w:type="dxa"/>
            <w:tcBorders>
              <w:top w:val="single" w:sz="8" w:space="0" w:color="auto"/>
              <w:left w:val="nil"/>
              <w:bottom w:val="single" w:sz="8" w:space="0" w:color="auto"/>
              <w:right w:val="nil"/>
            </w:tcBorders>
            <w:shd w:val="clear" w:color="auto" w:fill="auto"/>
          </w:tcPr>
          <w:p>
            <w:pPr>
              <w:pStyle w:val="nTable"/>
              <w:spacing w:after="40"/>
              <w:rPr>
                <w:snapToGrid w:val="0"/>
              </w:rPr>
            </w:pPr>
            <w:r>
              <w:rPr>
                <w:snapToGrid w:val="0"/>
              </w:rPr>
              <w:t>20 of 2013</w:t>
            </w:r>
          </w:p>
        </w:tc>
        <w:tc>
          <w:tcPr>
            <w:tcW w:w="1134" w:type="dxa"/>
            <w:tcBorders>
              <w:top w:val="single" w:sz="8" w:space="0" w:color="auto"/>
              <w:left w:val="nil"/>
              <w:bottom w:val="single" w:sz="8" w:space="0" w:color="auto"/>
              <w:right w:val="nil"/>
            </w:tcBorders>
            <w:shd w:val="clear" w:color="auto" w:fill="auto"/>
          </w:tcPr>
          <w:p>
            <w:pPr>
              <w:pStyle w:val="nTable"/>
              <w:spacing w:after="40"/>
            </w:pPr>
            <w:r>
              <w:t>4 Nov 2013</w:t>
            </w:r>
          </w:p>
        </w:tc>
        <w:tc>
          <w:tcPr>
            <w:tcW w:w="2551" w:type="dxa"/>
            <w:tcBorders>
              <w:top w:val="single" w:sz="8" w:space="0" w:color="auto"/>
              <w:left w:val="nil"/>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keepNext/>
      </w:pPr>
      <w:r>
        <w:rPr>
          <w:snapToGrid w:val="0"/>
          <w:vertAlign w:val="superscript"/>
        </w:rPr>
        <w:t>2</w:t>
      </w:r>
      <w:r>
        <w:rPr>
          <w:snapToGrid w:val="0"/>
        </w:rPr>
        <w:tab/>
        <w:t xml:space="preserve">On </w:t>
      </w:r>
      <w:r>
        <w:t>the</w:t>
      </w:r>
      <w:r>
        <w:rPr>
          <w:snapToGrid w:val="0"/>
        </w:rPr>
        <w:t xml:space="preserve"> date as at which this reprint was prepared, the </w:t>
      </w:r>
      <w:r>
        <w:rPr>
          <w:i/>
          <w:snapToGrid w:val="0"/>
        </w:rPr>
        <w:t>Courts and Tribunals (Electronic Processes Facilitation) Act 2013</w:t>
      </w:r>
      <w:r>
        <w:rPr>
          <w:snapToGrid w:val="0"/>
        </w:rPr>
        <w:t xml:space="preserve"> s. 106 had not come into operation.  It reads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16</w:t>
      </w:r>
      <w:r>
        <w:t> — </w:t>
      </w:r>
      <w:r>
        <w:rPr>
          <w:rStyle w:val="CharDivText"/>
          <w:i/>
        </w:rPr>
        <w:t>Prohibited Behaviour Orders Act 2010</w:t>
      </w:r>
      <w:r>
        <w:rPr>
          <w:rStyle w:val="CharDivText"/>
        </w:rPr>
        <w:t xml:space="preserve"> amended</w:t>
      </w:r>
    </w:p>
    <w:p>
      <w:pPr>
        <w:pStyle w:val="nzHeading5"/>
      </w:pPr>
      <w:r>
        <w:rPr>
          <w:rStyle w:val="CharSectno"/>
        </w:rPr>
        <w:t>106</w:t>
      </w:r>
      <w:r>
        <w:t>.</w:t>
      </w:r>
      <w:r>
        <w:tab/>
        <w:t>Section 33 amended</w:t>
      </w:r>
    </w:p>
    <w:p>
      <w:pPr>
        <w:pStyle w:val="nzSubsection"/>
      </w:pPr>
      <w:r>
        <w:tab/>
        <w:t>(1)</w:t>
      </w:r>
      <w:r>
        <w:tab/>
        <w:t>After section 33(1)(a) insert:</w:t>
      </w:r>
    </w:p>
    <w:p>
      <w:pPr>
        <w:pStyle w:val="BlankOpen"/>
      </w:pPr>
    </w:p>
    <w:p>
      <w:pPr>
        <w:pStyle w:val="nzIndenta"/>
      </w:pPr>
      <w:r>
        <w:tab/>
        <w:t>(ba)</w:t>
      </w:r>
      <w:r>
        <w:tab/>
        <w:t>given to the person electronically in accordance with the regulations; or</w:t>
      </w:r>
    </w:p>
    <w:p>
      <w:pPr>
        <w:pStyle w:val="BlankClose"/>
      </w:pPr>
    </w:p>
    <w:p>
      <w:pPr>
        <w:pStyle w:val="nzSubsection"/>
        <w:keepNext/>
      </w:pPr>
      <w:r>
        <w:tab/>
        <w:t>(2)</w:t>
      </w:r>
      <w:r>
        <w:tab/>
        <w:t>After section 33(2)(a) insert:</w:t>
      </w:r>
    </w:p>
    <w:p>
      <w:pPr>
        <w:pStyle w:val="BlankOpen"/>
      </w:pPr>
    </w:p>
    <w:p>
      <w:pPr>
        <w:pStyle w:val="nzIndenta"/>
        <w:keepNext/>
      </w:pPr>
      <w:r>
        <w:tab/>
        <w:t>(ba)</w:t>
      </w:r>
      <w:r>
        <w:tab/>
        <w:t>if it is given electronically — the notice must be given at least the prescribed number of days before the hearing date; or</w:t>
      </w:r>
    </w:p>
    <w:p>
      <w:pPr>
        <w:pStyle w:val="BlankClose"/>
      </w:pPr>
    </w:p>
    <w:p>
      <w:pPr>
        <w:pStyle w:val="BlankClose"/>
      </w:pP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3" w:name="_Toc485203089"/>
      <w:bookmarkStart w:id="84" w:name="_Toc491237244"/>
      <w:bookmarkStart w:id="85" w:name="_Toc491345252"/>
      <w:bookmarkStart w:id="86" w:name="_Toc494449260"/>
      <w:r>
        <w:rPr>
          <w:sz w:val="28"/>
        </w:rPr>
        <w:t>Defined terms</w:t>
      </w:r>
      <w:bookmarkEnd w:id="83"/>
      <w:bookmarkEnd w:id="84"/>
      <w:bookmarkEnd w:id="85"/>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w:t>
      </w:r>
    </w:p>
    <w:p>
      <w:pPr>
        <w:pStyle w:val="DefinedTerms"/>
      </w:pPr>
      <w:r>
        <w:t>anti</w:t>
      </w:r>
      <w:r>
        <w:noBreakHyphen/>
        <w:t>social behaviour</w:t>
      </w:r>
      <w:r>
        <w:tab/>
        <w:t>3(1)</w:t>
      </w:r>
    </w:p>
    <w:p>
      <w:pPr>
        <w:pStyle w:val="DefinedTerms"/>
      </w:pPr>
      <w:r>
        <w:t>CEO</w:t>
      </w:r>
      <w:r>
        <w:tab/>
        <w:t>34(1)</w:t>
      </w:r>
    </w:p>
    <w:p>
      <w:pPr>
        <w:pStyle w:val="DefinedTerms"/>
      </w:pPr>
      <w:r>
        <w:t>child</w:t>
      </w:r>
      <w:r>
        <w:tab/>
        <w:t>3(1)</w:t>
      </w:r>
    </w:p>
    <w:p>
      <w:pPr>
        <w:pStyle w:val="DefinedTerms"/>
      </w:pPr>
      <w:r>
        <w:t>child welfare law</w:t>
      </w:r>
      <w:r>
        <w:tab/>
        <w:t>18(1)</w:t>
      </w:r>
    </w:p>
    <w:p>
      <w:pPr>
        <w:pStyle w:val="DefinedTerms"/>
      </w:pPr>
      <w:r>
        <w:t>co</w:t>
      </w:r>
      <w:r>
        <w:noBreakHyphen/>
        <w:t>licensee</w:t>
      </w:r>
      <w:r>
        <w:tab/>
        <w:t>32(1)</w:t>
      </w:r>
    </w:p>
    <w:p>
      <w:pPr>
        <w:pStyle w:val="DefinedTerms"/>
      </w:pPr>
      <w:r>
        <w:t>Commissioner of Police</w:t>
      </w:r>
      <w:r>
        <w:tab/>
        <w:t>3(1)</w:t>
      </w:r>
    </w:p>
    <w:p>
      <w:pPr>
        <w:pStyle w:val="DefinedTerms"/>
      </w:pPr>
      <w:r>
        <w:t>community based sentence</w:t>
      </w:r>
      <w:r>
        <w:tab/>
        <w:t>12(1)</w:t>
      </w:r>
    </w:p>
    <w:p>
      <w:pPr>
        <w:pStyle w:val="DefinedTerms"/>
      </w:pPr>
      <w:r>
        <w:t>constrained person</w:t>
      </w:r>
      <w:r>
        <w:tab/>
        <w:t>3(1)</w:t>
      </w:r>
    </w:p>
    <w:p>
      <w:pPr>
        <w:pStyle w:val="DefinedTerms"/>
      </w:pPr>
      <w:r>
        <w:t>conviction</w:t>
      </w:r>
      <w:r>
        <w:tab/>
        <w:t>8(1)</w:t>
      </w:r>
    </w:p>
    <w:p>
      <w:pPr>
        <w:pStyle w:val="DefinedTerms"/>
      </w:pPr>
      <w:r>
        <w:t>Department</w:t>
      </w:r>
      <w:r>
        <w:tab/>
        <w:t>34(1)</w:t>
      </w:r>
    </w:p>
    <w:p>
      <w:pPr>
        <w:pStyle w:val="DefinedTerms"/>
      </w:pPr>
      <w:r>
        <w:t>firearm</w:t>
      </w:r>
      <w:r>
        <w:tab/>
        <w:t>3(1)</w:t>
      </w:r>
    </w:p>
    <w:p>
      <w:pPr>
        <w:pStyle w:val="DefinedTerms"/>
      </w:pPr>
      <w:r>
        <w:t>firearm licence</w:t>
      </w:r>
      <w:r>
        <w:tab/>
        <w:t>3(1)</w:t>
      </w:r>
    </w:p>
    <w:p>
      <w:pPr>
        <w:pStyle w:val="DefinedTerms"/>
      </w:pPr>
      <w:r>
        <w:t>hearing notice</w:t>
      </w:r>
      <w:r>
        <w:tab/>
        <w:t>3(1)</w:t>
      </w:r>
    </w:p>
    <w:p>
      <w:pPr>
        <w:pStyle w:val="DefinedTerms"/>
      </w:pPr>
      <w:r>
        <w:t>legal practitioner</w:t>
      </w:r>
      <w:r>
        <w:tab/>
        <w:t>36(1)</w:t>
      </w:r>
    </w:p>
    <w:p>
      <w:pPr>
        <w:pStyle w:val="DefinedTerms"/>
      </w:pPr>
      <w:r>
        <w:t>party</w:t>
      </w:r>
      <w:r>
        <w:tab/>
        <w:t>3(1)</w:t>
      </w:r>
    </w:p>
    <w:p>
      <w:pPr>
        <w:pStyle w:val="DefinedTerms"/>
      </w:pPr>
      <w:r>
        <w:t>PBO</w:t>
      </w:r>
      <w:r>
        <w:tab/>
        <w:t>3(1)</w:t>
      </w:r>
    </w:p>
    <w:p>
      <w:pPr>
        <w:pStyle w:val="DefinedTerms"/>
      </w:pPr>
      <w:r>
        <w:t>PBO proceedings</w:t>
      </w:r>
      <w:r>
        <w:tab/>
        <w:t>3(1)</w:t>
      </w:r>
    </w:p>
    <w:p>
      <w:pPr>
        <w:pStyle w:val="DefinedTerms"/>
      </w:pPr>
      <w:r>
        <w:t>prescribed</w:t>
      </w:r>
      <w:r>
        <w:tab/>
        <w:t>3(1)</w:t>
      </w:r>
    </w:p>
    <w:p>
      <w:pPr>
        <w:pStyle w:val="DefinedTerms"/>
      </w:pPr>
      <w:r>
        <w:t>prohibited behaviour order</w:t>
      </w:r>
      <w:r>
        <w:tab/>
        <w:t>3(1)</w:t>
      </w:r>
    </w:p>
    <w:p>
      <w:pPr>
        <w:pStyle w:val="DefinedTerms"/>
      </w:pPr>
      <w:r>
        <w:t>prosecutor</w:t>
      </w:r>
      <w:r>
        <w:tab/>
        <w:t>3(1)</w:t>
      </w:r>
    </w:p>
    <w:p>
      <w:pPr>
        <w:pStyle w:val="DefinedTerms"/>
      </w:pPr>
      <w:r>
        <w:t>registrar</w:t>
      </w:r>
      <w:r>
        <w:tab/>
        <w:t>3(1)</w:t>
      </w:r>
    </w:p>
    <w:p>
      <w:pPr>
        <w:pStyle w:val="DefinedTerms"/>
      </w:pPr>
      <w:r>
        <w:t>related prosecution</w:t>
      </w:r>
      <w:r>
        <w:tab/>
        <w:t>3(1)</w:t>
      </w:r>
    </w:p>
    <w:p>
      <w:pPr>
        <w:pStyle w:val="DefinedTerms"/>
      </w:pPr>
      <w:r>
        <w:t>related sentence</w:t>
      </w:r>
      <w:r>
        <w:tab/>
        <w:t>3(1)</w:t>
      </w:r>
    </w:p>
    <w:p>
      <w:pPr>
        <w:pStyle w:val="DefinedTerms"/>
      </w:pPr>
      <w:r>
        <w:t>relevant offence</w:t>
      </w:r>
      <w:r>
        <w:tab/>
        <w:t>3(1)</w:t>
      </w:r>
    </w:p>
    <w:p>
      <w:pPr>
        <w:pStyle w:val="DefinedTerms"/>
      </w:pPr>
      <w:r>
        <w:t>responsible person</w:t>
      </w:r>
      <w:r>
        <w:tab/>
        <w:t>32(1)</w:t>
      </w:r>
    </w:p>
    <w:p>
      <w:pPr>
        <w:pStyle w:val="DefinedTerms"/>
      </w:pPr>
      <w:r>
        <w:t>sentence</w:t>
      </w:r>
      <w:r>
        <w:tab/>
        <w:t>6(1)</w:t>
      </w:r>
    </w:p>
    <w:p>
      <w:pPr>
        <w:pStyle w:val="DefinedTerms"/>
      </w:pPr>
      <w:r>
        <w:t>specified</w:t>
      </w:r>
      <w:r>
        <w:tab/>
        <w:t>10(1), 12(1)</w:t>
      </w:r>
    </w:p>
    <w:p>
      <w:pPr>
        <w:pStyle w:val="DefinedTerms"/>
      </w:pPr>
      <w:r>
        <w:t>wellbeing</w:t>
      </w:r>
      <w:r>
        <w:tab/>
        <w:t>3(1)</w:t>
      </w:r>
    </w:p>
    <w:p>
      <w:pPr>
        <w:pStyle w:val="DefinedTerms"/>
      </w:pPr>
      <w:r>
        <w:t>youth</w:t>
      </w:r>
      <w:r>
        <w:tab/>
        <w:t>3(1)</w:t>
      </w:r>
    </w:p>
    <w:p>
      <w:pPr>
        <w:pStyle w:val="DefinedTerms"/>
      </w:pPr>
      <w:r>
        <w:t>youth</w:t>
      </w:r>
      <w:r>
        <w:noBreakHyphen/>
        <w:t>related PBO proceedings</w:t>
      </w:r>
      <w:r>
        <w:tab/>
        <w:t>16</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59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59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0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" stroked="f" strokeweight=".5pt">
                <v:textbox>
                  <w:txbxContent>
                    <w:p w:rsidR="00B05EE5" w:rsidRDefault="00B05EE5">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4</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 w:name="DefinedTerms"/>
    <w:bookmarkEnd w:id="8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 w:name="Coversheet"/>
    <w:bookmarkEnd w:id="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52E05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14105741"/>
    <w:docVar w:name="WAFER_20140113155524" w:val="RemoveTocBookmarks,RemoveUnusedBookmarks,RemoveLanguageTags,UsedStyles,ResetPageSize,UpdateArrangement"/>
    <w:docVar w:name="WAFER_20140113155524_GUID" w:val="a89ce273-4b3b-4375-9b51-91aac4eea1c7"/>
    <w:docVar w:name="WAFER_20140113155531" w:val="RemoveTocBookmarks,RunningHeaders"/>
    <w:docVar w:name="WAFER_20140113155531_GUID" w:val="98548069-4492-4916-8e1f-9a61f0b2a801"/>
    <w:docVar w:name="WAFER_20150416145224" w:val="ResetPageSize,UpdateArrangement,UpdateNTable"/>
    <w:docVar w:name="WAFER_20150416145224_GUID" w:val="7593c4e6-b107-4dfa-b713-8dec124f35ab"/>
    <w:docVar w:name="WAFER_20151109113011" w:val="UpdateStyles,UsedStyles"/>
    <w:docVar w:name="WAFER_20151109113011_GUID" w:val="fdf126f4-efd6-4b83-9865-4ce7186a3456"/>
    <w:docVar w:name="WAFER_20170614105741" w:val="RemoveTocBookmarks,RemoveUnusedBookmarks,RemoveLanguageTags,UsedStyles,ResetPageSize,RemoveCustomizations"/>
    <w:docVar w:name="WAFER_20170614105741_GUID" w:val="8bb16b8c-cc8a-45e4-8c1d-87245f6f0d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7807</Words>
  <Characters>36615</Characters>
  <Application>Microsoft Office Word</Application>
  <DocSecurity>0</DocSecurity>
  <Lines>1076</Lines>
  <Paragraphs>683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43739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2010 - 01-00-00</dc:title>
  <dc:subject/>
  <dc:creator/>
  <cp:keywords/>
  <dc:description/>
  <cp:lastModifiedBy>svcMRProcess</cp:lastModifiedBy>
  <cp:revision>4</cp:revision>
  <cp:lastPrinted>2017-09-06T03:17:00Z</cp:lastPrinted>
  <dcterms:created xsi:type="dcterms:W3CDTF">2018-09-22T07:10:00Z</dcterms:created>
  <dcterms:modified xsi:type="dcterms:W3CDTF">2018-09-22T07:10:00Z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OwlsUID">
    <vt:i4>146805</vt:i4>
  </property>
  <property fmtid="{D5CDD505-2E9C-101B-9397-08002B2CF9AE}" pid="4" name="DocumentType">
    <vt:lpwstr>Act</vt:lpwstr>
  </property>
  <property fmtid="{D5CDD505-2E9C-101B-9397-08002B2CF9AE}" pid="5" name="AsAtDate">
    <vt:lpwstr>22 Sep 2017</vt:lpwstr>
  </property>
  <property fmtid="{D5CDD505-2E9C-101B-9397-08002B2CF9AE}" pid="6" name="Suffix">
    <vt:lpwstr>01-00-00</vt:lpwstr>
  </property>
  <property fmtid="{D5CDD505-2E9C-101B-9397-08002B2CF9AE}" pid="7" name="ReprintedAsAt">
    <vt:filetime>2017-09-21T16:00:00Z</vt:filetime>
  </property>
  <property fmtid="{D5CDD505-2E9C-101B-9397-08002B2CF9AE}" pid="8" name="ReprintNo">
    <vt:lpwstr>1</vt:lpwstr>
  </property>
  <property fmtid="{D5CDD505-2E9C-101B-9397-08002B2CF9AE}" pid="9" name="CommencementDate">
    <vt:lpwstr>20170922</vt:lpwstr>
  </property>
</Properties>
</file>