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October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_Toc496109541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_Toc496109542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_Toc496109543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_Toc496109546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_Toc496109547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_Toc496109548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_Toc496109550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_Toc496109551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_Toc496109552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_Toc496109553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_Toc496109555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_Toc496109556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_Toc496109559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_Toc496109560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_Toc496109561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_Toc496109563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_Toc496109566 \h </w:instrText>
      </w:r>
      <w:r>
        <w:fldChar w:fldCharType="separate"/>
      </w:r>
      <w:r>
        <w:t>12</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_Toc496109567 \h </w:instrText>
      </w:r>
      <w:r>
        <w:fldChar w:fldCharType="separate"/>
      </w:r>
      <w:r>
        <w:t>13</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_Toc496109568 \h </w:instrText>
      </w:r>
      <w:r>
        <w:fldChar w:fldCharType="separate"/>
      </w:r>
      <w:r>
        <w:t>14</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_Toc496109569 \h </w:instrText>
      </w:r>
      <w:r>
        <w:fldChar w:fldCharType="separate"/>
      </w:r>
      <w:r>
        <w:t>15</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_Toc496109570 \h </w:instrText>
      </w:r>
      <w:r>
        <w:fldChar w:fldCharType="separate"/>
      </w:r>
      <w:r>
        <w:t>16</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_Toc496109571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_Toc496109573 \h </w:instrText>
      </w:r>
      <w:r>
        <w:fldChar w:fldCharType="separate"/>
      </w:r>
      <w:r>
        <w:t>18</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_Toc496109574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_Toc496109576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_Toc496109577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_Toc496109578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_Toc496109579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_Toc496109580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_Toc496109583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_Toc496109585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_Toc496109587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_Toc496109589 \h </w:instrText>
      </w:r>
      <w:r>
        <w:fldChar w:fldCharType="separate"/>
      </w:r>
      <w:r>
        <w:t>23</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_Toc496109590 \h </w:instrText>
      </w:r>
      <w:r>
        <w:fldChar w:fldCharType="separate"/>
      </w:r>
      <w:r>
        <w:t>24</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_Toc496109591 \h </w:instrText>
      </w:r>
      <w:r>
        <w:fldChar w:fldCharType="separate"/>
      </w:r>
      <w:r>
        <w:t>26</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_Toc496109592 \h </w:instrText>
      </w:r>
      <w:r>
        <w:fldChar w:fldCharType="separate"/>
      </w:r>
      <w:r>
        <w:t>26</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_Toc496109593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_Toc496109595 \h </w:instrText>
      </w:r>
      <w:r>
        <w:fldChar w:fldCharType="separate"/>
      </w:r>
      <w:r>
        <w:t>28</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_Toc496109596 \h </w:instrText>
      </w:r>
      <w:r>
        <w:fldChar w:fldCharType="separate"/>
      </w:r>
      <w:r>
        <w:t>28</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_Toc496109597 \h </w:instrText>
      </w:r>
      <w:r>
        <w:fldChar w:fldCharType="separate"/>
      </w:r>
      <w:r>
        <w:t>30</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_Toc496109598 \h </w:instrText>
      </w:r>
      <w:r>
        <w:fldChar w:fldCharType="separate"/>
      </w:r>
      <w:r>
        <w:t>31</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_Toc496109599 \h </w:instrText>
      </w:r>
      <w:r>
        <w:fldChar w:fldCharType="separate"/>
      </w:r>
      <w:r>
        <w:t>31</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_Toc496109600 \h </w:instrText>
      </w:r>
      <w:r>
        <w:fldChar w:fldCharType="separate"/>
      </w:r>
      <w:r>
        <w:t>32</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_Toc496109601 \h </w:instrText>
      </w:r>
      <w:r>
        <w:fldChar w:fldCharType="separate"/>
      </w:r>
      <w:r>
        <w:t>32</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_Toc496109602 \h </w:instrText>
      </w:r>
      <w:r>
        <w:fldChar w:fldCharType="separate"/>
      </w:r>
      <w:r>
        <w:t>33</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_Toc496109603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_Toc496109605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_Toc496109606 \h </w:instrText>
      </w:r>
      <w:r>
        <w:fldChar w:fldCharType="separate"/>
      </w:r>
      <w:r>
        <w:t>35</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_Toc496109607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_Toc496109608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_Toc496109610 \h </w:instrText>
      </w:r>
      <w:r>
        <w:fldChar w:fldCharType="separate"/>
      </w:r>
      <w:r>
        <w:t>37</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_Toc496109611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_Toc496109612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_Toc496109614 \h </w:instrText>
      </w:r>
      <w:r>
        <w:fldChar w:fldCharType="separate"/>
      </w:r>
      <w:r>
        <w:t>38</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_Toc496109615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_Toc496109617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_Toc496109619 \h </w:instrText>
      </w:r>
      <w:r>
        <w:fldChar w:fldCharType="separate"/>
      </w:r>
      <w:r>
        <w:t>40</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_Toc496109620 \h </w:instrText>
      </w:r>
      <w:r>
        <w:fldChar w:fldCharType="separate"/>
      </w:r>
      <w:r>
        <w:t>41</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_Toc496109621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_Toc496109622 \h </w:instrText>
      </w:r>
      <w:r>
        <w:fldChar w:fldCharType="separate"/>
      </w:r>
      <w:r>
        <w:t>42</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_Toc496109623 \h </w:instrText>
      </w:r>
      <w:r>
        <w:fldChar w:fldCharType="separate"/>
      </w:r>
      <w:r>
        <w:t>42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keepNext w:val="0"/>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keepNext w:val="0"/>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_Toc496109630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October 2017</w:t>
            </w:r>
          </w:p>
        </w:tc>
      </w:tr>
    </w:tbl>
    <w:p>
      <w:pPr>
        <w:pStyle w:val="WA"/>
        <w:spacing w:before="12"/>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87196026"/>
      <w:bookmarkStart w:id="4" w:name="_Toc492304563"/>
      <w:bookmarkStart w:id="5" w:name="_Toc492304776"/>
      <w:bookmarkStart w:id="6" w:name="_Toc492305072"/>
      <w:bookmarkStart w:id="7" w:name="_Toc494463753"/>
      <w:bookmarkStart w:id="8" w:name="_Toc49610954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96109541"/>
      <w:r>
        <w:rPr>
          <w:rStyle w:val="CharSectno"/>
        </w:rPr>
        <w:t>1</w:t>
      </w:r>
      <w:r>
        <w:t>.</w:t>
      </w:r>
      <w:r>
        <w:tab/>
        <w:t>Citation</w:t>
      </w:r>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1" w:name="_Toc496109542"/>
      <w:r>
        <w:rPr>
          <w:rStyle w:val="CharSectno"/>
        </w:rPr>
        <w:t>2</w:t>
      </w:r>
      <w:r>
        <w:rPr>
          <w:spacing w:val="-2"/>
        </w:rPr>
        <w:t>.</w:t>
      </w:r>
      <w:r>
        <w:rPr>
          <w:spacing w:val="-2"/>
        </w:rPr>
        <w:tab/>
        <w:t>Commencement</w:t>
      </w:r>
      <w:bookmarkEnd w:id="11"/>
    </w:p>
    <w:p>
      <w:pPr>
        <w:pStyle w:val="Subsection"/>
        <w:rPr>
          <w:spacing w:val="-2"/>
        </w:rPr>
      </w:pPr>
      <w:r>
        <w:rPr>
          <w:spacing w:val="-2"/>
        </w:rPr>
        <w:tab/>
      </w:r>
      <w:r>
        <w:rPr>
          <w:spacing w:val="-2"/>
        </w:rPr>
        <w:tab/>
        <w:t>These regulations come into operation on 31 July 2006.</w:t>
      </w:r>
    </w:p>
    <w:p>
      <w:pPr>
        <w:pStyle w:val="Heading5"/>
      </w:pPr>
      <w:bookmarkStart w:id="12" w:name="_Toc496109543"/>
      <w:r>
        <w:rPr>
          <w:rStyle w:val="CharSectno"/>
        </w:rPr>
        <w:t>3</w:t>
      </w:r>
      <w:r>
        <w:t>.</w:t>
      </w:r>
      <w:r>
        <w:tab/>
        <w:t>Terms used</w:t>
      </w:r>
      <w:bookmarkEnd w:id="12"/>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Gazette 28 Feb 2007 p. 643; 10 Sep 2010 p. 4378; 27 Nov 2012 p. 5734.]</w:t>
      </w:r>
    </w:p>
    <w:p>
      <w:pPr>
        <w:pStyle w:val="Ednotepart"/>
      </w:pPr>
      <w:r>
        <w:t>[Part 2 (r. 4-6) deleted: Gazette 28 Feb 2007 p. 644.]</w:t>
      </w:r>
    </w:p>
    <w:p>
      <w:pPr>
        <w:pStyle w:val="Heading2"/>
      </w:pPr>
      <w:bookmarkStart w:id="13" w:name="_Toc487196030"/>
      <w:bookmarkStart w:id="14" w:name="_Toc492304567"/>
      <w:bookmarkStart w:id="15" w:name="_Toc492304780"/>
      <w:bookmarkStart w:id="16" w:name="_Toc492305076"/>
      <w:bookmarkStart w:id="17" w:name="_Toc494463757"/>
      <w:bookmarkStart w:id="18" w:name="_Toc496109544"/>
      <w:r>
        <w:rPr>
          <w:rStyle w:val="CharPartNo"/>
        </w:rPr>
        <w:t>Part 3</w:t>
      </w:r>
      <w:r>
        <w:t> — </w:t>
      </w:r>
      <w:r>
        <w:rPr>
          <w:rStyle w:val="CharPartText"/>
        </w:rPr>
        <w:t>Smoking in enclosed public places</w:t>
      </w:r>
      <w:bookmarkEnd w:id="13"/>
      <w:bookmarkEnd w:id="14"/>
      <w:bookmarkEnd w:id="15"/>
      <w:bookmarkEnd w:id="16"/>
      <w:bookmarkEnd w:id="17"/>
      <w:bookmarkEnd w:id="18"/>
    </w:p>
    <w:p>
      <w:pPr>
        <w:pStyle w:val="Heading3"/>
      </w:pPr>
      <w:bookmarkStart w:id="19" w:name="_Toc487196031"/>
      <w:bookmarkStart w:id="20" w:name="_Toc492304568"/>
      <w:bookmarkStart w:id="21" w:name="_Toc492304781"/>
      <w:bookmarkStart w:id="22" w:name="_Toc492305077"/>
      <w:bookmarkStart w:id="23" w:name="_Toc494463758"/>
      <w:bookmarkStart w:id="24" w:name="_Toc496109545"/>
      <w:r>
        <w:rPr>
          <w:rStyle w:val="CharDivNo"/>
        </w:rPr>
        <w:t>Division 1</w:t>
      </w:r>
      <w:r>
        <w:t> — </w:t>
      </w:r>
      <w:r>
        <w:rPr>
          <w:rStyle w:val="CharDivText"/>
        </w:rPr>
        <w:t>Preliminary</w:t>
      </w:r>
      <w:bookmarkEnd w:id="19"/>
      <w:bookmarkEnd w:id="20"/>
      <w:bookmarkEnd w:id="21"/>
      <w:bookmarkEnd w:id="22"/>
      <w:bookmarkEnd w:id="23"/>
      <w:bookmarkEnd w:id="24"/>
    </w:p>
    <w:p>
      <w:pPr>
        <w:pStyle w:val="Heading5"/>
      </w:pPr>
      <w:bookmarkStart w:id="25" w:name="_Toc496109546"/>
      <w:r>
        <w:rPr>
          <w:rStyle w:val="CharSectno"/>
        </w:rPr>
        <w:t>7</w:t>
      </w:r>
      <w:r>
        <w:t>.</w:t>
      </w:r>
      <w:r>
        <w:tab/>
        <w:t>Terms used</w:t>
      </w:r>
      <w:bookmarkEnd w:id="25"/>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Gazette 10 Sep 2010 p. 4378.]</w:t>
      </w:r>
    </w:p>
    <w:p>
      <w:pPr>
        <w:pStyle w:val="Heading5"/>
      </w:pPr>
      <w:bookmarkStart w:id="26" w:name="_Toc496109547"/>
      <w:r>
        <w:rPr>
          <w:rStyle w:val="CharSectno"/>
        </w:rPr>
        <w:t>8</w:t>
      </w:r>
      <w:r>
        <w:t>.</w:t>
      </w:r>
      <w:r>
        <w:tab/>
        <w:t>Enclosed public places</w:t>
      </w:r>
      <w:bookmarkEnd w:id="26"/>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Gazette 10 Sep 2010 p. 4379.]</w:t>
      </w:r>
    </w:p>
    <w:p>
      <w:pPr>
        <w:pStyle w:val="Heading5"/>
      </w:pPr>
      <w:bookmarkStart w:id="27" w:name="_Toc496109548"/>
      <w:r>
        <w:rPr>
          <w:rStyle w:val="CharSectno"/>
        </w:rPr>
        <w:t>9</w:t>
      </w:r>
      <w:r>
        <w:t>.</w:t>
      </w:r>
      <w:r>
        <w:tab/>
        <w:t>Notional vertical surface area</w:t>
      </w:r>
      <w:bookmarkEnd w:id="27"/>
    </w:p>
    <w:p>
      <w:pPr>
        <w:pStyle w:val="Subsection"/>
        <w:keepNext/>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28" w:name="_Toc487196035"/>
      <w:bookmarkStart w:id="29" w:name="_Toc492304572"/>
      <w:bookmarkStart w:id="30" w:name="_Toc492304785"/>
      <w:bookmarkStart w:id="31" w:name="_Toc492305081"/>
      <w:bookmarkStart w:id="32" w:name="_Toc494463762"/>
      <w:bookmarkStart w:id="33" w:name="_Toc496109549"/>
      <w:r>
        <w:rPr>
          <w:rStyle w:val="CharDivNo"/>
        </w:rPr>
        <w:t>Division 2</w:t>
      </w:r>
      <w:r>
        <w:t> — </w:t>
      </w:r>
      <w:r>
        <w:rPr>
          <w:rStyle w:val="CharDivText"/>
        </w:rPr>
        <w:t>Offences</w:t>
      </w:r>
      <w:bookmarkEnd w:id="28"/>
      <w:bookmarkEnd w:id="29"/>
      <w:bookmarkEnd w:id="30"/>
      <w:bookmarkEnd w:id="31"/>
      <w:bookmarkEnd w:id="32"/>
      <w:bookmarkEnd w:id="33"/>
    </w:p>
    <w:p>
      <w:pPr>
        <w:pStyle w:val="Heading5"/>
      </w:pPr>
      <w:bookmarkStart w:id="34" w:name="_Toc496109550"/>
      <w:r>
        <w:rPr>
          <w:rStyle w:val="CharSectno"/>
        </w:rPr>
        <w:t>10</w:t>
      </w:r>
      <w:r>
        <w:t>.</w:t>
      </w:r>
      <w:r>
        <w:tab/>
        <w:t>Prohibition on smoking in enclosed public places</w:t>
      </w:r>
      <w:bookmarkEnd w:id="34"/>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35" w:name="_Toc496109551"/>
      <w:r>
        <w:rPr>
          <w:rStyle w:val="CharSectno"/>
        </w:rPr>
        <w:t>11</w:t>
      </w:r>
      <w:r>
        <w:t>.</w:t>
      </w:r>
      <w:r>
        <w:tab/>
        <w:t>Offence by occupier</w:t>
      </w:r>
      <w:bookmarkEnd w:id="35"/>
    </w:p>
    <w:p>
      <w:pPr>
        <w:pStyle w:val="Subsection"/>
        <w:keepNext/>
        <w:spacing w:before="120"/>
      </w:pPr>
      <w:r>
        <w:tab/>
        <w:t>(1)</w:t>
      </w:r>
      <w:r>
        <w:tab/>
        <w:t>If a person commits an offence under regulation 10(1) the occupier of the enclosed public place commits an offence.</w:t>
      </w:r>
    </w:p>
    <w:p>
      <w:pPr>
        <w:pStyle w:val="Penstart"/>
      </w:pPr>
      <w:r>
        <w:tab/>
        <w:t>Penalty: a fine of $2 000.</w:t>
      </w:r>
    </w:p>
    <w:p>
      <w:pPr>
        <w:pStyle w:val="Subsection"/>
        <w:spacing w:before="120"/>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36" w:name="_Toc496109552"/>
      <w:r>
        <w:rPr>
          <w:rStyle w:val="CharSectno"/>
        </w:rPr>
        <w:t>12</w:t>
      </w:r>
      <w:r>
        <w:t>.</w:t>
      </w:r>
      <w:r>
        <w:tab/>
        <w:t>Display of no smoking signs in entrances to liquor licensed premises</w:t>
      </w:r>
      <w:bookmarkEnd w:id="36"/>
    </w:p>
    <w:p>
      <w:pPr>
        <w:pStyle w:val="Subsection"/>
        <w:spacing w:before="120"/>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Gazette 10 Sep 2010 p. 4379.]</w:t>
      </w:r>
    </w:p>
    <w:p>
      <w:pPr>
        <w:pStyle w:val="Heading5"/>
      </w:pPr>
      <w:bookmarkStart w:id="37" w:name="_Toc496109553"/>
      <w:r>
        <w:rPr>
          <w:rStyle w:val="CharSectno"/>
        </w:rPr>
        <w:t>13</w:t>
      </w:r>
      <w:r>
        <w:t>.</w:t>
      </w:r>
      <w:r>
        <w:tab/>
        <w:t>Duty to prevent smoke entering enclosed public places</w:t>
      </w:r>
      <w:bookmarkEnd w:id="37"/>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38" w:name="_Toc487196040"/>
      <w:bookmarkStart w:id="39" w:name="_Toc492304577"/>
      <w:bookmarkStart w:id="40" w:name="_Toc492304790"/>
      <w:bookmarkStart w:id="41" w:name="_Toc492305086"/>
      <w:bookmarkStart w:id="42" w:name="_Toc494463767"/>
      <w:bookmarkStart w:id="43" w:name="_Toc496109554"/>
      <w:r>
        <w:rPr>
          <w:rStyle w:val="CharDivNo"/>
        </w:rPr>
        <w:t>Division 3</w:t>
      </w:r>
      <w:r>
        <w:t> — </w:t>
      </w:r>
      <w:r>
        <w:rPr>
          <w:rStyle w:val="CharDivText"/>
        </w:rPr>
        <w:t>Investigators</w:t>
      </w:r>
      <w:bookmarkEnd w:id="38"/>
      <w:bookmarkEnd w:id="39"/>
      <w:bookmarkEnd w:id="40"/>
      <w:bookmarkEnd w:id="41"/>
      <w:bookmarkEnd w:id="42"/>
      <w:bookmarkEnd w:id="43"/>
    </w:p>
    <w:p>
      <w:pPr>
        <w:pStyle w:val="Heading5"/>
      </w:pPr>
      <w:bookmarkStart w:id="44" w:name="_Toc496109555"/>
      <w:r>
        <w:rPr>
          <w:rStyle w:val="CharSectno"/>
        </w:rPr>
        <w:t>14</w:t>
      </w:r>
      <w:r>
        <w:t>.</w:t>
      </w:r>
      <w:r>
        <w:tab/>
        <w:t>Investigators to notify occupiers before taking action under Part 3</w:t>
      </w:r>
      <w:bookmarkEnd w:id="44"/>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45" w:name="_Toc496109556"/>
      <w:r>
        <w:rPr>
          <w:rStyle w:val="CharSectno"/>
        </w:rPr>
        <w:t>15</w:t>
      </w:r>
      <w:r>
        <w:t>.</w:t>
      </w:r>
      <w:r>
        <w:tab/>
        <w:t>Directions by investigators</w:t>
      </w:r>
      <w:bookmarkEnd w:id="45"/>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46" w:name="_Toc487196043"/>
      <w:bookmarkStart w:id="47" w:name="_Toc492304580"/>
      <w:bookmarkStart w:id="48" w:name="_Toc492304793"/>
      <w:bookmarkStart w:id="49" w:name="_Toc492305089"/>
      <w:bookmarkStart w:id="50" w:name="_Toc494463770"/>
      <w:bookmarkStart w:id="51" w:name="_Toc496109557"/>
      <w:r>
        <w:rPr>
          <w:rStyle w:val="CharPartNo"/>
        </w:rPr>
        <w:t>Part 4A</w:t>
      </w:r>
      <w:r>
        <w:rPr>
          <w:b w:val="0"/>
        </w:rPr>
        <w:t> — </w:t>
      </w:r>
      <w:r>
        <w:rPr>
          <w:rStyle w:val="CharPartText"/>
        </w:rPr>
        <w:t>Smoking in outdoor public places</w:t>
      </w:r>
      <w:bookmarkEnd w:id="46"/>
      <w:bookmarkEnd w:id="47"/>
      <w:bookmarkEnd w:id="48"/>
      <w:bookmarkEnd w:id="49"/>
      <w:bookmarkEnd w:id="50"/>
      <w:bookmarkEnd w:id="51"/>
    </w:p>
    <w:p>
      <w:pPr>
        <w:pStyle w:val="Footnoteheading"/>
      </w:pPr>
      <w:r>
        <w:tab/>
        <w:t>[Heading inserted: Gazette 10 Sep 2010 p. 4379.]</w:t>
      </w:r>
    </w:p>
    <w:p>
      <w:pPr>
        <w:pStyle w:val="Heading3"/>
      </w:pPr>
      <w:bookmarkStart w:id="52" w:name="_Toc487196044"/>
      <w:bookmarkStart w:id="53" w:name="_Toc492304581"/>
      <w:bookmarkStart w:id="54" w:name="_Toc492304794"/>
      <w:bookmarkStart w:id="55" w:name="_Toc492305090"/>
      <w:bookmarkStart w:id="56" w:name="_Toc494463771"/>
      <w:bookmarkStart w:id="57" w:name="_Toc496109558"/>
      <w:r>
        <w:rPr>
          <w:rStyle w:val="CharDivNo"/>
        </w:rPr>
        <w:t>Division 1</w:t>
      </w:r>
      <w:r>
        <w:t> — </w:t>
      </w:r>
      <w:r>
        <w:rPr>
          <w:rStyle w:val="CharDivText"/>
        </w:rPr>
        <w:t>Outdoor eating areas</w:t>
      </w:r>
      <w:bookmarkEnd w:id="52"/>
      <w:bookmarkEnd w:id="53"/>
      <w:bookmarkEnd w:id="54"/>
      <w:bookmarkEnd w:id="55"/>
      <w:bookmarkEnd w:id="56"/>
      <w:bookmarkEnd w:id="57"/>
    </w:p>
    <w:p>
      <w:pPr>
        <w:pStyle w:val="Footnoteheading"/>
      </w:pPr>
      <w:r>
        <w:tab/>
        <w:t>[Heading inserted: Gazette 10 Sep 2010 p. 4379.]</w:t>
      </w:r>
    </w:p>
    <w:p>
      <w:pPr>
        <w:pStyle w:val="Heading5"/>
      </w:pPr>
      <w:bookmarkStart w:id="58" w:name="_Toc496109559"/>
      <w:r>
        <w:rPr>
          <w:rStyle w:val="CharSectno"/>
        </w:rPr>
        <w:t>16A</w:t>
      </w:r>
      <w:r>
        <w:t>.</w:t>
      </w:r>
      <w:r>
        <w:tab/>
        <w:t>Term used: non</w:t>
      </w:r>
      <w:r>
        <w:noBreakHyphen/>
        <w:t>smoking zone</w:t>
      </w:r>
      <w:bookmarkEnd w:id="58"/>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Gazette 10 Sep 2010 p. 4379.]</w:t>
      </w:r>
    </w:p>
    <w:p>
      <w:pPr>
        <w:pStyle w:val="Heading5"/>
      </w:pPr>
      <w:bookmarkStart w:id="59" w:name="_Toc496109560"/>
      <w:r>
        <w:rPr>
          <w:rStyle w:val="CharSectno"/>
        </w:rPr>
        <w:t>16B</w:t>
      </w:r>
      <w:r>
        <w:t>.</w:t>
      </w:r>
      <w:r>
        <w:tab/>
        <w:t>Display of no smoking signs in non</w:t>
      </w:r>
      <w:r>
        <w:noBreakHyphen/>
        <w:t>smoking zones</w:t>
      </w:r>
      <w:bookmarkEnd w:id="59"/>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Gazette 10 Sep 2010 p. 4379-80.]</w:t>
      </w:r>
    </w:p>
    <w:p>
      <w:pPr>
        <w:pStyle w:val="Heading5"/>
      </w:pPr>
      <w:bookmarkStart w:id="60" w:name="_Toc496109561"/>
      <w:r>
        <w:rPr>
          <w:rStyle w:val="CharSectno"/>
        </w:rPr>
        <w:t>16C</w:t>
      </w:r>
      <w:r>
        <w:t>.</w:t>
      </w:r>
      <w:r>
        <w:tab/>
        <w:t>Investigators to notify occupiers before taking action under Div. 1</w:t>
      </w:r>
      <w:bookmarkEnd w:id="60"/>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Gazette 10 Sep 2010 p. 4380-1.]</w:t>
      </w:r>
    </w:p>
    <w:p>
      <w:pPr>
        <w:pStyle w:val="Heading3"/>
      </w:pPr>
      <w:bookmarkStart w:id="61" w:name="_Toc487196048"/>
      <w:bookmarkStart w:id="62" w:name="_Toc492304585"/>
      <w:bookmarkStart w:id="63" w:name="_Toc492304798"/>
      <w:bookmarkStart w:id="64" w:name="_Toc492305094"/>
      <w:bookmarkStart w:id="65" w:name="_Toc494463775"/>
      <w:bookmarkStart w:id="66" w:name="_Toc496109562"/>
      <w:r>
        <w:rPr>
          <w:rStyle w:val="CharDivNo"/>
        </w:rPr>
        <w:t>Division 2</w:t>
      </w:r>
      <w:r>
        <w:t xml:space="preserve"> — </w:t>
      </w:r>
      <w:r>
        <w:rPr>
          <w:rStyle w:val="CharDivText"/>
        </w:rPr>
        <w:t>Miscellaneous</w:t>
      </w:r>
      <w:bookmarkEnd w:id="61"/>
      <w:bookmarkEnd w:id="62"/>
      <w:bookmarkEnd w:id="63"/>
      <w:bookmarkEnd w:id="64"/>
      <w:bookmarkEnd w:id="65"/>
      <w:bookmarkEnd w:id="66"/>
    </w:p>
    <w:p>
      <w:pPr>
        <w:pStyle w:val="Footnoteheading"/>
        <w:spacing w:before="80"/>
      </w:pPr>
      <w:r>
        <w:tab/>
        <w:t>[Heading inserted: Gazette 10 Sep 2010 p. 4381.]</w:t>
      </w:r>
    </w:p>
    <w:p>
      <w:pPr>
        <w:pStyle w:val="Heading5"/>
      </w:pPr>
      <w:bookmarkStart w:id="67" w:name="_Toc496109563"/>
      <w:r>
        <w:rPr>
          <w:rStyle w:val="CharSectno"/>
        </w:rPr>
        <w:t>16D</w:t>
      </w:r>
      <w:r>
        <w:t>.</w:t>
      </w:r>
      <w:r>
        <w:tab/>
        <w:t>Directions by investigators</w:t>
      </w:r>
      <w:bookmarkEnd w:id="67"/>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keepNext/>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Gazette 10 Sep 2010 p. 4381.]</w:t>
      </w:r>
    </w:p>
    <w:p>
      <w:pPr>
        <w:pStyle w:val="Ednotepart"/>
      </w:pPr>
      <w:r>
        <w:t>[Part 4 (r. 16) deleted: Gazette 26 Jul 2016 p. 3150.] </w:t>
      </w:r>
    </w:p>
    <w:p>
      <w:pPr>
        <w:pStyle w:val="Heading2"/>
      </w:pPr>
      <w:bookmarkStart w:id="68" w:name="_Toc487196050"/>
      <w:bookmarkStart w:id="69" w:name="_Toc492304587"/>
      <w:bookmarkStart w:id="70" w:name="_Toc492304800"/>
      <w:bookmarkStart w:id="71" w:name="_Toc492305096"/>
      <w:bookmarkStart w:id="72" w:name="_Toc494463777"/>
      <w:bookmarkStart w:id="73" w:name="_Toc496109564"/>
      <w:r>
        <w:rPr>
          <w:rStyle w:val="CharPartNo"/>
        </w:rPr>
        <w:t>Part 5</w:t>
      </w:r>
      <w:r>
        <w:rPr>
          <w:b w:val="0"/>
        </w:rPr>
        <w:t> </w:t>
      </w:r>
      <w:r>
        <w:t>—</w:t>
      </w:r>
      <w:r>
        <w:rPr>
          <w:b w:val="0"/>
        </w:rPr>
        <w:t> </w:t>
      </w:r>
      <w:r>
        <w:rPr>
          <w:rStyle w:val="CharPartText"/>
        </w:rPr>
        <w:t>Licensing</w:t>
      </w:r>
      <w:bookmarkEnd w:id="68"/>
      <w:bookmarkEnd w:id="69"/>
      <w:bookmarkEnd w:id="70"/>
      <w:bookmarkEnd w:id="71"/>
      <w:bookmarkEnd w:id="72"/>
      <w:bookmarkEnd w:id="73"/>
    </w:p>
    <w:p>
      <w:pPr>
        <w:pStyle w:val="Footnoteheading"/>
      </w:pPr>
      <w:r>
        <w:tab/>
        <w:t>[Heading inserted: Gazette 28 Feb 2007 p. 644.]</w:t>
      </w:r>
    </w:p>
    <w:p>
      <w:pPr>
        <w:pStyle w:val="Heading3"/>
      </w:pPr>
      <w:bookmarkStart w:id="74" w:name="_Toc487196051"/>
      <w:bookmarkStart w:id="75" w:name="_Toc492304588"/>
      <w:bookmarkStart w:id="76" w:name="_Toc492304801"/>
      <w:bookmarkStart w:id="77" w:name="_Toc492305097"/>
      <w:bookmarkStart w:id="78" w:name="_Toc494463778"/>
      <w:bookmarkStart w:id="79" w:name="_Toc496109565"/>
      <w:r>
        <w:rPr>
          <w:rStyle w:val="CharDivNo"/>
        </w:rPr>
        <w:t>Division 1</w:t>
      </w:r>
      <w:r>
        <w:t> — </w:t>
      </w:r>
      <w:r>
        <w:rPr>
          <w:rStyle w:val="CharDivText"/>
        </w:rPr>
        <w:t>Licensing procedures</w:t>
      </w:r>
      <w:bookmarkEnd w:id="74"/>
      <w:bookmarkEnd w:id="75"/>
      <w:bookmarkEnd w:id="76"/>
      <w:bookmarkEnd w:id="77"/>
      <w:bookmarkEnd w:id="78"/>
      <w:bookmarkEnd w:id="79"/>
    </w:p>
    <w:p>
      <w:pPr>
        <w:pStyle w:val="Footnoteheading"/>
      </w:pPr>
      <w:r>
        <w:tab/>
        <w:t>[Heading inserted: Gazette 28 Feb 2007 p. 644.]</w:t>
      </w:r>
    </w:p>
    <w:p>
      <w:pPr>
        <w:pStyle w:val="Heading5"/>
      </w:pPr>
      <w:bookmarkStart w:id="80" w:name="_Toc496109566"/>
      <w:r>
        <w:rPr>
          <w:rStyle w:val="CharSectno"/>
        </w:rPr>
        <w:t>17</w:t>
      </w:r>
      <w:r>
        <w:t>.</w:t>
      </w:r>
      <w:r>
        <w:tab/>
        <w:t>Application for licence — proof of individual’s identity</w:t>
      </w:r>
      <w:bookmarkEnd w:id="80"/>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Gazette 28 Feb 2007 p. 644-5.]</w:t>
      </w:r>
    </w:p>
    <w:p>
      <w:pPr>
        <w:pStyle w:val="Heading5"/>
        <w:keepNext w:val="0"/>
        <w:keepLines w:val="0"/>
        <w:pageBreakBefore/>
        <w:spacing w:before="0"/>
      </w:pPr>
      <w:bookmarkStart w:id="81" w:name="_Toc496109567"/>
      <w:r>
        <w:rPr>
          <w:rStyle w:val="CharSectno"/>
        </w:rPr>
        <w:t>18</w:t>
      </w:r>
      <w:r>
        <w:t>.</w:t>
      </w:r>
      <w:r>
        <w:tab/>
        <w:t>Application for licence — other evidence</w:t>
      </w:r>
      <w:bookmarkEnd w:id="81"/>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Gazette 28 Feb 2007 p. 645-6; amended: Gazette 27 Nov 2012 p. 5734.]</w:t>
      </w:r>
    </w:p>
    <w:p>
      <w:pPr>
        <w:pStyle w:val="Heading5"/>
      </w:pPr>
      <w:bookmarkStart w:id="82" w:name="_Toc496109568"/>
      <w:r>
        <w:rPr>
          <w:rStyle w:val="CharSectno"/>
        </w:rPr>
        <w:t>19</w:t>
      </w:r>
      <w:r>
        <w:t>.</w:t>
      </w:r>
      <w:r>
        <w:tab/>
        <w:t>Application for renewal of licence</w:t>
      </w:r>
      <w:bookmarkEnd w:id="82"/>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Gazette 28 Feb 2007 p. 646-7; amended: Gazette 27 Nov 2012 p. 5734.]</w:t>
      </w:r>
    </w:p>
    <w:p>
      <w:pPr>
        <w:pStyle w:val="Heading5"/>
      </w:pPr>
      <w:bookmarkStart w:id="83" w:name="_Toc496109569"/>
      <w:r>
        <w:rPr>
          <w:rStyle w:val="CharSectno"/>
        </w:rPr>
        <w:t>20</w:t>
      </w:r>
      <w:r>
        <w:t>.</w:t>
      </w:r>
      <w:r>
        <w:tab/>
        <w:t>Conditions of general application</w:t>
      </w:r>
      <w:bookmarkEnd w:id="83"/>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Gazette 28 Feb 2007 p. 647-9; amended: Gazette 10 Sep 2010 p. 4382.]</w:t>
      </w:r>
    </w:p>
    <w:p>
      <w:pPr>
        <w:pStyle w:val="Heading5"/>
      </w:pPr>
      <w:bookmarkStart w:id="84" w:name="_Toc496109570"/>
      <w:r>
        <w:rPr>
          <w:rStyle w:val="CharSectno"/>
        </w:rPr>
        <w:t>21</w:t>
      </w:r>
      <w:r>
        <w:t>.</w:t>
      </w:r>
      <w:r>
        <w:tab/>
        <w:t>Application to amend licence</w:t>
      </w:r>
      <w:bookmarkEnd w:id="8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Gazette 28 Feb 2007 p. 649-50; amended: Gazette 27 Nov 2012 p. 5735.]</w:t>
      </w:r>
    </w:p>
    <w:p>
      <w:pPr>
        <w:pStyle w:val="Heading5"/>
      </w:pPr>
      <w:bookmarkStart w:id="85" w:name="_Toc496109571"/>
      <w:r>
        <w:rPr>
          <w:rStyle w:val="CharSectno"/>
        </w:rPr>
        <w:t>22</w:t>
      </w:r>
      <w:r>
        <w:t>.</w:t>
      </w:r>
      <w:r>
        <w:tab/>
        <w:t>Register of licences</w:t>
      </w:r>
      <w:bookmarkEnd w:id="85"/>
    </w:p>
    <w:p>
      <w:pPr>
        <w:pStyle w:val="Subsection"/>
        <w:keepNext/>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Gazette 28 Feb 2007 p. 650.]</w:t>
      </w:r>
    </w:p>
    <w:p>
      <w:pPr>
        <w:pStyle w:val="Heading3"/>
        <w:pageBreakBefore/>
        <w:spacing w:before="0"/>
      </w:pPr>
      <w:bookmarkStart w:id="86" w:name="_Toc487196058"/>
      <w:bookmarkStart w:id="87" w:name="_Toc492304595"/>
      <w:bookmarkStart w:id="88" w:name="_Toc492304808"/>
      <w:bookmarkStart w:id="89" w:name="_Toc492305104"/>
      <w:bookmarkStart w:id="90" w:name="_Toc494463785"/>
      <w:bookmarkStart w:id="91" w:name="_Toc496109572"/>
      <w:r>
        <w:rPr>
          <w:rStyle w:val="CharDivNo"/>
        </w:rPr>
        <w:t>Division 2</w:t>
      </w:r>
      <w:r>
        <w:t> — </w:t>
      </w:r>
      <w:r>
        <w:rPr>
          <w:rStyle w:val="CharDivText"/>
        </w:rPr>
        <w:t>Further obligations of licence holders</w:t>
      </w:r>
      <w:bookmarkEnd w:id="86"/>
      <w:bookmarkEnd w:id="87"/>
      <w:bookmarkEnd w:id="88"/>
      <w:bookmarkEnd w:id="89"/>
      <w:bookmarkEnd w:id="90"/>
      <w:bookmarkEnd w:id="91"/>
    </w:p>
    <w:p>
      <w:pPr>
        <w:pStyle w:val="Footnoteheading"/>
      </w:pPr>
      <w:r>
        <w:tab/>
        <w:t>[Heading inserted: Gazette 28 Feb 2007 p. 650.]</w:t>
      </w:r>
    </w:p>
    <w:p>
      <w:pPr>
        <w:pStyle w:val="Heading5"/>
      </w:pPr>
      <w:bookmarkStart w:id="92" w:name="_Toc496109573"/>
      <w:r>
        <w:rPr>
          <w:rStyle w:val="CharSectno"/>
        </w:rPr>
        <w:t>23</w:t>
      </w:r>
      <w:r>
        <w:t>.</w:t>
      </w:r>
      <w:r>
        <w:tab/>
        <w:t>Licence details on invoices etc.</w:t>
      </w:r>
      <w:bookmarkEnd w:id="92"/>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Gazette 28 Feb 2007 p. 650-1.]</w:t>
      </w:r>
    </w:p>
    <w:p>
      <w:pPr>
        <w:pStyle w:val="Heading5"/>
      </w:pPr>
      <w:bookmarkStart w:id="93" w:name="_Toc496109574"/>
      <w:r>
        <w:rPr>
          <w:rStyle w:val="CharSectno"/>
        </w:rPr>
        <w:t>24</w:t>
      </w:r>
      <w:r>
        <w:t>.</w:t>
      </w:r>
      <w:r>
        <w:tab/>
        <w:t>Records to be kept</w:t>
      </w:r>
      <w:bookmarkEnd w:id="93"/>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Gazette 10 Sep 2010 p. 4382.]</w:t>
      </w:r>
    </w:p>
    <w:p>
      <w:pPr>
        <w:pStyle w:val="Heading3"/>
      </w:pPr>
      <w:bookmarkStart w:id="94" w:name="_Toc487196061"/>
      <w:bookmarkStart w:id="95" w:name="_Toc492304598"/>
      <w:bookmarkStart w:id="96" w:name="_Toc492304811"/>
      <w:bookmarkStart w:id="97" w:name="_Toc492305107"/>
      <w:bookmarkStart w:id="98" w:name="_Toc494463788"/>
      <w:bookmarkStart w:id="99" w:name="_Toc496109575"/>
      <w:r>
        <w:rPr>
          <w:rStyle w:val="CharDivNo"/>
        </w:rPr>
        <w:t>Division 3</w:t>
      </w:r>
      <w:r>
        <w:t> — </w:t>
      </w:r>
      <w:r>
        <w:rPr>
          <w:rStyle w:val="CharDivText"/>
        </w:rPr>
        <w:t>Fees</w:t>
      </w:r>
      <w:bookmarkEnd w:id="94"/>
      <w:bookmarkEnd w:id="95"/>
      <w:bookmarkEnd w:id="96"/>
      <w:bookmarkEnd w:id="97"/>
      <w:bookmarkEnd w:id="98"/>
      <w:bookmarkEnd w:id="99"/>
    </w:p>
    <w:p>
      <w:pPr>
        <w:pStyle w:val="Footnoteheading"/>
      </w:pPr>
      <w:r>
        <w:tab/>
        <w:t>[Heading inserted: Gazette 28 Feb 2007 p. 651.]</w:t>
      </w:r>
    </w:p>
    <w:p>
      <w:pPr>
        <w:pStyle w:val="Heading5"/>
        <w:rPr>
          <w:snapToGrid w:val="0"/>
        </w:rPr>
      </w:pPr>
      <w:bookmarkStart w:id="100" w:name="_Toc496109576"/>
      <w:r>
        <w:rPr>
          <w:rStyle w:val="CharSectno"/>
        </w:rPr>
        <w:t>25</w:t>
      </w:r>
      <w:r>
        <w:rPr>
          <w:snapToGrid w:val="0"/>
        </w:rPr>
        <w:t>.</w:t>
      </w:r>
      <w:r>
        <w:rPr>
          <w:snapToGrid w:val="0"/>
        </w:rPr>
        <w:tab/>
        <w:t>Fees to be paid on application for issue of licence</w:t>
      </w:r>
      <w:bookmarkEnd w:id="100"/>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$71.00</w:t>
      </w:r>
      <w:r>
        <w:rPr>
          <w:snapToGrid w:val="0"/>
        </w:rPr>
        <w:t xml:space="preserve"> for a retailer’s licence; and</w:t>
      </w:r>
    </w:p>
    <w:p>
      <w:pPr>
        <w:pStyle w:val="Indenta"/>
        <w:rPr>
          <w:snapToGrid w:val="0"/>
        </w:rPr>
      </w:pPr>
      <w:r>
        <w:tab/>
        <w:t>(b)</w:t>
      </w:r>
      <w:r>
        <w:tab/>
        <w:t>$71.00</w:t>
      </w:r>
      <w:r>
        <w:rPr>
          <w:snapToGrid w:val="0"/>
        </w:rPr>
        <w:t xml:space="preserve"> </w:t>
      </w:r>
      <w:r>
        <w:t xml:space="preserve">for </w:t>
      </w:r>
      <w:r>
        <w:rPr>
          <w:snapToGrid w:val="0"/>
        </w:rPr>
        <w:t>an indirect seller’s licence; and</w:t>
      </w:r>
    </w:p>
    <w:p>
      <w:pPr>
        <w:pStyle w:val="Indenta"/>
      </w:pPr>
      <w:r>
        <w:tab/>
        <w:t>(c)</w:t>
      </w:r>
      <w:r>
        <w:tab/>
        <w:t xml:space="preserve">$177.00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$212.00 </w:t>
      </w:r>
      <w:r>
        <w:rPr>
          <w:snapToGrid w:val="0"/>
        </w:rPr>
        <w:t>for a retailer’s licence; and</w:t>
      </w:r>
    </w:p>
    <w:p>
      <w:pPr>
        <w:pStyle w:val="Indenta"/>
        <w:rPr>
          <w:snapToGrid w:val="0"/>
        </w:rPr>
      </w:pPr>
      <w:r>
        <w:tab/>
        <w:t>(b)</w:t>
      </w:r>
      <w:r>
        <w:tab/>
        <w:t xml:space="preserve">$212.00 for </w:t>
      </w:r>
      <w:r>
        <w:rPr>
          <w:snapToGrid w:val="0"/>
        </w:rPr>
        <w:t>an indirect seller’s licence; and</w:t>
      </w:r>
    </w:p>
    <w:p>
      <w:pPr>
        <w:pStyle w:val="Indenta"/>
      </w:pPr>
      <w:r>
        <w:tab/>
        <w:t>(c)</w:t>
      </w:r>
      <w:r>
        <w:tab/>
        <w:t xml:space="preserve">$530.00 for </w:t>
      </w:r>
      <w:r>
        <w:rPr>
          <w:snapToGrid w:val="0"/>
        </w:rPr>
        <w:t>a wholesaler’s licence.</w:t>
      </w:r>
      <w:r>
        <w:t xml:space="preserve"> </w:t>
      </w:r>
    </w:p>
    <w:p>
      <w:pPr>
        <w:pStyle w:val="Footnotesection"/>
      </w:pPr>
      <w:r>
        <w:tab/>
        <w:t>[Regulation 25 inserted: Gazette 28 Feb 2007 p. 651; amended: Gazette 20 Aug 2010 p. 4069</w:t>
      </w:r>
      <w:r>
        <w:noBreakHyphen/>
        <w:t>70; 12 Dec 2014 p. 4715</w:t>
      </w:r>
      <w:r>
        <w:noBreakHyphen/>
        <w:t>16; 19 May 2015 p. 1758; 17 Jun 2016 p. 2105; 30 Jun 2017 p. 3573.]</w:t>
      </w:r>
    </w:p>
    <w:p>
      <w:pPr>
        <w:pStyle w:val="Heading5"/>
        <w:rPr>
          <w:snapToGrid w:val="0"/>
        </w:rPr>
      </w:pPr>
      <w:bookmarkStart w:id="101" w:name="_Toc496109577"/>
      <w:r>
        <w:rPr>
          <w:rStyle w:val="CharSectno"/>
        </w:rPr>
        <w:t>26</w:t>
      </w:r>
      <w:r>
        <w:rPr>
          <w:snapToGrid w:val="0"/>
        </w:rPr>
        <w:t>.</w:t>
      </w:r>
      <w:r>
        <w:rPr>
          <w:snapToGrid w:val="0"/>
        </w:rPr>
        <w:tab/>
        <w:t>Fees to be paid on application for renewal of licence</w:t>
      </w:r>
      <w:bookmarkEnd w:id="101"/>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$241.00</w:t>
      </w:r>
      <w:r>
        <w:rPr>
          <w:snapToGrid w:val="0"/>
        </w:rPr>
        <w:t xml:space="preserve"> for a retailer’s licence; and</w:t>
      </w:r>
    </w:p>
    <w:p>
      <w:pPr>
        <w:pStyle w:val="Indenta"/>
        <w:rPr>
          <w:snapToGrid w:val="0"/>
        </w:rPr>
      </w:pPr>
      <w:r>
        <w:tab/>
        <w:t>(b)</w:t>
      </w:r>
      <w:r>
        <w:tab/>
        <w:t>$241.00</w:t>
      </w:r>
      <w:r>
        <w:rPr>
          <w:snapToGrid w:val="0"/>
        </w:rPr>
        <w:t xml:space="preserve"> </w:t>
      </w:r>
      <w:r>
        <w:t xml:space="preserve">for </w:t>
      </w:r>
      <w:r>
        <w:rPr>
          <w:snapToGrid w:val="0"/>
        </w:rPr>
        <w:t>an indirect seller’s licence; and</w:t>
      </w:r>
    </w:p>
    <w:p>
      <w:pPr>
        <w:pStyle w:val="Indenta"/>
      </w:pPr>
      <w:r>
        <w:tab/>
        <w:t>(c)</w:t>
      </w:r>
      <w:r>
        <w:tab/>
        <w:t xml:space="preserve">$600.00 for </w:t>
      </w:r>
      <w:r>
        <w:rPr>
          <w:snapToGrid w:val="0"/>
        </w:rPr>
        <w:t>a wholesaler’s licence.</w:t>
      </w:r>
      <w:r>
        <w:t xml:space="preserve"> </w:t>
      </w:r>
    </w:p>
    <w:p>
      <w:pPr>
        <w:pStyle w:val="Footnotesection"/>
      </w:pPr>
      <w:r>
        <w:tab/>
        <w:t>[Regulation 26 inserted: Gazette 28 Feb 2007 p. 652; amended: Gazette 20 Aug 2010 p. 4069</w:t>
      </w:r>
      <w:r>
        <w:noBreakHyphen/>
        <w:t>70; 12 Dec 2014 p. 4716; 19 May 2015 p. 1758; 17 Jun 2016 p. 2105; 30 Jun 2017 p. 3573</w:t>
      </w:r>
      <w:r>
        <w:noBreakHyphen/>
        <w:t>4.]</w:t>
      </w:r>
    </w:p>
    <w:p>
      <w:pPr>
        <w:pStyle w:val="Heading5"/>
        <w:rPr>
          <w:snapToGrid w:val="0"/>
        </w:rPr>
      </w:pPr>
      <w:bookmarkStart w:id="102" w:name="_Toc496109578"/>
      <w:r>
        <w:rPr>
          <w:rStyle w:val="CharSectno"/>
        </w:rPr>
        <w:t>27</w:t>
      </w:r>
      <w:r>
        <w:rPr>
          <w:snapToGrid w:val="0"/>
        </w:rPr>
        <w:t>.</w:t>
      </w:r>
      <w:r>
        <w:rPr>
          <w:snapToGrid w:val="0"/>
        </w:rPr>
        <w:tab/>
        <w:t>Fee to be paid on application for amendment of licence</w:t>
      </w:r>
      <w:bookmarkEnd w:id="102"/>
    </w:p>
    <w:p>
      <w:pPr>
        <w:pStyle w:val="Subsection"/>
        <w:rPr>
          <w:snapToGrid w:val="0"/>
        </w:rPr>
      </w:pPr>
      <w:r>
        <w:rPr>
          <w:snapToGrid w:val="0"/>
        </w:rPr>
        <w:tab/>
      </w:r>
      <w:r>
        <w:rPr>
          <w:snapToGrid w:val="0"/>
        </w:rPr>
        <w:tab/>
        <w:t xml:space="preserve">The application fee to be paid for the purposes of section 44(2)(c)(ii) is </w:t>
      </w:r>
      <w:r>
        <w:t>$70.00</w:t>
      </w:r>
      <w:r>
        <w:rPr>
          <w:snapToGrid w:val="0"/>
        </w:rPr>
        <w:t>.</w:t>
      </w:r>
    </w:p>
    <w:p>
      <w:pPr>
        <w:pStyle w:val="Footnotesection"/>
      </w:pPr>
      <w:r>
        <w:tab/>
        <w:t>[Regulation 27 inserted: Gazette 28 Feb 2007 p. 652; amended: Gazette 20 Aug 2010 p. 4069</w:t>
      </w:r>
      <w:r>
        <w:noBreakHyphen/>
        <w:t>70; 12 Dec 2014 p. 4716; 19 May 2015 p. 1758; 17 Jun 2016 p. 2105; 30 Jun 2017 p. 3574.]</w:t>
      </w:r>
    </w:p>
    <w:p>
      <w:pPr>
        <w:pStyle w:val="Heading5"/>
        <w:rPr>
          <w:snapToGrid w:val="0"/>
        </w:rPr>
      </w:pPr>
      <w:bookmarkStart w:id="103" w:name="_Toc496109579"/>
      <w:r>
        <w:rPr>
          <w:rStyle w:val="CharSectno"/>
        </w:rPr>
        <w:t>28</w:t>
      </w:r>
      <w:r>
        <w:rPr>
          <w:snapToGrid w:val="0"/>
        </w:rPr>
        <w:t>.</w:t>
      </w:r>
      <w:r>
        <w:rPr>
          <w:snapToGrid w:val="0"/>
        </w:rPr>
        <w:tab/>
        <w:t>Fee to be paid for extract of registered particulars</w:t>
      </w:r>
      <w:bookmarkEnd w:id="103"/>
    </w:p>
    <w:p>
      <w:pPr>
        <w:pStyle w:val="Subsection"/>
        <w:keepNext/>
        <w:rPr>
          <w:snapToGrid w:val="0"/>
        </w:rPr>
      </w:pPr>
      <w:r>
        <w:rPr>
          <w:snapToGrid w:val="0"/>
        </w:rPr>
        <w:tab/>
      </w:r>
      <w:r>
        <w:rPr>
          <w:snapToGrid w:val="0"/>
        </w:rPr>
        <w:tab/>
        <w:t xml:space="preserve">The fee to be paid for the purposes of section 45(3) is </w:t>
      </w:r>
      <w:r>
        <w:t>$35.00</w:t>
      </w:r>
      <w:r>
        <w:rPr>
          <w:snapToGrid w:val="0"/>
        </w:rPr>
        <w:t>.</w:t>
      </w:r>
    </w:p>
    <w:p>
      <w:pPr>
        <w:pStyle w:val="Footnotesection"/>
      </w:pPr>
      <w:r>
        <w:tab/>
        <w:t>[Regulation 28 inserted: Gazette 28 Feb 2007 p. 652; amended: Gazette 20 Aug 2010 p. 4069</w:t>
      </w:r>
      <w:r>
        <w:noBreakHyphen/>
        <w:t>70; 12 Dec 2014 p. 4716; 19 May 2015 p. 1758; 17 Jun 2016 p. 2105; 30 Jun 2017 p. 3574.]</w:t>
      </w:r>
    </w:p>
    <w:p>
      <w:pPr>
        <w:pStyle w:val="Heading5"/>
        <w:rPr>
          <w:snapToGrid w:val="0"/>
        </w:rPr>
      </w:pPr>
      <w:bookmarkStart w:id="104" w:name="_Toc496109580"/>
      <w:r>
        <w:rPr>
          <w:rStyle w:val="CharSectno"/>
        </w:rPr>
        <w:t>29</w:t>
      </w:r>
      <w:r>
        <w:rPr>
          <w:snapToGrid w:val="0"/>
        </w:rPr>
        <w:t>.</w:t>
      </w:r>
      <w:r>
        <w:rPr>
          <w:snapToGrid w:val="0"/>
        </w:rPr>
        <w:tab/>
        <w:t>Fee to be paid for duplicate licence</w:t>
      </w:r>
      <w:bookmarkEnd w:id="104"/>
    </w:p>
    <w:p>
      <w:pPr>
        <w:pStyle w:val="Subsection"/>
        <w:rPr>
          <w:snapToGrid w:val="0"/>
        </w:rPr>
      </w:pPr>
      <w:r>
        <w:rPr>
          <w:snapToGrid w:val="0"/>
        </w:rPr>
        <w:tab/>
      </w:r>
      <w:r>
        <w:rPr>
          <w:snapToGrid w:val="0"/>
        </w:rPr>
        <w:tab/>
        <w:t xml:space="preserve">The fee to be paid for the purposes of section 54(2) is </w:t>
      </w:r>
      <w:r>
        <w:t>$35.00</w:t>
      </w:r>
      <w:r>
        <w:rPr>
          <w:snapToGrid w:val="0"/>
        </w:rPr>
        <w:t>.</w:t>
      </w:r>
    </w:p>
    <w:p>
      <w:pPr>
        <w:pStyle w:val="Footnotesection"/>
      </w:pPr>
      <w:r>
        <w:tab/>
        <w:t>[Regulation 29 inserted: Gazette 28 Feb 2007 p. 652; amended: Gazette 20 Aug 2010 p. 4069</w:t>
      </w:r>
      <w:r>
        <w:noBreakHyphen/>
        <w:t>70; 12 Dec 2014 p. 4716; 19 May 2015 p. 1758; 17 Jun 2016 p. 2105; 30 Jun 2017 p. 3574.]</w:t>
      </w:r>
    </w:p>
    <w:p>
      <w:pPr>
        <w:pStyle w:val="Heading2"/>
      </w:pPr>
      <w:bookmarkStart w:id="105" w:name="_Toc487196067"/>
      <w:bookmarkStart w:id="106" w:name="_Toc492304604"/>
      <w:bookmarkStart w:id="107" w:name="_Toc492304817"/>
      <w:bookmarkStart w:id="108" w:name="_Toc492305113"/>
      <w:bookmarkStart w:id="109" w:name="_Toc494463794"/>
      <w:bookmarkStart w:id="110" w:name="_Toc496109581"/>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05"/>
      <w:bookmarkEnd w:id="106"/>
      <w:bookmarkEnd w:id="107"/>
      <w:bookmarkEnd w:id="108"/>
      <w:bookmarkEnd w:id="109"/>
      <w:bookmarkEnd w:id="110"/>
    </w:p>
    <w:p>
      <w:pPr>
        <w:pStyle w:val="Footnoteheading"/>
      </w:pPr>
      <w:r>
        <w:tab/>
        <w:t>[Heading inserted: Gazette 28 Feb 2007 p. 653.]</w:t>
      </w:r>
    </w:p>
    <w:p>
      <w:pPr>
        <w:pStyle w:val="Heading3"/>
      </w:pPr>
      <w:bookmarkStart w:id="111" w:name="_Toc487196068"/>
      <w:bookmarkStart w:id="112" w:name="_Toc492304605"/>
      <w:bookmarkStart w:id="113" w:name="_Toc492304818"/>
      <w:bookmarkStart w:id="114" w:name="_Toc492305114"/>
      <w:bookmarkStart w:id="115" w:name="_Toc494463795"/>
      <w:bookmarkStart w:id="116" w:name="_Toc496109582"/>
      <w:r>
        <w:rPr>
          <w:rStyle w:val="CharDivNo"/>
        </w:rPr>
        <w:t>Division 1</w:t>
      </w:r>
      <w:r>
        <w:t> — </w:t>
      </w:r>
      <w:r>
        <w:rPr>
          <w:rStyle w:val="CharDivText"/>
        </w:rPr>
        <w:t>Terms used in this Part</w:t>
      </w:r>
      <w:bookmarkEnd w:id="111"/>
      <w:bookmarkEnd w:id="112"/>
      <w:bookmarkEnd w:id="113"/>
      <w:bookmarkEnd w:id="114"/>
      <w:bookmarkEnd w:id="115"/>
      <w:bookmarkEnd w:id="116"/>
    </w:p>
    <w:p>
      <w:pPr>
        <w:pStyle w:val="Footnoteheading"/>
      </w:pPr>
      <w:r>
        <w:tab/>
        <w:t>[Heading inserted: Gazette 28 Feb 2007 p. 653.]</w:t>
      </w:r>
    </w:p>
    <w:p>
      <w:pPr>
        <w:pStyle w:val="Heading5"/>
      </w:pPr>
      <w:bookmarkStart w:id="117" w:name="_Toc496109583"/>
      <w:r>
        <w:rPr>
          <w:rStyle w:val="CharSectno"/>
        </w:rPr>
        <w:t>30</w:t>
      </w:r>
      <w:r>
        <w:t>.</w:t>
      </w:r>
      <w:r>
        <w:tab/>
        <w:t>Terms used</w:t>
      </w:r>
      <w:bookmarkEnd w:id="117"/>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Gazette 28 Feb 2007 p. 653-4; amended: Gazette 10 Sep 2010 p. 4382-3.]</w:t>
      </w:r>
    </w:p>
    <w:p>
      <w:pPr>
        <w:pStyle w:val="Heading3"/>
      </w:pPr>
      <w:bookmarkStart w:id="118" w:name="_Toc487196070"/>
      <w:bookmarkStart w:id="119" w:name="_Toc492304607"/>
      <w:bookmarkStart w:id="120" w:name="_Toc492304820"/>
      <w:bookmarkStart w:id="121" w:name="_Toc492305116"/>
      <w:bookmarkStart w:id="122" w:name="_Toc494463797"/>
      <w:bookmarkStart w:id="123" w:name="_Toc496109584"/>
      <w:r>
        <w:rPr>
          <w:rStyle w:val="CharDivNo"/>
        </w:rPr>
        <w:t>Division 2</w:t>
      </w:r>
      <w:r>
        <w:t> — </w:t>
      </w:r>
      <w:r>
        <w:rPr>
          <w:rStyle w:val="CharDivText"/>
        </w:rPr>
        <w:t>Proof of age</w:t>
      </w:r>
      <w:bookmarkEnd w:id="118"/>
      <w:bookmarkEnd w:id="119"/>
      <w:bookmarkEnd w:id="120"/>
      <w:bookmarkEnd w:id="121"/>
      <w:bookmarkEnd w:id="122"/>
      <w:bookmarkEnd w:id="123"/>
    </w:p>
    <w:p>
      <w:pPr>
        <w:pStyle w:val="Footnoteheading"/>
      </w:pPr>
      <w:r>
        <w:tab/>
        <w:t>[Heading inserted: Gazette 28 Feb 2007 p. 654.]</w:t>
      </w:r>
    </w:p>
    <w:p>
      <w:pPr>
        <w:pStyle w:val="Heading5"/>
      </w:pPr>
      <w:bookmarkStart w:id="124" w:name="_Toc496109585"/>
      <w:r>
        <w:rPr>
          <w:rStyle w:val="CharSectno"/>
        </w:rPr>
        <w:t>31</w:t>
      </w:r>
      <w:r>
        <w:t>.</w:t>
      </w:r>
      <w:r>
        <w:tab/>
        <w:t>Proof of age</w:t>
      </w:r>
      <w:bookmarkEnd w:id="124"/>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Gazette 27 Jun 2014 p. 2331.]</w:t>
      </w:r>
    </w:p>
    <w:p>
      <w:pPr>
        <w:pStyle w:val="Heading3"/>
      </w:pPr>
      <w:bookmarkStart w:id="125" w:name="_Toc487196072"/>
      <w:bookmarkStart w:id="126" w:name="_Toc492304609"/>
      <w:bookmarkStart w:id="127" w:name="_Toc492304822"/>
      <w:bookmarkStart w:id="128" w:name="_Toc492305118"/>
      <w:bookmarkStart w:id="129" w:name="_Toc494463799"/>
      <w:bookmarkStart w:id="130" w:name="_Toc496109586"/>
      <w:r>
        <w:rPr>
          <w:rStyle w:val="CharDivNo"/>
        </w:rPr>
        <w:t>Division 3</w:t>
      </w:r>
      <w:r>
        <w:t> — </w:t>
      </w:r>
      <w:r>
        <w:rPr>
          <w:rStyle w:val="CharDivText"/>
        </w:rPr>
        <w:t>Labelling of tobacco products</w:t>
      </w:r>
      <w:bookmarkEnd w:id="125"/>
      <w:bookmarkEnd w:id="126"/>
      <w:bookmarkEnd w:id="127"/>
      <w:bookmarkEnd w:id="128"/>
      <w:bookmarkEnd w:id="129"/>
      <w:bookmarkEnd w:id="130"/>
    </w:p>
    <w:p>
      <w:pPr>
        <w:pStyle w:val="Footnoteheading"/>
        <w:keepNext/>
      </w:pPr>
      <w:r>
        <w:tab/>
        <w:t>[Heading inserted: Gazette 28 Feb 2007 p. 655.]</w:t>
      </w:r>
    </w:p>
    <w:p>
      <w:pPr>
        <w:pStyle w:val="Heading5"/>
      </w:pPr>
      <w:bookmarkStart w:id="131" w:name="_Toc496109587"/>
      <w:r>
        <w:rPr>
          <w:rStyle w:val="CharSectno"/>
        </w:rPr>
        <w:t>32</w:t>
      </w:r>
      <w:r>
        <w:t>.</w:t>
      </w:r>
      <w:r>
        <w:tab/>
        <w:t>Labelling of tobacco products</w:t>
      </w:r>
      <w:bookmarkEnd w:id="131"/>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rPr>
          <w:iCs/>
        </w:rPr>
        <w:t> </w:t>
      </w:r>
      <w:r>
        <w:rPr>
          <w:iCs/>
          <w:vertAlign w:val="superscript"/>
        </w:rPr>
        <w:t>2</w:t>
      </w:r>
      <w:r>
        <w:t xml:space="preserve"> that are in force from time to time and that apply to the package.</w:t>
      </w:r>
    </w:p>
    <w:p>
      <w:pPr>
        <w:pStyle w:val="Footnotesection"/>
        <w:ind w:left="890" w:hanging="890"/>
      </w:pPr>
      <w:r>
        <w:tab/>
        <w:t>[Regulation 32 inserted: Gazette 28 Feb 2007 p. 655.]</w:t>
      </w:r>
    </w:p>
    <w:p>
      <w:pPr>
        <w:pStyle w:val="Heading3"/>
      </w:pPr>
      <w:bookmarkStart w:id="132" w:name="_Toc487196074"/>
      <w:bookmarkStart w:id="133" w:name="_Toc492304611"/>
      <w:bookmarkStart w:id="134" w:name="_Toc492304824"/>
      <w:bookmarkStart w:id="135" w:name="_Toc492305120"/>
      <w:bookmarkStart w:id="136" w:name="_Toc494463801"/>
      <w:bookmarkStart w:id="137" w:name="_Toc496109588"/>
      <w:r>
        <w:rPr>
          <w:rStyle w:val="CharDivNo"/>
        </w:rPr>
        <w:t>Division 4</w:t>
      </w:r>
      <w:r>
        <w:t> — </w:t>
      </w:r>
      <w:r>
        <w:rPr>
          <w:rStyle w:val="CharDivText"/>
        </w:rPr>
        <w:t>Location and display of tobacco products and smoking implements</w:t>
      </w:r>
      <w:bookmarkEnd w:id="132"/>
      <w:bookmarkEnd w:id="133"/>
      <w:bookmarkEnd w:id="134"/>
      <w:bookmarkEnd w:id="135"/>
      <w:bookmarkEnd w:id="136"/>
      <w:bookmarkEnd w:id="137"/>
    </w:p>
    <w:p>
      <w:pPr>
        <w:pStyle w:val="Footnoteheading"/>
      </w:pPr>
      <w:r>
        <w:tab/>
        <w:t>[Heading inserted: Gazette 10 Sep 2010 p. 4383.]</w:t>
      </w:r>
    </w:p>
    <w:p>
      <w:pPr>
        <w:pStyle w:val="Heading5"/>
      </w:pPr>
      <w:bookmarkStart w:id="138" w:name="_Toc496109589"/>
      <w:r>
        <w:rPr>
          <w:rStyle w:val="CharSectno"/>
        </w:rPr>
        <w:t>33</w:t>
      </w:r>
      <w:r>
        <w:t>.</w:t>
      </w:r>
      <w:r>
        <w:tab/>
        <w:t>Packages that cannot be displayed by specialist retailer</w:t>
      </w:r>
      <w:bookmarkEnd w:id="138"/>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Gazette 28 Feb 2007 p. 655-6; amended: Gazette 10 Sep 2010 p. 4384.]</w:t>
      </w:r>
    </w:p>
    <w:p>
      <w:pPr>
        <w:pStyle w:val="Heading5"/>
      </w:pPr>
      <w:bookmarkStart w:id="139" w:name="_Toc496109590"/>
      <w:r>
        <w:rPr>
          <w:rStyle w:val="CharSectno"/>
        </w:rPr>
        <w:t>34</w:t>
      </w:r>
      <w:r>
        <w:t>.</w:t>
      </w:r>
      <w:r>
        <w:tab/>
        <w:t>Location of tobacco products or smoking implements on retail premises</w:t>
      </w:r>
      <w:bookmarkEnd w:id="139"/>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spacing w:before="120"/>
      </w:pPr>
      <w:r>
        <w:tab/>
        <w:t>(b)</w:t>
      </w:r>
      <w:r>
        <w:tab/>
        <w:t>cigars kept at the sales place on the premises are kept in one or 2 cigar cabinets located in accordance with paragraph (a).</w:t>
      </w:r>
    </w:p>
    <w:p>
      <w:pPr>
        <w:pStyle w:val="Penstart"/>
        <w:spacing w:before="120"/>
      </w:pPr>
      <w:r>
        <w:tab/>
        <w:t>Penalty: a fine of $2 000.</w:t>
      </w:r>
    </w:p>
    <w:p>
      <w:pPr>
        <w:pStyle w:val="Subsection"/>
        <w:spacing w:before="200"/>
      </w:pPr>
      <w:r>
        <w:tab/>
        <w:t>(4)</w:t>
      </w:r>
      <w:r>
        <w:tab/>
        <w:t xml:space="preserve">A retailer operating from liquor licensed premises, must ensure that — </w:t>
      </w:r>
    </w:p>
    <w:p>
      <w:pPr>
        <w:pStyle w:val="Indenta"/>
        <w:spacing w:before="120"/>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120"/>
      </w:pPr>
      <w:r>
        <w:tab/>
      </w:r>
      <w:r>
        <w:tab/>
        <w:t>and</w:t>
      </w:r>
    </w:p>
    <w:p>
      <w:pPr>
        <w:pStyle w:val="Indenta"/>
        <w:spacing w:before="120"/>
      </w:pPr>
      <w:r>
        <w:tab/>
        <w:t>(b)</w:t>
      </w:r>
      <w:r>
        <w:tab/>
        <w:t>cigars kept at the sales place on the premises are located in accordance with paragraph (a) or in one or 2 cigar cabinets on either side of a counter across which customers are served.</w:t>
      </w:r>
    </w:p>
    <w:p>
      <w:pPr>
        <w:pStyle w:val="Penstart"/>
        <w:spacing w:before="120"/>
      </w:pPr>
      <w:r>
        <w:tab/>
        <w:t>Penalty: a fine of $2 000.</w:t>
      </w:r>
    </w:p>
    <w:p>
      <w:pPr>
        <w:pStyle w:val="Subsection"/>
        <w:spacing w:before="200"/>
      </w:pPr>
      <w:r>
        <w:tab/>
        <w:t>(5)</w:t>
      </w:r>
      <w:r>
        <w:tab/>
        <w:t>A retailer must ensure that tobacco products and smoking implements kept on the retail premises —</w:t>
      </w:r>
    </w:p>
    <w:p>
      <w:pPr>
        <w:pStyle w:val="Indenta"/>
        <w:spacing w:before="120"/>
      </w:pPr>
      <w:r>
        <w:tab/>
        <w:t>(a)</w:t>
      </w:r>
      <w:r>
        <w:tab/>
        <w:t>are not located within 1 m of confectionery or products that are designed specifically for, or marketed specifically to, children; or</w:t>
      </w:r>
    </w:p>
    <w:p>
      <w:pPr>
        <w:pStyle w:val="Indenta"/>
        <w:keepNext/>
        <w:spacing w:before="12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120"/>
      </w:pPr>
      <w:r>
        <w:tab/>
        <w:t>Penalty: a fine of $2 000.</w:t>
      </w:r>
    </w:p>
    <w:p>
      <w:pPr>
        <w:pStyle w:val="Footnotesection"/>
        <w:keepLines w:val="0"/>
        <w:spacing w:before="100"/>
        <w:ind w:left="890" w:hanging="890"/>
      </w:pPr>
      <w:r>
        <w:tab/>
        <w:t>[Regulation 34 inserted: Gazette 10 Sep 2010 p. 4384-6.]</w:t>
      </w:r>
    </w:p>
    <w:p>
      <w:pPr>
        <w:pStyle w:val="Heading5"/>
      </w:pPr>
      <w:bookmarkStart w:id="140" w:name="_Toc496109591"/>
      <w:r>
        <w:rPr>
          <w:rStyle w:val="CharSectno"/>
        </w:rPr>
        <w:t>35</w:t>
      </w:r>
      <w:r>
        <w:t>.</w:t>
      </w:r>
      <w:r>
        <w:tab/>
        <w:t>Surface area of displays in cigar cabinets</w:t>
      </w:r>
      <w:bookmarkEnd w:id="140"/>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Gazette 28 Feb 2007 p. 657; amended: Gazette 10 Sep 2010 p. 4386.]</w:t>
      </w:r>
    </w:p>
    <w:p>
      <w:pPr>
        <w:pStyle w:val="Heading5"/>
      </w:pPr>
      <w:bookmarkStart w:id="141" w:name="_Toc496109592"/>
      <w:r>
        <w:rPr>
          <w:rStyle w:val="CharSectno"/>
        </w:rPr>
        <w:t>36</w:t>
      </w:r>
      <w:r>
        <w:t>.</w:t>
      </w:r>
      <w:r>
        <w:tab/>
        <w:t>Type of tobacco products on retail premises and manner of storage</w:t>
      </w:r>
      <w:bookmarkEnd w:id="141"/>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keepNext/>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Gazette 10 Sep 2010 p. 4387-8.]</w:t>
      </w:r>
    </w:p>
    <w:p>
      <w:pPr>
        <w:pStyle w:val="Heading5"/>
      </w:pPr>
      <w:bookmarkStart w:id="142" w:name="_Toc496109593"/>
      <w:r>
        <w:rPr>
          <w:rStyle w:val="CharSectno"/>
        </w:rPr>
        <w:t>37</w:t>
      </w:r>
      <w:r>
        <w:t>.</w:t>
      </w:r>
      <w:r>
        <w:tab/>
        <w:t>Display of tobacco products, smoking implements or product lines by specialist retailer</w:t>
      </w:r>
      <w:bookmarkEnd w:id="142"/>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Gazette 10 Sep 2010 p. 4388.]</w:t>
      </w:r>
    </w:p>
    <w:p>
      <w:pPr>
        <w:pStyle w:val="Ednotesection"/>
      </w:pPr>
      <w:r>
        <w:t>[</w:t>
      </w:r>
      <w:r>
        <w:rPr>
          <w:b/>
          <w:bCs/>
        </w:rPr>
        <w:t>38.</w:t>
      </w:r>
      <w:r>
        <w:tab/>
        <w:t>Deleted: Gazette 10 Sep 2010 p. 4387.]</w:t>
      </w:r>
    </w:p>
    <w:p>
      <w:pPr>
        <w:pStyle w:val="Heading3"/>
        <w:keepNext w:val="0"/>
        <w:pageBreakBefore/>
        <w:spacing w:before="0"/>
      </w:pPr>
      <w:bookmarkStart w:id="143" w:name="_Toc487196080"/>
      <w:bookmarkStart w:id="144" w:name="_Toc492304617"/>
      <w:bookmarkStart w:id="145" w:name="_Toc492304830"/>
      <w:bookmarkStart w:id="146" w:name="_Toc492305126"/>
      <w:bookmarkStart w:id="147" w:name="_Toc494463807"/>
      <w:bookmarkStart w:id="148" w:name="_Toc496109594"/>
      <w:r>
        <w:rPr>
          <w:rStyle w:val="CharDivNo"/>
        </w:rPr>
        <w:t>Division 5</w:t>
      </w:r>
      <w:r>
        <w:t> — </w:t>
      </w:r>
      <w:r>
        <w:rPr>
          <w:rStyle w:val="CharDivText"/>
        </w:rPr>
        <w:t>Information about availability, price of tobacco products or smoking implements</w:t>
      </w:r>
      <w:bookmarkEnd w:id="143"/>
      <w:bookmarkEnd w:id="144"/>
      <w:bookmarkEnd w:id="145"/>
      <w:bookmarkEnd w:id="146"/>
      <w:bookmarkEnd w:id="147"/>
      <w:bookmarkEnd w:id="148"/>
    </w:p>
    <w:p>
      <w:pPr>
        <w:pStyle w:val="Footnoteheading"/>
      </w:pPr>
      <w:r>
        <w:tab/>
        <w:t>[Heading inserted: Gazette 28 Feb 2007 p. 659; amended: Gazette 10 Sep 2010 p. 4388.]</w:t>
      </w:r>
    </w:p>
    <w:p>
      <w:pPr>
        <w:pStyle w:val="Heading5"/>
      </w:pPr>
      <w:bookmarkStart w:id="149" w:name="_Toc496109595"/>
      <w:r>
        <w:rPr>
          <w:rStyle w:val="CharSectno"/>
        </w:rPr>
        <w:t>39</w:t>
      </w:r>
      <w:r>
        <w:t>.</w:t>
      </w:r>
      <w:r>
        <w:tab/>
        <w:t>Information signs about availability or prices of tobacco products or smoking implements sold by retailers — location</w:t>
      </w:r>
      <w:bookmarkEnd w:id="149"/>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Gazette 28 Feb 2007 p. 659; amended: Gazette 10 Sep 2010 p. 4389.]</w:t>
      </w:r>
    </w:p>
    <w:p>
      <w:pPr>
        <w:pStyle w:val="Heading5"/>
      </w:pPr>
      <w:bookmarkStart w:id="150" w:name="_Toc496109596"/>
      <w:r>
        <w:rPr>
          <w:rStyle w:val="CharSectno"/>
        </w:rPr>
        <w:t>40</w:t>
      </w:r>
      <w:r>
        <w:t>.</w:t>
      </w:r>
      <w:r>
        <w:tab/>
        <w:t>Information signs about availability or prices of tobacco products or smoking implements sold by retailers — contents</w:t>
      </w:r>
      <w:bookmarkEnd w:id="150"/>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Gazette 28 Feb 2007 p. 659-60; amended: Gazette 10 Sep 2010 p. 4389-90.]</w:t>
      </w:r>
    </w:p>
    <w:p>
      <w:pPr>
        <w:pStyle w:val="Heading5"/>
        <w:keepNext w:val="0"/>
        <w:keepLines w:val="0"/>
        <w:pageBreakBefore/>
        <w:spacing w:before="0"/>
      </w:pPr>
      <w:bookmarkStart w:id="151" w:name="_Toc496109597"/>
      <w:r>
        <w:rPr>
          <w:rStyle w:val="CharSectno"/>
        </w:rPr>
        <w:t>41</w:t>
      </w:r>
      <w:r>
        <w:t>.</w:t>
      </w:r>
      <w:r>
        <w:tab/>
        <w:t>Information signs about availability or prices of tobacco products or smoking implements sold by retailers — specifications</w:t>
      </w:r>
      <w:bookmarkEnd w:id="151"/>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Gazette 28 Feb 2007 p. 660-1; amended: Gazette 10 Sep 2010 p. 4390-1.]</w:t>
      </w:r>
    </w:p>
    <w:p>
      <w:pPr>
        <w:pStyle w:val="Heading5"/>
        <w:spacing w:before="240"/>
      </w:pPr>
      <w:bookmarkStart w:id="152" w:name="_Toc496109598"/>
      <w:r>
        <w:rPr>
          <w:rStyle w:val="CharSectno"/>
        </w:rPr>
        <w:t>42</w:t>
      </w:r>
      <w:r>
        <w:t>.</w:t>
      </w:r>
      <w:r>
        <w:tab/>
        <w:t>Information signs about availability or prices of tobacco products sold by retailers — cigar cabinets</w:t>
      </w:r>
      <w:bookmarkEnd w:id="152"/>
    </w:p>
    <w:p>
      <w:pPr>
        <w:pStyle w:val="Subsection"/>
        <w:spacing w:before="200"/>
      </w:pPr>
      <w:r>
        <w:tab/>
      </w:r>
      <w:r>
        <w:tab/>
        <w:t xml:space="preserve">For the purposes of section 24(1), in addition to signage complying with regulation 41(a) and (b), there may be a sign giving information about the availability or price of cigars in a cigar cabinet if — </w:t>
      </w:r>
    </w:p>
    <w:p>
      <w:pPr>
        <w:pStyle w:val="Indenta"/>
        <w:spacing w:before="120"/>
      </w:pPr>
      <w:r>
        <w:tab/>
        <w:t>(a)</w:t>
      </w:r>
      <w:r>
        <w:tab/>
        <w:t>the length of the sign’s perimeter does not exceed 1 m (not including the perimeter of the Quitline logo required by subregulation (c)); and</w:t>
      </w:r>
    </w:p>
    <w:p>
      <w:pPr>
        <w:pStyle w:val="Indenta"/>
        <w:spacing w:before="120"/>
      </w:pPr>
      <w:r>
        <w:tab/>
        <w:t>(b)</w:t>
      </w:r>
      <w:r>
        <w:tab/>
        <w:t>the sign is affixed, or located immediately adjacent, to the cigar cabinet; and</w:t>
      </w:r>
    </w:p>
    <w:p>
      <w:pPr>
        <w:pStyle w:val="Indenta"/>
        <w:spacing w:before="120"/>
      </w:pPr>
      <w:r>
        <w:tab/>
        <w:t>(c)</w:t>
      </w:r>
      <w:r>
        <w:tab/>
        <w:t>there is displayed at the top of the sign an approved Quitline logo that is at least 1 cm in height; and</w:t>
      </w:r>
    </w:p>
    <w:p>
      <w:pPr>
        <w:pStyle w:val="Indenta"/>
        <w:spacing w:before="120"/>
      </w:pPr>
      <w:r>
        <w:tab/>
        <w:t>(d)</w:t>
      </w:r>
      <w:r>
        <w:tab/>
        <w:t xml:space="preserve">the sign complies with regulations 40(2)(a) and (b) and 41(c), (d), (e) and (f). </w:t>
      </w:r>
    </w:p>
    <w:p>
      <w:pPr>
        <w:pStyle w:val="Footnotesection"/>
      </w:pPr>
      <w:r>
        <w:tab/>
        <w:t>[Regulation 42 inserted: Gazette 28 Feb 2007 p. 661.]</w:t>
      </w:r>
    </w:p>
    <w:p>
      <w:pPr>
        <w:pStyle w:val="Heading5"/>
        <w:spacing w:before="240"/>
      </w:pPr>
      <w:bookmarkStart w:id="153" w:name="_Toc496109599"/>
      <w:r>
        <w:rPr>
          <w:rStyle w:val="CharSectno"/>
        </w:rPr>
        <w:t>43</w:t>
      </w:r>
      <w:r>
        <w:t>.</w:t>
      </w:r>
      <w:r>
        <w:tab/>
        <w:t>Price tickets for tobacco products sold by retailers — location and numbers</w:t>
      </w:r>
      <w:bookmarkEnd w:id="153"/>
    </w:p>
    <w:p>
      <w:pPr>
        <w:pStyle w:val="Subsection"/>
        <w:spacing w:before="200"/>
      </w:pPr>
      <w:r>
        <w:tab/>
        <w:t>(1)</w:t>
      </w:r>
      <w:r>
        <w:tab/>
        <w:t>For the purposes of section 24(1) —</w:t>
      </w:r>
    </w:p>
    <w:p>
      <w:pPr>
        <w:pStyle w:val="Indenta"/>
        <w:spacing w:before="120"/>
      </w:pPr>
      <w:r>
        <w:tab/>
        <w:t>(a)</w:t>
      </w:r>
      <w:r>
        <w:tab/>
        <w:t>there must not be more than one price ticket for each product line in a display of tobacco products; and</w:t>
      </w:r>
    </w:p>
    <w:p>
      <w:pPr>
        <w:pStyle w:val="Indenta"/>
        <w:spacing w:before="120"/>
      </w:pPr>
      <w:r>
        <w:tab/>
        <w:t>(b)</w:t>
      </w:r>
      <w:r>
        <w:tab/>
        <w:t>the price ticket for a product line must be located immediately below the display of the product line; and</w:t>
      </w:r>
    </w:p>
    <w:p>
      <w:pPr>
        <w:pStyle w:val="Indenta"/>
        <w:spacing w:before="120"/>
      </w:pPr>
      <w:r>
        <w:tab/>
        <w:t>(c)</w:t>
      </w:r>
      <w:r>
        <w:tab/>
        <w:t xml:space="preserve">if a facility is used to store but not display tobacco products, there must not be more than one price ticket displayed on the facility for each product line. </w:t>
      </w:r>
    </w:p>
    <w:p>
      <w:pPr>
        <w:pStyle w:val="Subsection"/>
        <w:keepNext/>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Gazette 28 Feb 2007 p. 661-2; amended: Gazette 10 Sep 2010 p. 4391.]</w:t>
      </w:r>
    </w:p>
    <w:p>
      <w:pPr>
        <w:pStyle w:val="Heading5"/>
      </w:pPr>
      <w:bookmarkStart w:id="154" w:name="_Toc496109600"/>
      <w:r>
        <w:rPr>
          <w:rStyle w:val="CharSectno"/>
        </w:rPr>
        <w:t>44</w:t>
      </w:r>
      <w:r>
        <w:t>.</w:t>
      </w:r>
      <w:r>
        <w:tab/>
        <w:t>Price tickets for tobacco products sold by retailers — contents</w:t>
      </w:r>
      <w:bookmarkEnd w:id="154"/>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Gazette 28 Feb 2007 p. 662.]</w:t>
      </w:r>
    </w:p>
    <w:p>
      <w:pPr>
        <w:pStyle w:val="Heading5"/>
      </w:pPr>
      <w:bookmarkStart w:id="155" w:name="_Toc496109601"/>
      <w:r>
        <w:rPr>
          <w:rStyle w:val="CharSectno"/>
        </w:rPr>
        <w:t>45</w:t>
      </w:r>
      <w:r>
        <w:t>.</w:t>
      </w:r>
      <w:r>
        <w:tab/>
        <w:t>Price tickets for tobacco products sold by retailers — specifications</w:t>
      </w:r>
      <w:bookmarkEnd w:id="155"/>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spacing w:before="60"/>
      </w:pPr>
      <w:r>
        <w:tab/>
        <w:t>(c)</w:t>
      </w:r>
      <w:r>
        <w:tab/>
        <w:t>all price tickets for tobacco products at the premises must have the same colour lettering and the same colour background; and</w:t>
      </w:r>
    </w:p>
    <w:p>
      <w:pPr>
        <w:pStyle w:val="Indenta"/>
        <w:spacing w:before="60"/>
      </w:pPr>
      <w:r>
        <w:tab/>
        <w:t>(d)</w:t>
      </w:r>
      <w:r>
        <w:tab/>
        <w:t>a price ticket must not contain a fluorescent colour unless the price ticket is in electronic form on a vending machine; and</w:t>
      </w:r>
    </w:p>
    <w:p>
      <w:pPr>
        <w:pStyle w:val="Indenta"/>
        <w:spacing w:before="60"/>
      </w:pPr>
      <w:r>
        <w:tab/>
        <w:t>(e)</w:t>
      </w:r>
      <w:r>
        <w:tab/>
        <w:t>a price ticket must not contain lettering or numbers for the product line information exceeding 8 mm in height; and</w:t>
      </w:r>
    </w:p>
    <w:p>
      <w:pPr>
        <w:pStyle w:val="Indenta"/>
        <w:spacing w:before="60"/>
      </w:pPr>
      <w:r>
        <w:tab/>
        <w:t>(f)</w:t>
      </w:r>
      <w:r>
        <w:tab/>
        <w:t>a price ticket must not contain lettering or numbers for the product line information of a height exceeding that of the lettering or numbers for the price; and</w:t>
      </w:r>
    </w:p>
    <w:p>
      <w:pPr>
        <w:pStyle w:val="Indenta"/>
        <w:spacing w:before="60"/>
      </w:pPr>
      <w:r>
        <w:tab/>
        <w:t>(g)</w:t>
      </w:r>
      <w:r>
        <w:tab/>
        <w:t>the lettering and numbers for the product line information must be of the same height on all price tickets on vending machines at the premises; and</w:t>
      </w:r>
    </w:p>
    <w:p>
      <w:pPr>
        <w:pStyle w:val="Indenta"/>
        <w:spacing w:before="60"/>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spacing w:before="60"/>
      </w:pPr>
      <w:r>
        <w:tab/>
        <w:t>(i)</w:t>
      </w:r>
      <w:r>
        <w:tab/>
        <w:t>the lettering and numbers for the price must be of the same height on all price tickets on vending machines at the premises; and</w:t>
      </w:r>
    </w:p>
    <w:p>
      <w:pPr>
        <w:pStyle w:val="Indenta"/>
        <w:spacing w:before="60"/>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Gazette 28 Feb 2007 p. 662-4.]</w:t>
      </w:r>
    </w:p>
    <w:p>
      <w:pPr>
        <w:pStyle w:val="Heading5"/>
        <w:spacing w:before="180"/>
      </w:pPr>
      <w:bookmarkStart w:id="156" w:name="_Toc496109602"/>
      <w:r>
        <w:rPr>
          <w:rStyle w:val="CharSectno"/>
        </w:rPr>
        <w:t>46</w:t>
      </w:r>
      <w:r>
        <w:t>.</w:t>
      </w:r>
      <w:r>
        <w:tab/>
        <w:t>Price lists for tobacco products or smoking implements sold by retailers</w:t>
      </w:r>
      <w:bookmarkEnd w:id="156"/>
    </w:p>
    <w:p>
      <w:pPr>
        <w:pStyle w:val="Subsection"/>
        <w:spacing w:before="120"/>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Gazette 28 Feb 2007 p. 664; amended: Gazette 10 Sep 2010 p. 4392.]</w:t>
      </w:r>
    </w:p>
    <w:p>
      <w:pPr>
        <w:pStyle w:val="Heading5"/>
        <w:spacing w:before="180"/>
      </w:pPr>
      <w:bookmarkStart w:id="157" w:name="_Toc496109603"/>
      <w:r>
        <w:rPr>
          <w:rStyle w:val="CharSectno"/>
        </w:rPr>
        <w:t>47</w:t>
      </w:r>
      <w:r>
        <w:t>.</w:t>
      </w:r>
      <w:r>
        <w:tab/>
        <w:t>Facsimiles of tobacco products displayed on price list</w:t>
      </w:r>
      <w:bookmarkEnd w:id="157"/>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Gazette 10 Sep 2010 p. 4392.]</w:t>
      </w:r>
    </w:p>
    <w:p>
      <w:pPr>
        <w:pStyle w:val="Heading3"/>
        <w:pageBreakBefore/>
        <w:spacing w:before="160"/>
      </w:pPr>
      <w:bookmarkStart w:id="158" w:name="_Toc487196090"/>
      <w:bookmarkStart w:id="159" w:name="_Toc492304627"/>
      <w:bookmarkStart w:id="160" w:name="_Toc492304840"/>
      <w:bookmarkStart w:id="161" w:name="_Toc492305136"/>
      <w:bookmarkStart w:id="162" w:name="_Toc494463817"/>
      <w:bookmarkStart w:id="163" w:name="_Toc496109604"/>
      <w:r>
        <w:rPr>
          <w:rStyle w:val="CharDivNo"/>
        </w:rPr>
        <w:t>Division 6</w:t>
      </w:r>
      <w:r>
        <w:t> — </w:t>
      </w:r>
      <w:r>
        <w:rPr>
          <w:rStyle w:val="CharDivText"/>
        </w:rPr>
        <w:t>Warnings</w:t>
      </w:r>
      <w:bookmarkEnd w:id="158"/>
      <w:bookmarkEnd w:id="159"/>
      <w:bookmarkEnd w:id="160"/>
      <w:bookmarkEnd w:id="161"/>
      <w:bookmarkEnd w:id="162"/>
      <w:bookmarkEnd w:id="163"/>
    </w:p>
    <w:p>
      <w:pPr>
        <w:pStyle w:val="Footnoteheading"/>
        <w:keepNext/>
        <w:spacing w:before="100"/>
      </w:pPr>
      <w:r>
        <w:tab/>
        <w:t>[Heading inserted: Gazette 28 Feb 2007 p. 666.]</w:t>
      </w:r>
    </w:p>
    <w:p>
      <w:pPr>
        <w:pStyle w:val="Heading5"/>
        <w:spacing w:before="180"/>
      </w:pPr>
      <w:bookmarkStart w:id="164" w:name="_Toc496109605"/>
      <w:r>
        <w:rPr>
          <w:rStyle w:val="CharSectno"/>
        </w:rPr>
        <w:t>48</w:t>
      </w:r>
      <w:r>
        <w:t>.</w:t>
      </w:r>
      <w:r>
        <w:tab/>
        <w:t>Warning signs about purchase of tobacco products etc. to underage persons — location</w:t>
      </w:r>
      <w:bookmarkEnd w:id="164"/>
    </w:p>
    <w:p>
      <w:pPr>
        <w:pStyle w:val="Subsection"/>
        <w:keepNext/>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Gazette 28 Feb 2007 p. 666.]</w:t>
      </w:r>
    </w:p>
    <w:p>
      <w:pPr>
        <w:pStyle w:val="Heading5"/>
      </w:pPr>
      <w:bookmarkStart w:id="165" w:name="_Toc496109606"/>
      <w:r>
        <w:rPr>
          <w:rStyle w:val="CharSectno"/>
        </w:rPr>
        <w:t>49</w:t>
      </w:r>
      <w:r>
        <w:t>.</w:t>
      </w:r>
      <w:r>
        <w:tab/>
        <w:t>Warning signs about purchase of tobacco products etc. to underage persons — content and specifications</w:t>
      </w:r>
      <w:bookmarkEnd w:id="165"/>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Gazette 28 Feb 2007 p. 666-7.]</w:t>
      </w:r>
    </w:p>
    <w:p>
      <w:pPr>
        <w:pStyle w:val="Heading5"/>
      </w:pPr>
      <w:bookmarkStart w:id="166" w:name="_Toc496109607"/>
      <w:r>
        <w:rPr>
          <w:rStyle w:val="CharSectno"/>
        </w:rPr>
        <w:t>50</w:t>
      </w:r>
      <w:r>
        <w:t>.</w:t>
      </w:r>
      <w:r>
        <w:tab/>
        <w:t>Health warning signs — location</w:t>
      </w:r>
      <w:bookmarkEnd w:id="166"/>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Gazette 28 Feb 2007 p. 667.]</w:t>
      </w:r>
    </w:p>
    <w:p>
      <w:pPr>
        <w:pStyle w:val="Heading5"/>
      </w:pPr>
      <w:bookmarkStart w:id="167" w:name="_Toc496109608"/>
      <w:r>
        <w:rPr>
          <w:rStyle w:val="CharSectno"/>
        </w:rPr>
        <w:t>51</w:t>
      </w:r>
      <w:r>
        <w:t>.</w:t>
      </w:r>
      <w:r>
        <w:tab/>
        <w:t>Health warning signs — content and specifications</w:t>
      </w:r>
      <w:bookmarkEnd w:id="167"/>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keepNext/>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Gazette 28 Feb 2007 p. 667-8; amended: Gazette 10 Sep 2010 p. 4393.]</w:t>
      </w:r>
    </w:p>
    <w:p>
      <w:pPr>
        <w:pStyle w:val="Heading3"/>
      </w:pPr>
      <w:bookmarkStart w:id="168" w:name="_Toc487196095"/>
      <w:bookmarkStart w:id="169" w:name="_Toc492304632"/>
      <w:bookmarkStart w:id="170" w:name="_Toc492304845"/>
      <w:bookmarkStart w:id="171" w:name="_Toc492305141"/>
      <w:bookmarkStart w:id="172" w:name="_Toc494463822"/>
      <w:bookmarkStart w:id="173" w:name="_Toc496109609"/>
      <w:r>
        <w:rPr>
          <w:rStyle w:val="CharDivNo"/>
        </w:rPr>
        <w:t>Division 7</w:t>
      </w:r>
      <w:r>
        <w:t> — </w:t>
      </w:r>
      <w:r>
        <w:rPr>
          <w:rStyle w:val="CharDivText"/>
        </w:rPr>
        <w:t>Information and advice</w:t>
      </w:r>
      <w:bookmarkEnd w:id="168"/>
      <w:bookmarkEnd w:id="169"/>
      <w:bookmarkEnd w:id="170"/>
      <w:bookmarkEnd w:id="171"/>
      <w:bookmarkEnd w:id="172"/>
      <w:bookmarkEnd w:id="173"/>
    </w:p>
    <w:p>
      <w:pPr>
        <w:pStyle w:val="Footnoteheading"/>
      </w:pPr>
      <w:r>
        <w:tab/>
        <w:t>[Heading inserted: Gazette 28 Feb 2007 p. 668.]</w:t>
      </w:r>
    </w:p>
    <w:p>
      <w:pPr>
        <w:pStyle w:val="Heading5"/>
      </w:pPr>
      <w:bookmarkStart w:id="174" w:name="_Toc496109610"/>
      <w:r>
        <w:rPr>
          <w:rStyle w:val="CharSectno"/>
        </w:rPr>
        <w:t>52</w:t>
      </w:r>
      <w:r>
        <w:t>.</w:t>
      </w:r>
      <w:r>
        <w:tab/>
        <w:t>Retailers providing purchasers of tobacco products with approved guides</w:t>
      </w:r>
      <w:bookmarkEnd w:id="17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Gazette 28 Feb 2007 p. 668.]</w:t>
      </w:r>
    </w:p>
    <w:p>
      <w:pPr>
        <w:pStyle w:val="Heading5"/>
        <w:spacing w:before="180"/>
      </w:pPr>
      <w:bookmarkStart w:id="175" w:name="_Toc496109611"/>
      <w:r>
        <w:rPr>
          <w:rStyle w:val="CharSectno"/>
        </w:rPr>
        <w:t>53</w:t>
      </w:r>
      <w:r>
        <w:t>.</w:t>
      </w:r>
      <w:r>
        <w:tab/>
        <w:t>Retailers making approved guides available to purchasers of tobacco products</w:t>
      </w:r>
      <w:bookmarkEnd w:id="175"/>
    </w:p>
    <w:p>
      <w:pPr>
        <w:pStyle w:val="Subsection"/>
        <w:spacing w:before="120"/>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Gazette 28 Feb 2007 p. 669.]</w:t>
      </w:r>
    </w:p>
    <w:p>
      <w:pPr>
        <w:pStyle w:val="Heading5"/>
        <w:spacing w:before="180"/>
      </w:pPr>
      <w:bookmarkStart w:id="176" w:name="_Toc496109612"/>
      <w:r>
        <w:rPr>
          <w:rStyle w:val="CharSectno"/>
        </w:rPr>
        <w:t>54</w:t>
      </w:r>
      <w:r>
        <w:t>.</w:t>
      </w:r>
      <w:r>
        <w:tab/>
        <w:t>Wholesalers providing retailers with approved guides</w:t>
      </w:r>
      <w:bookmarkEnd w:id="176"/>
    </w:p>
    <w:p>
      <w:pPr>
        <w:pStyle w:val="Subsection"/>
        <w:spacing w:before="120"/>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Gazette 28 Feb 2007 p. 669.]</w:t>
      </w:r>
    </w:p>
    <w:p>
      <w:pPr>
        <w:pStyle w:val="Heading3"/>
      </w:pPr>
      <w:bookmarkStart w:id="177" w:name="_Toc487196099"/>
      <w:bookmarkStart w:id="178" w:name="_Toc492304636"/>
      <w:bookmarkStart w:id="179" w:name="_Toc492304849"/>
      <w:bookmarkStart w:id="180" w:name="_Toc492305145"/>
      <w:bookmarkStart w:id="181" w:name="_Toc494463826"/>
      <w:bookmarkStart w:id="182" w:name="_Toc496109613"/>
      <w:r>
        <w:rPr>
          <w:rStyle w:val="CharDivNo"/>
        </w:rPr>
        <w:t>Division 8</w:t>
      </w:r>
      <w:r>
        <w:t> — </w:t>
      </w:r>
      <w:r>
        <w:rPr>
          <w:rStyle w:val="CharDivText"/>
        </w:rPr>
        <w:t>Vending machines</w:t>
      </w:r>
      <w:bookmarkEnd w:id="177"/>
      <w:bookmarkEnd w:id="178"/>
      <w:bookmarkEnd w:id="179"/>
      <w:bookmarkEnd w:id="180"/>
      <w:bookmarkEnd w:id="181"/>
      <w:bookmarkEnd w:id="182"/>
    </w:p>
    <w:p>
      <w:pPr>
        <w:pStyle w:val="Footnoteheading"/>
      </w:pPr>
      <w:r>
        <w:tab/>
        <w:t>[Heading inserted: Gazette 28 Feb 2007 p. 669.]</w:t>
      </w:r>
    </w:p>
    <w:p>
      <w:pPr>
        <w:pStyle w:val="Heading5"/>
        <w:spacing w:before="180"/>
      </w:pPr>
      <w:bookmarkStart w:id="183" w:name="_Toc496109614"/>
      <w:r>
        <w:rPr>
          <w:rStyle w:val="CharSectno"/>
        </w:rPr>
        <w:t>55</w:t>
      </w:r>
      <w:r>
        <w:t>.</w:t>
      </w:r>
      <w:r>
        <w:tab/>
        <w:t>Number of vending machines</w:t>
      </w:r>
      <w:bookmarkEnd w:id="183"/>
    </w:p>
    <w:p>
      <w:pPr>
        <w:pStyle w:val="Subsection"/>
        <w:spacing w:before="120"/>
      </w:pPr>
      <w:r>
        <w:tab/>
      </w:r>
      <w:r>
        <w:tab/>
        <w:t>The number of vending machines prescribed for the purposes of section 27(2)(a) is 2.</w:t>
      </w:r>
    </w:p>
    <w:p>
      <w:pPr>
        <w:pStyle w:val="Footnotesection"/>
      </w:pPr>
      <w:r>
        <w:tab/>
        <w:t>[Regulation 55 inserted: Gazette 28 Feb 2007 p. 669.]</w:t>
      </w:r>
    </w:p>
    <w:p>
      <w:pPr>
        <w:pStyle w:val="Heading5"/>
        <w:spacing w:before="180"/>
      </w:pPr>
      <w:bookmarkStart w:id="184" w:name="_Toc496109615"/>
      <w:r>
        <w:rPr>
          <w:rStyle w:val="CharSectno"/>
        </w:rPr>
        <w:t>56</w:t>
      </w:r>
      <w:r>
        <w:t>.</w:t>
      </w:r>
      <w:r>
        <w:tab/>
        <w:t>Location of vending machines</w:t>
      </w:r>
      <w:bookmarkEnd w:id="184"/>
    </w:p>
    <w:p>
      <w:pPr>
        <w:pStyle w:val="Subsection"/>
        <w:spacing w:before="120"/>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Gazette 28 Feb 2007 p. 669.]</w:t>
      </w:r>
    </w:p>
    <w:p>
      <w:pPr>
        <w:pStyle w:val="Heading3"/>
      </w:pPr>
      <w:bookmarkStart w:id="185" w:name="_Toc487196102"/>
      <w:bookmarkStart w:id="186" w:name="_Toc492304639"/>
      <w:bookmarkStart w:id="187" w:name="_Toc492304852"/>
      <w:bookmarkStart w:id="188" w:name="_Toc492305148"/>
      <w:bookmarkStart w:id="189" w:name="_Toc494463829"/>
      <w:bookmarkStart w:id="190" w:name="_Toc496109616"/>
      <w:r>
        <w:rPr>
          <w:rStyle w:val="CharDivNo"/>
        </w:rPr>
        <w:t>Division 9</w:t>
      </w:r>
      <w:r>
        <w:t> — </w:t>
      </w:r>
      <w:r>
        <w:rPr>
          <w:rStyle w:val="CharDivText"/>
        </w:rPr>
        <w:t>Smokeless tobacco</w:t>
      </w:r>
      <w:bookmarkEnd w:id="185"/>
      <w:bookmarkEnd w:id="186"/>
      <w:bookmarkEnd w:id="187"/>
      <w:bookmarkEnd w:id="188"/>
      <w:bookmarkEnd w:id="189"/>
      <w:bookmarkEnd w:id="190"/>
    </w:p>
    <w:p>
      <w:pPr>
        <w:pStyle w:val="Footnoteheading"/>
      </w:pPr>
      <w:r>
        <w:tab/>
        <w:t>[Heading inserted: Gazette 28 Feb 2007 p. 670.]</w:t>
      </w:r>
    </w:p>
    <w:p>
      <w:pPr>
        <w:pStyle w:val="Heading5"/>
      </w:pPr>
      <w:bookmarkStart w:id="191" w:name="_Toc496109617"/>
      <w:r>
        <w:rPr>
          <w:rStyle w:val="CharSectno"/>
        </w:rPr>
        <w:t>57</w:t>
      </w:r>
      <w:r>
        <w:t>.</w:t>
      </w:r>
      <w:r>
        <w:tab/>
        <w:t>Smokeless tobacco</w:t>
      </w:r>
      <w:bookmarkEnd w:id="191"/>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Gazette 28 Feb 2007 p. 670.]</w:t>
      </w:r>
    </w:p>
    <w:p>
      <w:pPr>
        <w:pStyle w:val="Heading2"/>
      </w:pPr>
      <w:bookmarkStart w:id="192" w:name="_Toc487196104"/>
      <w:bookmarkStart w:id="193" w:name="_Toc492304641"/>
      <w:bookmarkStart w:id="194" w:name="_Toc492304854"/>
      <w:bookmarkStart w:id="195" w:name="_Toc492305150"/>
      <w:bookmarkStart w:id="196" w:name="_Toc494463831"/>
      <w:bookmarkStart w:id="197" w:name="_Toc496109618"/>
      <w:r>
        <w:rPr>
          <w:rStyle w:val="CharPartNo"/>
        </w:rPr>
        <w:t>Part 7</w:t>
      </w:r>
      <w:r>
        <w:rPr>
          <w:rStyle w:val="CharDivNo"/>
        </w:rPr>
        <w:t> </w:t>
      </w:r>
      <w:r>
        <w:t>—</w:t>
      </w:r>
      <w:r>
        <w:rPr>
          <w:rStyle w:val="CharDivText"/>
        </w:rPr>
        <w:t> </w:t>
      </w:r>
      <w:r>
        <w:rPr>
          <w:rStyle w:val="CharPartText"/>
        </w:rPr>
        <w:t>Miscellaneous</w:t>
      </w:r>
      <w:bookmarkEnd w:id="192"/>
      <w:bookmarkEnd w:id="193"/>
      <w:bookmarkEnd w:id="194"/>
      <w:bookmarkEnd w:id="195"/>
      <w:bookmarkEnd w:id="196"/>
      <w:bookmarkEnd w:id="197"/>
    </w:p>
    <w:p>
      <w:pPr>
        <w:pStyle w:val="Footnoteheading"/>
      </w:pPr>
      <w:r>
        <w:tab/>
        <w:t>[Heading inserted: Gazette 28 Feb 2007 p. 671.]</w:t>
      </w:r>
    </w:p>
    <w:p>
      <w:pPr>
        <w:pStyle w:val="Heading5"/>
      </w:pPr>
      <w:bookmarkStart w:id="198" w:name="_Toc496109619"/>
      <w:r>
        <w:rPr>
          <w:rStyle w:val="CharSectno"/>
        </w:rPr>
        <w:t>58</w:t>
      </w:r>
      <w:r>
        <w:t>.</w:t>
      </w:r>
      <w:r>
        <w:tab/>
        <w:t>Confidentiality — exceptions</w:t>
      </w:r>
      <w:bookmarkEnd w:id="198"/>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keepNext/>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Gazette 28 Feb 2007 p. 671-2; amended: Gazette 25 Aug 2015 p. 3379</w:t>
      </w:r>
      <w:r>
        <w:noBreakHyphen/>
        <w:t>80.]</w:t>
      </w:r>
    </w:p>
    <w:p>
      <w:pPr>
        <w:pStyle w:val="Heading5"/>
      </w:pPr>
      <w:bookmarkStart w:id="199" w:name="_Toc496109620"/>
      <w:r>
        <w:rPr>
          <w:rStyle w:val="CharSectno"/>
        </w:rPr>
        <w:t>59</w:t>
      </w:r>
      <w:r>
        <w:t>.</w:t>
      </w:r>
      <w:r>
        <w:tab/>
        <w:t>Restricted investigators</w:t>
      </w:r>
      <w:bookmarkEnd w:id="199"/>
    </w:p>
    <w:p>
      <w:pPr>
        <w:pStyle w:val="Subsection"/>
      </w:pPr>
      <w:r>
        <w:tab/>
      </w:r>
      <w:r>
        <w:tab/>
        <w:t xml:space="preserve">For the purposes of section 77 the following classes of persons are prescribed — </w:t>
      </w:r>
    </w:p>
    <w:p>
      <w:pPr>
        <w:pStyle w:val="Indenta"/>
      </w:pPr>
      <w:r>
        <w:tab/>
        <w:t>(a)</w:t>
      </w:r>
      <w:r>
        <w:tab/>
        <w:t>authorised officers;</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Gazette 10 Sep 2010 p. 4393-4; amended: Gazette 10 Feb 2015 p. 625; 10 Jan 2017 p. 308.]</w:t>
      </w:r>
    </w:p>
    <w:p>
      <w:pPr>
        <w:pStyle w:val="Heading5"/>
      </w:pPr>
      <w:bookmarkStart w:id="200" w:name="_Toc496109621"/>
      <w:r>
        <w:rPr>
          <w:rStyle w:val="CharSectno"/>
        </w:rPr>
        <w:t>60</w:t>
      </w:r>
      <w:r>
        <w:t>.</w:t>
      </w:r>
      <w:r>
        <w:tab/>
        <w:t>Prescribed offences and modified penalties</w:t>
      </w:r>
      <w:bookmarkEnd w:id="200"/>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Gazette 10 Sep 2010 p. 4394.]</w:t>
      </w:r>
    </w:p>
    <w:p>
      <w:pPr>
        <w:pStyle w:val="Heading5"/>
      </w:pPr>
      <w:bookmarkStart w:id="201" w:name="_Toc496109622"/>
      <w:r>
        <w:rPr>
          <w:rStyle w:val="CharSectno"/>
        </w:rPr>
        <w:t>61</w:t>
      </w:r>
      <w:r>
        <w:t>.</w:t>
      </w:r>
      <w:r>
        <w:tab/>
        <w:t>Authorised officers and approved officers</w:t>
      </w:r>
      <w:bookmarkEnd w:id="201"/>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Gazette 10 Sep 2010 p. 4394.]</w:t>
      </w:r>
    </w:p>
    <w:p>
      <w:pPr>
        <w:pStyle w:val="Heading5"/>
      </w:pPr>
      <w:bookmarkStart w:id="202" w:name="_Toc496109623"/>
      <w:r>
        <w:rPr>
          <w:rStyle w:val="CharSectno"/>
        </w:rPr>
        <w:t>62</w:t>
      </w:r>
      <w:r>
        <w:t>.</w:t>
      </w:r>
      <w:r>
        <w:tab/>
        <w:t>Forms</w:t>
      </w:r>
      <w:bookmarkEnd w:id="202"/>
    </w:p>
    <w:p>
      <w:pPr>
        <w:pStyle w:val="Subsection"/>
      </w:pPr>
      <w:r>
        <w:tab/>
      </w:r>
      <w:r>
        <w:tab/>
        <w:t>The forms set out in Schedule 5 are prescribed in relation to the matters specified in those forms.</w:t>
      </w:r>
    </w:p>
    <w:p>
      <w:pPr>
        <w:pStyle w:val="Footnotesection"/>
      </w:pPr>
      <w:r>
        <w:tab/>
        <w:t>[Regulation 62 inserted: Gazette 10 Sep 2010 p. 4394.]</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3" w:name="_Toc487196110"/>
      <w:bookmarkStart w:id="204" w:name="_Toc492304647"/>
      <w:bookmarkStart w:id="205" w:name="_Toc492304860"/>
      <w:bookmarkStart w:id="206" w:name="_Toc492305156"/>
      <w:bookmarkStart w:id="207" w:name="_Toc494463837"/>
      <w:bookmarkStart w:id="208" w:name="_Toc496109624"/>
      <w:r>
        <w:rPr>
          <w:rStyle w:val="CharSchNo"/>
        </w:rPr>
        <w:t>Schedule 1</w:t>
      </w:r>
      <w:r>
        <w:t> — </w:t>
      </w:r>
      <w:r>
        <w:rPr>
          <w:rStyle w:val="CharSchText"/>
        </w:rPr>
        <w:t>Warning signs about purchase of tobacco products</w:t>
      </w:r>
      <w:bookmarkEnd w:id="203"/>
      <w:bookmarkEnd w:id="204"/>
      <w:bookmarkEnd w:id="205"/>
      <w:bookmarkEnd w:id="206"/>
      <w:bookmarkEnd w:id="207"/>
      <w:bookmarkEnd w:id="208"/>
    </w:p>
    <w:p>
      <w:pPr>
        <w:pStyle w:val="yShoulderClause"/>
      </w:pPr>
      <w:r>
        <w:t>[r. 49(b)]</w:t>
      </w:r>
    </w:p>
    <w:p>
      <w:pPr>
        <w:pStyle w:val="yFootnoteheading"/>
        <w:spacing w:after="120"/>
      </w:pPr>
      <w:r>
        <w:tab/>
        <w:t>[Heading inserted: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Gazette 28 Feb 2007 p. 673.]</w:t>
      </w:r>
    </w:p>
    <w:p>
      <w:pPr>
        <w:pStyle w:val="yScheduleHeading"/>
      </w:pPr>
      <w:bookmarkStart w:id="209" w:name="_Toc487196111"/>
      <w:bookmarkStart w:id="210" w:name="_Toc492304648"/>
      <w:bookmarkStart w:id="211" w:name="_Toc492304861"/>
      <w:bookmarkStart w:id="212" w:name="_Toc492305157"/>
      <w:bookmarkStart w:id="213" w:name="_Toc494463838"/>
      <w:bookmarkStart w:id="214" w:name="_Toc496109625"/>
      <w:r>
        <w:rPr>
          <w:rStyle w:val="CharSchNo"/>
        </w:rPr>
        <w:t>Schedule 2</w:t>
      </w:r>
      <w:r>
        <w:t> — </w:t>
      </w:r>
      <w:r>
        <w:rPr>
          <w:rStyle w:val="CharSchText"/>
        </w:rPr>
        <w:t>Health warning signs, general and vending machines</w:t>
      </w:r>
      <w:bookmarkEnd w:id="209"/>
      <w:bookmarkEnd w:id="210"/>
      <w:bookmarkEnd w:id="211"/>
      <w:bookmarkEnd w:id="212"/>
      <w:bookmarkEnd w:id="213"/>
      <w:bookmarkEnd w:id="214"/>
    </w:p>
    <w:p>
      <w:pPr>
        <w:pStyle w:val="yShoulderClause"/>
      </w:pPr>
      <w:r>
        <w:t>[r. 51(1)(b)]</w:t>
      </w:r>
    </w:p>
    <w:p>
      <w:pPr>
        <w:pStyle w:val="yFootnoteheading"/>
        <w:spacing w:after="120"/>
      </w:pPr>
      <w:r>
        <w:tab/>
        <w:t>[Heading inserted: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Gazette 28 Feb 2007 p. 674; amended: Gazette 10 Sep 2010 p. 4394.]</w:t>
      </w:r>
    </w:p>
    <w:p>
      <w:pPr>
        <w:pStyle w:val="yScheduleHeading"/>
      </w:pPr>
      <w:bookmarkStart w:id="215" w:name="_Toc487196112"/>
      <w:bookmarkStart w:id="216" w:name="_Toc492304649"/>
      <w:bookmarkStart w:id="217" w:name="_Toc492304862"/>
      <w:bookmarkStart w:id="218" w:name="_Toc492305158"/>
      <w:bookmarkStart w:id="219" w:name="_Toc494463839"/>
      <w:bookmarkStart w:id="220" w:name="_Toc496109626"/>
      <w:r>
        <w:rPr>
          <w:rStyle w:val="CharSchNo"/>
        </w:rPr>
        <w:t>Schedule 3</w:t>
      </w:r>
      <w:r>
        <w:t> — </w:t>
      </w:r>
      <w:r>
        <w:rPr>
          <w:rStyle w:val="CharSchText"/>
        </w:rPr>
        <w:t>Health warning signs — cigar cabinets, humidified rooms</w:t>
      </w:r>
      <w:bookmarkEnd w:id="215"/>
      <w:bookmarkEnd w:id="216"/>
      <w:bookmarkEnd w:id="217"/>
      <w:bookmarkEnd w:id="218"/>
      <w:bookmarkEnd w:id="219"/>
      <w:bookmarkEnd w:id="220"/>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Gazette 28 Feb 2007 p. 675.]</w:t>
      </w:r>
    </w:p>
    <w:p>
      <w:pPr>
        <w:pStyle w:val="yScheduleHeading"/>
      </w:pPr>
      <w:bookmarkStart w:id="221" w:name="_Toc487196113"/>
      <w:bookmarkStart w:id="222" w:name="_Toc492304650"/>
      <w:bookmarkStart w:id="223" w:name="_Toc492304863"/>
      <w:bookmarkStart w:id="224" w:name="_Toc492305159"/>
      <w:bookmarkStart w:id="225" w:name="_Toc494463840"/>
      <w:bookmarkStart w:id="226" w:name="_Toc496109627"/>
      <w:r>
        <w:rPr>
          <w:rStyle w:val="CharSchNo"/>
        </w:rPr>
        <w:t>Schedule 4</w:t>
      </w:r>
      <w:r>
        <w:t> — </w:t>
      </w:r>
      <w:r>
        <w:rPr>
          <w:rStyle w:val="CharSchText"/>
        </w:rPr>
        <w:t>Prescribed offences and modified penalties</w:t>
      </w:r>
      <w:bookmarkEnd w:id="221"/>
      <w:bookmarkEnd w:id="222"/>
      <w:bookmarkEnd w:id="223"/>
      <w:bookmarkEnd w:id="224"/>
      <w:bookmarkEnd w:id="225"/>
      <w:bookmarkEnd w:id="226"/>
    </w:p>
    <w:p>
      <w:pPr>
        <w:pStyle w:val="yShoulderClause"/>
      </w:pPr>
      <w:r>
        <w:t>[r. 60]</w:t>
      </w:r>
    </w:p>
    <w:p>
      <w:pPr>
        <w:pStyle w:val="yFootnoteheading"/>
        <w:spacing w:after="80"/>
      </w:pPr>
      <w:r>
        <w:tab/>
        <w:t>[Heading inserted: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Gazette 10 Sep 2010 p. 4395-7.]</w:t>
      </w: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8" w:name="_Toc487196114"/>
      <w:bookmarkStart w:id="229" w:name="_Toc492304651"/>
      <w:bookmarkStart w:id="230" w:name="_Toc492304864"/>
      <w:bookmarkStart w:id="231" w:name="_Toc492305160"/>
      <w:bookmarkStart w:id="232" w:name="_Toc494463841"/>
      <w:bookmarkStart w:id="233" w:name="_Toc496109628"/>
      <w:r>
        <w:rPr>
          <w:rStyle w:val="CharSchNo"/>
        </w:rPr>
        <w:t>Schedule 5</w:t>
      </w:r>
      <w:r>
        <w:t> — </w:t>
      </w:r>
      <w:r>
        <w:rPr>
          <w:rStyle w:val="CharSchText"/>
        </w:rPr>
        <w:t>Forms</w:t>
      </w:r>
      <w:bookmarkEnd w:id="228"/>
      <w:bookmarkEnd w:id="229"/>
      <w:bookmarkEnd w:id="230"/>
      <w:bookmarkEnd w:id="231"/>
      <w:bookmarkEnd w:id="232"/>
      <w:bookmarkEnd w:id="233"/>
    </w:p>
    <w:p>
      <w:pPr>
        <w:pStyle w:val="yShoulderClause"/>
      </w:pPr>
      <w:r>
        <w:t>[r. 62]</w:t>
      </w:r>
    </w:p>
    <w:p>
      <w:pPr>
        <w:pStyle w:val="yFootnoteheading"/>
      </w:pPr>
      <w:r>
        <w:tab/>
        <w:t>[Heading inserted: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Gazette 10 Sep 2010 p. 4397-9; amended: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3"/>
          <w:headerReference w:type="default" r:id="rId34"/>
          <w:endnotePr>
            <w:numFmt w:val="decimal"/>
          </w:endnotePr>
          <w:pgSz w:w="11907" w:h="16840" w:code="9"/>
          <w:pgMar w:top="2376" w:right="2405" w:bottom="3542" w:left="2405" w:header="706" w:footer="3380" w:gutter="0"/>
          <w:cols w:space="720"/>
          <w:noEndnote/>
          <w:docGrid w:linePitch="326"/>
        </w:sectPr>
      </w:pPr>
    </w:p>
    <w:p>
      <w:pPr>
        <w:pStyle w:val="nHeading2"/>
      </w:pPr>
      <w:bookmarkStart w:id="234" w:name="_Toc487196115"/>
      <w:bookmarkStart w:id="235" w:name="_Toc492304652"/>
      <w:bookmarkStart w:id="236" w:name="_Toc492304865"/>
      <w:bookmarkStart w:id="237" w:name="_Toc492305161"/>
      <w:bookmarkStart w:id="238" w:name="_Toc494463842"/>
      <w:bookmarkStart w:id="239" w:name="_Toc496109629"/>
      <w:r>
        <w:t>Notes</w:t>
      </w:r>
      <w:bookmarkEnd w:id="234"/>
      <w:bookmarkEnd w:id="235"/>
      <w:bookmarkEnd w:id="236"/>
      <w:bookmarkEnd w:id="237"/>
      <w:bookmarkEnd w:id="238"/>
      <w:bookmarkEnd w:id="239"/>
    </w:p>
    <w:p>
      <w:pPr>
        <w:pStyle w:val="nSubsection"/>
      </w:pPr>
      <w:r>
        <w:rPr>
          <w:vertAlign w:val="superscript"/>
        </w:rPr>
        <w:t>1</w:t>
      </w:r>
      <w:r>
        <w:tab/>
        <w:t xml:space="preserve">This is a compilation of the </w:t>
      </w:r>
      <w:r>
        <w:rPr>
          <w:i/>
          <w:noProof/>
        </w:rPr>
        <w:t>Tobacco Products Control Regulations 2006</w:t>
      </w:r>
      <w:r>
        <w:t xml:space="preserve"> and includes the amendments made by the other written laws referred to in the following table.  The table also contains information about any reprint.</w:t>
      </w:r>
    </w:p>
    <w:p>
      <w:pPr>
        <w:pStyle w:val="nHeading3"/>
      </w:pPr>
      <w:bookmarkStart w:id="240" w:name="_Toc496109630"/>
      <w:r>
        <w:t>Compilation table</w:t>
      </w:r>
      <w:bookmarkEnd w:id="2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Pr>
          <w:p>
            <w:pPr>
              <w:pStyle w:val="nTable"/>
              <w:spacing w:after="40"/>
            </w:pPr>
            <w:r>
              <w:rPr>
                <w:i/>
              </w:rPr>
              <w:t>Health Regulations Amendment (Fees and Charges) Regulations 2016</w:t>
            </w:r>
            <w:r>
              <w:t xml:space="preserve"> Pt. 8</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i/>
              </w:rPr>
            </w:pPr>
            <w:r>
              <w:rPr>
                <w:i/>
              </w:rPr>
              <w:t>Tobacco Products Control Amendment Regulations (No. 3) 2016</w:t>
            </w:r>
          </w:p>
        </w:tc>
        <w:tc>
          <w:tcPr>
            <w:tcW w:w="1276" w:type="dxa"/>
          </w:tcPr>
          <w:p>
            <w:pPr>
              <w:pStyle w:val="nTable"/>
              <w:spacing w:after="40"/>
            </w:pPr>
            <w:r>
              <w:t>26 Jul 2016 p. 3150</w:t>
            </w:r>
          </w:p>
        </w:tc>
        <w:tc>
          <w:tcPr>
            <w:tcW w:w="2693" w:type="dxa"/>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 xml:space="preserve">Regulations other than r. 1 and 2: </w:t>
            </w:r>
            <w:r>
              <w:rPr>
                <w:bCs/>
                <w:snapToGrid w:val="0"/>
                <w:spacing w:val="-2"/>
              </w:rPr>
              <w:t xml:space="preserve">1 Sep 2016 (see r. 2(b) and </w:t>
            </w:r>
            <w:r>
              <w:rPr>
                <w:bCs/>
                <w:i/>
                <w:snapToGrid w:val="0"/>
                <w:spacing w:val="-2"/>
              </w:rPr>
              <w:t xml:space="preserve">Gazette </w:t>
            </w:r>
            <w:r>
              <w:rPr>
                <w:bCs/>
                <w:snapToGrid w:val="0"/>
                <w:spacing w:val="-2"/>
              </w:rPr>
              <w:t>26 Jul 2016 p. 3145)</w:t>
            </w:r>
          </w:p>
        </w:tc>
      </w:tr>
      <w:tr>
        <w:tc>
          <w:tcPr>
            <w:tcW w:w="3118" w:type="dxa"/>
          </w:tcPr>
          <w:p>
            <w:pPr>
              <w:pStyle w:val="nTable"/>
              <w:spacing w:after="40"/>
              <w:rPr>
                <w:i/>
              </w:rPr>
            </w:pPr>
            <w:r>
              <w:rPr>
                <w:i/>
              </w:rPr>
              <w:t>Health Regulations Amendment (Public Health) Regulations 2016</w:t>
            </w:r>
            <w:r>
              <w:t xml:space="preserve"> Pt. 34</w:t>
            </w:r>
          </w:p>
        </w:tc>
        <w:tc>
          <w:tcPr>
            <w:tcW w:w="1276" w:type="dxa"/>
          </w:tcPr>
          <w:p>
            <w:pPr>
              <w:pStyle w:val="nTable"/>
              <w:spacing w:after="40"/>
            </w:pPr>
            <w:r>
              <w:t>10 Jan 2017 p. 237</w:t>
            </w:r>
            <w:r>
              <w:noBreakHyphen/>
              <w:t>308</w:t>
            </w:r>
          </w:p>
        </w:tc>
        <w:tc>
          <w:tcPr>
            <w:tcW w:w="2693" w:type="dxa"/>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tcPr>
          <w:p>
            <w:pPr>
              <w:pStyle w:val="nTable"/>
              <w:spacing w:after="40"/>
              <w:rPr>
                <w:i/>
              </w:rPr>
            </w:pPr>
            <w:r>
              <w:rPr>
                <w:i/>
              </w:rPr>
              <w:t>Health Regulations Amendment (Fees and Charges) Regulations 2017</w:t>
            </w:r>
            <w:r>
              <w:t xml:space="preserve"> Pt. 11</w:t>
            </w:r>
          </w:p>
        </w:tc>
        <w:tc>
          <w:tcPr>
            <w:tcW w:w="1276" w:type="dxa"/>
          </w:tcPr>
          <w:p>
            <w:pPr>
              <w:pStyle w:val="nTable"/>
              <w:spacing w:after="40"/>
            </w:pPr>
            <w:r>
              <w:t>30 Jun 2017 p. 3568</w:t>
            </w:r>
            <w:r>
              <w:noBreakHyphen/>
              <w:t>74</w:t>
            </w:r>
          </w:p>
        </w:tc>
        <w:tc>
          <w:tcPr>
            <w:tcW w:w="2693" w:type="dxa"/>
          </w:tcPr>
          <w:p>
            <w:pPr>
              <w:pStyle w:val="nTable"/>
              <w:spacing w:after="40"/>
            </w:pPr>
            <w:r>
              <w:rPr>
                <w:bCs/>
                <w:snapToGrid w:val="0"/>
              </w:rPr>
              <w:t>1 Jul 2017 (see r. 2(b))</w:t>
            </w:r>
          </w:p>
        </w:tc>
      </w:tr>
      <w:t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3: The </w:t>
            </w:r>
            <w:r>
              <w:rPr>
                <w:b/>
                <w:bCs/>
                <w:i/>
                <w:noProof/>
                <w:snapToGrid w:val="0"/>
              </w:rPr>
              <w:t>Tobacco Products Control Regulations 2006</w:t>
            </w:r>
            <w:r>
              <w:rPr>
                <w:b/>
                <w:bCs/>
                <w:snapToGrid w:val="0"/>
              </w:rPr>
              <w:t xml:space="preserve"> as at 13 Oct 2017</w:t>
            </w:r>
            <w:r>
              <w:rPr>
                <w:bCs/>
                <w:snapToGrid w:val="0"/>
              </w:rPr>
              <w:t xml:space="preserve"> (includes amendments listed above)</w:t>
            </w:r>
          </w:p>
        </w:tc>
      </w:tr>
    </w:tbl>
    <w:p>
      <w:pPr>
        <w:pStyle w:val="nSubsection"/>
      </w:pPr>
      <w:r>
        <w:rPr>
          <w:vertAlign w:val="superscript"/>
        </w:rPr>
        <w:t>2</w:t>
      </w:r>
      <w:r>
        <w:tab/>
        <w:t xml:space="preserve">Repealed by the </w:t>
      </w:r>
      <w:r>
        <w:rPr>
          <w:i/>
        </w:rPr>
        <w:t>Competition and Consumer (Tobacco) Information Standard 2011</w:t>
      </w:r>
      <w:r>
        <w:t xml:space="preserve"> cl. 1.7.</w:t>
      </w:r>
    </w:p>
    <w:p>
      <w:pPr>
        <w:rPr>
          <w:iCs/>
        </w:rPr>
      </w:pPr>
    </w:p>
    <w:p>
      <w:pPr>
        <w:rPr>
          <w:iCs/>
        </w:rPr>
        <w:sectPr>
          <w:headerReference w:type="even" r:id="rId35"/>
          <w:headerReference w:type="default" r:id="rId36"/>
          <w:headerReference w:type="first" r:id="rId3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42" w:name="_Toc487196117"/>
      <w:bookmarkStart w:id="243" w:name="_Toc492304654"/>
      <w:bookmarkStart w:id="244" w:name="_Toc492304867"/>
      <w:bookmarkStart w:id="245" w:name="_Toc492305163"/>
      <w:bookmarkStart w:id="246" w:name="_Toc494463844"/>
      <w:bookmarkStart w:id="247" w:name="_Toc496109631"/>
      <w:r>
        <w:rPr>
          <w:sz w:val="28"/>
        </w:rPr>
        <w:t>Defined terms</w:t>
      </w:r>
      <w:bookmarkEnd w:id="242"/>
      <w:bookmarkEnd w:id="243"/>
      <w:bookmarkEnd w:id="244"/>
      <w:bookmarkEnd w:id="245"/>
      <w:bookmarkEnd w:id="246"/>
      <w:bookmarkEnd w:id="2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retailer</w:t>
      </w:r>
      <w:r>
        <w:tab/>
        <w:t>30</w:t>
      </w:r>
    </w:p>
    <w:p>
      <w:pPr>
        <w:pStyle w:val="DefinedTerms"/>
      </w:pPr>
      <w:r>
        <w:t>retail premises</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Oct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Oct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1" w:name="Compilation"/>
    <w:bookmarkEnd w:id="2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8" w:name="DefinedTerms"/>
    <w:bookmarkEnd w:id="2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9" w:name="Coversheet"/>
    <w:bookmarkEnd w:id="2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7123914"/>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 w:name="WAFER_20170707123914" w:val="RemoveTocBookmarks,RemoveUnusedBookmarks,RemoveLanguageTags,UsedStyles,ResetPageSize,RemoveCustomizations"/>
    <w:docVar w:name="WAFER_20170707123914_GUID" w:val="3b67c984-51d3-4add-9b28-8267c77f29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eg"/><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6.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5.jpe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4.jpeg"/><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BCE6F-E41C-4D5A-9B77-C5EC456F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12065</Words>
  <Characters>57435</Characters>
  <Application>Microsoft Office Word</Application>
  <DocSecurity>0</DocSecurity>
  <Lines>1914</Lines>
  <Paragraphs>1198</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2006 - 03-a0-02</dc:title>
  <dc:subject/>
  <dc:creator/>
  <cp:keywords/>
  <dc:description/>
  <cp:lastModifiedBy>svcMRProcess</cp:lastModifiedBy>
  <cp:revision>4</cp:revision>
  <cp:lastPrinted>2017-10-18T01:42:00Z</cp:lastPrinted>
  <dcterms:created xsi:type="dcterms:W3CDTF">2019-02-07T06:46:00Z</dcterms:created>
  <dcterms:modified xsi:type="dcterms:W3CDTF">2019-02-07T06:46:00Z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DocumentType">
    <vt:lpwstr>Reg</vt:lpwstr>
  </property>
  <property fmtid="{D5CDD505-2E9C-101B-9397-08002B2CF9AE}" pid="5" name="ReprintedAsAt">
    <vt:filetime>2017-10-12T16:00:00Z</vt:filetime>
  </property>
  <property fmtid="{D5CDD505-2E9C-101B-9397-08002B2CF9AE}" pid="6" name="ReprintNo">
    <vt:lpwstr>3</vt:lpwstr>
  </property>
  <property fmtid="{D5CDD505-2E9C-101B-9397-08002B2CF9AE}" pid="7" name="CommencementDate">
    <vt:lpwstr>20171013</vt:lpwstr>
  </property>
  <property fmtid="{D5CDD505-2E9C-101B-9397-08002B2CF9AE}" pid="8" name="AsAtDate">
    <vt:lpwstr>13 Oct 2017</vt:lpwstr>
  </property>
  <property fmtid="{D5CDD505-2E9C-101B-9397-08002B2CF9AE}" pid="9" name="Suffix">
    <vt:lpwstr>03-a0-02</vt:lpwstr>
  </property>
</Properties>
</file>