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Cremation Act 1929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Cremation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_Toc33607249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_Toc33607250 \h </w:instrText>
      </w:r>
      <w:r>
        <w:fldChar w:fldCharType="separate"/>
      </w:r>
      <w:r>
        <w:t>1</w:t>
      </w:r>
      <w:r>
        <w:fldChar w:fldCharType="end"/>
      </w:r>
    </w:p>
    <w:p>
      <w:pPr>
        <w:pStyle w:val="TOC8"/>
        <w:rPr>
          <w:rFonts w:asciiTheme="minorHAnsi" w:eastAsiaTheme="minorEastAsia" w:hAnsiTheme="minorHAnsi" w:cstheme="minorBidi"/>
          <w:szCs w:val="22"/>
        </w:rPr>
      </w:pPr>
      <w:r>
        <w:t>3.</w:t>
      </w:r>
      <w:r>
        <w:tab/>
        <w:t>Cremation without licence prohibited</w:t>
      </w:r>
      <w:r>
        <w:tab/>
      </w:r>
      <w:r>
        <w:fldChar w:fldCharType="begin"/>
      </w:r>
      <w:r>
        <w:instrText xml:space="preserve"> PAGEREF _Toc33607251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Issue of licences</w:t>
      </w:r>
      <w:r>
        <w:tab/>
      </w:r>
      <w:r>
        <w:fldChar w:fldCharType="begin"/>
      </w:r>
      <w:r>
        <w:instrText xml:space="preserve"> PAGEREF _Toc33607252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Portion of cemetery may be set aside as site for crematorium</w:t>
      </w:r>
      <w:r>
        <w:tab/>
      </w:r>
      <w:r>
        <w:fldChar w:fldCharType="begin"/>
      </w:r>
      <w:r>
        <w:instrText xml:space="preserve"> PAGEREF _Toc33607253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Site of crematorium not included in cemetery deemed to be cemetery for certain purposes</w:t>
      </w:r>
      <w:r>
        <w:tab/>
      </w:r>
      <w:r>
        <w:fldChar w:fldCharType="begin"/>
      </w:r>
      <w:r>
        <w:instrText xml:space="preserve"> PAGEREF _Toc33607254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ashes otherwise than by burial on site of crematorium</w:t>
      </w:r>
      <w:r>
        <w:tab/>
      </w:r>
      <w:r>
        <w:fldChar w:fldCharType="begin"/>
      </w:r>
      <w:r>
        <w:instrText xml:space="preserve"> PAGEREF _Toc33607255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Appointment of medical referees</w:t>
      </w:r>
      <w:r>
        <w:tab/>
      </w:r>
      <w:r>
        <w:fldChar w:fldCharType="begin"/>
      </w:r>
      <w:r>
        <w:instrText xml:space="preserve"> PAGEREF _Toc33607256 \h </w:instrText>
      </w:r>
      <w:r>
        <w:fldChar w:fldCharType="separate"/>
      </w:r>
      <w:r>
        <w:t>6</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Permits</w:t>
      </w:r>
      <w:r>
        <w:tab/>
      </w:r>
      <w:r>
        <w:fldChar w:fldCharType="begin"/>
      </w:r>
      <w:r>
        <w:instrText xml:space="preserve"> PAGEREF _Toc33607257 \h </w:instrText>
      </w:r>
      <w:r>
        <w:fldChar w:fldCharType="separate"/>
      </w:r>
      <w:r>
        <w:t>7</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Permit to cremate still</w:t>
      </w:r>
      <w:r>
        <w:rPr>
          <w:snapToGrid w:val="0"/>
        </w:rPr>
        <w:noBreakHyphen/>
        <w:t>born child</w:t>
      </w:r>
      <w:r>
        <w:tab/>
      </w:r>
      <w:r>
        <w:fldChar w:fldCharType="begin"/>
      </w:r>
      <w:r>
        <w:instrText xml:space="preserve"> PAGEREF _Toc33607258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Permit to be sufficient authority to cremate body</w:t>
      </w:r>
      <w:r>
        <w:tab/>
      </w:r>
      <w:r>
        <w:fldChar w:fldCharType="begin"/>
      </w:r>
      <w:r>
        <w:instrText xml:space="preserve"> PAGEREF _Toc33607259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Medical referee not to issue permit improperly; and no person to cremate body without permit</w:t>
      </w:r>
      <w:r>
        <w:tab/>
      </w:r>
      <w:r>
        <w:fldChar w:fldCharType="begin"/>
      </w:r>
      <w:r>
        <w:instrText xml:space="preserve"> PAGEREF _Toc33607260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Interested persons not to give certificates</w:t>
      </w:r>
      <w:r>
        <w:tab/>
      </w:r>
      <w:r>
        <w:fldChar w:fldCharType="begin"/>
      </w:r>
      <w:r>
        <w:instrText xml:space="preserve"> PAGEREF _Toc33607261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Cremation not permitted if objected to by deceased’s spouse, de facto partner or next of kin, unless directed by will or other writing signed by deceased</w:t>
      </w:r>
      <w:r>
        <w:tab/>
      </w:r>
      <w:r>
        <w:fldChar w:fldCharType="begin"/>
      </w:r>
      <w:r>
        <w:instrText xml:space="preserve"> PAGEREF _Toc33607262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Attorney General or coroner may forbid cremation</w:t>
      </w:r>
      <w:r>
        <w:tab/>
      </w:r>
      <w:r>
        <w:fldChar w:fldCharType="begin"/>
      </w:r>
      <w:r>
        <w:instrText xml:space="preserve"> PAGEREF _Toc33607263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w:t>
      </w:r>
      <w:r>
        <w:tab/>
      </w:r>
      <w:r>
        <w:fldChar w:fldCharType="begin"/>
      </w:r>
      <w:r>
        <w:instrText xml:space="preserve"> PAGEREF _Toc33607264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of licences</w:t>
      </w:r>
      <w:r>
        <w:tab/>
      </w:r>
      <w:r>
        <w:fldChar w:fldCharType="begin"/>
      </w:r>
      <w:r>
        <w:instrText xml:space="preserve"> PAGEREF _Toc33607265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_Toc33607266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_Toc33607268 \h </w:instrText>
      </w:r>
      <w:r>
        <w:fldChar w:fldCharType="separate"/>
      </w:r>
      <w:r>
        <w:t>14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_Toc33607269 \h </w:instrText>
      </w:r>
      <w:r>
        <w:fldChar w:fldCharType="separate"/>
      </w:r>
      <w:r>
        <w:t>16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_Toc33607270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Cremation Act 1929</w:t>
      </w:r>
    </w:p>
    <w:p>
      <w:pPr>
        <w:pStyle w:val="LongTitle"/>
        <w:spacing w:after="220"/>
        <w:rPr>
          <w:snapToGrid w:val="0"/>
        </w:rPr>
      </w:pPr>
      <w:r>
        <w:rPr>
          <w:snapToGrid w:val="0"/>
        </w:rPr>
        <w:t>An Act to regulate cremation.</w:t>
      </w:r>
    </w:p>
    <w:p>
      <w:pPr>
        <w:pStyle w:val="Heading5"/>
        <w:rPr>
          <w:snapToGrid w:val="0"/>
        </w:rPr>
      </w:pPr>
      <w:bookmarkStart w:id="3" w:name="_Toc33607046"/>
      <w:bookmarkStart w:id="4" w:name="_Toc33607249"/>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Cremation Act 1929</w:t>
      </w:r>
      <w:r>
        <w:rPr>
          <w:snapToGrid w:val="0"/>
        </w:rPr>
        <w:t>.</w:t>
      </w:r>
    </w:p>
    <w:p>
      <w:pPr>
        <w:pStyle w:val="Heading5"/>
        <w:rPr>
          <w:snapToGrid w:val="0"/>
        </w:rPr>
      </w:pPr>
      <w:bookmarkStart w:id="5" w:name="_Toc33607047"/>
      <w:bookmarkStart w:id="6" w:name="_Toc33607250"/>
      <w:r>
        <w:rPr>
          <w:rStyle w:val="CharSectno"/>
        </w:rPr>
        <w:t>2</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Chief Health Officer</w:t>
      </w:r>
      <w:r>
        <w:t xml:space="preserve"> has the meaning given in the </w:t>
      </w:r>
      <w:r>
        <w:rPr>
          <w:i/>
        </w:rPr>
        <w:t>Public Health Act 2016</w:t>
      </w:r>
      <w:r>
        <w:t xml:space="preserve"> section 4(1);</w:t>
      </w:r>
    </w:p>
    <w:p>
      <w:pPr>
        <w:pStyle w:val="Defstart"/>
        <w:keepNex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Footnotesection"/>
      </w:pPr>
      <w:r>
        <w:tab/>
        <w:t>[Section 2 amended: No. 80 of 1953 s. 3; No. 2 of 1968 s. 2; No. 28 of 1984 s. 11; No. 103 of 1986 s. 2; No. 2 of 1996 s. 61; No. 22 of 2008 Sch. 3 cl. 13; No. 35 of 2010 s. 52; No. 19 of 2016 s. 122.]</w:t>
      </w:r>
    </w:p>
    <w:p>
      <w:pPr>
        <w:pStyle w:val="Heading5"/>
      </w:pPr>
      <w:bookmarkStart w:id="7" w:name="_Toc33607048"/>
      <w:bookmarkStart w:id="8" w:name="_Toc33607251"/>
      <w:r>
        <w:rPr>
          <w:rStyle w:val="CharSectno"/>
        </w:rPr>
        <w:t>3</w:t>
      </w:r>
      <w:r>
        <w:t>.</w:t>
      </w:r>
      <w:r>
        <w:tab/>
        <w:t>Cremation without licence prohibited</w:t>
      </w:r>
      <w:bookmarkEnd w:id="7"/>
      <w:bookmarkEnd w:id="8"/>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 No. 19 of 2010 s. 51.]</w:t>
      </w:r>
    </w:p>
    <w:p>
      <w:pPr>
        <w:pStyle w:val="Heading5"/>
        <w:rPr>
          <w:snapToGrid w:val="0"/>
        </w:rPr>
      </w:pPr>
      <w:bookmarkStart w:id="9" w:name="_Toc33607049"/>
      <w:bookmarkStart w:id="10" w:name="_Toc33607252"/>
      <w:r>
        <w:rPr>
          <w:rStyle w:val="CharSectno"/>
        </w:rPr>
        <w:t>4</w:t>
      </w:r>
      <w:r>
        <w:rPr>
          <w:snapToGrid w:val="0"/>
        </w:rPr>
        <w:t>.</w:t>
      </w:r>
      <w:r>
        <w:rPr>
          <w:snapToGrid w:val="0"/>
        </w:rPr>
        <w:tab/>
        <w:t>Issue of licences</w:t>
      </w:r>
      <w:bookmarkEnd w:id="9"/>
      <w:bookmarkEnd w:id="10"/>
    </w:p>
    <w:p>
      <w:pPr>
        <w:pStyle w:val="Subsection"/>
      </w:pPr>
      <w:r>
        <w:tab/>
        <w:t>(1A)</w:t>
      </w:r>
      <w:r>
        <w:tab/>
        <w:t xml:space="preserve">In subsection (1)(b) — </w:t>
      </w:r>
    </w:p>
    <w:p>
      <w:pPr>
        <w:pStyle w:val="Defstart"/>
      </w:pPr>
      <w:r>
        <w:tab/>
      </w:r>
      <w:r>
        <w:rPr>
          <w:rStyle w:val="CharDefText"/>
        </w:rPr>
        <w:t>association</w:t>
      </w:r>
      <w:r>
        <w:t xml:space="preserve"> means an association incorporated, or taken to be incorporated, under the </w:t>
      </w:r>
      <w:r>
        <w:rPr>
          <w:i/>
        </w:rPr>
        <w:t>Associations Incorporation Act 2015</w:t>
      </w:r>
      <w:r>
        <w:t>.</w:t>
      </w:r>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any association established and constituted in connection with the cremation of dead human bodies, and holding a certificate under the hand of the Chief Health Officer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(a)</w:t>
      </w:r>
      <w:r>
        <w:rPr>
          <w:snapToGrid w:val="0"/>
        </w:rPr>
        <w:tab/>
        <w:t>that they have sufficient authority to use the site or proposed site;</w:t>
      </w:r>
    </w:p>
    <w:p>
      <w:pPr>
        <w:pStyle w:val="Indenta"/>
        <w:rPr>
          <w:snapToGrid w:val="0"/>
        </w:rPr>
      </w:pPr>
      <w:r>
        <w:rPr>
          <w:snapToGrid w:val="0"/>
        </w:rPr>
        <w:tab/>
        <w:t>(b)</w:t>
      </w:r>
      <w:r>
        <w:rPr>
          <w:snapToGrid w:val="0"/>
        </w:rPr>
        <w:tab/>
        <w:t>that they have erected and provided on the site in accordance with the regulations and to the satisfaction of the Chief Health Officer, such building, fittings, works, and apparatus as are necessary for the inoffensive, decent, and effective cremation of dead human bodies, or, in case the crematorium is not already established, that the Chief Health Officer has approved of the plans and specifications of the proposed building, fittings, works, and apparatus;</w:t>
      </w:r>
    </w:p>
    <w:p>
      <w:pPr>
        <w:pStyle w:val="Indenta"/>
        <w:rPr>
          <w:snapToGrid w:val="0"/>
        </w:rPr>
      </w:pPr>
      <w:r>
        <w:rPr>
          <w:snapToGrid w:val="0"/>
        </w:rPr>
        <w:tab/>
        <w:t>(c)</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Chief Health Officer;</w:t>
      </w:r>
    </w:p>
    <w:p>
      <w:pPr>
        <w:pStyle w:val="Indenta"/>
        <w:rPr>
          <w:snapToGrid w:val="0"/>
        </w:rPr>
      </w:pPr>
      <w:r>
        <w:rPr>
          <w:snapToGrid w:val="0"/>
        </w:rPr>
        <w:tab/>
        <w:t>(d)</w:t>
      </w:r>
      <w:r>
        <w:rPr>
          <w:snapToGrid w:val="0"/>
        </w:rPr>
        <w:tab/>
        <w:t>that where an objection to the granting of the licence has been lodged with the Chief Health Officer, the Chief Health Officer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Chief Health Officer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No. 8 of 1935 s. 2; No. 80 of 1953 s. 4; No. 28 of 1984 s. 13; No. 103 of 1986 s. 5; No. 30 of 2015 s. 213; No. 19 of 2016 s. 125.]</w:t>
      </w:r>
    </w:p>
    <w:p>
      <w:pPr>
        <w:pStyle w:val="Heading5"/>
        <w:rPr>
          <w:snapToGrid w:val="0"/>
        </w:rPr>
      </w:pPr>
      <w:bookmarkStart w:id="11" w:name="_Toc33607050"/>
      <w:bookmarkStart w:id="12" w:name="_Toc33607253"/>
      <w:r>
        <w:rPr>
          <w:rStyle w:val="CharSectno"/>
        </w:rPr>
        <w:t>5</w:t>
      </w:r>
      <w:r>
        <w:rPr>
          <w:snapToGrid w:val="0"/>
        </w:rPr>
        <w:t>.</w:t>
      </w:r>
      <w:r>
        <w:rPr>
          <w:snapToGrid w:val="0"/>
        </w:rPr>
        <w:tab/>
        <w:t>Portion of cemetery may be set aside as site for crematorium</w:t>
      </w:r>
      <w:bookmarkEnd w:id="11"/>
      <w:bookmarkEnd w:id="12"/>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No. 103 of 1986 s. 5.]</w:t>
      </w:r>
    </w:p>
    <w:p>
      <w:pPr>
        <w:pStyle w:val="Heading5"/>
        <w:rPr>
          <w:snapToGrid w:val="0"/>
        </w:rPr>
      </w:pPr>
      <w:bookmarkStart w:id="13" w:name="_Toc33607051"/>
      <w:bookmarkStart w:id="14" w:name="_Toc33607254"/>
      <w:r>
        <w:rPr>
          <w:rStyle w:val="CharSectno"/>
        </w:rPr>
        <w:t>6</w:t>
      </w:r>
      <w:r>
        <w:rPr>
          <w:snapToGrid w:val="0"/>
        </w:rPr>
        <w:t>.</w:t>
      </w:r>
      <w:r>
        <w:rPr>
          <w:snapToGrid w:val="0"/>
        </w:rPr>
        <w:tab/>
        <w:t>Site of crematorium not included in cemetery deemed to be cemetery for certain purposes</w:t>
      </w:r>
      <w:bookmarkEnd w:id="13"/>
      <w:bookmarkEnd w:id="14"/>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No. 103 of 1986 s. 5.]</w:t>
      </w:r>
    </w:p>
    <w:p>
      <w:pPr>
        <w:pStyle w:val="Heading5"/>
        <w:rPr>
          <w:snapToGrid w:val="0"/>
        </w:rPr>
      </w:pPr>
      <w:bookmarkStart w:id="15" w:name="_Toc33607052"/>
      <w:bookmarkStart w:id="16" w:name="_Toc33607255"/>
      <w:r>
        <w:rPr>
          <w:rStyle w:val="CharSectno"/>
        </w:rPr>
        <w:t>7</w:t>
      </w:r>
      <w:r>
        <w:rPr>
          <w:snapToGrid w:val="0"/>
        </w:rPr>
        <w:t>.</w:t>
      </w:r>
      <w:r>
        <w:rPr>
          <w:snapToGrid w:val="0"/>
        </w:rPr>
        <w:tab/>
        <w:t>Disposal of ashes otherwise than by burial on site of crematorium</w:t>
      </w:r>
      <w:bookmarkEnd w:id="15"/>
      <w:bookmarkEnd w:id="16"/>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No. 80 of 1953 s. 5; No. 35 of 1967 s. 2; No. 10 of 1983 s. 5.]</w:t>
      </w:r>
    </w:p>
    <w:p>
      <w:pPr>
        <w:pStyle w:val="Heading5"/>
        <w:rPr>
          <w:snapToGrid w:val="0"/>
        </w:rPr>
      </w:pPr>
      <w:bookmarkStart w:id="17" w:name="_Toc33607053"/>
      <w:bookmarkStart w:id="18" w:name="_Toc33607256"/>
      <w:r>
        <w:rPr>
          <w:rStyle w:val="CharSectno"/>
        </w:rPr>
        <w:t>8</w:t>
      </w:r>
      <w:r>
        <w:rPr>
          <w:snapToGrid w:val="0"/>
        </w:rPr>
        <w:t>.</w:t>
      </w:r>
      <w:r>
        <w:rPr>
          <w:snapToGrid w:val="0"/>
        </w:rPr>
        <w:tab/>
        <w:t>Appointment of medical referees</w:t>
      </w:r>
      <w:bookmarkEnd w:id="17"/>
      <w:bookmarkEnd w:id="18"/>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 or</w:t>
      </w:r>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keepNext/>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No. 80 of 1953 s. 6; amended: No. 28 of 1984 s. 13; No. 55 of 2004 s. 212; No. 19 of 2010 s. 51.]</w:t>
      </w:r>
    </w:p>
    <w:p>
      <w:pPr>
        <w:pStyle w:val="Heading5"/>
        <w:rPr>
          <w:snapToGrid w:val="0"/>
        </w:rPr>
      </w:pPr>
      <w:bookmarkStart w:id="19" w:name="_Toc33607054"/>
      <w:bookmarkStart w:id="20" w:name="_Toc33607257"/>
      <w:r>
        <w:rPr>
          <w:rStyle w:val="CharSectno"/>
        </w:rPr>
        <w:t>8A</w:t>
      </w:r>
      <w:r>
        <w:rPr>
          <w:snapToGrid w:val="0"/>
        </w:rPr>
        <w:t>.</w:t>
      </w:r>
      <w:r>
        <w:rPr>
          <w:snapToGrid w:val="0"/>
        </w:rPr>
        <w:tab/>
        <w:t>Permits</w:t>
      </w:r>
      <w:bookmarkEnd w:id="19"/>
      <w:bookmarkEnd w:id="20"/>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pPr>
      <w:r>
        <w:rPr>
          <w:snapToGrid w:val="0"/>
        </w:rPr>
        <w:tab/>
        <w:t>(b)</w:t>
      </w:r>
      <w:r>
        <w:rPr>
          <w:snapToGrid w:val="0"/>
        </w:rPr>
        <w:tab/>
        <w:t xml:space="preserve">where the deceased person has left a written direction that his body is not to be cremated, except where the Chief Health Officer orders the body to be cremated, pursuant to powers conferred upon him </w:t>
      </w:r>
      <w:r>
        <w:t xml:space="preserve">under the </w:t>
      </w:r>
      <w:r>
        <w:rPr>
          <w:i/>
        </w:rPr>
        <w:t>Health (Miscellaneous Provisions) Act 1911</w:t>
      </w:r>
      <w:r>
        <w:t xml:space="preserve"> or the </w:t>
      </w:r>
      <w:r>
        <w:rPr>
          <w:i/>
        </w:rPr>
        <w:t>Public Health Act 2016</w:t>
      </w:r>
      <w: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No. 80 of 1953 s. 7; amended: No. 28 of 1984 s. 13; No. 2 of 1996 s. 61; No. 40 of 1998 s. 9(a); No. 19 of 2016 s. 123, 125 and 285(1).]</w:t>
      </w:r>
    </w:p>
    <w:p>
      <w:pPr>
        <w:pStyle w:val="Heading5"/>
        <w:pageBreakBefore/>
        <w:spacing w:before="0"/>
        <w:rPr>
          <w:snapToGrid w:val="0"/>
        </w:rPr>
      </w:pPr>
      <w:bookmarkStart w:id="21" w:name="_Toc33607055"/>
      <w:bookmarkStart w:id="22" w:name="_Toc33607258"/>
      <w:r>
        <w:rPr>
          <w:rStyle w:val="CharSectno"/>
        </w:rPr>
        <w:t>8B</w:t>
      </w:r>
      <w:r>
        <w:rPr>
          <w:snapToGrid w:val="0"/>
        </w:rPr>
        <w:t>.</w:t>
      </w:r>
      <w:r>
        <w:rPr>
          <w:snapToGrid w:val="0"/>
        </w:rPr>
        <w:tab/>
        <w:t>Permit to cremate still</w:t>
      </w:r>
      <w:r>
        <w:rPr>
          <w:snapToGrid w:val="0"/>
        </w:rPr>
        <w:noBreakHyphen/>
        <w:t>born child</w:t>
      </w:r>
      <w:bookmarkEnd w:id="21"/>
      <w:bookmarkEnd w:id="22"/>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rPr>
        <w:t>Health (Miscellaneous Provisions) Act 1911</w:t>
      </w:r>
      <w: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rPr>
        <w:t>Health (Miscellaneous Provisions) Act 1911</w:t>
      </w:r>
      <w:r>
        <w:t>.</w:t>
      </w:r>
    </w:p>
    <w:p>
      <w:pPr>
        <w:pStyle w:val="Footnotesection"/>
      </w:pPr>
      <w:r>
        <w:tab/>
        <w:t>[Section 8B inserted: No. 80 of 1953 s. 8; amended: No. 19 of 2016 s. 124.]</w:t>
      </w:r>
    </w:p>
    <w:p>
      <w:pPr>
        <w:pStyle w:val="Heading5"/>
        <w:rPr>
          <w:snapToGrid w:val="0"/>
        </w:rPr>
      </w:pPr>
      <w:bookmarkStart w:id="23" w:name="_Toc33607056"/>
      <w:bookmarkStart w:id="24" w:name="_Toc33607259"/>
      <w:r>
        <w:rPr>
          <w:rStyle w:val="CharSectno"/>
        </w:rPr>
        <w:t>9</w:t>
      </w:r>
      <w:r>
        <w:rPr>
          <w:snapToGrid w:val="0"/>
        </w:rPr>
        <w:t>.</w:t>
      </w:r>
      <w:r>
        <w:rPr>
          <w:snapToGrid w:val="0"/>
        </w:rPr>
        <w:tab/>
        <w:t>Permit to be sufficient authority to cremate body</w:t>
      </w:r>
      <w:bookmarkEnd w:id="23"/>
      <w:bookmarkEnd w:id="24"/>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25" w:name="_Toc33607057"/>
      <w:bookmarkStart w:id="26" w:name="_Toc33607260"/>
      <w:r>
        <w:rPr>
          <w:rStyle w:val="CharSectno"/>
        </w:rPr>
        <w:t>10</w:t>
      </w:r>
      <w:r>
        <w:rPr>
          <w:snapToGrid w:val="0"/>
        </w:rPr>
        <w:t>.</w:t>
      </w:r>
      <w:r>
        <w:rPr>
          <w:snapToGrid w:val="0"/>
        </w:rPr>
        <w:tab/>
        <w:t>Medical referee not to issue permit improperly; and no person to cremate body without permit</w:t>
      </w:r>
      <w:bookmarkEnd w:id="25"/>
      <w:bookmarkEnd w:id="26"/>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No. 80 of 1953 s. 9.]</w:t>
      </w:r>
    </w:p>
    <w:p>
      <w:pPr>
        <w:pStyle w:val="Ednotesection"/>
      </w:pPr>
      <w:r>
        <w:t>[</w:t>
      </w:r>
      <w:r>
        <w:rPr>
          <w:b/>
        </w:rPr>
        <w:t>11.</w:t>
      </w:r>
      <w:r>
        <w:tab/>
        <w:t>Deleted: No. 40 of 1998 s. 9(b).]</w:t>
      </w:r>
    </w:p>
    <w:p>
      <w:pPr>
        <w:pStyle w:val="Heading5"/>
        <w:rPr>
          <w:snapToGrid w:val="0"/>
        </w:rPr>
      </w:pPr>
      <w:bookmarkStart w:id="27" w:name="_Toc33607058"/>
      <w:bookmarkStart w:id="28" w:name="_Toc33607261"/>
      <w:r>
        <w:rPr>
          <w:rStyle w:val="CharSectno"/>
        </w:rPr>
        <w:t>12</w:t>
      </w:r>
      <w:r>
        <w:rPr>
          <w:snapToGrid w:val="0"/>
        </w:rPr>
        <w:t>.</w:t>
      </w:r>
      <w:r>
        <w:rPr>
          <w:snapToGrid w:val="0"/>
        </w:rPr>
        <w:tab/>
        <w:t>Interested persons not to give certificates</w:t>
      </w:r>
      <w:bookmarkEnd w:id="27"/>
      <w:bookmarkEnd w:id="28"/>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29" w:name="_Toc33607059"/>
      <w:bookmarkStart w:id="30" w:name="_Toc33607262"/>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29"/>
      <w:bookmarkEnd w:id="30"/>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No. 10 of 1998 s. 25; No. 3 of 2002 s. 33.]</w:t>
      </w:r>
    </w:p>
    <w:p>
      <w:pPr>
        <w:pStyle w:val="Heading5"/>
        <w:rPr>
          <w:snapToGrid w:val="0"/>
        </w:rPr>
      </w:pPr>
      <w:bookmarkStart w:id="31" w:name="_Toc33607060"/>
      <w:bookmarkStart w:id="32" w:name="_Toc33607263"/>
      <w:r>
        <w:rPr>
          <w:rStyle w:val="CharSectno"/>
        </w:rPr>
        <w:t>14</w:t>
      </w:r>
      <w:r>
        <w:rPr>
          <w:snapToGrid w:val="0"/>
        </w:rPr>
        <w:t>.</w:t>
      </w:r>
      <w:r>
        <w:rPr>
          <w:snapToGrid w:val="0"/>
        </w:rPr>
        <w:tab/>
        <w:t>Attorney General or coroner may forbid cremation</w:t>
      </w:r>
      <w:bookmarkEnd w:id="31"/>
      <w:bookmarkEnd w:id="32"/>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No. 59 of 2004 s. 141.]</w:t>
      </w:r>
    </w:p>
    <w:p>
      <w:pPr>
        <w:pStyle w:val="Heading5"/>
        <w:rPr>
          <w:snapToGrid w:val="0"/>
        </w:rPr>
      </w:pPr>
      <w:bookmarkStart w:id="33" w:name="_Toc33607061"/>
      <w:bookmarkStart w:id="34" w:name="_Toc33607264"/>
      <w:r>
        <w:rPr>
          <w:rStyle w:val="CharSectno"/>
        </w:rPr>
        <w:t>15</w:t>
      </w:r>
      <w:r>
        <w:rPr>
          <w:snapToGrid w:val="0"/>
        </w:rPr>
        <w:t>.</w:t>
      </w:r>
      <w:r>
        <w:rPr>
          <w:snapToGrid w:val="0"/>
        </w:rPr>
        <w:tab/>
        <w:t>Offences</w:t>
      </w:r>
      <w:bookmarkEnd w:id="33"/>
      <w:bookmarkEnd w:id="34"/>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No. 113 of 1965 s. 8.]</w:t>
      </w:r>
    </w:p>
    <w:p>
      <w:pPr>
        <w:pStyle w:val="Heading5"/>
        <w:rPr>
          <w:snapToGrid w:val="0"/>
        </w:rPr>
      </w:pPr>
      <w:bookmarkStart w:id="35" w:name="_Toc33607062"/>
      <w:bookmarkStart w:id="36" w:name="_Toc33607265"/>
      <w:r>
        <w:rPr>
          <w:rStyle w:val="CharSectno"/>
        </w:rPr>
        <w:t>16</w:t>
      </w:r>
      <w:r>
        <w:rPr>
          <w:snapToGrid w:val="0"/>
        </w:rPr>
        <w:t>.</w:t>
      </w:r>
      <w:r>
        <w:rPr>
          <w:snapToGrid w:val="0"/>
        </w:rPr>
        <w:tab/>
        <w:t>Revocation of licences</w:t>
      </w:r>
      <w:bookmarkEnd w:id="35"/>
      <w:bookmarkEnd w:id="36"/>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Chief Health Officer;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No order revoking any licence on the ground mentioned in subsection (1)(a) or (b) shall be made more than 3 months after the date of the conviction or of the Chief Health Officer’s certificate, as the case may be.</w:t>
      </w:r>
    </w:p>
    <w:p>
      <w:pPr>
        <w:pStyle w:val="Footnotesection"/>
      </w:pPr>
      <w:r>
        <w:tab/>
        <w:t>[Section 16 amended: No. 113 of 1965 s. 8; No. 28 of 1984 s. 12 and 13; No. 19 of 2010 s. 51; No. 19 of 2016 s. 125.]</w:t>
      </w:r>
    </w:p>
    <w:p>
      <w:pPr>
        <w:pStyle w:val="Heading5"/>
        <w:rPr>
          <w:snapToGrid w:val="0"/>
        </w:rPr>
      </w:pPr>
      <w:bookmarkStart w:id="37" w:name="_Toc33607063"/>
      <w:bookmarkStart w:id="38" w:name="_Toc33607266"/>
      <w:r>
        <w:rPr>
          <w:rStyle w:val="CharSectno"/>
        </w:rPr>
        <w:t>17</w:t>
      </w:r>
      <w:r>
        <w:rPr>
          <w:snapToGrid w:val="0"/>
        </w:rPr>
        <w:t>.</w:t>
      </w:r>
      <w:r>
        <w:rPr>
          <w:snapToGrid w:val="0"/>
        </w:rPr>
        <w:tab/>
        <w:t>Regulations</w:t>
      </w:r>
      <w:bookmarkEnd w:id="37"/>
      <w:bookmarkEnd w:id="38"/>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Chief Health Officer, and providing for all such buildings, fittings, works and apparatus to be erected, completed and maintained to the satisfaction of the Chief Health Officer, and to prohibit the erection on any site not approved as aforesaid, or the use of any such buildings, fittings, works or apparatus not erected or completed or maintained to the satisfaction of the Chief Health Officer;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No. 80 of 1953 s. 11; No. 113 of 1965 s. 8; No. 28 of 1984 s. 13; No. 103 of 1986 s. 5; No. 19 of 2016 s. 125.]</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39" w:name="_Toc33607041"/>
      <w:bookmarkStart w:id="40" w:name="_Toc33607064"/>
      <w:bookmarkStart w:id="41" w:name="_Toc33607244"/>
      <w:bookmarkStart w:id="42" w:name="_Toc33607267"/>
      <w:r>
        <w:t>Notes</w:t>
      </w:r>
      <w:bookmarkEnd w:id="39"/>
      <w:bookmarkEnd w:id="40"/>
      <w:bookmarkEnd w:id="41"/>
      <w:bookmarkEnd w:id="42"/>
    </w:p>
    <w:p>
      <w:pPr>
        <w:pStyle w:val="nStatement"/>
      </w:pPr>
      <w:r>
        <w:t xml:space="preserve">This is a compilation of the </w:t>
      </w:r>
      <w:r>
        <w:rPr>
          <w:i/>
          <w:noProof/>
        </w:rPr>
        <w:t>Cremation Act 1929</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43" w:name="_Toc33607065"/>
      <w:bookmarkStart w:id="44" w:name="_Toc33607268"/>
      <w: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Cremation Act 1929</w:t>
            </w:r>
          </w:p>
        </w:tc>
        <w:tc>
          <w:tcPr>
            <w:tcW w:w="1134" w:type="dxa"/>
            <w:tcBorders>
              <w:top w:val="single" w:sz="8" w:space="0" w:color="auto"/>
            </w:tcBorders>
          </w:tcPr>
          <w:p>
            <w:pPr>
              <w:pStyle w:val="nTable"/>
              <w:spacing w:after="40"/>
            </w:pPr>
            <w:r>
              <w:t>22 of 1929</w:t>
            </w:r>
            <w:r>
              <w:br/>
              <w:t>(20 Geo. V No. 20)</w:t>
            </w:r>
          </w:p>
        </w:tc>
        <w:tc>
          <w:tcPr>
            <w:tcW w:w="1135" w:type="dxa"/>
            <w:tcBorders>
              <w:top w:val="single" w:sz="8" w:space="0" w:color="auto"/>
            </w:tcBorders>
          </w:tcPr>
          <w:p>
            <w:pPr>
              <w:pStyle w:val="nTable"/>
              <w:spacing w:after="40"/>
            </w:pPr>
            <w:r>
              <w:t>11 Dec 1929</w:t>
            </w:r>
          </w:p>
        </w:tc>
        <w:tc>
          <w:tcPr>
            <w:tcW w:w="2551" w:type="dxa"/>
            <w:tcBorders>
              <w:top w:val="single" w:sz="8" w:space="0" w:color="auto"/>
            </w:tcBorders>
          </w:tcPr>
          <w:p>
            <w:pPr>
              <w:pStyle w:val="nTable"/>
              <w:spacing w:after="40"/>
            </w:pPr>
            <w:r>
              <w:t>11 Dec 1929</w:t>
            </w:r>
          </w:p>
        </w:tc>
      </w:tr>
      <w:tr>
        <w:trPr>
          <w:cantSplit/>
        </w:trPr>
        <w:tc>
          <w:tcPr>
            <w:tcW w:w="2268" w:type="dxa"/>
          </w:tcPr>
          <w:p>
            <w:pPr>
              <w:pStyle w:val="nTable"/>
              <w:spacing w:after="40"/>
              <w:ind w:right="113"/>
            </w:pPr>
            <w:r>
              <w:rPr>
                <w:i/>
              </w:rPr>
              <w:t>Cremation Act Amendment Act 1935</w:t>
            </w:r>
          </w:p>
        </w:tc>
        <w:tc>
          <w:tcPr>
            <w:tcW w:w="1134" w:type="dxa"/>
          </w:tcPr>
          <w:p>
            <w:pPr>
              <w:pStyle w:val="nTable"/>
              <w:spacing w:after="40"/>
            </w:pPr>
            <w:r>
              <w:t>8 of 1935</w:t>
            </w:r>
            <w:r>
              <w:br/>
              <w:t>(26 Geo. V No. 8)</w:t>
            </w:r>
          </w:p>
        </w:tc>
        <w:tc>
          <w:tcPr>
            <w:tcW w:w="1135" w:type="dxa"/>
          </w:tcPr>
          <w:p>
            <w:pPr>
              <w:pStyle w:val="nTable"/>
              <w:spacing w:after="40"/>
            </w:pPr>
            <w:r>
              <w:t>5 Oct 1935</w:t>
            </w:r>
          </w:p>
        </w:tc>
        <w:tc>
          <w:tcPr>
            <w:tcW w:w="2551" w:type="dxa"/>
          </w:tcPr>
          <w:p>
            <w:pPr>
              <w:pStyle w:val="nTable"/>
              <w:spacing w:after="40"/>
            </w:pPr>
            <w:r>
              <w:t>5 Oct 1935</w:t>
            </w:r>
          </w:p>
        </w:tc>
      </w:tr>
      <w:tr>
        <w:trPr>
          <w:cantSplit/>
        </w:trPr>
        <w:tc>
          <w:tcPr>
            <w:tcW w:w="7088" w:type="dxa"/>
            <w:gridSpan w:val="4"/>
          </w:tcPr>
          <w:p>
            <w:pPr>
              <w:pStyle w:val="nTable"/>
              <w:spacing w:after="40"/>
            </w:pPr>
            <w:r>
              <w:rPr>
                <w:b/>
                <w:bCs/>
              </w:rPr>
              <w:t xml:space="preserve">Reprint of the </w:t>
            </w:r>
            <w:r>
              <w:rPr>
                <w:b/>
                <w:bCs/>
                <w:i/>
              </w:rPr>
              <w:t>Cremation Act 1929</w:t>
            </w:r>
            <w:r>
              <w:rPr>
                <w:b/>
                <w:bCs/>
              </w:rPr>
              <w:t xml:space="preserve"> in Vol. 2 of Reprinted Acts</w:t>
            </w:r>
            <w:r>
              <w:t xml:space="preserve"> (includes amendments listed above)</w:t>
            </w:r>
          </w:p>
        </w:tc>
      </w:tr>
      <w:tr>
        <w:trPr>
          <w:cantSplit/>
        </w:trPr>
        <w:tc>
          <w:tcPr>
            <w:tcW w:w="2268" w:type="dxa"/>
          </w:tcPr>
          <w:p>
            <w:pPr>
              <w:pStyle w:val="nTable"/>
              <w:spacing w:after="40"/>
              <w:ind w:right="113"/>
            </w:pPr>
            <w:r>
              <w:rPr>
                <w:i/>
              </w:rPr>
              <w:t>Cremation Act Amendment Act 1953</w:t>
            </w:r>
          </w:p>
        </w:tc>
        <w:tc>
          <w:tcPr>
            <w:tcW w:w="1134" w:type="dxa"/>
          </w:tcPr>
          <w:p>
            <w:pPr>
              <w:pStyle w:val="nTable"/>
              <w:spacing w:after="40"/>
            </w:pPr>
            <w:r>
              <w:t>80 of 1953</w:t>
            </w:r>
            <w:r>
              <w:br/>
              <w:t>(2 Eliz. II No. 80)</w:t>
            </w:r>
          </w:p>
        </w:tc>
        <w:tc>
          <w:tcPr>
            <w:tcW w:w="1135" w:type="dxa"/>
          </w:tcPr>
          <w:p>
            <w:pPr>
              <w:pStyle w:val="nTable"/>
              <w:spacing w:after="40"/>
            </w:pPr>
            <w:r>
              <w:t>18 Jan 1954</w:t>
            </w:r>
          </w:p>
        </w:tc>
        <w:tc>
          <w:tcPr>
            <w:tcW w:w="2551" w:type="dxa"/>
          </w:tcPr>
          <w:p>
            <w:pPr>
              <w:pStyle w:val="nTable"/>
              <w:spacing w:after="40"/>
            </w:pPr>
            <w:r>
              <w:t xml:space="preserve">6 Sep 1954 (see s. 2 and </w:t>
            </w:r>
            <w:r>
              <w:rPr>
                <w:i/>
              </w:rPr>
              <w:t>Gazette</w:t>
            </w:r>
            <w:r>
              <w:t xml:space="preserve"> 20 Aug 1954 p. 1429)</w:t>
            </w:r>
          </w:p>
        </w:tc>
      </w:tr>
      <w:tr>
        <w:trPr>
          <w:cantSplit/>
        </w:trPr>
        <w:tc>
          <w:tcPr>
            <w:tcW w:w="7088" w:type="dxa"/>
            <w:gridSpan w:val="4"/>
          </w:tcPr>
          <w:p>
            <w:pPr>
              <w:pStyle w:val="nTable"/>
              <w:spacing w:after="40"/>
            </w:pPr>
            <w:r>
              <w:rPr>
                <w:b/>
                <w:bCs/>
              </w:rPr>
              <w:t xml:space="preserve">Reprint of the </w:t>
            </w:r>
            <w:r>
              <w:rPr>
                <w:b/>
                <w:bCs/>
                <w:i/>
              </w:rPr>
              <w:t>Cremation Act 1929</w:t>
            </w:r>
            <w:r>
              <w:rPr>
                <w:b/>
                <w:bCs/>
              </w:rPr>
              <w:t xml:space="preserve"> approved 23 Apr 1963 in Vol. 18 of Reprinted Acts</w:t>
            </w:r>
            <w:r>
              <w:t xml:space="preserve"> (includes amendments listed above)</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Cremation Act Amendment Act 1967</w:t>
            </w:r>
          </w:p>
        </w:tc>
        <w:tc>
          <w:tcPr>
            <w:tcW w:w="1134" w:type="dxa"/>
          </w:tcPr>
          <w:p>
            <w:pPr>
              <w:pStyle w:val="nTable"/>
              <w:spacing w:after="40"/>
            </w:pPr>
            <w:r>
              <w:t>35 of 1967</w:t>
            </w:r>
          </w:p>
        </w:tc>
        <w:tc>
          <w:tcPr>
            <w:tcW w:w="1135" w:type="dxa"/>
          </w:tcPr>
          <w:p>
            <w:pPr>
              <w:pStyle w:val="nTable"/>
              <w:spacing w:after="40"/>
            </w:pPr>
            <w:r>
              <w:t>21 Nov 1967</w:t>
            </w:r>
          </w:p>
        </w:tc>
        <w:tc>
          <w:tcPr>
            <w:tcW w:w="2551" w:type="dxa"/>
          </w:tcPr>
          <w:p>
            <w:pPr>
              <w:pStyle w:val="nTable"/>
              <w:spacing w:after="40"/>
            </w:pPr>
            <w:r>
              <w:t>21 Nov 1967</w:t>
            </w:r>
          </w:p>
        </w:tc>
      </w:tr>
      <w:tr>
        <w:trPr>
          <w:cantSplit/>
        </w:trPr>
        <w:tc>
          <w:tcPr>
            <w:tcW w:w="2268" w:type="dxa"/>
          </w:tcPr>
          <w:p>
            <w:pPr>
              <w:pStyle w:val="nTable"/>
              <w:spacing w:after="40"/>
              <w:ind w:right="113"/>
            </w:pPr>
            <w:r>
              <w:rPr>
                <w:i/>
              </w:rPr>
              <w:t>Cremation Act Amendment Act 1968</w:t>
            </w:r>
          </w:p>
        </w:tc>
        <w:tc>
          <w:tcPr>
            <w:tcW w:w="1134" w:type="dxa"/>
          </w:tcPr>
          <w:p>
            <w:pPr>
              <w:pStyle w:val="nTable"/>
              <w:spacing w:after="40"/>
            </w:pPr>
            <w:r>
              <w:t>2 of 1968</w:t>
            </w:r>
          </w:p>
        </w:tc>
        <w:tc>
          <w:tcPr>
            <w:tcW w:w="1135" w:type="dxa"/>
          </w:tcPr>
          <w:p>
            <w:pPr>
              <w:pStyle w:val="nTable"/>
              <w:spacing w:after="40"/>
            </w:pPr>
            <w:r>
              <w:t>26 Sep 1968</w:t>
            </w:r>
          </w:p>
        </w:tc>
        <w:tc>
          <w:tcPr>
            <w:tcW w:w="2551" w:type="dxa"/>
          </w:tcPr>
          <w:p>
            <w:pPr>
              <w:pStyle w:val="nTable"/>
              <w:spacing w:after="40"/>
            </w:pPr>
            <w:r>
              <w:t>26 Sep 1968</w:t>
            </w:r>
          </w:p>
        </w:tc>
      </w:tr>
      <w:tr>
        <w:trPr>
          <w:cantSplit/>
        </w:trPr>
        <w:tc>
          <w:tcPr>
            <w:tcW w:w="7088" w:type="dxa"/>
            <w:gridSpan w:val="4"/>
          </w:tcPr>
          <w:p>
            <w:pPr>
              <w:pStyle w:val="nTable"/>
              <w:spacing w:after="40"/>
            </w:pPr>
            <w:r>
              <w:rPr>
                <w:b/>
                <w:bCs/>
              </w:rPr>
              <w:t xml:space="preserve">Reprint of the </w:t>
            </w:r>
            <w:r>
              <w:rPr>
                <w:b/>
                <w:bCs/>
                <w:i/>
              </w:rPr>
              <w:t>Cremation Act 1929</w:t>
            </w:r>
            <w:r>
              <w:rPr>
                <w:b/>
                <w:bCs/>
              </w:rPr>
              <w:t xml:space="preserve"> approved 8 Apr 1971</w:t>
            </w:r>
            <w:r>
              <w:t xml:space="preserve"> (includes amendments listed above)</w:t>
            </w:r>
          </w:p>
        </w:tc>
      </w:tr>
      <w:tr>
        <w:trPr>
          <w:cantSplit/>
        </w:trPr>
        <w:tc>
          <w:tcPr>
            <w:tcW w:w="2268" w:type="dxa"/>
          </w:tcPr>
          <w:p>
            <w:pPr>
              <w:pStyle w:val="nTable"/>
              <w:spacing w:after="40"/>
              <w:ind w:right="113"/>
            </w:pPr>
            <w:r>
              <w:rPr>
                <w:i/>
              </w:rPr>
              <w:t>Health Legislation Amendment Act 1984</w:t>
            </w:r>
            <w:r>
              <w:t xml:space="preserve"> Pt. IV</w:t>
            </w:r>
          </w:p>
        </w:tc>
        <w:tc>
          <w:tcPr>
            <w:tcW w:w="1134" w:type="dxa"/>
          </w:tcPr>
          <w:p>
            <w:pPr>
              <w:pStyle w:val="nTable"/>
              <w:spacing w:after="40"/>
            </w:pPr>
            <w:r>
              <w:t>28 of 1984</w:t>
            </w:r>
          </w:p>
        </w:tc>
        <w:tc>
          <w:tcPr>
            <w:tcW w:w="1135"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13"/>
            </w:pPr>
            <w:r>
              <w:rPr>
                <w:i/>
              </w:rPr>
              <w:t>Cremation Amendment Act 1986</w:t>
            </w:r>
          </w:p>
        </w:tc>
        <w:tc>
          <w:tcPr>
            <w:tcW w:w="1134" w:type="dxa"/>
          </w:tcPr>
          <w:p>
            <w:pPr>
              <w:pStyle w:val="nTable"/>
              <w:spacing w:after="40"/>
            </w:pPr>
            <w:r>
              <w:t>103 of 1986</w:t>
            </w:r>
          </w:p>
        </w:tc>
        <w:tc>
          <w:tcPr>
            <w:tcW w:w="1135" w:type="dxa"/>
          </w:tcPr>
          <w:p>
            <w:pPr>
              <w:pStyle w:val="nTable"/>
              <w:spacing w:after="40"/>
            </w:pPr>
            <w:r>
              <w:t>12 Dec 1986</w:t>
            </w:r>
          </w:p>
        </w:tc>
        <w:tc>
          <w:tcPr>
            <w:tcW w:w="2551" w:type="dxa"/>
          </w:tcPr>
          <w:p>
            <w:pPr>
              <w:pStyle w:val="nTable"/>
              <w:spacing w:after="40"/>
            </w:pPr>
            <w:r>
              <w:t xml:space="preserve">1 Jul 1987 (see s. 3 and </w:t>
            </w:r>
            <w:r>
              <w:rPr>
                <w:i/>
              </w:rPr>
              <w:t>Gazette</w:t>
            </w:r>
            <w:r>
              <w:t xml:space="preserve"> 12 Jun 1987 p. 2319)</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5"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Statutes (Repeals and Minor Amendments) Act (No. 2) 1998</w:t>
            </w:r>
            <w:r>
              <w:t xml:space="preserve"> s. 25</w:t>
            </w:r>
          </w:p>
        </w:tc>
        <w:tc>
          <w:tcPr>
            <w:tcW w:w="1134"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9</w:t>
            </w:r>
          </w:p>
        </w:tc>
        <w:tc>
          <w:tcPr>
            <w:tcW w:w="1134" w:type="dxa"/>
          </w:tcPr>
          <w:p>
            <w:pPr>
              <w:pStyle w:val="nTable"/>
              <w:spacing w:after="40"/>
            </w:pPr>
            <w:r>
              <w:t>40 of 1998</w:t>
            </w:r>
          </w:p>
        </w:tc>
        <w:tc>
          <w:tcPr>
            <w:tcW w:w="1135" w:type="dxa"/>
          </w:tcPr>
          <w:p>
            <w:pPr>
              <w:pStyle w:val="nTable"/>
              <w:spacing w:after="40"/>
            </w:pPr>
            <w:r>
              <w:t>30 Oct 1998</w:t>
            </w:r>
          </w:p>
        </w:tc>
        <w:tc>
          <w:tcPr>
            <w:tcW w:w="2551" w:type="dxa"/>
          </w:tcPr>
          <w:p>
            <w:pPr>
              <w:pStyle w:val="nTable"/>
              <w:spacing w:after="40"/>
            </w:pPr>
            <w:r>
              <w:t xml:space="preserve">14 Apr 1999 (see s. 2 and </w:t>
            </w:r>
            <w:r>
              <w:rPr>
                <w:i/>
              </w:rPr>
              <w:t>Gazette</w:t>
            </w:r>
            <w:r>
              <w:t xml:space="preserve"> 9 Apr 1999 p. 1433)</w:t>
            </w:r>
          </w:p>
        </w:tc>
      </w:tr>
      <w:tr>
        <w:trPr>
          <w:cantSplit/>
        </w:trPr>
        <w:tc>
          <w:tcPr>
            <w:tcW w:w="7088" w:type="dxa"/>
            <w:gridSpan w:val="4"/>
          </w:tcPr>
          <w:p>
            <w:pPr>
              <w:pStyle w:val="nTable"/>
              <w:spacing w:after="40"/>
            </w:pPr>
            <w:r>
              <w:rPr>
                <w:b/>
                <w:bCs/>
              </w:rPr>
              <w:t xml:space="preserve">Reprint of the </w:t>
            </w:r>
            <w:r>
              <w:rPr>
                <w:b/>
                <w:bCs/>
                <w:i/>
              </w:rPr>
              <w:t>Cremation Act 1929</w:t>
            </w:r>
            <w:r>
              <w:rPr>
                <w:b/>
                <w:bCs/>
              </w:rPr>
              <w:t xml:space="preserve"> as at 16 Feb 2001</w:t>
            </w:r>
            <w:r>
              <w:t xml:space="preserve"> (includes amendments listed above)</w:t>
            </w:r>
          </w:p>
        </w:tc>
      </w:tr>
      <w:tr>
        <w:trPr>
          <w:cantSplit/>
        </w:trPr>
        <w:tc>
          <w:tcPr>
            <w:tcW w:w="2268" w:type="dxa"/>
          </w:tcPr>
          <w:p>
            <w:pPr>
              <w:pStyle w:val="nTable"/>
              <w:spacing w:after="40"/>
              <w:ind w:right="113"/>
              <w:rPr>
                <w:i/>
              </w:rPr>
            </w:pPr>
            <w:r>
              <w:rPr>
                <w:i/>
              </w:rPr>
              <w:t xml:space="preserve">Acts Amendment (Lesbian and Gay Law Reform) Act 2002 </w:t>
            </w:r>
            <w:r>
              <w:t>Pt. 6</w:t>
            </w:r>
          </w:p>
        </w:tc>
        <w:tc>
          <w:tcPr>
            <w:tcW w:w="1134" w:type="dxa"/>
          </w:tcPr>
          <w:p>
            <w:pPr>
              <w:pStyle w:val="nTable"/>
              <w:spacing w:after="40"/>
            </w:pPr>
            <w:r>
              <w:t>3 of 2002</w:t>
            </w:r>
          </w:p>
        </w:tc>
        <w:tc>
          <w:tcPr>
            <w:tcW w:w="1135"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32</w:t>
            </w:r>
            <w:r>
              <w:rPr>
                <w:snapToGrid w:val="0"/>
                <w:vertAlign w:val="superscript"/>
              </w:rPr>
              <w:t> 2</w:t>
            </w:r>
          </w:p>
        </w:tc>
        <w:tc>
          <w:tcPr>
            <w:tcW w:w="1134"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13</w:t>
            </w:r>
          </w:p>
        </w:tc>
        <w:tc>
          <w:tcPr>
            <w:tcW w:w="1134" w:type="dxa"/>
            <w:tcBorders>
              <w:top w:val="nil"/>
              <w:bottom w:val="nil"/>
            </w:tcBorders>
          </w:tcPr>
          <w:p>
            <w:pPr>
              <w:pStyle w:val="nTable"/>
              <w:spacing w:after="40"/>
            </w:pPr>
            <w:r>
              <w:t>22 of 2008</w:t>
            </w:r>
          </w:p>
        </w:tc>
        <w:tc>
          <w:tcPr>
            <w:tcW w:w="1135"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after="40"/>
            </w:pPr>
            <w:r>
              <w:rPr>
                <w:b/>
                <w:bCs/>
              </w:rPr>
              <w:t xml:space="preserve">Reprint 5: The </w:t>
            </w:r>
            <w:r>
              <w:rPr>
                <w:b/>
                <w:bCs/>
                <w:i/>
              </w:rPr>
              <w:t>Cremation Act 1929</w:t>
            </w:r>
            <w:r>
              <w:rPr>
                <w:b/>
                <w:bCs/>
              </w:rPr>
              <w:t xml:space="preserve"> as at 4 Jul 2008</w:t>
            </w:r>
            <w:r>
              <w:t xml:space="preserve"> (includes amendments listed above except those in the </w:t>
            </w:r>
            <w:r>
              <w:rPr>
                <w:i/>
                <w:snapToGrid w:val="0"/>
              </w:rPr>
              <w:t>Medical Practitioners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14</w:t>
            </w:r>
          </w:p>
        </w:tc>
        <w:tc>
          <w:tcPr>
            <w:tcW w:w="1134" w:type="dxa"/>
          </w:tcPr>
          <w:p>
            <w:pPr>
              <w:pStyle w:val="nTable"/>
              <w:spacing w:after="40"/>
              <w:rPr>
                <w:snapToGrid w:val="0"/>
              </w:rPr>
            </w:pPr>
            <w:r>
              <w:rPr>
                <w:snapToGrid w:val="0"/>
              </w:rPr>
              <w:t>35 of 2010</w:t>
            </w:r>
          </w:p>
        </w:tc>
        <w:tc>
          <w:tcPr>
            <w:tcW w:w="1135"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tcPr>
          <w:p>
            <w:pPr>
              <w:pStyle w:val="nTable"/>
              <w:spacing w:after="40"/>
              <w:ind w:right="113"/>
              <w:rPr>
                <w:i/>
                <w:snapToGrid w:val="0"/>
              </w:rPr>
            </w:pPr>
            <w:r>
              <w:rPr>
                <w:i/>
                <w:noProof/>
              </w:rPr>
              <w:t xml:space="preserve">Associations Incorporation Act 2015 </w:t>
            </w:r>
            <w:r>
              <w:rPr>
                <w:noProof/>
              </w:rPr>
              <w:t>s. 213</w:t>
            </w:r>
          </w:p>
        </w:tc>
        <w:tc>
          <w:tcPr>
            <w:tcW w:w="1134" w:type="dxa"/>
          </w:tcPr>
          <w:p>
            <w:pPr>
              <w:pStyle w:val="nTable"/>
              <w:spacing w:after="40"/>
              <w:rPr>
                <w:snapToGrid w:val="0"/>
              </w:rPr>
            </w:pPr>
            <w:r>
              <w:t>30 of 2015</w:t>
            </w:r>
          </w:p>
        </w:tc>
        <w:tc>
          <w:tcPr>
            <w:tcW w:w="1135" w:type="dxa"/>
          </w:tcPr>
          <w:p>
            <w:pPr>
              <w:pStyle w:val="nTable"/>
              <w:spacing w:after="40"/>
              <w:rPr>
                <w:snapToGrid w:val="0"/>
              </w:rPr>
            </w:pPr>
            <w:r>
              <w:t>2 Nov 2015</w:t>
            </w:r>
          </w:p>
        </w:tc>
        <w:tc>
          <w:tcPr>
            <w:tcW w:w="2551"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2268" w:type="dxa"/>
          </w:tcPr>
          <w:p>
            <w:pPr>
              <w:pStyle w:val="nTable"/>
              <w:spacing w:after="40"/>
              <w:ind w:right="113"/>
              <w:rPr>
                <w:i/>
                <w:noProof/>
              </w:rPr>
            </w:pPr>
            <w:r>
              <w:rPr>
                <w:i/>
              </w:rPr>
              <w:t>Public Health (Consequential Provisions) Act 2016</w:t>
            </w:r>
          </w:p>
        </w:tc>
        <w:tc>
          <w:tcPr>
            <w:tcW w:w="1134" w:type="dxa"/>
          </w:tcPr>
          <w:p>
            <w:pPr>
              <w:pStyle w:val="nTable"/>
              <w:spacing w:after="40"/>
            </w:pPr>
            <w:r>
              <w:t>19 of 2016</w:t>
            </w:r>
          </w:p>
        </w:tc>
        <w:tc>
          <w:tcPr>
            <w:tcW w:w="1135" w:type="dxa"/>
          </w:tcPr>
          <w:p>
            <w:pPr>
              <w:pStyle w:val="nTable"/>
              <w:spacing w:after="40"/>
            </w:pPr>
            <w:r>
              <w:t>25 Jul 2016</w:t>
            </w:r>
          </w:p>
        </w:tc>
        <w:tc>
          <w:tcPr>
            <w:tcW w:w="2551" w:type="dxa"/>
          </w:tcPr>
          <w:p>
            <w:pPr>
              <w:pStyle w:val="nTable"/>
              <w:spacing w:after="40"/>
              <w:rPr>
                <w:snapToGrid w:val="0"/>
              </w:rPr>
            </w:pPr>
            <w:r>
              <w:rPr>
                <w:snapToGrid w:val="0"/>
              </w:rPr>
              <w:t xml:space="preserve">Pt. 3 Div. 9: 24 Jan 2017 (see s. 2(1)(c) and </w:t>
            </w:r>
            <w:r>
              <w:rPr>
                <w:i/>
                <w:snapToGrid w:val="0"/>
              </w:rPr>
              <w:t>Gazette</w:t>
            </w:r>
            <w:r>
              <w:rPr>
                <w:snapToGrid w:val="0"/>
              </w:rPr>
              <w:t xml:space="preserve"> 10 Jan 2017 p. 165);</w:t>
            </w:r>
            <w:r>
              <w:rPr>
                <w:snapToGrid w:val="0"/>
              </w:rPr>
              <w:br/>
              <w:t xml:space="preserve">Pt. 5 Div. 4 (s. 284 and 285(1): 20 Sep 2017 (see s. 2(1)(c) and </w:t>
            </w:r>
            <w:r>
              <w:rPr>
                <w:i/>
                <w:snapToGrid w:val="0"/>
              </w:rPr>
              <w:t>Gazette</w:t>
            </w:r>
            <w:r>
              <w:rPr>
                <w:snapToGrid w:val="0"/>
              </w:rPr>
              <w:t xml:space="preserve"> 19 Sep 2017 p. 4880)</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Cremation Act 1929</w:t>
            </w:r>
            <w:r>
              <w:rPr>
                <w:b/>
                <w:snapToGrid w:val="0"/>
              </w:rPr>
              <w:t xml:space="preserve"> as at 27 Oct 2017</w:t>
            </w:r>
            <w:r>
              <w:rPr>
                <w:snapToGrid w:val="0"/>
              </w:rPr>
              <w:t xml:space="preserve"> (includes amendments listed above)</w:t>
            </w:r>
          </w:p>
        </w:tc>
      </w:tr>
    </w:tbl>
    <w:p>
      <w:pPr>
        <w:pStyle w:val="nHeading3"/>
      </w:pPr>
      <w:bookmarkStart w:id="45" w:name="_Toc33607066"/>
      <w:bookmarkStart w:id="46" w:name="_Toc33607269"/>
      <w:r>
        <w:t>Uncommenced provisions table</w:t>
      </w:r>
      <w:bookmarkEnd w:id="45"/>
      <w:bookmarkEnd w:id="4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keepNext/>
              <w:spacing w:after="40"/>
              <w:rPr>
                <w:noProof/>
                <w:snapToGrid w:val="0"/>
                <w:vertAlign w:val="superscript"/>
              </w:rPr>
            </w:pPr>
            <w:r>
              <w:rPr>
                <w:i/>
              </w:rPr>
              <w:t>Public Health (Consequential Provisions) Act 2016</w:t>
            </w:r>
            <w:r>
              <w:t xml:space="preserve"> s. 285(2)</w:t>
            </w:r>
          </w:p>
        </w:tc>
        <w:tc>
          <w:tcPr>
            <w:tcW w:w="1134" w:type="dxa"/>
            <w:tcBorders>
              <w:top w:val="single" w:sz="8" w:space="0" w:color="auto"/>
              <w:bottom w:val="single" w:sz="8" w:space="0" w:color="auto"/>
            </w:tcBorders>
            <w:shd w:val="clear" w:color="auto" w:fill="auto"/>
          </w:tcPr>
          <w:p>
            <w:pPr>
              <w:pStyle w:val="nTable"/>
              <w:keepNext/>
              <w:spacing w:after="40"/>
            </w:pPr>
            <w:r>
              <w:t>19 of 2016</w:t>
            </w:r>
          </w:p>
        </w:tc>
        <w:tc>
          <w:tcPr>
            <w:tcW w:w="1134" w:type="dxa"/>
            <w:tcBorders>
              <w:top w:val="single" w:sz="8" w:space="0" w:color="auto"/>
              <w:bottom w:val="single" w:sz="8" w:space="0" w:color="auto"/>
            </w:tcBorders>
            <w:shd w:val="clear" w:color="auto" w:fill="auto"/>
          </w:tcPr>
          <w:p>
            <w:pPr>
              <w:pStyle w:val="nTable"/>
              <w:keepNext/>
              <w:spacing w:after="40"/>
            </w:pPr>
            <w:r>
              <w:t>25 Jul 2016</w:t>
            </w:r>
          </w:p>
        </w:tc>
        <w:tc>
          <w:tcPr>
            <w:tcW w:w="2551" w:type="dxa"/>
            <w:tcBorders>
              <w:top w:val="single" w:sz="8" w:space="0" w:color="auto"/>
              <w:bottom w:val="single" w:sz="8" w:space="0" w:color="auto"/>
            </w:tcBorders>
            <w:shd w:val="clear" w:color="auto" w:fill="auto"/>
          </w:tcPr>
          <w:p>
            <w:pPr>
              <w:pStyle w:val="nTable"/>
              <w:keepNext/>
              <w:spacing w:after="40"/>
              <w:rPr>
                <w:snapToGrid w:val="0"/>
              </w:rPr>
            </w:pPr>
            <w:r>
              <w:rPr>
                <w:snapToGrid w:val="0"/>
              </w:rPr>
              <w:t>To be proclaimed (see s. 2(1)(c))</w:t>
            </w:r>
          </w:p>
        </w:tc>
      </w:tr>
    </w:tbl>
    <w:p>
      <w:pPr>
        <w:pStyle w:val="nHeading3"/>
      </w:pPr>
      <w:bookmarkStart w:id="47" w:name="_Toc33607067"/>
      <w:bookmarkStart w:id="48" w:name="_Toc33607270"/>
      <w:r>
        <w:t>Other notes</w:t>
      </w:r>
      <w:bookmarkEnd w:id="47"/>
      <w:bookmarkEnd w:id="48"/>
    </w:p>
    <w:p>
      <w:pPr>
        <w:pStyle w:val="nNote"/>
      </w:pPr>
      <w:r>
        <w:rPr>
          <w:vertAlign w:val="superscript"/>
        </w:rPr>
        <w:t>1</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Note"/>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50" w:name="_Toc33607045"/>
      <w:bookmarkStart w:id="51" w:name="_Toc33607068"/>
      <w:bookmarkStart w:id="52" w:name="_Toc33607248"/>
      <w:bookmarkStart w:id="53" w:name="_Toc33607271"/>
      <w:r>
        <w:rPr>
          <w:sz w:val="28"/>
        </w:rPr>
        <w:t>Defined terms</w:t>
      </w:r>
      <w:bookmarkEnd w:id="50"/>
      <w:bookmarkEnd w:id="51"/>
      <w:bookmarkEnd w:id="52"/>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w:t>
      </w:r>
      <w:r>
        <w:tab/>
        <w:t>2</w:t>
      </w:r>
    </w:p>
    <w:p>
      <w:pPr>
        <w:pStyle w:val="DefinedTerms"/>
      </w:pPr>
      <w:r>
        <w:t>administrator</w:t>
      </w:r>
      <w:r>
        <w:tab/>
        <w:t>2</w:t>
      </w:r>
    </w:p>
    <w:p>
      <w:pPr>
        <w:pStyle w:val="DefinedTerms"/>
      </w:pPr>
      <w:r>
        <w:t>association</w:t>
      </w:r>
      <w:r>
        <w:tab/>
        <w:t>4(1A)</w:t>
      </w:r>
    </w:p>
    <w:p>
      <w:pPr>
        <w:pStyle w:val="DefinedTerms"/>
      </w:pPr>
      <w:r>
        <w:t>Board</w:t>
      </w:r>
      <w:r>
        <w:tab/>
        <w:t>2</w:t>
      </w:r>
    </w:p>
    <w:p>
      <w:pPr>
        <w:pStyle w:val="DefinedTerms"/>
      </w:pPr>
      <w:r>
        <w:t>body</w:t>
      </w:r>
      <w:r>
        <w:tab/>
        <w:t>2</w:t>
      </w:r>
    </w:p>
    <w:p>
      <w:pPr>
        <w:pStyle w:val="DefinedTerms"/>
      </w:pPr>
      <w:r>
        <w:t>cemetery</w:t>
      </w:r>
      <w:r>
        <w:tab/>
        <w:t>2</w:t>
      </w:r>
    </w:p>
    <w:p>
      <w:pPr>
        <w:pStyle w:val="DefinedTerms"/>
      </w:pPr>
      <w:r>
        <w:t>Chief Health Officer</w:t>
      </w:r>
      <w:r>
        <w:tab/>
        <w:t>2</w:t>
      </w:r>
    </w:p>
    <w:p>
      <w:pPr>
        <w:pStyle w:val="DefinedTerms"/>
      </w:pPr>
      <w:r>
        <w:t>coroner</w:t>
      </w:r>
      <w:r>
        <w:tab/>
        <w:t>2</w:t>
      </w:r>
    </w:p>
    <w:p>
      <w:pPr>
        <w:pStyle w:val="DefinedTerms"/>
      </w:pPr>
      <w:r>
        <w:t>crematorium</w:t>
      </w:r>
      <w:r>
        <w:tab/>
        <w:t>2</w:t>
      </w:r>
    </w:p>
    <w:p>
      <w:pPr>
        <w:pStyle w:val="DefinedTerms"/>
      </w:pPr>
      <w:r>
        <w:t>dead human body</w:t>
      </w:r>
      <w:r>
        <w:tab/>
        <w:t>2</w:t>
      </w:r>
    </w:p>
    <w:p>
      <w:pPr>
        <w:pStyle w:val="DefinedTerms"/>
      </w:pPr>
      <w:r>
        <w:t>human body</w:t>
      </w:r>
      <w:r>
        <w:tab/>
        <w:t>2</w:t>
      </w:r>
    </w:p>
    <w:p>
      <w:pPr>
        <w:pStyle w:val="DefinedTerms"/>
      </w:pPr>
      <w:r>
        <w:t>licensed</w:t>
      </w:r>
      <w:r>
        <w:tab/>
        <w:t>2</w:t>
      </w:r>
    </w:p>
    <w:p>
      <w:pPr>
        <w:pStyle w:val="DefinedTerms"/>
      </w:pPr>
      <w:r>
        <w:t>licensees</w:t>
      </w:r>
      <w:r>
        <w:tab/>
        <w:t>2</w:t>
      </w:r>
    </w:p>
    <w:p>
      <w:pPr>
        <w:pStyle w:val="DefinedTerms"/>
      </w:pPr>
      <w:r>
        <w:t>medical practitioner</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92"/>
    </w:tblGrid>
    <w:tr>
      <w:trPr>
        <w:cantSplit/>
      </w:trPr>
      <w:tc>
        <w:tcPr>
          <w:tcW w:w="7197"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05" w:type="dxa"/>
        </w:tcPr>
        <w:p>
          <w:pPr>
            <w:pStyle w:val="Header"/>
            <w:spacing w:before="40"/>
          </w:pPr>
        </w:p>
      </w:tc>
      <w:tc>
        <w:tcPr>
          <w:tcW w:w="5892" w:type="dxa"/>
        </w:tcPr>
        <w:p>
          <w:pPr>
            <w:pStyle w:val="Header"/>
            <w:spacing w:before="40"/>
          </w:pPr>
        </w:p>
      </w:tc>
    </w:tr>
    <w:tr>
      <w:tc>
        <w:tcPr>
          <w:tcW w:w="1305" w:type="dxa"/>
        </w:tcPr>
        <w:p>
          <w:pPr>
            <w:pStyle w:val="Header"/>
            <w:spacing w:before="40"/>
          </w:pPr>
        </w:p>
      </w:tc>
      <w:tc>
        <w:tcPr>
          <w:tcW w:w="5892" w:type="dxa"/>
        </w:tcPr>
        <w:p>
          <w:pPr>
            <w:pStyle w:val="Header"/>
            <w:spacing w:before="40"/>
          </w:pPr>
        </w:p>
      </w:tc>
    </w:tr>
    <w:tr>
      <w:trPr>
        <w:cantSplit/>
      </w:trPr>
      <w:tc>
        <w:tcPr>
          <w:tcW w:w="719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26"/>
    </w:tblGrid>
    <w:tr>
      <w:trPr>
        <w:cantSplit/>
      </w:trPr>
      <w:tc>
        <w:tcPr>
          <w:tcW w:w="7211"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985" w:type="dxa"/>
        </w:tcPr>
        <w:p>
          <w:pPr>
            <w:pStyle w:val="Header"/>
            <w:spacing w:before="40"/>
            <w:jc w:val="right"/>
          </w:pPr>
        </w:p>
      </w:tc>
      <w:tc>
        <w:tcPr>
          <w:tcW w:w="1226" w:type="dxa"/>
        </w:tcPr>
        <w:p>
          <w:pPr>
            <w:pStyle w:val="Header"/>
            <w:spacing w:before="40"/>
            <w:ind w:right="17"/>
            <w:jc w:val="right"/>
          </w:pPr>
        </w:p>
      </w:tc>
    </w:tr>
    <w:tr>
      <w:tc>
        <w:tcPr>
          <w:tcW w:w="5985" w:type="dxa"/>
        </w:tcPr>
        <w:p>
          <w:pPr>
            <w:pStyle w:val="Header"/>
            <w:spacing w:before="40"/>
            <w:jc w:val="right"/>
          </w:pPr>
        </w:p>
      </w:tc>
      <w:tc>
        <w:tcPr>
          <w:tcW w:w="1226" w:type="dxa"/>
        </w:tcPr>
        <w:p>
          <w:pPr>
            <w:pStyle w:val="Header"/>
            <w:spacing w:before="40"/>
            <w:ind w:right="17"/>
            <w:jc w:val="right"/>
          </w:pPr>
        </w:p>
      </w:tc>
    </w:tr>
    <w:tr>
      <w:trPr>
        <w:cantSplit/>
      </w:trPr>
      <w:tc>
        <w:tcPr>
          <w:tcW w:w="7211"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lvlText w:val="%1."/>
      <w:lvlJc w:val="left"/>
      <w:pPr>
        <w:tabs>
          <w:tab w:val="num" w:pos="1800"/>
        </w:tabs>
        <w:ind w:left="1800" w:hanging="360"/>
      </w:pPr>
    </w:lvl>
  </w:abstractNum>
  <w:abstractNum w:abstractNumId="1">
    <w:nsid w:val="FFFFFF7D"/>
    <w:multiLevelType w:val="singleLevel"/>
    <w:tmpl w:val="77B862EC"/>
    <w:lvl w:ilvl="0">
      <w:start w:val="1"/>
      <w:numFmt w:val="decimal"/>
      <w:lvlText w:val="%1."/>
      <w:lvlJc w:val="left"/>
      <w:pPr>
        <w:tabs>
          <w:tab w:val="num" w:pos="1440"/>
        </w:tabs>
        <w:ind w:left="1440" w:hanging="360"/>
      </w:pPr>
    </w:lvl>
  </w:abstractNum>
  <w:abstractNum w:abstractNumId="2">
    <w:nsid w:val="FFFFFF7E"/>
    <w:multiLevelType w:val="singleLevel"/>
    <w:tmpl w:val="F962DFA0"/>
    <w:lvl w:ilvl="0">
      <w:start w:val="1"/>
      <w:numFmt w:val="decimal"/>
      <w:lvlText w:val="%1."/>
      <w:lvlJc w:val="left"/>
      <w:pPr>
        <w:tabs>
          <w:tab w:val="num" w:pos="1080"/>
        </w:tabs>
        <w:ind w:left="1080" w:hanging="360"/>
      </w:pPr>
    </w:lvl>
  </w:abstractNum>
  <w:abstractNum w:abstractNumId="3">
    <w:nsid w:val="FFFFFF7F"/>
    <w:multiLevelType w:val="singleLevel"/>
    <w:tmpl w:val="636A434A"/>
    <w:lvl w:ilvl="0">
      <w:start w:val="1"/>
      <w:numFmt w:val="decimal"/>
      <w:lvlText w:val="%1."/>
      <w:lvlJc w:val="left"/>
      <w:pPr>
        <w:tabs>
          <w:tab w:val="num" w:pos="720"/>
        </w:tabs>
        <w:ind w:left="720" w:hanging="360"/>
      </w:pPr>
    </w:lvl>
  </w:abstractNum>
  <w:abstractNum w:abstractNumId="4">
    <w:nsid w:val="FFFFFF80"/>
    <w:multiLevelType w:val="singleLevel"/>
    <w:tmpl w:val="7B8A0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lvlText w:val="%1."/>
      <w:lvlJc w:val="left"/>
      <w:pPr>
        <w:tabs>
          <w:tab w:val="num" w:pos="360"/>
        </w:tabs>
        <w:ind w:left="360" w:hanging="360"/>
      </w:pPr>
    </w:lvl>
  </w:abstractNum>
  <w:abstractNum w:abstractNumId="9">
    <w:nsid w:val="FFFFFF89"/>
    <w:multiLevelType w:val="singleLevel"/>
    <w:tmpl w:val="F2FAED9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28ABB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05332"/>
    <w:docVar w:name="WAFER_20140122095528" w:val="RemoveTocBookmarks,RemoveUnusedBookmarks,RemoveLanguageTags,UsedStyles,ResetPageSize,UpdateArrangement"/>
    <w:docVar w:name="WAFER_20140122095528_GUID" w:val="995afbe3-fe0f-4812-ba6a-18efd5f913f3"/>
    <w:docVar w:name="WAFER_20140122110923" w:val="RemoveTocBookmarks,RunningHeaders"/>
    <w:docVar w:name="WAFER_20140122110923_GUID" w:val="cd1a398c-aa93-44ab-86c2-10b525a91967"/>
    <w:docVar w:name="WAFER_20150401100336" w:val="ResetPageSize,UpdateArrangement,UpdateNTable"/>
    <w:docVar w:name="WAFER_20150401100336_GUID" w:val="812387f6-035a-4258-b6fb-5789b1c18d4c"/>
    <w:docVar w:name="WAFER_20151103102413" w:val="UpdateStyles,UsedStyles"/>
    <w:docVar w:name="WAFER_20151103102413_GUID" w:val="fb8561dc-2f1e-4018-ab82-bfc268b78598"/>
    <w:docVar w:name="WAFER_20151104142502" w:val="UpdateStyles,UsedStyles"/>
    <w:docVar w:name="WAFER_20151104142502_GUID" w:val="780cee79-fdfa-4fc5-9464-37857ce948af"/>
    <w:docVar w:name="WAFER_20151105163217" w:val="UsedStyles"/>
    <w:docVar w:name="WAFER_20151105163217_GUID" w:val="00e61ce3-b46d-4754-b145-bc8170ea6bf3"/>
    <w:docVar w:name="WAFER_20170111145733" w:val="RemoveTocBookmarks,RemoveUnusedBookmarks,RemoveLanguageTags,UsedStyles,ResetPageSize"/>
    <w:docVar w:name="WAFER_20170111145733_GUID" w:val="58be8a2e-e62b-4fac-a43b-9176e71264cd"/>
    <w:docVar w:name="WAFER_20170525150856" w:val="RemoveTocBookmarks,RemoveUnusedBookmarks,RemoveLanguageTags,UsedStyles,ResetPageSize,RemoveCustomizations"/>
    <w:docVar w:name="WAFER_20170525150856_GUID" w:val="a4e6a401-b307-4aa5-bf11-3d3126b75bd7"/>
    <w:docVar w:name="WAFER_202002261053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05332_GUID" w:val="ca52fec2-171a-4c7c-80e2-7b59de29d7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4926</Words>
  <Characters>22763</Characters>
  <Application>Microsoft Office Word</Application>
  <DocSecurity>0</DocSecurity>
  <Lines>689</Lines>
  <Paragraphs>350</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27339</CharactersWithSpaces>
  <SharedDoc>false</SharedDoc>
  <HLinks>
    <vt:vector size="12" baseType="variant">
      <vt:variant>
        <vt:i4>131085</vt:i4>
      </vt:variant>
      <vt:variant>
        <vt:i4>23951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1929 - 06-a0-03</dc:title>
  <dc:subject/>
  <dc:creator/>
  <cp:keywords/>
  <dc:description/>
  <cp:lastModifiedBy>svcMRProcess</cp:lastModifiedBy>
  <cp:revision>4</cp:revision>
  <cp:lastPrinted>2017-10-23T01:16:00Z</cp:lastPrinted>
  <dcterms:created xsi:type="dcterms:W3CDTF">2020-02-26T05:19:00Z</dcterms:created>
  <dcterms:modified xsi:type="dcterms:W3CDTF">2020-02-26T05:19:00Z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DocumentType">
    <vt:lpwstr>Act</vt:lpwstr>
  </property>
  <property fmtid="{D5CDD505-2E9C-101B-9397-08002B2CF9AE}" pid="4" name="OwlsUID">
    <vt:i4>193</vt:i4>
  </property>
  <property fmtid="{D5CDD505-2E9C-101B-9397-08002B2CF9AE}" pid="5" name="ReprintedAsAt">
    <vt:filetime>2017-10-26T16:00:00Z</vt:filetime>
  </property>
  <property fmtid="{D5CDD505-2E9C-101B-9397-08002B2CF9AE}" pid="6" name="ReprintNo">
    <vt:lpwstr>6</vt:lpwstr>
  </property>
  <property fmtid="{D5CDD505-2E9C-101B-9397-08002B2CF9AE}" pid="7" name="CommencementDate">
    <vt:lpwstr>20171027</vt:lpwstr>
  </property>
  <property fmtid="{D5CDD505-2E9C-101B-9397-08002B2CF9AE}" pid="8" name="AsAtDate">
    <vt:lpwstr>27 Oct 2017</vt:lpwstr>
  </property>
  <property fmtid="{D5CDD505-2E9C-101B-9397-08002B2CF9AE}" pid="9" name="Suffix">
    <vt:lpwstr>06-a0-03</vt:lpwstr>
  </property>
</Properties>
</file>