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(Environmentally Sensitive Areas) Notice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(Environmentally Sensitive Areas) Notice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_Toc498068558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_Toc498068559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this notice</w:t>
      </w:r>
      <w:r>
        <w:tab/>
      </w:r>
      <w:r>
        <w:fldChar w:fldCharType="begin"/>
      </w:r>
      <w:r>
        <w:instrText xml:space="preserve"> PAGEREF _Toc498068560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Declaration of environmentally sensitive areas</w:t>
      </w:r>
      <w:r>
        <w:tab/>
      </w:r>
      <w:r>
        <w:fldChar w:fldCharType="begin"/>
      </w:r>
      <w:r>
        <w:instrText xml:space="preserve"> PAGEREF _Toc498068561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_Toc498068563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Environmental Protection Act 1986</w:t>
      </w:r>
    </w:p>
    <w:p>
      <w:pPr>
        <w:pStyle w:val="NameofActReg"/>
      </w:pPr>
      <w:r>
        <w:t>Environmental Protection (Environmentally Sensitive Areas) Notice 2005</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8508436"/>
      <w:bookmarkStart w:id="11" w:name="_Toc303256798"/>
      <w:bookmarkStart w:id="12" w:name="_Toc498068558"/>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pPr>
      <w:r>
        <w:tab/>
      </w:r>
      <w:r>
        <w:tab/>
        <w:t xml:space="preserve">This notice is the </w:t>
      </w:r>
      <w:r>
        <w:rPr>
          <w:i/>
        </w:rPr>
        <w:t>Environmental Protection (Environmentally Sensitive Areas) Notice 2005</w:t>
      </w:r>
      <w:r>
        <w:t>.</w:t>
      </w:r>
    </w:p>
    <w:p>
      <w:pPr>
        <w:pStyle w:val="Heading5"/>
      </w:pPr>
      <w:bookmarkStart w:id="13" w:name="_Toc498068559"/>
      <w:r>
        <w:rPr>
          <w:rStyle w:val="CharSectno"/>
        </w:rPr>
        <w:t>2</w:t>
      </w:r>
      <w:r>
        <w:t>.</w:t>
      </w:r>
      <w:r>
        <w:tab/>
        <w:t>Commencement</w:t>
      </w:r>
      <w:bookmarkEnd w:id="13"/>
      <w:r>
        <w:t xml:space="preserve"> </w:t>
      </w:r>
    </w:p>
    <w:p>
      <w:pPr>
        <w:pStyle w:val="Subsection"/>
      </w:pPr>
      <w:r>
        <w:tab/>
      </w:r>
      <w:r>
        <w:tab/>
        <w:t xml:space="preserve">This notice comes into operation on the day on which it is published in the </w:t>
      </w:r>
      <w:r>
        <w:rPr>
          <w:i/>
        </w:rPr>
        <w:t>Gazette</w:t>
      </w:r>
      <w:r>
        <w:t xml:space="preserve">. </w:t>
      </w:r>
    </w:p>
    <w:p>
      <w:pPr>
        <w:pStyle w:val="Heading5"/>
      </w:pPr>
      <w:bookmarkStart w:id="14" w:name="_Toc498068560"/>
      <w:r>
        <w:rPr>
          <w:rStyle w:val="CharSectno"/>
        </w:rPr>
        <w:t>3</w:t>
      </w:r>
      <w:r>
        <w:t>.</w:t>
      </w:r>
      <w:r>
        <w:tab/>
        <w:t>Terms used in this notice</w:t>
      </w:r>
      <w:bookmarkEnd w:id="14"/>
      <w:r>
        <w:t xml:space="preserve"> </w:t>
      </w:r>
    </w:p>
    <w:p>
      <w:pPr>
        <w:pStyle w:val="Subsection"/>
      </w:pPr>
      <w:r>
        <w:tab/>
      </w:r>
      <w:r>
        <w:tab/>
        <w:t xml:space="preserve">In this notice — </w:t>
      </w:r>
    </w:p>
    <w:p>
      <w:pPr>
        <w:pStyle w:val="Defstart"/>
      </w:pPr>
      <w:r>
        <w:tab/>
      </w:r>
      <w:r>
        <w:rPr>
          <w:rStyle w:val="CharDefText"/>
        </w:rPr>
        <w:t>defined wetland</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Department;</w:t>
      </w:r>
    </w:p>
    <w:p>
      <w:pPr>
        <w:pStyle w:val="Defpara"/>
      </w:pPr>
      <w:r>
        <w:tab/>
        <w:t>(d)</w:t>
      </w:r>
      <w:r>
        <w:tab/>
        <w:t xml:space="preserve">a wetland mapped in Pen, L. “A Systematic Overview of Environmental Values of the Wetlands, Rivers and </w:t>
      </w:r>
      <w:r>
        <w:lastRenderedPageBreak/>
        <w:t xml:space="preserve">Estuaries of the Busselton-Walpole Region” (1997), published by the Water and Rivers Commission, Perth; and </w:t>
      </w:r>
    </w:p>
    <w:p>
      <w:pPr>
        <w:pStyle w:val="Defpara"/>
      </w:pPr>
      <w:r>
        <w:tab/>
        <w:t>(e)</w:t>
      </w:r>
      <w:r>
        <w:tab/>
        <w:t xml:space="preserve">a wetland mapped in V &amp; C Semeniuk Research Group “Mapping and Classification of Wetlands from Augusta to Walpole in the South West of Western Australia” (1997), published by the Water and Rivers Commission, Perth; </w:t>
      </w:r>
    </w:p>
    <w:p>
      <w:pPr>
        <w:pStyle w:val="Defstart"/>
      </w:pPr>
      <w:r>
        <w:tab/>
      </w:r>
      <w:r>
        <w:rPr>
          <w:rStyle w:val="CharDefText"/>
        </w:rPr>
        <w:t>ecological community</w:t>
      </w:r>
      <w:r>
        <w:t xml:space="preserve"> means a naturally occurring biological assemblage that occurs in a particular type of habitat; </w:t>
      </w:r>
    </w:p>
    <w:p>
      <w:pPr>
        <w:pStyle w:val="Defstart"/>
      </w:pPr>
      <w:r>
        <w:tab/>
      </w:r>
      <w:r>
        <w:rPr>
          <w:rStyle w:val="CharDefText"/>
        </w:rPr>
        <w:t>maintenance area</w:t>
      </w:r>
      <w:r>
        <w:t xml:space="preserve">, of a stretch of road or railway, means any area in the reserve for that stretch of road or railway that is lawfully cleared; </w:t>
      </w:r>
    </w:p>
    <w:p>
      <w:pPr>
        <w:pStyle w:val="Defstart"/>
      </w:pPr>
      <w:r>
        <w:tab/>
      </w:r>
      <w:r>
        <w:rPr>
          <w:rStyle w:val="CharDefText"/>
        </w:rPr>
        <w:t>Ramsar Convention</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tab/>
      </w:r>
      <w:r>
        <w:rPr>
          <w:rStyle w:val="CharDefText"/>
        </w:rPr>
        <w:t>rare flora</w:t>
      </w:r>
      <w:r>
        <w:t xml:space="preserve"> means flora that is declared to be rare flora under section 23F of the </w:t>
      </w:r>
      <w:r>
        <w:rPr>
          <w:i/>
        </w:rPr>
        <w:t>Wildlife Conservation Act 1950</w:t>
      </w:r>
      <w:r>
        <w:t xml:space="preserve">; </w:t>
      </w:r>
    </w:p>
    <w:p>
      <w:pPr>
        <w:pStyle w:val="Defstart"/>
      </w:pPr>
      <w:r>
        <w:tab/>
      </w:r>
      <w:r>
        <w:rPr>
          <w:rStyle w:val="CharDefText"/>
        </w:rPr>
        <w:t>threatened ecological community</w:t>
      </w:r>
      <w:r>
        <w:t xml:space="preserve"> means an ecological community that — </w:t>
      </w:r>
    </w:p>
    <w:p>
      <w:pPr>
        <w:pStyle w:val="Defpara"/>
      </w:pPr>
      <w:r>
        <w:tab/>
        <w:t>(a)</w:t>
      </w:r>
      <w:r>
        <w:tab/>
        <w:t xml:space="preserve">has been determined by the Minister to be a threatened ecological community; and </w:t>
      </w:r>
    </w:p>
    <w:p>
      <w:pPr>
        <w:pStyle w:val="Defpara"/>
      </w:pPr>
      <w:r>
        <w:tab/>
        <w:t>(b)</w:t>
      </w:r>
      <w:r>
        <w:tab/>
        <w:t xml:space="preserve">is referred to in the list of threatened ecological communities maintained by the chief executive officer of the department of the Public Service principally assisting in the administration of the </w:t>
      </w:r>
      <w:r>
        <w:rPr>
          <w:i/>
        </w:rPr>
        <w:t>Conservation and Land Management Act 1984</w:t>
      </w:r>
      <w:r>
        <w:t>.</w:t>
      </w:r>
    </w:p>
    <w:p>
      <w:pPr>
        <w:pStyle w:val="Heading5"/>
      </w:pPr>
      <w:bookmarkStart w:id="15" w:name="_Toc498068561"/>
      <w:r>
        <w:rPr>
          <w:rStyle w:val="CharSectno"/>
        </w:rPr>
        <w:t>4</w:t>
      </w:r>
      <w:r>
        <w:t>.</w:t>
      </w:r>
      <w:r>
        <w:tab/>
        <w:t>Declaration of environmentally sensitive areas</w:t>
      </w:r>
      <w:bookmarkEnd w:id="15"/>
      <w:r>
        <w:t xml:space="preserve"> </w:t>
      </w:r>
    </w:p>
    <w:p>
      <w:pPr>
        <w:pStyle w:val="Subsection"/>
        <w:keepNext/>
      </w:pPr>
      <w:r>
        <w:tab/>
        <w:t>(1)</w:t>
      </w:r>
      <w:r>
        <w:tab/>
        <w:t xml:space="preserve">Subject to this clause,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included on the Register of the National Estate, because of its natural heritage value, under the </w:t>
      </w:r>
      <w:r>
        <w:rPr>
          <w:i/>
        </w:rPr>
        <w:t>Australian Heritage Council Act 2003</w:t>
      </w:r>
      <w:r>
        <w:t xml:space="preserve"> of the Commonwealth;</w:t>
      </w:r>
    </w:p>
    <w:p>
      <w:pPr>
        <w:pStyle w:val="Indenta"/>
      </w:pPr>
      <w:r>
        <w:tab/>
        <w:t>(c)</w:t>
      </w:r>
      <w:r>
        <w:tab/>
        <w:t xml:space="preserve">a defined wetland and the area within 50 m of the wetland; </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 xml:space="preserve">a Bush Forever site listed in “Bush Forever” Volumes 1 and 2 (2000), published by the Western Australia Planning Commission, except to the extent to which the site is approved to be developed by the Western Australia Planning Commission, as described in subclause (3); </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For the purposes of subclause (1)(d), an area of vegetation is continuous with another area of vegetation if any separation between the areas is less than 5 m at one or more points.</w:t>
      </w:r>
    </w:p>
    <w:p>
      <w:pPr>
        <w:pStyle w:val="Subsection"/>
      </w:pPr>
      <w:r>
        <w:tab/>
        <w:t>(3)</w:t>
      </w:r>
      <w:r>
        <w:tab/>
        <w:t xml:space="preserve">For the purposes of subclause (1)(f), an area of a Bush Forever site is approved to be developed by the Western Australia Planning Commission if — </w:t>
      </w:r>
    </w:p>
    <w:p>
      <w:pPr>
        <w:pStyle w:val="Indenta"/>
      </w:pPr>
      <w:r>
        <w:tab/>
        <w:t>(a)</w:t>
      </w:r>
      <w:r>
        <w:tab/>
        <w:t>the Commission has made a decision with respect to the area that, if implemented, would have the effect that development or other works can take place in the area;</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(4)</w:t>
      </w:r>
      <w:r>
        <w:tab/>
        <w:t>An area that would otherwise be an environmentally sensitive area because of this clause is not an environmentally sensitive area to the extent to which the area is within the maintenance area of a stretch of road or railway.</w:t>
      </w:r>
    </w:p>
    <w:p>
      <w:pPr>
        <w:pStyle w:val="Subsection"/>
      </w:pPr>
      <w:r>
        <w:tab/>
        <w:t>(5)</w:t>
      </w:r>
      <w:r>
        <w:tab/>
        <w:t xml:space="preserve">An area that would otherwise be an environmentally sensitive area because of this clause is not an environmentally sensitive area unless — </w:t>
      </w:r>
    </w:p>
    <w:p>
      <w:pPr>
        <w:pStyle w:val="Indenta"/>
      </w:pPr>
      <w:r>
        <w:tab/>
        <w:t>(a)</w:t>
      </w:r>
      <w:r>
        <w:tab/>
        <w:t>the determination of the flora, ecological community, site or area has been made public; or</w:t>
      </w:r>
    </w:p>
    <w:p>
      <w:pPr>
        <w:pStyle w:val="Indenta"/>
      </w:pPr>
      <w:r>
        <w:tab/>
        <w:t>(b)</w:t>
      </w:r>
      <w:r>
        <w:tab/>
        <w:t>in the case of an area referred to in subclause (1)(d) or (e) — the owner, occupier or person responsible for the care and maintenance of the land has been notified of the area.</w:t>
      </w:r>
    </w:p>
    <w:p>
      <w:pPr>
        <w:pStyle w:val="Subsection"/>
      </w:pPr>
      <w:r>
        <w:tab/>
        <w:t>(6)</w:t>
      </w:r>
      <w:r>
        <w:tab/>
        <w:t>In this clause, unless the contrary intention appears or the context otherwise requires, a reference to the determination of flora, an ecological community, a site or an area is a reference to the determination of the flora, ecological community, site or area as in force or effect immediately before the day on which this notice comes into operation.</w:t>
      </w:r>
    </w:p>
    <w:p>
      <w:pPr>
        <w:pStyle w:val="Subsection"/>
      </w:pPr>
      <w:r>
        <w:tab/>
        <w:t>(7)</w:t>
      </w:r>
      <w:r>
        <w:tab/>
        <w:t xml:space="preserve">In subclauses (5) and (6) — </w:t>
      </w:r>
    </w:p>
    <w:p>
      <w:pPr>
        <w:pStyle w:val="Defstart"/>
      </w:pPr>
      <w:r>
        <w:tab/>
      </w:r>
      <w:r>
        <w:rPr>
          <w:rStyle w:val="CharDefText"/>
        </w:rPr>
        <w:t>determination</w:t>
      </w:r>
      <w:r>
        <w:t>, in relation to flora, an ecological community, a site or an area, means the declaration, determination, designation, registration, listing, mapping or other description of the flora, ecological community, site or area;</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bookmarkStart w:id="16" w:name="_Toc113695922"/>
    </w:p>
    <w:p>
      <w:pPr>
        <w:pStyle w:val="nHeading2"/>
      </w:pPr>
      <w:bookmarkStart w:id="17" w:name="_Toc303255898"/>
      <w:bookmarkStart w:id="18" w:name="_Toc303256801"/>
      <w:bookmarkStart w:id="19" w:name="_Toc412558298"/>
      <w:bookmarkStart w:id="20" w:name="_Toc412558313"/>
      <w:bookmarkStart w:id="21" w:name="_Toc412558330"/>
      <w:bookmarkStart w:id="22" w:name="_Toc498007249"/>
      <w:bookmarkStart w:id="23" w:name="_Toc498068562"/>
      <w:r>
        <w:t>Notes</w:t>
      </w:r>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rPr>
        <w:t>Environmental Protection (Environmentally Sensitive Areas) Notice 2005.</w:t>
      </w:r>
      <w:r>
        <w:t xml:space="preserve">  </w:t>
      </w:r>
      <w:r>
        <w:rPr>
          <w:snapToGrid w:val="0"/>
        </w:rPr>
        <w:t>The following table contains information about that notice.</w:t>
      </w:r>
    </w:p>
    <w:p>
      <w:pPr>
        <w:pStyle w:val="nHeading3"/>
      </w:pPr>
      <w:bookmarkStart w:id="24" w:name="_Toc303256802"/>
      <w:bookmarkStart w:id="25" w:name="_Toc498068563"/>
      <w:r>
        <w:t>Compilation table</w:t>
      </w:r>
      <w:bookmarkEnd w:id="24"/>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Environmental Protection (Environmentally Sensitive Areas) Notice 2005</w:t>
            </w:r>
          </w:p>
        </w:tc>
        <w:tc>
          <w:tcPr>
            <w:tcW w:w="1276" w:type="dxa"/>
            <w:tcBorders>
              <w:top w:val="single" w:sz="8" w:space="0" w:color="auto"/>
              <w:bottom w:val="single" w:sz="8" w:space="0" w:color="auto"/>
            </w:tcBorders>
            <w:shd w:val="clear" w:color="auto" w:fill="auto"/>
          </w:tcPr>
          <w:p>
            <w:pPr>
              <w:pStyle w:val="nTable"/>
              <w:spacing w:after="40"/>
            </w:pPr>
            <w:r>
              <w:t>8 Apr 2005 p. 1163</w:t>
            </w:r>
            <w:r>
              <w:noBreakHyphen/>
              <w:t>6</w:t>
            </w:r>
          </w:p>
        </w:tc>
        <w:tc>
          <w:tcPr>
            <w:tcW w:w="2693" w:type="dxa"/>
            <w:tcBorders>
              <w:top w:val="single" w:sz="8" w:space="0" w:color="auto"/>
              <w:bottom w:val="single" w:sz="8" w:space="0" w:color="auto"/>
            </w:tcBorders>
            <w:shd w:val="clear" w:color="auto" w:fill="auto"/>
          </w:tcPr>
          <w:p>
            <w:pPr>
              <w:pStyle w:val="nTable"/>
              <w:spacing w:after="40"/>
            </w:pPr>
            <w:r>
              <w:t>8 Apr 2005 (see cl.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7" w:name="_Toc498068564"/>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defined wetland</w:t>
      </w:r>
      <w:r>
        <w:tab/>
        <w:t>3</w:t>
      </w:r>
    </w:p>
    <w:p>
      <w:pPr>
        <w:pStyle w:val="DefinedTerms"/>
      </w:pPr>
      <w:r>
        <w:t>determination</w:t>
      </w:r>
      <w:r>
        <w:tab/>
        <w:t>4(7)</w:t>
      </w:r>
    </w:p>
    <w:p>
      <w:pPr>
        <w:pStyle w:val="DefinedTerms"/>
      </w:pPr>
      <w:r>
        <w:t>ecological community</w:t>
      </w:r>
      <w:r>
        <w:tab/>
        <w:t>3</w:t>
      </w:r>
    </w:p>
    <w:p>
      <w:pPr>
        <w:pStyle w:val="DefinedTerms"/>
      </w:pPr>
      <w:r>
        <w:t>maintenance area</w:t>
      </w:r>
      <w:r>
        <w:tab/>
        <w:t>3</w:t>
      </w:r>
    </w:p>
    <w:p>
      <w:pPr>
        <w:pStyle w:val="DefinedTerms"/>
      </w:pPr>
      <w:r>
        <w:t>Ramsar Convention</w:t>
      </w:r>
      <w:r>
        <w:tab/>
        <w:t>3</w:t>
      </w:r>
    </w:p>
    <w:p>
      <w:pPr>
        <w:pStyle w:val="DefinedTerms"/>
      </w:pPr>
      <w:r>
        <w:t>rare flora</w:t>
      </w:r>
      <w:r>
        <w:tab/>
        <w:t>3</w:t>
      </w:r>
    </w:p>
    <w:p>
      <w:pPr>
        <w:pStyle w:val="DefinedTerms"/>
      </w:pPr>
      <w:r>
        <w:t>threatened ecological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(Environmentally Sensitive Areas) Notice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(Environmentally Sensitive Areas) Notice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(Environmentally Sensitive Areas) Notice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(Environmentally Sensitive Areas) Notice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(Environmentally Sensitive Areas) Notice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(Environmentally Sensitive Areas) Notice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(Environmentally Sensitive Areas) Notice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(Environmentally Sensitive Areas) Notice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254"/>
    <w:docVar w:name="WAFER_20150224162201" w:val="ResetPageSize,UpdateArrangement,UpdateNTable"/>
    <w:docVar w:name="WAFER_20150224162201_GUID" w:val="d8e8bc9a-f85e-4167-95cb-46e3c2f82e54"/>
    <w:docVar w:name="WAFER_20151102105254" w:val="UpdateStyles,UsedStyles"/>
    <w:docVar w:name="WAFER_20151102105254_GUID" w:val="e5c88e0d-fb96-489d-84c6-dcbbaa171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1213</Words>
  <Characters>6507</Characters>
  <Application>Microsoft Office Word</Application>
  <DocSecurity>0</DocSecurity>
  <Lines>197</Lines>
  <Paragraphs>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(Environmentally Sensitive Areas) Notice 2005 - 00-a0-02</dc:title>
  <dc:subject/>
  <dc:creator/>
  <cp:keywords/>
  <dc:description/>
  <cp:lastModifiedBy>svcMRProcess</cp:lastModifiedBy>
  <cp:revision>4</cp:revision>
  <cp:lastPrinted>2011-07-18T02:10:00Z</cp:lastPrinted>
  <dcterms:created xsi:type="dcterms:W3CDTF">2019-05-02T01:32:00Z</dcterms:created>
  <dcterms:modified xsi:type="dcterms:W3CDTF">2019-05-02T01:32:00Z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20050408</vt:lpwstr>
  </property>
  <property fmtid="{D5CDD505-2E9C-101B-9397-08002B2CF9AE}" pid="3" name="ID">
    <vt:lpwstr>8 Apr 2005 p 1163-6</vt:lpwstr>
  </property>
  <property fmtid="{D5CDD505-2E9C-101B-9397-08002B2CF9AE}" pid="4" name="DocumentType">
    <vt:lpwstr>Reg</vt:lpwstr>
  </property>
  <property fmtid="{D5CDD505-2E9C-101B-9397-08002B2CF9AE}" pid="5" name="AsAtDate">
    <vt:lpwstr>08 Apr 2005</vt:lpwstr>
  </property>
  <property fmtid="{D5CDD505-2E9C-101B-9397-08002B2CF9AE}" pid="6" name="Suffix">
    <vt:lpwstr>00-a0-02</vt:lpwstr>
  </property>
</Properties>
</file>