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_Toc498094000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_Toc498094001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_Toc498094002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_Toc498094003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_Toc498094004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_Toc498094005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_Toc498094006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_Toc498094007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_Toc498094008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_Toc498094009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_Toc498094010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_Toc498094011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_Toc498094012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_Toc498094013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_Toc498094014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_Toc498094015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_Toc498094016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_Toc498094017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_Toc498094018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_Toc498094019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_Toc498094020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_Toc498094021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_Toc498094026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_Toc498094027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98094000"/>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498094001"/>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5" w:name="_Toc498094002"/>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6" w:name="_Toc498094003"/>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7" w:name="_Toc498094004"/>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8" w:name="_Toc498094005"/>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$461; and</w:t>
      </w:r>
    </w:p>
    <w:p>
      <w:pPr>
        <w:pStyle w:val="Indenta"/>
        <w:rPr>
          <w:snapToGrid w:val="0"/>
        </w:rPr>
      </w:pPr>
      <w:r>
        <w:rPr>
          <w:snapToGrid w:val="0"/>
        </w:rPr>
        <w:tab/>
        <w:t>(b)</w:t>
      </w:r>
      <w:r>
        <w:rPr>
          <w:snapToGrid w:val="0"/>
        </w:rPr>
        <w:tab/>
        <w:t xml:space="preserve">for a casino employee licence, is </w:t>
      </w:r>
      <w:r>
        <w:t>$288.</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$127; and</w:t>
      </w:r>
    </w:p>
    <w:p>
      <w:pPr>
        <w:pStyle w:val="Indenta"/>
        <w:rPr>
          <w:snapToGrid w:val="0"/>
        </w:rPr>
      </w:pPr>
      <w:r>
        <w:rPr>
          <w:snapToGrid w:val="0"/>
        </w:rPr>
        <w:tab/>
        <w:t>(b)</w:t>
      </w:r>
      <w:r>
        <w:rPr>
          <w:snapToGrid w:val="0"/>
        </w:rPr>
        <w:tab/>
        <w:t xml:space="preserve">for the renewal of a casino employee licence, is </w:t>
      </w:r>
      <w:r>
        <w:t>$127.</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w:t>
      </w:r>
    </w:p>
    <w:p>
      <w:pPr>
        <w:pStyle w:val="Heading5"/>
        <w:rPr>
          <w:snapToGrid w:val="0"/>
        </w:rPr>
      </w:pPr>
      <w:bookmarkStart w:id="9" w:name="_Toc498094006"/>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0" w:name="_Toc498094007"/>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1" w:name="_Toc498094008"/>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12" w:name="_Toc498094009"/>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3" w:name="_Toc498094010"/>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14" w:name="_Toc498094011"/>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498094012"/>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498094013"/>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7" w:name="_Toc498094014"/>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8" w:name="_Toc498094015"/>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19" w:name="_Toc498094016"/>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20" w:name="_Toc498094017"/>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21" w:name="_Toc498094018"/>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2" w:name="_Toc498094019"/>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3" w:name="_Toc498094020"/>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498094021"/>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98093980"/>
      <w:bookmarkStart w:id="26" w:name="_Toc498094022"/>
      <w:r>
        <w:rPr>
          <w:rStyle w:val="CharSchNo"/>
        </w:rPr>
        <w:t>Schedule</w:t>
      </w:r>
      <w:bookmarkEnd w:id="25"/>
      <w:bookmarkEnd w:id="26"/>
    </w:p>
    <w:p>
      <w:pPr>
        <w:pStyle w:val="yEdnotedivision"/>
      </w:pPr>
      <w:r>
        <w:t>[Form 1 deleted in Gazette 14 Oct 2005 p. 4558.]</w:t>
      </w:r>
    </w:p>
    <w:p>
      <w:pPr>
        <w:pStyle w:val="yHeading3"/>
      </w:pPr>
      <w:bookmarkStart w:id="27" w:name="_Toc498093981"/>
      <w:bookmarkStart w:id="28" w:name="_Toc498094023"/>
      <w:r>
        <w:rPr>
          <w:rStyle w:val="CharSClsNo"/>
        </w:rPr>
        <w:t>Form 2</w:t>
      </w:r>
      <w:bookmarkEnd w:id="27"/>
      <w:bookmarkEnd w:id="28"/>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29" w:name="_Toc498093982"/>
      <w:bookmarkStart w:id="30" w:name="_Toc498094024"/>
      <w:r>
        <w:rPr>
          <w:rStyle w:val="CharSClsNo"/>
        </w:rPr>
        <w:t>Form 3</w:t>
      </w:r>
      <w:bookmarkEnd w:id="29"/>
      <w:bookmarkEnd w:id="3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 w:name="_Toc498093983"/>
      <w:bookmarkStart w:id="33" w:name="_Toc498094025"/>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 w:name="_Toc498094026"/>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3</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rPr>
                <w:bCs/>
                <w:snapToGrid w:val="0"/>
                <w:spacing w:val="-2"/>
              </w:rPr>
            </w:pPr>
            <w:r>
              <w:t>1 Jan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498094027"/>
      <w:r>
        <w:t>Provisions that have not come into operation</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rPr>
                <w:vertAlign w:val="superscript"/>
              </w:rPr>
            </w:pPr>
            <w:r>
              <w:rPr>
                <w:i/>
              </w:rPr>
              <w:t>Racing, Gaming and Liquor Regulations Amendment (Fees and Charges) Regulations 2017</w:t>
            </w:r>
            <w:r>
              <w:t xml:space="preserve"> Pt. 3 </w:t>
            </w:r>
            <w:r>
              <w:rPr>
                <w:vertAlign w:val="superscript"/>
              </w:rPr>
              <w:t>2</w:t>
            </w:r>
          </w:p>
        </w:tc>
        <w:tc>
          <w:tcPr>
            <w:tcW w:w="1276" w:type="dxa"/>
            <w:tcBorders>
              <w:bottom w:val="single" w:sz="4" w:space="0" w:color="auto"/>
            </w:tcBorders>
          </w:tcPr>
          <w:p>
            <w:pPr>
              <w:pStyle w:val="nTable"/>
              <w:spacing w:after="40"/>
            </w:pPr>
            <w:r>
              <w:t>10 Nov 2017 p. 5579</w:t>
            </w:r>
            <w:r>
              <w:noBreakHyphen/>
              <w:t>94</w:t>
            </w:r>
          </w:p>
        </w:tc>
        <w:tc>
          <w:tcPr>
            <w:tcW w:w="2693" w:type="dxa"/>
            <w:tcBorders>
              <w:bottom w:val="single" w:sz="4" w:space="0" w:color="auto"/>
            </w:tcBorders>
          </w:tcPr>
          <w:p>
            <w:pPr>
              <w:pStyle w:val="nTable"/>
              <w:spacing w:after="40"/>
            </w:pPr>
            <w:r>
              <w:t>1 Jan 2018 (see r. 2(b))</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3 had not come into operation.  It reads as follows:</w:t>
      </w:r>
    </w:p>
    <w:p>
      <w:pPr>
        <w:pStyle w:val="BlankOpen"/>
        <w:rPr>
          <w:snapToGrid w:val="0"/>
        </w:rPr>
      </w:pPr>
    </w:p>
    <w:p>
      <w:pPr>
        <w:pStyle w:val="nzHeading2"/>
      </w:pPr>
      <w:bookmarkStart w:id="36" w:name="_Toc494975694"/>
      <w:bookmarkStart w:id="37" w:name="_Toc494975722"/>
      <w:bookmarkStart w:id="38" w:name="_Toc494975854"/>
      <w:bookmarkStart w:id="39" w:name="_Toc494975912"/>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36"/>
      <w:bookmarkEnd w:id="37"/>
      <w:bookmarkEnd w:id="38"/>
      <w:bookmarkEnd w:id="39"/>
    </w:p>
    <w:p>
      <w:pPr>
        <w:pStyle w:val="nzHeading5"/>
      </w:pPr>
      <w:bookmarkStart w:id="40" w:name="_Toc494975723"/>
      <w:bookmarkStart w:id="41" w:name="_Toc494975913"/>
      <w:r>
        <w:rPr>
          <w:rStyle w:val="CharSectno"/>
        </w:rPr>
        <w:t>5</w:t>
      </w:r>
      <w:r>
        <w:t>.</w:t>
      </w:r>
      <w:r>
        <w:tab/>
        <w:t>Regulations amended</w:t>
      </w:r>
      <w:bookmarkEnd w:id="40"/>
      <w:bookmarkEnd w:id="41"/>
    </w:p>
    <w:p>
      <w:pPr>
        <w:pStyle w:val="nzSubsection"/>
      </w:pPr>
      <w:r>
        <w:tab/>
      </w:r>
      <w:r>
        <w:tab/>
        <w:t xml:space="preserve">This Part amends the </w:t>
      </w:r>
      <w:r>
        <w:rPr>
          <w:i/>
        </w:rPr>
        <w:t>Casino Control (Burswood Island) (Licensing of Employees) Regulations 1985</w:t>
      </w:r>
      <w:r>
        <w:t>.</w:t>
      </w:r>
    </w:p>
    <w:p>
      <w:pPr>
        <w:pStyle w:val="nzHeading5"/>
      </w:pPr>
      <w:bookmarkStart w:id="42" w:name="_Toc494975724"/>
      <w:bookmarkStart w:id="43" w:name="_Toc494975914"/>
      <w:r>
        <w:rPr>
          <w:rStyle w:val="CharSectno"/>
        </w:rPr>
        <w:t>6</w:t>
      </w:r>
      <w:r>
        <w:t>.</w:t>
      </w:r>
      <w:r>
        <w:tab/>
        <w:t>Regulation 6 amended</w:t>
      </w:r>
      <w:bookmarkEnd w:id="42"/>
      <w:bookmarkEnd w:id="43"/>
    </w:p>
    <w:p>
      <w:pPr>
        <w:pStyle w:val="nzSubsection"/>
      </w:pPr>
      <w:r>
        <w:tab/>
      </w:r>
      <w:r>
        <w:tab/>
        <w:t>In regulation 6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6(1)(a)</w:t>
            </w:r>
          </w:p>
        </w:tc>
        <w:tc>
          <w:tcPr>
            <w:tcW w:w="2268" w:type="dxa"/>
          </w:tcPr>
          <w:p>
            <w:pPr>
              <w:pStyle w:val="TableAm"/>
              <w:rPr>
                <w:sz w:val="20"/>
              </w:rPr>
            </w:pPr>
            <w:r>
              <w:rPr>
                <w:sz w:val="20"/>
              </w:rPr>
              <w:t>$461</w:t>
            </w:r>
          </w:p>
        </w:tc>
        <w:tc>
          <w:tcPr>
            <w:tcW w:w="2268" w:type="dxa"/>
          </w:tcPr>
          <w:p>
            <w:pPr>
              <w:pStyle w:val="TableAm"/>
              <w:rPr>
                <w:sz w:val="20"/>
              </w:rPr>
            </w:pPr>
            <w:r>
              <w:rPr>
                <w:sz w:val="20"/>
              </w:rPr>
              <w:t>$469</w:t>
            </w:r>
          </w:p>
        </w:tc>
      </w:tr>
      <w:tr>
        <w:trPr>
          <w:cantSplit/>
          <w:jc w:val="center"/>
        </w:trPr>
        <w:tc>
          <w:tcPr>
            <w:tcW w:w="2268" w:type="dxa"/>
          </w:tcPr>
          <w:p>
            <w:pPr>
              <w:pStyle w:val="TableAm"/>
              <w:rPr>
                <w:sz w:val="20"/>
              </w:rPr>
            </w:pPr>
            <w:r>
              <w:rPr>
                <w:sz w:val="20"/>
              </w:rPr>
              <w:t>r. 6(1)(b)</w:t>
            </w:r>
          </w:p>
        </w:tc>
        <w:tc>
          <w:tcPr>
            <w:tcW w:w="2268" w:type="dxa"/>
          </w:tcPr>
          <w:p>
            <w:pPr>
              <w:pStyle w:val="TableAm"/>
              <w:rPr>
                <w:sz w:val="20"/>
              </w:rPr>
            </w:pPr>
            <w:r>
              <w:rPr>
                <w:sz w:val="20"/>
              </w:rPr>
              <w:t>$288</w:t>
            </w:r>
          </w:p>
        </w:tc>
        <w:tc>
          <w:tcPr>
            <w:tcW w:w="2268" w:type="dxa"/>
          </w:tcPr>
          <w:p>
            <w:pPr>
              <w:pStyle w:val="TableAm"/>
              <w:rPr>
                <w:sz w:val="20"/>
              </w:rPr>
            </w:pPr>
            <w:r>
              <w:rPr>
                <w:sz w:val="20"/>
              </w:rPr>
              <w:t>$293</w:t>
            </w:r>
          </w:p>
        </w:tc>
      </w:tr>
      <w:tr>
        <w:trPr>
          <w:cantSplit/>
          <w:jc w:val="center"/>
        </w:trPr>
        <w:tc>
          <w:tcPr>
            <w:tcW w:w="2268" w:type="dxa"/>
          </w:tcPr>
          <w:p>
            <w:pPr>
              <w:pStyle w:val="TableAm"/>
              <w:rPr>
                <w:sz w:val="20"/>
              </w:rPr>
            </w:pPr>
            <w:r>
              <w:rPr>
                <w:sz w:val="20"/>
              </w:rPr>
              <w:t>r. 6(1a)(a) and (b)</w:t>
            </w:r>
          </w:p>
        </w:tc>
        <w:tc>
          <w:tcPr>
            <w:tcW w:w="2268" w:type="dxa"/>
          </w:tcPr>
          <w:p>
            <w:pPr>
              <w:pStyle w:val="TableAm"/>
              <w:rPr>
                <w:sz w:val="20"/>
              </w:rPr>
            </w:pPr>
            <w:r>
              <w:rPr>
                <w:sz w:val="20"/>
              </w:rPr>
              <w:t>$127</w:t>
            </w:r>
          </w:p>
        </w:tc>
        <w:tc>
          <w:tcPr>
            <w:tcW w:w="2268" w:type="dxa"/>
          </w:tcPr>
          <w:p>
            <w:pPr>
              <w:pStyle w:val="TableAm"/>
              <w:rPr>
                <w:sz w:val="20"/>
              </w:rPr>
            </w:pPr>
            <w:r>
              <w:rPr>
                <w:sz w:val="20"/>
              </w:rPr>
              <w:t>$129</w:t>
            </w:r>
          </w:p>
        </w:tc>
      </w:tr>
      <w:tr>
        <w:trPr>
          <w:cantSplit/>
          <w:jc w:val="center"/>
        </w:trPr>
        <w:tc>
          <w:tcPr>
            <w:tcW w:w="2268" w:type="dxa"/>
          </w:tcPr>
          <w:p>
            <w:pPr>
              <w:pStyle w:val="TableAm"/>
              <w:rPr>
                <w:sz w:val="20"/>
              </w:rPr>
            </w:pPr>
            <w:r>
              <w:rPr>
                <w:sz w:val="20"/>
              </w:rPr>
              <w:t>r. 6(2)(a)</w:t>
            </w:r>
          </w:p>
        </w:tc>
        <w:tc>
          <w:tcPr>
            <w:tcW w:w="2268" w:type="dxa"/>
          </w:tcPr>
          <w:p>
            <w:pPr>
              <w:pStyle w:val="TableAm"/>
              <w:rPr>
                <w:sz w:val="20"/>
              </w:rPr>
            </w:pPr>
            <w:r>
              <w:rPr>
                <w:sz w:val="20"/>
              </w:rPr>
              <w:t>$333</w:t>
            </w:r>
          </w:p>
        </w:tc>
        <w:tc>
          <w:tcPr>
            <w:tcW w:w="2268" w:type="dxa"/>
          </w:tcPr>
          <w:p>
            <w:pPr>
              <w:pStyle w:val="TableAm"/>
              <w:rPr>
                <w:sz w:val="20"/>
              </w:rPr>
            </w:pPr>
            <w:r>
              <w:rPr>
                <w:sz w:val="20"/>
              </w:rPr>
              <w:t>$338</w:t>
            </w:r>
          </w:p>
        </w:tc>
      </w:tr>
    </w:tbl>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5" w:name="_Toc498093986"/>
      <w:bookmarkStart w:id="46" w:name="_Toc498094028"/>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Nov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7408</Words>
  <Characters>39341</Characters>
  <Application>Microsoft Office Word</Application>
  <DocSecurity>0</DocSecurity>
  <Lines>1124</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1985 - 04-i0-00</dc:title>
  <dc:subject/>
  <dc:creator/>
  <cp:keywords/>
  <dc:description/>
  <cp:lastModifiedBy>svcMRProcess</cp:lastModifiedBy>
  <cp:revision>4</cp:revision>
  <cp:lastPrinted>2014-06-09T07:53:00Z</cp:lastPrinted>
  <dcterms:created xsi:type="dcterms:W3CDTF">2018-09-10T05:35:00Z</dcterms:created>
  <dcterms:modified xsi:type="dcterms:W3CDTF">2018-09-10T05:35:00Z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10 Nov 2017</vt:lpwstr>
  </property>
  <property fmtid="{D5CDD505-2E9C-101B-9397-08002B2CF9AE}" pid="8" name="Suffix">
    <vt:lpwstr>04-i0-00</vt:lpwstr>
  </property>
  <property fmtid="{D5CDD505-2E9C-101B-9397-08002B2CF9AE}" pid="9" name="CommencementDate">
    <vt:lpwstr>20171110</vt:lpwstr>
  </property>
</Properties>
</file>