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_Toc498094698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_Toc498094699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_Toc498094700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_Toc498094701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_Toc498094702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_Toc498094703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_Toc498094704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_Toc498094705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_Toc498094706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_Toc498094707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_Toc498094708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_Toc498094709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_Toc498094710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_Toc498094711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_Toc498094712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_Toc498094713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_Toc498094714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_Toc498094715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_Toc498094716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_Toc498094717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_Toc498094718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_Toc498094719 \h </w:instrText>
      </w:r>
      <w:r>
        <w:fldChar w:fldCharType="separate"/>
      </w:r>
      <w:r>
        <w:t>21</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_Toc498094720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_Toc498094721 \h </w:instrText>
      </w:r>
      <w:r>
        <w:fldChar w:fldCharType="separate"/>
      </w:r>
      <w:r>
        <w:t>23</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_Toc498094722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_Toc498094723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_Toc498094724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_Toc498094725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_Toc498094726 \h </w:instrText>
      </w:r>
      <w:r>
        <w:fldChar w:fldCharType="separate"/>
      </w:r>
      <w:r>
        <w:t>27</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_Toc498094727 \h </w:instrText>
      </w:r>
      <w:r>
        <w:fldChar w:fldCharType="separate"/>
      </w:r>
      <w:r>
        <w:t>35</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_Toc498094728 \h </w:instrText>
      </w:r>
      <w:r>
        <w:fldChar w:fldCharType="separate"/>
      </w:r>
      <w:r>
        <w:t>35</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_Toc498094729 \h </w:instrText>
      </w:r>
      <w:r>
        <w:fldChar w:fldCharType="separate"/>
      </w:r>
      <w:r>
        <w:t>36</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_Toc498094730 \h </w:instrText>
      </w:r>
      <w:r>
        <w:fldChar w:fldCharType="separate"/>
      </w:r>
      <w:r>
        <w:t>36</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_Toc498094731 \h </w:instrText>
      </w:r>
      <w:r>
        <w:fldChar w:fldCharType="separate"/>
      </w:r>
      <w:r>
        <w:t>37</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_Toc498094732 \h </w:instrText>
      </w:r>
      <w:r>
        <w:fldChar w:fldCharType="separate"/>
      </w:r>
      <w:r>
        <w:t>37</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_Toc498094733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_Toc498094734 \h </w:instrText>
      </w:r>
      <w:r>
        <w:fldChar w:fldCharType="separate"/>
      </w:r>
      <w:r>
        <w:t>38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_Toc498094735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_Toc498094736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_Toc498094737 \h </w:instrText>
      </w:r>
      <w:r>
        <w:fldChar w:fldCharType="separate"/>
      </w:r>
      <w:r>
        <w:t>42</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_Toc498094738 \h </w:instrText>
      </w:r>
      <w:r>
        <w:fldChar w:fldCharType="separate"/>
      </w:r>
      <w:r>
        <w:t>42</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_Toc498094739 \h </w:instrText>
      </w:r>
      <w:r>
        <w:fldChar w:fldCharType="separate"/>
      </w:r>
      <w:r>
        <w:t>42</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_Toc498094740 \h </w:instrText>
      </w:r>
      <w:r>
        <w:fldChar w:fldCharType="separate"/>
      </w:r>
      <w:r>
        <w:t>43</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_Toc498094741 \h </w:instrText>
      </w:r>
      <w:r>
        <w:fldChar w:fldCharType="separate"/>
      </w:r>
      <w:r>
        <w:t>44</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_Toc498094742 \h </w:instrText>
      </w:r>
      <w:r>
        <w:fldChar w:fldCharType="separate"/>
      </w:r>
      <w:r>
        <w:t>44</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_Toc498094743 \h </w:instrText>
      </w:r>
      <w:r>
        <w:fldChar w:fldCharType="separate"/>
      </w:r>
      <w:r>
        <w:t>45</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_Toc498094744 \h </w:instrText>
      </w:r>
      <w:r>
        <w:fldChar w:fldCharType="separate"/>
      </w:r>
      <w:r>
        <w:t>45</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_Toc498094745 \h </w:instrText>
      </w:r>
      <w:r>
        <w:fldChar w:fldCharType="separate"/>
      </w:r>
      <w:r>
        <w:t>46</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_Toc498094746 \h </w:instrText>
      </w:r>
      <w:r>
        <w:fldChar w:fldCharType="separate"/>
      </w:r>
      <w:r>
        <w:t>47</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_Toc498094747 \h </w:instrText>
      </w:r>
      <w:r>
        <w:fldChar w:fldCharType="separate"/>
      </w:r>
      <w:r>
        <w:t>47</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_Toc498094748 \h </w:instrText>
      </w:r>
      <w:r>
        <w:fldChar w:fldCharType="separate"/>
      </w:r>
      <w:r>
        <w:t>48</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_Toc498094749 \h </w:instrText>
      </w:r>
      <w:r>
        <w:fldChar w:fldCharType="separate"/>
      </w:r>
      <w:r>
        <w:t>49</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_Toc498094750 \h </w:instrText>
      </w:r>
      <w:r>
        <w:fldChar w:fldCharType="separate"/>
      </w:r>
      <w:r>
        <w:t>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_Toc498094751 \h </w:instrText>
      </w:r>
      <w:r>
        <w:fldChar w:fldCharType="separate"/>
      </w:r>
      <w:r>
        <w:t>51</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_Toc498094752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_Toc498094753 \h </w:instrText>
      </w:r>
      <w:r>
        <w:fldChar w:fldCharType="separate"/>
      </w:r>
      <w:r>
        <w:t>52</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_Toc498094754 \h </w:instrText>
      </w:r>
      <w:r>
        <w:fldChar w:fldCharType="separate"/>
      </w:r>
      <w:r>
        <w:t>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_Toc498094755 \h </w:instrText>
      </w:r>
      <w:r>
        <w:fldChar w:fldCharType="separate"/>
      </w:r>
      <w:r>
        <w:t>53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_Toc498094756 \h </w:instrText>
      </w:r>
      <w:r>
        <w:fldChar w:fldCharType="separate"/>
      </w:r>
      <w:r>
        <w:t>54</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_Toc498094757 \h </w:instrText>
      </w:r>
      <w:r>
        <w:fldChar w:fldCharType="separate"/>
      </w:r>
      <w:r>
        <w:t>56</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_Toc498094758 \h </w:instrText>
      </w:r>
      <w:r>
        <w:fldChar w:fldCharType="separate"/>
      </w:r>
      <w:r>
        <w:t>56</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_Toc498094759 \h </w:instrText>
      </w:r>
      <w:r>
        <w:fldChar w:fldCharType="separate"/>
      </w:r>
      <w:r>
        <w:t>56</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_Toc498094760 \h </w:instrText>
      </w:r>
      <w:r>
        <w:fldChar w:fldCharType="separate"/>
      </w:r>
      <w:r>
        <w:t>57</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_Toc498094761 \h </w:instrText>
      </w:r>
      <w:r>
        <w:fldChar w:fldCharType="separate"/>
      </w:r>
      <w:r>
        <w:t>58</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_Toc498094762 \h </w:instrText>
      </w:r>
      <w:r>
        <w:fldChar w:fldCharType="separate"/>
      </w:r>
      <w:r>
        <w:t>58</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_Toc498094763 \h </w:instrText>
      </w:r>
      <w:r>
        <w:fldChar w:fldCharType="separate"/>
      </w:r>
      <w:r>
        <w:t>60</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_Toc498094764 \h </w:instrText>
      </w:r>
      <w:r>
        <w:fldChar w:fldCharType="separate"/>
      </w:r>
      <w:r>
        <w:t>61</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_Toc498094765 \h </w:instrText>
      </w:r>
      <w:r>
        <w:fldChar w:fldCharType="separate"/>
      </w:r>
      <w:r>
        <w:t>62</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_Toc498094766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_Toc498094767 \h </w:instrText>
      </w:r>
      <w:r>
        <w:fldChar w:fldCharType="separate"/>
      </w:r>
      <w:r>
        <w:t>62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_Toc498094768 \h </w:instrText>
      </w:r>
      <w:r>
        <w:fldChar w:fldCharType="separate"/>
      </w:r>
      <w:r>
        <w:t>63</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_Toc498094769 \h </w:instrText>
      </w:r>
      <w:r>
        <w:fldChar w:fldCharType="separate"/>
      </w:r>
      <w:r>
        <w:t>63</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_Toc498094770 \h </w:instrText>
      </w:r>
      <w:r>
        <w:fldChar w:fldCharType="separate"/>
      </w:r>
      <w:r>
        <w:t>64</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_Toc498094771 \h </w:instrText>
      </w:r>
      <w:r>
        <w:fldChar w:fldCharType="separate"/>
      </w:r>
      <w:r>
        <w:t>65</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_Toc498094772 \h </w:instrText>
      </w:r>
      <w:r>
        <w:fldChar w:fldCharType="separate"/>
      </w:r>
      <w:r>
        <w:t>65</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_Toc498094773 \h </w:instrText>
      </w:r>
      <w:r>
        <w:fldChar w:fldCharType="separate"/>
      </w:r>
      <w:r>
        <w:t>65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_Toc498094774 \h </w:instrText>
      </w:r>
      <w:r>
        <w:fldChar w:fldCharType="separate"/>
      </w:r>
      <w:r>
        <w:t>66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_Toc498094775 \h </w:instrText>
      </w:r>
      <w:r>
        <w:fldChar w:fldCharType="separate"/>
      </w:r>
      <w:r>
        <w:t>68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_Toc498094776 \h </w:instrText>
      </w:r>
      <w:r>
        <w:fldChar w:fldCharType="separate"/>
      </w:r>
      <w:r>
        <w:t>69</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_Toc498094777 \h </w:instrText>
      </w:r>
      <w:r>
        <w:fldChar w:fldCharType="separate"/>
      </w:r>
      <w:r>
        <w:t>71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_Toc498094778 \h </w:instrText>
      </w:r>
      <w:r>
        <w:fldChar w:fldCharType="separate"/>
      </w:r>
      <w:r>
        <w:t>71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_Toc498094779 \h </w:instrText>
      </w:r>
      <w:r>
        <w:fldChar w:fldCharType="separate"/>
      </w:r>
      <w:r>
        <w:t>71</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_Toc498094780 \h </w:instrText>
      </w:r>
      <w:r>
        <w:fldChar w:fldCharType="separate"/>
      </w:r>
      <w:r>
        <w:t>73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_Toc498094781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_Toc498094788 \h </w:instrText>
      </w:r>
      <w:r>
        <w:fldChar w:fldCharType="separate"/>
      </w:r>
      <w:r>
        <w:t>95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_Toc498094789 \h </w:instrText>
      </w:r>
      <w:r>
        <w:fldChar w:fldCharType="separate"/>
      </w:r>
      <w:r>
        <w:t>105</w:t>
      </w:r>
      <w:r>
        <w:fldChar w:fldCharType="end"/>
      </w:r>
    </w:p>
    <w:p>
      <w:pPr>
        <w:pStyle w:val="TOC3"/>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9809469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98094699"/>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498094700"/>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498094701"/>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498094702"/>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8" w:name="_Toc498094703"/>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9" w:name="_Toc498094704"/>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0" w:name="_Toc498094705"/>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1" w:name="_Toc498094706"/>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12" w:name="_Toc498094707"/>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 w:name="_Toc498094708"/>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14" w:name="_Toc498094709"/>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15" w:name="_Toc498094710"/>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16" w:name="_Toc498094711"/>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17" w:name="_Toc498094712"/>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18" w:name="_Toc498094713"/>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9" w:name="_Toc498094714"/>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20" w:name="_Toc498094715"/>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1" w:name="_Toc498094716"/>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22" w:name="_Toc498094717"/>
      <w:r>
        <w:rPr>
          <w:rStyle w:val="CharSectno"/>
        </w:rPr>
        <w:t>8A</w:t>
      </w:r>
      <w:r>
        <w:t>.</w:t>
      </w:r>
      <w:r>
        <w:tab/>
        <w:t>Exemption from Act, consumption at live entertainment venues</w:t>
      </w:r>
      <w:bookmarkEnd w:id="2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3" w:name="_Toc498094718"/>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4" w:name="_Toc498094719"/>
      <w:r>
        <w:rPr>
          <w:rStyle w:val="CharSectno"/>
        </w:rPr>
        <w:t>8C</w:t>
      </w:r>
      <w:r>
        <w:t>.</w:t>
      </w:r>
      <w:r>
        <w:tab/>
        <w:t>Exemption from Act, complimentary supply by business</w:t>
      </w:r>
      <w:bookmarkEnd w:id="2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25" w:name="_Toc498094720"/>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26" w:name="_Toc498094721"/>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27" w:name="_Toc498094722"/>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8" w:name="_Toc498094723"/>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29" w:name="_Toc498094724"/>
      <w:r>
        <w:rPr>
          <w:rStyle w:val="CharSectno"/>
        </w:rPr>
        <w:t>9</w:t>
      </w:r>
      <w:r>
        <w:rPr>
          <w:snapToGrid w:val="0"/>
        </w:rPr>
        <w:t>.</w:t>
      </w:r>
      <w:r>
        <w:rPr>
          <w:snapToGrid w:val="0"/>
        </w:rPr>
        <w:tab/>
        <w:t>Persons who may take and administer oaths and affirmations (Act s. 18(3)(c))</w:t>
      </w:r>
      <w:bookmarkEnd w:id="2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0" w:name="_Toc498094725"/>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31" w:name="_Toc498094726"/>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32" w:name="_Toc498094727"/>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3" w:name="_Toc498094728"/>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34" w:name="_Toc498094729"/>
      <w:r>
        <w:rPr>
          <w:rStyle w:val="CharSectno"/>
        </w:rPr>
        <w:t>9C</w:t>
      </w:r>
      <w:r>
        <w:rPr>
          <w:snapToGrid w:val="0"/>
        </w:rPr>
        <w:t>.</w:t>
      </w:r>
      <w:r>
        <w:rPr>
          <w:snapToGrid w:val="0"/>
        </w:rPr>
        <w:tab/>
        <w:t>Types of special facility licence prescribed (Act s. 46(6))</w:t>
      </w:r>
      <w:bookmarkEnd w:id="3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35" w:name="_Toc498094730"/>
      <w:r>
        <w:rPr>
          <w:rStyle w:val="CharSectno"/>
        </w:rPr>
        <w:t>9D</w:t>
      </w:r>
      <w:r>
        <w:t>.</w:t>
      </w:r>
      <w:r>
        <w:tab/>
      </w:r>
      <w:r>
        <w:rPr>
          <w:snapToGrid w:val="0"/>
        </w:rPr>
        <w:t>Act s.</w:t>
      </w:r>
      <w:r>
        <w:t> 33(6b) modified as to occasional licences</w:t>
      </w:r>
      <w:bookmarkEnd w:id="3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6" w:name="_Toc498094731"/>
      <w:r>
        <w:rPr>
          <w:rStyle w:val="CharSectno"/>
        </w:rPr>
        <w:t>9E</w:t>
      </w:r>
      <w:r>
        <w:t>.</w:t>
      </w:r>
      <w:r>
        <w:tab/>
        <w:t>Period prescribed (Act s. 33(6D)(b))</w:t>
      </w:r>
      <w:bookmarkEnd w:id="36"/>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37" w:name="_Toc498094732"/>
      <w:r>
        <w:rPr>
          <w:rStyle w:val="CharSectno"/>
        </w:rPr>
        <w:t>9F</w:t>
      </w:r>
      <w:r>
        <w:t>.</w:t>
      </w:r>
      <w:r>
        <w:tab/>
        <w:t>Kinds of permit prescribed (Act s. 38(1)(b))</w:t>
      </w:r>
      <w:bookmarkEnd w:id="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8" w:name="_Toc498094733"/>
      <w:r>
        <w:rPr>
          <w:rStyle w:val="CharSectno"/>
        </w:rPr>
        <w:t>9G</w:t>
      </w:r>
      <w:r>
        <w:t>.</w:t>
      </w:r>
      <w:r>
        <w:tab/>
        <w:t xml:space="preserve">Reciprocal arrangements for club membership, requirements for </w:t>
      </w:r>
      <w:r>
        <w:rPr>
          <w:snapToGrid w:val="0"/>
        </w:rPr>
        <w:t>(Act s.</w:t>
      </w:r>
      <w:r>
        <w:t> 49(3)(c)(iv))</w:t>
      </w:r>
      <w:bookmarkEnd w:id="3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39" w:name="_Toc498094734"/>
      <w:r>
        <w:rPr>
          <w:rStyle w:val="CharSectno"/>
        </w:rPr>
        <w:t>10</w:t>
      </w:r>
      <w:r>
        <w:rPr>
          <w:snapToGrid w:val="0"/>
        </w:rPr>
        <w:t>.</w:t>
      </w:r>
      <w:r>
        <w:rPr>
          <w:snapToGrid w:val="0"/>
        </w:rPr>
        <w:tab/>
        <w:t>Requirements prescribed (Act s. </w:t>
      </w:r>
      <w:r>
        <w:t>57(2)(d)</w:t>
      </w:r>
      <w:r>
        <w:rPr>
          <w:snapToGrid w:val="0"/>
        </w:rPr>
        <w:t>)</w:t>
      </w:r>
      <w:bookmarkEnd w:id="3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0" w:name="_Toc498094735"/>
      <w:r>
        <w:rPr>
          <w:rStyle w:val="CharSectno"/>
        </w:rPr>
        <w:t>10A</w:t>
      </w:r>
      <w:r>
        <w:rPr>
          <w:snapToGrid w:val="0"/>
        </w:rPr>
        <w:t>.</w:t>
      </w:r>
      <w:r>
        <w:rPr>
          <w:snapToGrid w:val="0"/>
        </w:rPr>
        <w:tab/>
        <w:t>Condition prescribed (Act s. 55(2))</w:t>
      </w:r>
      <w:bookmarkEnd w:id="4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1" w:name="_Toc498094736"/>
      <w:r>
        <w:rPr>
          <w:rStyle w:val="CharSectno"/>
        </w:rPr>
        <w:t>11</w:t>
      </w:r>
      <w:r>
        <w:rPr>
          <w:snapToGrid w:val="0"/>
        </w:rPr>
        <w:t>.</w:t>
      </w:r>
      <w:r>
        <w:rPr>
          <w:snapToGrid w:val="0"/>
        </w:rPr>
        <w:tab/>
        <w:t>Plans and specifications, requirements for (Act s. 66(4) and (5))</w:t>
      </w:r>
      <w:bookmarkEnd w:id="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 w:name="_Toc498094737"/>
      <w:r>
        <w:rPr>
          <w:rStyle w:val="CharSectno"/>
        </w:rPr>
        <w:t>13</w:t>
      </w:r>
      <w:r>
        <w:rPr>
          <w:snapToGrid w:val="0"/>
        </w:rPr>
        <w:t>.</w:t>
      </w:r>
      <w:r>
        <w:rPr>
          <w:snapToGrid w:val="0"/>
        </w:rPr>
        <w:tab/>
        <w:t>Records as to applicant, requirements for (Act s. 68(1)(b))</w:t>
      </w:r>
      <w:bookmarkEnd w:id="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43" w:name="_Toc498094738"/>
      <w:r>
        <w:rPr>
          <w:rStyle w:val="CharSectno"/>
        </w:rPr>
        <w:t>14A</w:t>
      </w:r>
      <w:r>
        <w:t>.</w:t>
      </w:r>
      <w:r>
        <w:tab/>
        <w:t xml:space="preserve">Types etc. of premises prescribed </w:t>
      </w:r>
      <w:r>
        <w:rPr>
          <w:snapToGrid w:val="0"/>
        </w:rPr>
        <w:t>(Act s. 77(5a)(b))</w:t>
      </w:r>
      <w:bookmarkEnd w:id="4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44" w:name="_Toc498094739"/>
      <w:r>
        <w:rPr>
          <w:rStyle w:val="CharSectno"/>
        </w:rPr>
        <w:t>14AB</w:t>
      </w:r>
      <w:r>
        <w:t>.</w:t>
      </w:r>
      <w:r>
        <w:tab/>
        <w:t xml:space="preserve">Requirement for lodgment of application prescribed </w:t>
      </w:r>
      <w:r>
        <w:rPr>
          <w:snapToGrid w:val="0"/>
        </w:rPr>
        <w:t>(Act s. </w:t>
      </w:r>
      <w:r>
        <w:t>75(1)(b))</w:t>
      </w:r>
      <w:bookmarkEnd w:id="4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5" w:name="_Toc498094740"/>
      <w:r>
        <w:rPr>
          <w:rStyle w:val="CharSectno"/>
        </w:rPr>
        <w:t>14AC</w:t>
      </w:r>
      <w:r>
        <w:t>.</w:t>
      </w:r>
      <w:r>
        <w:tab/>
        <w:t xml:space="preserve">Requirement for lodgment of application prescribed </w:t>
      </w:r>
      <w:r>
        <w:rPr>
          <w:snapToGrid w:val="0"/>
        </w:rPr>
        <w:t>(Act s. </w:t>
      </w:r>
      <w:r>
        <w:t>76(1)(b))</w:t>
      </w:r>
      <w:bookmarkEnd w:id="4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6" w:name="_Toc498094741"/>
      <w:r>
        <w:rPr>
          <w:rStyle w:val="CharSectno"/>
        </w:rPr>
        <w:t>14ADA</w:t>
      </w:r>
      <w:r>
        <w:t>.</w:t>
      </w:r>
      <w:r>
        <w:tab/>
        <w:t>Manager’s approval, application for (Act s. 102B)</w:t>
      </w:r>
      <w:bookmarkEnd w:id="4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7" w:name="_Toc498094742"/>
      <w:r>
        <w:rPr>
          <w:rStyle w:val="CharSectno"/>
        </w:rPr>
        <w:t>14ADB</w:t>
      </w:r>
      <w:r>
        <w:t>.</w:t>
      </w:r>
      <w:r>
        <w:tab/>
        <w:t>Manager’s approval, conditions on (Act s. 102C)</w:t>
      </w:r>
      <w:bookmarkEnd w:id="4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8" w:name="_Toc498094743"/>
      <w:r>
        <w:rPr>
          <w:rStyle w:val="CharSectno"/>
        </w:rPr>
        <w:t>14ADC</w:t>
      </w:r>
      <w:r>
        <w:t>.</w:t>
      </w:r>
      <w:r>
        <w:tab/>
        <w:t>Manager’s approval, duration of (Act s. 102D)</w:t>
      </w:r>
      <w:bookmarkEnd w:id="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9" w:name="_Toc498094744"/>
      <w:r>
        <w:rPr>
          <w:rStyle w:val="CharSectno"/>
        </w:rPr>
        <w:t>14ADD</w:t>
      </w:r>
      <w:r>
        <w:t>.</w:t>
      </w:r>
      <w:r>
        <w:tab/>
        <w:t>Manager’s approval, renewal of (Act s. 102E)</w:t>
      </w:r>
      <w:bookmarkEnd w:id="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0" w:name="_Toc498094745"/>
      <w:r>
        <w:rPr>
          <w:rStyle w:val="CharSectno"/>
        </w:rPr>
        <w:t>14ADE</w:t>
      </w:r>
      <w:r>
        <w:t>.</w:t>
      </w:r>
      <w:r>
        <w:tab/>
        <w:t>Approved manager, identification card for</w:t>
      </w:r>
      <w:bookmarkEnd w:id="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1" w:name="_Toc498094746"/>
      <w:r>
        <w:rPr>
          <w:rStyle w:val="CharSectno"/>
        </w:rPr>
        <w:t>14ADF</w:t>
      </w:r>
      <w:r>
        <w:t>.</w:t>
      </w:r>
      <w:r>
        <w:tab/>
        <w:t>Lost etc. identification card, replacement of</w:t>
      </w:r>
      <w:bookmarkEnd w:id="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2" w:name="_Toc498094747"/>
      <w:r>
        <w:rPr>
          <w:rStyle w:val="CharSectno"/>
        </w:rPr>
        <w:t>14ADG</w:t>
      </w:r>
      <w:r>
        <w:t>.</w:t>
      </w:r>
      <w:r>
        <w:tab/>
        <w:t>Transitioned approvals (Act Sch. 1B)</w:t>
      </w:r>
      <w:bookmarkEnd w:id="5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53" w:name="_Toc498094748"/>
      <w:r>
        <w:rPr>
          <w:rStyle w:val="CharSectno"/>
        </w:rPr>
        <w:t>14AD</w:t>
      </w:r>
      <w:r>
        <w:t>.</w:t>
      </w:r>
      <w:r>
        <w:tab/>
        <w:t xml:space="preserve">Responsible practices in selling etc. liquor, courses on required </w:t>
      </w:r>
      <w:r>
        <w:rPr>
          <w:snapToGrid w:val="0"/>
        </w:rPr>
        <w:t>(Act s. </w:t>
      </w:r>
      <w:r>
        <w:t>103A(1)(a))</w:t>
      </w:r>
      <w:bookmarkEnd w:id="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54" w:name="_Toc498094749"/>
      <w:r>
        <w:rPr>
          <w:rStyle w:val="CharSectno"/>
        </w:rPr>
        <w:t>14AE</w:t>
      </w:r>
      <w:r>
        <w:t>.</w:t>
      </w:r>
      <w:r>
        <w:tab/>
        <w:t>Offences for r. 14AD</w:t>
      </w:r>
      <w:bookmarkEnd w:id="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55" w:name="_Toc498094750"/>
      <w:r>
        <w:rPr>
          <w:rStyle w:val="CharSectno"/>
        </w:rPr>
        <w:t>14AG</w:t>
      </w:r>
      <w:r>
        <w:t>.</w:t>
      </w:r>
      <w:r>
        <w:tab/>
        <w:t>Licensee to maintain register </w:t>
      </w:r>
      <w:r>
        <w:rPr>
          <w:snapToGrid w:val="0"/>
        </w:rPr>
        <w:t>(Act s. </w:t>
      </w:r>
      <w:r>
        <w:t>103A(1)(b))</w:t>
      </w:r>
      <w:bookmarkEnd w:id="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6" w:name="_Toc498094751"/>
      <w:r>
        <w:rPr>
          <w:rStyle w:val="CharSectno"/>
        </w:rPr>
        <w:t>16</w:t>
      </w:r>
      <w:r>
        <w:rPr>
          <w:snapToGrid w:val="0"/>
        </w:rPr>
        <w:t>.</w:t>
      </w:r>
      <w:r>
        <w:rPr>
          <w:snapToGrid w:val="0"/>
        </w:rPr>
        <w:tab/>
        <w:t>Amount of liability prescribed (Act s. 107)</w:t>
      </w:r>
      <w:bookmarkEnd w:id="5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57" w:name="_Toc498094752"/>
      <w:r>
        <w:rPr>
          <w:rStyle w:val="CharSectno"/>
        </w:rPr>
        <w:t>17A</w:t>
      </w:r>
      <w:r>
        <w:t>.</w:t>
      </w:r>
      <w:r>
        <w:tab/>
        <w:t xml:space="preserve">Sports arenas prescribed (Act s. 110(4B) </w:t>
      </w:r>
      <w:r>
        <w:rPr>
          <w:i/>
        </w:rPr>
        <w:t>sports arena</w:t>
      </w:r>
      <w:r>
        <w:t>)</w:t>
      </w:r>
      <w:bookmarkEnd w:id="57"/>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Greyhounds WA Cannington, Station Street, Cannington.</w:t>
      </w:r>
    </w:p>
    <w:p>
      <w:pPr>
        <w:pStyle w:val="Footnotesection"/>
        <w:ind w:left="890" w:hanging="890"/>
      </w:pPr>
      <w:r>
        <w:tab/>
        <w:t>[Regulation 17A inserted in Gazette 4 Sep 2012 p. 4249-50; amended in Gazette 10 Jan 2017 p. 145.]</w:t>
      </w:r>
    </w:p>
    <w:p>
      <w:pPr>
        <w:pStyle w:val="Heading5"/>
        <w:rPr>
          <w:snapToGrid w:val="0"/>
        </w:rPr>
      </w:pPr>
      <w:bookmarkStart w:id="58" w:name="_Toc498094753"/>
      <w:r>
        <w:rPr>
          <w:rStyle w:val="CharSectno"/>
        </w:rPr>
        <w:t>17</w:t>
      </w:r>
      <w:r>
        <w:rPr>
          <w:snapToGrid w:val="0"/>
        </w:rPr>
        <w:t>.</w:t>
      </w:r>
      <w:r>
        <w:rPr>
          <w:snapToGrid w:val="0"/>
        </w:rPr>
        <w:tab/>
        <w:t>Out of bounds area, notice for (Act s. 121(6))</w:t>
      </w:r>
      <w:bookmarkEnd w:id="5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59" w:name="_Toc498094754"/>
      <w:r>
        <w:rPr>
          <w:rStyle w:val="CharSectno"/>
        </w:rPr>
        <w:t>18</w:t>
      </w:r>
      <w:r>
        <w:t>.</w:t>
      </w:r>
      <w:r>
        <w:tab/>
        <w:t>Premises prescribed to be regulated premises (Act s. 122(1)(f))</w:t>
      </w:r>
      <w:bookmarkEnd w:id="5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60" w:name="_Toc498094755"/>
      <w:r>
        <w:rPr>
          <w:rStyle w:val="CharSectno"/>
        </w:rPr>
        <w:t>18A</w:t>
      </w:r>
      <w:r>
        <w:rPr>
          <w:snapToGrid w:val="0"/>
        </w:rPr>
        <w:t>.</w:t>
      </w:r>
      <w:r>
        <w:rPr>
          <w:snapToGrid w:val="0"/>
        </w:rPr>
        <w:tab/>
        <w:t>Documents prescribed as evidence of age etc. (Act s. 126(1)(b)(i)(III) and s. 160(1))</w:t>
      </w:r>
      <w:bookmarkEnd w:id="60"/>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61" w:name="_Toc498094756"/>
      <w:r>
        <w:rPr>
          <w:rStyle w:val="CharSectno"/>
        </w:rPr>
        <w:t>18B</w:t>
      </w:r>
      <w:r>
        <w:rPr>
          <w:snapToGrid w:val="0"/>
        </w:rPr>
        <w:t>.</w:t>
      </w:r>
      <w:r>
        <w:rPr>
          <w:snapToGrid w:val="0"/>
        </w:rPr>
        <w:tab/>
        <w:t>Proof of age card, issue of etc.</w:t>
      </w:r>
      <w:bookmarkEnd w:id="6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2" w:name="_Toc498094757"/>
      <w:r>
        <w:rPr>
          <w:rStyle w:val="CharSectno"/>
        </w:rPr>
        <w:t>18C</w:t>
      </w:r>
      <w:r>
        <w:rPr>
          <w:snapToGrid w:val="0"/>
        </w:rPr>
        <w:t>.</w:t>
      </w:r>
      <w:r>
        <w:rPr>
          <w:snapToGrid w:val="0"/>
        </w:rPr>
        <w:tab/>
        <w:t>Proof of age card, form etc. of (r. 18B)</w:t>
      </w:r>
      <w:bookmarkEnd w:id="6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63" w:name="_Toc498094758"/>
      <w:r>
        <w:rPr>
          <w:rStyle w:val="CharSectno"/>
        </w:rPr>
        <w:t>18D</w:t>
      </w:r>
      <w:r>
        <w:rPr>
          <w:snapToGrid w:val="0"/>
        </w:rPr>
        <w:t>.</w:t>
      </w:r>
      <w:r>
        <w:rPr>
          <w:snapToGrid w:val="0"/>
        </w:rPr>
        <w:tab/>
        <w:t>Lost etc. proof of age card, replacement of</w:t>
      </w:r>
      <w:bookmarkEnd w:id="6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64" w:name="_Toc498094759"/>
      <w:r>
        <w:rPr>
          <w:rStyle w:val="CharSectno"/>
        </w:rPr>
        <w:t>18E</w:t>
      </w:r>
      <w:r>
        <w:rPr>
          <w:snapToGrid w:val="0"/>
        </w:rPr>
        <w:t>.</w:t>
      </w:r>
      <w:r>
        <w:rPr>
          <w:snapToGrid w:val="0"/>
        </w:rPr>
        <w:tab/>
        <w:t>Agreement or arrangement prescribed (Act s. 104(2))</w:t>
      </w:r>
      <w:bookmarkEnd w:id="6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5" w:name="_Toc498094760"/>
      <w:r>
        <w:rPr>
          <w:rStyle w:val="CharSectno"/>
        </w:rPr>
        <w:t>18EA</w:t>
      </w:r>
      <w:r>
        <w:t>.</w:t>
      </w:r>
      <w:r>
        <w:tab/>
        <w:t>Information prescribed for websites (Act s. 113A)</w:t>
      </w:r>
      <w:bookmarkEnd w:id="6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6" w:name="_Toc498094761"/>
      <w:r>
        <w:rPr>
          <w:rStyle w:val="CharSectno"/>
        </w:rPr>
        <w:t>18EBA</w:t>
      </w:r>
      <w:r>
        <w:t>.</w:t>
      </w:r>
      <w:r>
        <w:tab/>
        <w:t xml:space="preserve">Persons prescribed (Act s. 115AC(1A) </w:t>
      </w:r>
      <w:r>
        <w:rPr>
          <w:i/>
        </w:rPr>
        <w:t>secure webpage</w:t>
      </w:r>
      <w:r>
        <w:t>)</w:t>
      </w:r>
      <w:bookmarkEnd w:id="66"/>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7" w:name="_Toc498094762"/>
      <w:r>
        <w:rPr>
          <w:rStyle w:val="CharSectno"/>
        </w:rPr>
        <w:t>18EB</w:t>
      </w:r>
      <w:r>
        <w:t>.</w:t>
      </w:r>
      <w:r>
        <w:tab/>
        <w:t>Incidents and information prescribed for register (Act s. 116A)</w:t>
      </w:r>
      <w:bookmarkEnd w:id="6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68" w:name="_Toc498094763"/>
      <w:r>
        <w:rPr>
          <w:rStyle w:val="CharSectno"/>
        </w:rPr>
        <w:t>18EC</w:t>
      </w:r>
      <w:r>
        <w:t>.</w:t>
      </w:r>
      <w:r>
        <w:tab/>
        <w:t>Prescribed incidents involving physical force</w:t>
      </w:r>
      <w:bookmarkEnd w:id="68"/>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69" w:name="_Toc498094764"/>
      <w:r>
        <w:rPr>
          <w:rStyle w:val="CharSectno"/>
        </w:rPr>
        <w:t>18F</w:t>
      </w:r>
      <w:r>
        <w:t>.</w:t>
      </w:r>
      <w:r>
        <w:tab/>
        <w:t>Training courses prescribed (Act s. 121(11)(d))</w:t>
      </w:r>
      <w:bookmarkEnd w:id="6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70" w:name="_Toc498094765"/>
      <w:r>
        <w:rPr>
          <w:rStyle w:val="CharSectno"/>
        </w:rPr>
        <w:t>18G</w:t>
      </w:r>
      <w:r>
        <w:t>.</w:t>
      </w:r>
      <w:r>
        <w:tab/>
        <w:t>Confiscated document, how to be dealt with (Act s. 126(2b))</w:t>
      </w:r>
      <w:bookmarkEnd w:id="7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71" w:name="_Toc498094766"/>
      <w:r>
        <w:rPr>
          <w:rStyle w:val="CharSectno"/>
        </w:rPr>
        <w:t>18H</w:t>
      </w:r>
      <w:r>
        <w:t>.</w:t>
      </w:r>
      <w:r>
        <w:tab/>
        <w:t>Provisions prescribed (Act s. 126E(4))</w:t>
      </w:r>
      <w:bookmarkEnd w:id="71"/>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72" w:name="_Toc498094767"/>
      <w:r>
        <w:rPr>
          <w:rStyle w:val="CharSectno"/>
        </w:rPr>
        <w:t>19</w:t>
      </w:r>
      <w:r>
        <w:rPr>
          <w:snapToGrid w:val="0"/>
        </w:rPr>
        <w:t>.</w:t>
      </w:r>
      <w:r>
        <w:rPr>
          <w:snapToGrid w:val="0"/>
        </w:rPr>
        <w:tab/>
        <w:t>Subsidy, application for</w:t>
      </w:r>
      <w:bookmarkEnd w:id="7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73" w:name="_Toc498094768"/>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4" w:name="_Toc498094769"/>
      <w:r>
        <w:rPr>
          <w:rStyle w:val="CharSectno"/>
        </w:rPr>
        <w:t>21</w:t>
      </w:r>
      <w:r>
        <w:t>.</w:t>
      </w:r>
      <w:r>
        <w:tab/>
        <w:t>Wholesaler, subsidy for (Act s. 130)</w:t>
      </w:r>
      <w:bookmarkEnd w:id="74"/>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75" w:name="_Toc498094770"/>
      <w:r>
        <w:rPr>
          <w:rStyle w:val="CharSectno"/>
        </w:rPr>
        <w:t>21A</w:t>
      </w:r>
      <w:r>
        <w:t>.</w:t>
      </w:r>
      <w:r>
        <w:tab/>
        <w:t>Wine producer, subsidy for (Act s. 130)</w:t>
      </w:r>
      <w:bookmarkEnd w:id="75"/>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2" o:title=""/>
          </v:shape>
          <o:OLEObject Type="Embed" ProgID="Equation.3" ShapeID="_x0000_i1025" DrawAspect="Content" ObjectID="_1644269152"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6" w:name="_Toc498094771"/>
      <w:r>
        <w:rPr>
          <w:rStyle w:val="CharSectno"/>
        </w:rPr>
        <w:t>21AC</w:t>
      </w:r>
      <w:r>
        <w:rPr>
          <w:snapToGrid w:val="0"/>
        </w:rPr>
        <w:t>.</w:t>
      </w:r>
      <w:r>
        <w:rPr>
          <w:snapToGrid w:val="0"/>
        </w:rPr>
        <w:tab/>
        <w:t>Subsidy payable once in respect of sale of liquor</w:t>
      </w:r>
      <w:bookmarkEnd w:id="76"/>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7" w:name="_Toc498094772"/>
      <w:r>
        <w:rPr>
          <w:rStyle w:val="CharSectno"/>
        </w:rPr>
        <w:t>21B</w:t>
      </w:r>
      <w:r>
        <w:rPr>
          <w:snapToGrid w:val="0"/>
        </w:rPr>
        <w:t>.</w:t>
      </w:r>
      <w:r>
        <w:rPr>
          <w:snapToGrid w:val="0"/>
        </w:rPr>
        <w:tab/>
        <w:t xml:space="preserve">Subsidy, conditions imposed by Director as to </w:t>
      </w:r>
      <w:r>
        <w:t>(Act s. 130(2))</w:t>
      </w:r>
      <w:bookmarkEnd w:id="7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8" w:name="_Toc498094773"/>
      <w:r>
        <w:rPr>
          <w:rStyle w:val="CharSectno"/>
        </w:rPr>
        <w:t>21C</w:t>
      </w:r>
      <w:r>
        <w:rPr>
          <w:snapToGrid w:val="0"/>
        </w:rPr>
        <w:t>.</w:t>
      </w:r>
      <w:r>
        <w:rPr>
          <w:snapToGrid w:val="0"/>
        </w:rPr>
        <w:tab/>
        <w:t>Licensees prescribed </w:t>
      </w:r>
      <w:r>
        <w:t>(Act s. </w:t>
      </w:r>
      <w:r>
        <w:rPr>
          <w:snapToGrid w:val="0"/>
        </w:rPr>
        <w:t>145(1))</w:t>
      </w:r>
      <w:bookmarkEnd w:id="7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9" w:name="_Toc498094774"/>
      <w:r>
        <w:rPr>
          <w:rStyle w:val="CharSectno"/>
        </w:rPr>
        <w:t>22</w:t>
      </w:r>
      <w:r>
        <w:rPr>
          <w:snapToGrid w:val="0"/>
        </w:rPr>
        <w:t>.</w:t>
      </w:r>
      <w:r>
        <w:rPr>
          <w:snapToGrid w:val="0"/>
        </w:rPr>
        <w:tab/>
        <w:t xml:space="preserve">Records prescribed etc. </w:t>
      </w:r>
      <w:r>
        <w:t>(Act s. </w:t>
      </w:r>
      <w:r>
        <w:rPr>
          <w:snapToGrid w:val="0"/>
        </w:rPr>
        <w:t>145)</w:t>
      </w:r>
      <w:bookmarkEnd w:id="79"/>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0" w:name="_Toc498094775"/>
      <w:r>
        <w:rPr>
          <w:rStyle w:val="CharSectno"/>
        </w:rPr>
        <w:t>23</w:t>
      </w:r>
      <w:r>
        <w:rPr>
          <w:snapToGrid w:val="0"/>
        </w:rPr>
        <w:t>.</w:t>
      </w:r>
      <w:r>
        <w:rPr>
          <w:snapToGrid w:val="0"/>
        </w:rPr>
        <w:tab/>
        <w:t xml:space="preserve">Returns, verification and lodgment of </w:t>
      </w:r>
      <w:r>
        <w:t>(Act s. 146)</w:t>
      </w:r>
      <w:bookmarkEnd w:id="8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1" w:name="_Toc498094776"/>
      <w:r>
        <w:rPr>
          <w:rStyle w:val="CharSectno"/>
        </w:rPr>
        <w:t>24</w:t>
      </w:r>
      <w:r>
        <w:rPr>
          <w:snapToGrid w:val="0"/>
        </w:rPr>
        <w:t>.</w:t>
      </w:r>
      <w:r>
        <w:rPr>
          <w:snapToGrid w:val="0"/>
        </w:rPr>
        <w:tab/>
        <w:t xml:space="preserve">Return of information required etc. </w:t>
      </w:r>
      <w:r>
        <w:t>(Act s. 145)</w:t>
      </w:r>
      <w:bookmarkEnd w:id="8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82" w:name="_Toc498094777"/>
      <w:r>
        <w:rPr>
          <w:rStyle w:val="CharSectno"/>
        </w:rPr>
        <w:t>25A</w:t>
      </w:r>
      <w:r>
        <w:t>.</w:t>
      </w:r>
      <w:r>
        <w:tab/>
        <w:t>Class of persons prescribed (Act s. 152P(4)(b))</w:t>
      </w:r>
      <w:bookmarkEnd w:id="8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83" w:name="_Toc498094778"/>
      <w:r>
        <w:rPr>
          <w:rStyle w:val="CharSectno"/>
        </w:rPr>
        <w:t>25</w:t>
      </w:r>
      <w:r>
        <w:rPr>
          <w:snapToGrid w:val="0"/>
        </w:rPr>
        <w:t>.</w:t>
      </w:r>
      <w:r>
        <w:rPr>
          <w:snapToGrid w:val="0"/>
        </w:rPr>
        <w:tab/>
        <w:t>Money payable under Act, how payable</w:t>
      </w:r>
      <w:bookmarkEnd w:id="8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4" w:name="_Toc498094779"/>
      <w:r>
        <w:rPr>
          <w:rStyle w:val="CharSectno"/>
        </w:rPr>
        <w:t>26</w:t>
      </w:r>
      <w:r>
        <w:rPr>
          <w:snapToGrid w:val="0"/>
        </w:rPr>
        <w:t>.</w:t>
      </w:r>
      <w:r>
        <w:rPr>
          <w:snapToGrid w:val="0"/>
        </w:rPr>
        <w:tab/>
        <w:t>Fees generally (Sch. 3)</w:t>
      </w:r>
      <w:bookmarkEnd w:id="84"/>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$277; or</w:t>
      </w:r>
    </w:p>
    <w:p>
      <w:pPr>
        <w:pStyle w:val="Indenta"/>
      </w:pPr>
      <w:r>
        <w:tab/>
        <w:t>(b)</w:t>
      </w:r>
      <w:r>
        <w:tab/>
        <w:t>if 3 or more such permits have been issued — an additional amount of $556.</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w:t>
      </w:r>
    </w:p>
    <w:p>
      <w:pPr>
        <w:pStyle w:val="Heading5"/>
      </w:pPr>
      <w:bookmarkStart w:id="85" w:name="_Toc498094780"/>
      <w:r>
        <w:rPr>
          <w:rStyle w:val="CharSectno"/>
        </w:rPr>
        <w:t>27A</w:t>
      </w:r>
      <w:r>
        <w:t>.</w:t>
      </w:r>
      <w:r>
        <w:tab/>
        <w:t>Reduction in licence fee for new licences</w:t>
      </w:r>
      <w:bookmarkEnd w:id="8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6" w:name="_Toc498094781"/>
      <w:r>
        <w:rPr>
          <w:rStyle w:val="CharSectno"/>
        </w:rPr>
        <w:t>27</w:t>
      </w:r>
      <w:r>
        <w:rPr>
          <w:snapToGrid w:val="0"/>
        </w:rPr>
        <w:t>.</w:t>
      </w:r>
      <w:r>
        <w:rPr>
          <w:snapToGrid w:val="0"/>
        </w:rPr>
        <w:tab/>
        <w:t>Infringement notices, forms etc. prescribed for (Act s. 167)</w:t>
      </w:r>
      <w:bookmarkEnd w:id="8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7" w:name="_Toc498094782"/>
      <w:r>
        <w:rPr>
          <w:rStyle w:val="CharSchNo"/>
        </w:rPr>
        <w:t>Schedule 1</w:t>
      </w:r>
      <w:bookmarkEnd w:id="87"/>
    </w:p>
    <w:p>
      <w:pPr>
        <w:pStyle w:val="yShoulderClause"/>
        <w:spacing w:before="60"/>
        <w:rPr>
          <w:snapToGrid w:val="0"/>
        </w:rPr>
      </w:pPr>
      <w:r>
        <w:rPr>
          <w:snapToGrid w:val="0"/>
        </w:rPr>
        <w:t>[Regulation 3]</w:t>
      </w:r>
    </w:p>
    <w:p>
      <w:pPr>
        <w:pStyle w:val="yHeading2"/>
        <w:outlineLvl w:val="9"/>
      </w:pPr>
      <w:bookmarkStart w:id="88" w:name="_Toc498094783"/>
      <w:r>
        <w:rPr>
          <w:rStyle w:val="CharSchText"/>
        </w:rPr>
        <w:t>Forms</w:t>
      </w:r>
      <w:bookmarkEnd w:id="88"/>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90" w:name="_Toc498094784"/>
      <w:r>
        <w:rPr>
          <w:rStyle w:val="CharSchNo"/>
        </w:rPr>
        <w:t>Schedule 2</w:t>
      </w:r>
      <w:bookmarkEnd w:id="90"/>
    </w:p>
    <w:p>
      <w:pPr>
        <w:pStyle w:val="yShoulderClause"/>
        <w:spacing w:before="60"/>
        <w:rPr>
          <w:snapToGrid w:val="0"/>
        </w:rPr>
      </w:pPr>
      <w:r>
        <w:rPr>
          <w:snapToGrid w:val="0"/>
        </w:rPr>
        <w:t>[Regulation 13]</w:t>
      </w:r>
    </w:p>
    <w:p>
      <w:pPr>
        <w:pStyle w:val="yHeading2"/>
        <w:spacing w:before="120" w:after="80"/>
      </w:pPr>
      <w:bookmarkStart w:id="91" w:name="_Toc498094785"/>
      <w:r>
        <w:rPr>
          <w:rStyle w:val="CharSchText"/>
        </w:rPr>
        <w:t>Details of applicant</w:t>
      </w:r>
      <w:bookmarkEnd w:id="9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2" w:name="_Toc498094786"/>
      <w:r>
        <w:rPr>
          <w:rStyle w:val="CharSchNo"/>
        </w:rPr>
        <w:t>Schedule 3</w:t>
      </w:r>
      <w:r>
        <w:rPr>
          <w:rStyle w:val="CharSDivNo"/>
        </w:rPr>
        <w:t> </w:t>
      </w:r>
      <w:r>
        <w:t>—</w:t>
      </w:r>
      <w:r>
        <w:rPr>
          <w:rStyle w:val="CharSDivText"/>
        </w:rPr>
        <w:t> </w:t>
      </w:r>
      <w:r>
        <w:rPr>
          <w:rStyle w:val="CharSchText"/>
        </w:rPr>
        <w:t>Fees</w:t>
      </w:r>
      <w:bookmarkEnd w:id="92"/>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3 454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br/>
              <w:t>886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849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584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288</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rPr>
                <w:szCs w:val="22"/>
              </w:rPr>
            </w:pPr>
            <w:r>
              <w:rPr>
                <w:szCs w:val="22"/>
              </w:rPr>
              <w:t>53</w:t>
            </w:r>
          </w:p>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p>
            <w:pPr>
              <w:pStyle w:val="yTableNAm"/>
              <w:jc w:val="right"/>
            </w:pPr>
            <w:r>
              <w:rPr>
                <w:szCs w:val="22"/>
              </w:rPr>
              <w:t>1 137</w:t>
            </w:r>
          </w:p>
          <w:p>
            <w:pPr>
              <w:pStyle w:val="yTableNAm"/>
              <w:jc w:val="right"/>
            </w:pPr>
            <w:r>
              <w:rPr>
                <w:szCs w:val="22"/>
              </w:rPr>
              <w:t>2 275</w:t>
            </w:r>
          </w:p>
          <w:p>
            <w:pPr>
              <w:pStyle w:val="yTableNAm"/>
              <w:jc w:val="right"/>
            </w:pPr>
            <w:r>
              <w:rPr>
                <w:szCs w:val="22"/>
              </w:rPr>
              <w:t>4 560</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pP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clear" w:pos="567"/>
                <w:tab w:val="left" w:pos="518"/>
              </w:tabs>
              <w:ind w:left="518" w:hanging="518"/>
            </w:pPr>
            <w:r>
              <w:t>(a)</w:t>
            </w:r>
            <w:r>
              <w:tab/>
              <w:t xml:space="preserve">issued for the purpose referred to in section 60(4)(ca) — </w:t>
            </w:r>
          </w:p>
          <w:p>
            <w:pPr>
              <w:pStyle w:val="yTableNAm"/>
              <w:tabs>
                <w:tab w:val="clear" w:pos="567"/>
                <w:tab w:val="left" w:pos="518"/>
                <w:tab w:val="left" w:pos="1085"/>
                <w:tab w:val="right" w:leader="dot" w:pos="5479"/>
              </w:tabs>
              <w:ind w:left="516" w:hanging="516"/>
            </w:pPr>
            <w:r>
              <w:tab/>
              <w:t>(i)</w:t>
            </w:r>
            <w:r>
              <w:tab/>
              <w:t xml:space="preserve">if regulation 9F(2) applies </w:t>
            </w:r>
            <w:r>
              <w:tab/>
            </w:r>
          </w:p>
          <w:p>
            <w:pPr>
              <w:pStyle w:val="yTableNAm"/>
              <w:tabs>
                <w:tab w:val="clear" w:pos="567"/>
                <w:tab w:val="left" w:pos="518"/>
                <w:tab w:val="left" w:pos="1085"/>
                <w:tab w:val="right" w:leader="dot" w:pos="5479"/>
              </w:tabs>
              <w:ind w:left="516" w:hanging="516"/>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pPr>
            <w:r>
              <w:br/>
            </w:r>
          </w:p>
          <w:p>
            <w:pPr>
              <w:pStyle w:val="yTableNAm"/>
              <w:jc w:val="right"/>
              <w:rPr>
                <w:szCs w:val="22"/>
              </w:rPr>
            </w:pPr>
            <w:r>
              <w:rPr>
                <w:szCs w:val="22"/>
              </w:rPr>
              <w:t>53</w:t>
            </w:r>
          </w:p>
          <w:p>
            <w:pPr>
              <w:pStyle w:val="yTableNAm"/>
              <w:jc w:val="right"/>
            </w:pPr>
            <w:r>
              <w:rPr>
                <w:szCs w:val="22"/>
              </w:rPr>
              <w:t>466</w:t>
            </w:r>
          </w:p>
        </w:tc>
      </w:tr>
      <w:tr>
        <w:tc>
          <w:tcPr>
            <w:tcW w:w="684" w:type="dxa"/>
            <w:tcBorders>
              <w:top w:val="nil"/>
              <w:left w:val="single" w:sz="4" w:space="0" w:color="auto"/>
              <w:bottom w:val="nil"/>
              <w:right w:val="single" w:sz="4" w:space="0" w:color="auto"/>
            </w:tcBorders>
          </w:tcPr>
          <w:p>
            <w:pPr>
              <w:pStyle w:val="zyTableNAm"/>
              <w:keepNext/>
            </w:pPr>
          </w:p>
        </w:tc>
        <w:tc>
          <w:tcPr>
            <w:tcW w:w="5529" w:type="dxa"/>
            <w:tcBorders>
              <w:top w:val="nil"/>
              <w:left w:val="single" w:sz="4" w:space="0" w:color="auto"/>
              <w:bottom w:val="nil"/>
              <w:right w:val="single" w:sz="4" w:space="0" w:color="auto"/>
            </w:tcBorders>
          </w:tcPr>
          <w:p>
            <w:pPr>
              <w:pStyle w:val="yTableNAm"/>
              <w:tabs>
                <w:tab w:val="clear" w:pos="567"/>
                <w:tab w:val="left" w:pos="518"/>
                <w:tab w:val="right" w:leader="dot" w:pos="5479"/>
              </w:tabs>
              <w:ind w:left="516" w:hanging="516"/>
            </w:pPr>
            <w:r>
              <w:t>(b)</w:t>
            </w:r>
            <w:r>
              <w:tab/>
              <w:t xml:space="preserve">issued for the purpose referred to in </w:t>
            </w:r>
            <w:r>
              <w:br/>
              <w:t xml:space="preserve">section 60(4)(e) </w:t>
            </w:r>
            <w:r>
              <w:tab/>
            </w:r>
          </w:p>
          <w:p>
            <w:pPr>
              <w:pStyle w:val="yTableNAm"/>
              <w:tabs>
                <w:tab w:val="clear" w:pos="567"/>
                <w:tab w:val="left" w:pos="518"/>
                <w:tab w:val="right" w:leader="dot" w:pos="5479"/>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348</w:t>
            </w:r>
          </w:p>
          <w:p>
            <w:pPr>
              <w:pStyle w:val="yTableNAm"/>
              <w:jc w:val="right"/>
            </w:pPr>
            <w:r>
              <w:br/>
            </w:r>
            <w:r>
              <w:rPr>
                <w:szCs w:val="22"/>
              </w:rPr>
              <w:t>348</w:t>
            </w:r>
          </w:p>
        </w:tc>
      </w:tr>
      <w:tr>
        <w:tc>
          <w:tcPr>
            <w:tcW w:w="684" w:type="dxa"/>
            <w:tcBorders>
              <w:top w:val="nil"/>
              <w:left w:val="single" w:sz="4" w:space="0" w:color="auto"/>
              <w:bottom w:val="nil"/>
              <w:right w:val="single" w:sz="4" w:space="0" w:color="auto"/>
            </w:tcBorders>
          </w:tcPr>
          <w:p>
            <w:pPr>
              <w:pStyle w:val="z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18" w:hanging="518"/>
            </w:pPr>
            <w:r>
              <w:t>(d)</w:t>
            </w:r>
            <w:r>
              <w:tab/>
              <w:t xml:space="preserve">issued for the purpose referred to in section 60(4)(ia) — </w:t>
            </w:r>
          </w:p>
          <w:p>
            <w:pPr>
              <w:pStyle w:val="yTableNAm"/>
              <w:tabs>
                <w:tab w:val="clear" w:pos="567"/>
                <w:tab w:val="left" w:pos="518"/>
                <w:tab w:val="left" w:pos="1085"/>
                <w:tab w:val="right" w:leader="dot" w:pos="5479"/>
              </w:tabs>
              <w:ind w:left="1085" w:hanging="1085"/>
            </w:pPr>
            <w:r>
              <w:tab/>
              <w:t>(i)</w:t>
            </w:r>
            <w:r>
              <w:tab/>
              <w:t>if no previous application for that purpose has been made by any licensee in respect of the relevant premises</w:t>
            </w:r>
            <w:r>
              <w:tab/>
            </w:r>
          </w:p>
          <w:p>
            <w:pPr>
              <w:pStyle w:val="yTableNAm"/>
              <w:tabs>
                <w:tab w:val="clear" w:pos="567"/>
                <w:tab w:val="left" w:pos="518"/>
                <w:tab w:val="left" w:pos="1085"/>
                <w:tab w:val="right" w:leader="dot" w:pos="5479"/>
              </w:tabs>
              <w:ind w:left="1085" w:hanging="1085"/>
            </w:pPr>
            <w:r>
              <w:tab/>
              <w:t>(ii)</w:t>
            </w:r>
            <w:r>
              <w:tab/>
              <w:t>if subparagraph (i) does not apply</w:t>
            </w:r>
            <w:r>
              <w:tab/>
            </w:r>
          </w:p>
        </w:tc>
        <w:tc>
          <w:tcPr>
            <w:tcW w:w="855" w:type="dxa"/>
            <w:tcBorders>
              <w:top w:val="nil"/>
              <w:left w:val="single" w:sz="4" w:space="0" w:color="auto"/>
              <w:bottom w:val="nil"/>
              <w:right w:val="single" w:sz="4" w:space="0" w:color="auto"/>
            </w:tcBorders>
          </w:tcPr>
          <w:p>
            <w:pPr>
              <w:pStyle w:val="yTableNAm"/>
              <w:rPr>
                <w:szCs w:val="22"/>
              </w:rPr>
            </w:pPr>
            <w:r>
              <w:rPr>
                <w:szCs w:val="22"/>
              </w:rPr>
              <w:br/>
            </w:r>
          </w:p>
          <w:p>
            <w:pPr>
              <w:pStyle w:val="yTableNAm"/>
              <w:jc w:val="right"/>
              <w:rPr>
                <w:szCs w:val="22"/>
              </w:rPr>
            </w:pPr>
            <w:r>
              <w:rPr>
                <w:szCs w:val="22"/>
              </w:rPr>
              <w:br/>
            </w:r>
            <w:r>
              <w:rPr>
                <w:szCs w:val="22"/>
              </w:rPr>
              <w:br/>
              <w:t>345</w:t>
            </w:r>
          </w:p>
          <w:p>
            <w:pPr>
              <w:pStyle w:val="yTableNAm"/>
              <w:jc w:val="right"/>
              <w:rPr>
                <w:szCs w:val="22"/>
              </w:rPr>
            </w:pPr>
            <w:r>
              <w:rPr>
                <w:szCs w:val="22"/>
              </w:rPr>
              <w:t>290</w:t>
            </w:r>
          </w:p>
        </w:tc>
      </w:tr>
      <w:tr>
        <w:tc>
          <w:tcPr>
            <w:tcW w:w="684" w:type="dxa"/>
            <w:tcBorders>
              <w:top w:val="nil"/>
              <w:left w:val="single" w:sz="4" w:space="0" w:color="auto"/>
              <w:bottom w:val="single" w:sz="4" w:space="0" w:color="auto"/>
              <w:right w:val="single" w:sz="4" w:space="0" w:color="auto"/>
            </w:tcBorders>
          </w:tcPr>
          <w:p>
            <w:pPr>
              <w:pStyle w:val="z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18" w:hanging="518"/>
            </w:pPr>
            <w:r>
              <w:t>(e)</w:t>
            </w:r>
            <w:r>
              <w:tab/>
              <w:t>issued for any other purpose</w:t>
            </w:r>
            <w:r>
              <w:tab/>
            </w:r>
          </w:p>
        </w:tc>
        <w:tc>
          <w:tcPr>
            <w:tcW w:w="855" w:type="dxa"/>
            <w:tcBorders>
              <w:top w:val="nil"/>
              <w:left w:val="single" w:sz="4" w:space="0" w:color="auto"/>
              <w:bottom w:val="single" w:sz="4" w:space="0" w:color="auto"/>
              <w:right w:val="single" w:sz="4" w:space="0" w:color="auto"/>
            </w:tcBorders>
          </w:tcPr>
          <w:p>
            <w:pPr>
              <w:pStyle w:val="yTableNAm"/>
              <w:jc w:val="right"/>
              <w:rPr>
                <w:szCs w:val="22"/>
              </w:rPr>
            </w:pPr>
            <w:r>
              <w:rPr>
                <w:szCs w:val="22"/>
              </w:rPr>
              <w:t>1 168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rPr>
                <w:szCs w:val="22"/>
              </w:rPr>
              <w:t>226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rPr>
                <w:szCs w:val="22"/>
              </w:rPr>
              <w:t>164</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126</w:t>
            </w:r>
          </w:p>
        </w:tc>
      </w:tr>
      <w:tr>
        <w:tc>
          <w:tcPr>
            <w:tcW w:w="6213"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777"/>
              </w:tabs>
              <w:rPr>
                <w:i/>
              </w:rPr>
            </w:pPr>
            <w:r>
              <w:rPr>
                <w:i/>
              </w:rPr>
              <w:t>[10B</w:t>
            </w:r>
            <w:r>
              <w:rPr>
                <w:i/>
              </w:rPr>
              <w:tab/>
              <w:t>deleted]</w:t>
            </w:r>
          </w:p>
        </w:tc>
        <w:tc>
          <w:tcPr>
            <w:tcW w:w="855" w:type="dxa"/>
            <w:tcBorders>
              <w:top w:val="single" w:sz="4" w:space="0" w:color="auto"/>
              <w:left w:val="single" w:sz="4" w:space="0" w:color="auto"/>
              <w:bottom w:val="single" w:sz="4" w:space="0" w:color="auto"/>
              <w:right w:val="single" w:sz="4" w:space="0" w:color="auto"/>
            </w:tcBorders>
          </w:tcPr>
          <w:p>
            <w:pPr>
              <w:pStyle w:val="yTableNAm"/>
              <w:rPr>
                <w:i/>
              </w:rPr>
            </w:pP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keepNext/>
            </w:pPr>
            <w:r>
              <w:t>10.</w:t>
            </w: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keepNext/>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r>
            <w:r>
              <w:rPr>
                <w:szCs w:val="22"/>
              </w:rPr>
              <w:t>159</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109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399</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73</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rPr>
                <w:szCs w:val="22"/>
              </w:rPr>
              <w:t>237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rPr>
                <w:szCs w:val="22"/>
              </w:rPr>
              <w:t>110</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226</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rPr>
                <w:szCs w:val="22"/>
              </w:rPr>
              <w:t>1 137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rPr>
                <w:szCs w:val="22"/>
              </w:rPr>
              <w:t>2 275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rPr>
                <w:szCs w:val="22"/>
              </w:rPr>
              <w:t>4 560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43</w:t>
            </w:r>
          </w:p>
        </w:tc>
      </w:tr>
      <w:tr>
        <w:tc>
          <w:tcPr>
            <w:tcW w:w="684" w:type="dxa"/>
            <w:tcBorders>
              <w:top w:val="single" w:sz="4" w:space="0" w:color="auto"/>
              <w:left w:val="single" w:sz="4" w:space="0" w:color="auto"/>
              <w:bottom w:val="single" w:sz="4" w:space="0" w:color="auto"/>
              <w:right w:val="single" w:sz="4" w:space="0" w:color="auto"/>
            </w:tcBorders>
          </w:tcPr>
          <w:p>
            <w:pPr>
              <w:pStyle w:val="yTableNAm"/>
              <w:keepNext/>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jc w:val="right"/>
            </w:pPr>
            <w:r>
              <w:br/>
            </w:r>
            <w:r>
              <w:rPr>
                <w:szCs w:val="22"/>
              </w:rPr>
              <w:t>277</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5479"/>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rPr>
                <w:szCs w:val="22"/>
              </w:rPr>
              <w:t>231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221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r>
            <w:r>
              <w:rPr>
                <w:szCs w:val="22"/>
              </w:rPr>
              <w:t>264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rPr>
                <w:szCs w:val="22"/>
              </w:rPr>
              <w:t>64</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r>
            <w:r>
              <w:rPr>
                <w:szCs w:val="22"/>
              </w:rPr>
              <w:t>89</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rPr>
                <w:szCs w:val="22"/>
              </w:rPr>
              <w:t>58</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rPr>
                <w:szCs w:val="22"/>
              </w:rPr>
              <w:t>142</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rPr>
                <w:szCs w:val="22"/>
              </w:rPr>
              <w:t>52</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rPr>
                <w:szCs w:val="22"/>
              </w:rPr>
              <w:t>77</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34.</w:t>
            </w: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r>
              <w:br/>
              <w:t>148</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 6 Nov 2015 p. 4585-7; 4 Mar 2016 p. 630; 28 Oct 2016 p. 4913</w:t>
      </w:r>
      <w:r>
        <w:noBreakHyphen/>
        <w:t>15.]</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93" w:name="_Toc498094787"/>
      <w:r>
        <w:t>Notes</w:t>
      </w:r>
      <w:bookmarkEnd w:id="93"/>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94" w:name="_Toc498094788"/>
      <w:r>
        <w:rPr>
          <w:snapToGrid w:val="0"/>
        </w:rP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Liquor Control Amendment Regulations (No. 5) 2017</w:t>
            </w:r>
          </w:p>
        </w:tc>
        <w:tc>
          <w:tcPr>
            <w:tcW w:w="1276" w:type="dxa"/>
            <w:tcBorders>
              <w:bottom w:val="single" w:sz="4" w:space="0" w:color="auto"/>
            </w:tcBorders>
            <w:shd w:val="clear" w:color="auto" w:fill="auto"/>
          </w:tcPr>
          <w:p>
            <w:pPr>
              <w:pStyle w:val="nTable"/>
              <w:spacing w:after="40"/>
            </w:pPr>
            <w:r>
              <w:t>3 Oct 2017 p. 5049</w:t>
            </w:r>
            <w:r>
              <w:noBreakHyphen/>
              <w:t>50</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 w:name="_Toc498094789"/>
      <w:r>
        <w:t>Provisions that have not come into operation</w:t>
      </w:r>
      <w:bookmarkEnd w:id="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Racing, Gaming and Liquor Regulations Amendment (Fees and Charges) Regulations 2017</w:t>
            </w:r>
            <w:r>
              <w:t xml:space="preserve"> Pt. 6 </w:t>
            </w:r>
            <w:r>
              <w:rPr>
                <w:vertAlign w:val="superscript"/>
              </w:rPr>
              <w:t>11</w:t>
            </w:r>
          </w:p>
        </w:tc>
        <w:tc>
          <w:tcPr>
            <w:tcW w:w="1276" w:type="dxa"/>
          </w:tcPr>
          <w:p>
            <w:pPr>
              <w:pStyle w:val="nTable"/>
              <w:spacing w:after="40"/>
            </w:pPr>
            <w:r>
              <w:t>10 Nov 2017 p. 5579</w:t>
            </w:r>
            <w:r>
              <w:noBreakHyphen/>
              <w:t>94</w:t>
            </w:r>
          </w:p>
        </w:tc>
        <w:tc>
          <w:tcPr>
            <w:tcW w:w="2693" w:type="dxa"/>
          </w:tcPr>
          <w:p>
            <w:pPr>
              <w:pStyle w:val="nTable"/>
              <w:spacing w:after="40"/>
            </w:pPr>
            <w:r>
              <w:t>1 Jan 2018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spacing w:before="200"/>
        <w:rPr>
          <w:snapToGrid w:val="0"/>
        </w:rPr>
      </w:pPr>
      <w:r>
        <w:rPr>
          <w:snapToGrid w:val="0"/>
          <w:vertAlign w:val="superscript"/>
        </w:rPr>
        <w:t>11</w:t>
      </w:r>
      <w:r>
        <w:rPr>
          <w:snapToGrid w:val="0"/>
          <w:vertAlign w:val="superscript"/>
        </w:rPr>
        <w:tab/>
      </w:r>
      <w:r>
        <w:rPr>
          <w:snapToGrid w:val="0"/>
        </w:rPr>
        <w:t xml:space="preserve">On the date as at which this compilation was prepared, the </w:t>
      </w:r>
      <w:r>
        <w:rPr>
          <w:i/>
          <w:snapToGrid w:val="0"/>
        </w:rPr>
        <w:t xml:space="preserve">Racing, Gaming and Liquor Regulations Amendment (Fees and Charges) Regulations 2017 </w:t>
      </w:r>
      <w:r>
        <w:rPr>
          <w:snapToGrid w:val="0"/>
        </w:rPr>
        <w:t>Pt. 6 had not come into operation.  It reads as follows:</w:t>
      </w:r>
    </w:p>
    <w:p>
      <w:pPr>
        <w:pStyle w:val="BlankOpen"/>
        <w:rPr>
          <w:snapToGrid w:val="0"/>
        </w:rPr>
      </w:pPr>
    </w:p>
    <w:p>
      <w:pPr>
        <w:pStyle w:val="nzHeading2"/>
      </w:pPr>
      <w:bookmarkStart w:id="96" w:name="_Toc494975704"/>
      <w:bookmarkStart w:id="97" w:name="_Toc494975732"/>
      <w:bookmarkStart w:id="98" w:name="_Toc494975864"/>
      <w:bookmarkStart w:id="99" w:name="_Toc494975922"/>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bookmarkEnd w:id="96"/>
      <w:bookmarkEnd w:id="97"/>
      <w:bookmarkEnd w:id="98"/>
      <w:bookmarkEnd w:id="99"/>
    </w:p>
    <w:p>
      <w:pPr>
        <w:pStyle w:val="nzHeading5"/>
      </w:pPr>
      <w:bookmarkStart w:id="100" w:name="_Toc494975733"/>
      <w:bookmarkStart w:id="101" w:name="_Toc494975923"/>
      <w:r>
        <w:rPr>
          <w:rStyle w:val="CharSectno"/>
        </w:rPr>
        <w:t>11</w:t>
      </w:r>
      <w:r>
        <w:t>.</w:t>
      </w:r>
      <w:r>
        <w:tab/>
        <w:t>Regulations amended</w:t>
      </w:r>
      <w:bookmarkEnd w:id="100"/>
      <w:bookmarkEnd w:id="101"/>
    </w:p>
    <w:p>
      <w:pPr>
        <w:pStyle w:val="nzSubsection"/>
      </w:pPr>
      <w:r>
        <w:tab/>
      </w:r>
      <w:r>
        <w:tab/>
        <w:t xml:space="preserve">This Part amends the </w:t>
      </w:r>
      <w:r>
        <w:rPr>
          <w:i/>
        </w:rPr>
        <w:t>Liquor Control Regulations 1989</w:t>
      </w:r>
      <w:r>
        <w:t>.</w:t>
      </w:r>
    </w:p>
    <w:p>
      <w:pPr>
        <w:pStyle w:val="nzHeading5"/>
      </w:pPr>
      <w:bookmarkStart w:id="102" w:name="_Toc494975734"/>
      <w:bookmarkStart w:id="103" w:name="_Toc494975924"/>
      <w:r>
        <w:rPr>
          <w:rStyle w:val="CharSectno"/>
        </w:rPr>
        <w:t>12</w:t>
      </w:r>
      <w:r>
        <w:t>.</w:t>
      </w:r>
      <w:r>
        <w:tab/>
        <w:t>Regulation 26 amended</w:t>
      </w:r>
      <w:bookmarkEnd w:id="102"/>
      <w:bookmarkEnd w:id="103"/>
    </w:p>
    <w:p>
      <w:pPr>
        <w:pStyle w:val="nzSubsection"/>
      </w:pPr>
      <w:r>
        <w:tab/>
        <w:t>(1)</w:t>
      </w:r>
      <w:r>
        <w:tab/>
        <w:t>In regulation 26(1aa)(a) delete “$277; or” and insert:</w:t>
      </w:r>
    </w:p>
    <w:p>
      <w:pPr>
        <w:pStyle w:val="BlankOpen"/>
      </w:pPr>
    </w:p>
    <w:p>
      <w:pPr>
        <w:pStyle w:val="nzSubsection"/>
      </w:pPr>
      <w:r>
        <w:tab/>
      </w:r>
      <w:r>
        <w:tab/>
        <w:t>$281; or</w:t>
      </w:r>
    </w:p>
    <w:p>
      <w:pPr>
        <w:pStyle w:val="BlankClose"/>
      </w:pPr>
    </w:p>
    <w:p>
      <w:pPr>
        <w:pStyle w:val="nzSubsection"/>
      </w:pPr>
      <w:r>
        <w:tab/>
        <w:t>(2)</w:t>
      </w:r>
      <w:r>
        <w:tab/>
        <w:t>In regulation 26(1aa)(b) delete “$556.” and insert:</w:t>
      </w:r>
    </w:p>
    <w:p>
      <w:pPr>
        <w:pStyle w:val="BlankOpen"/>
      </w:pPr>
    </w:p>
    <w:p>
      <w:pPr>
        <w:pStyle w:val="nzSubsection"/>
      </w:pPr>
      <w:r>
        <w:tab/>
      </w:r>
      <w:r>
        <w:tab/>
        <w:t>$565.</w:t>
      </w:r>
    </w:p>
    <w:p>
      <w:pPr>
        <w:pStyle w:val="BlankClose"/>
      </w:pPr>
    </w:p>
    <w:p>
      <w:pPr>
        <w:pStyle w:val="nzHeading5"/>
      </w:pPr>
      <w:bookmarkStart w:id="104" w:name="_Toc494975735"/>
      <w:bookmarkStart w:id="105" w:name="_Toc494975925"/>
      <w:r>
        <w:rPr>
          <w:rStyle w:val="CharSectno"/>
        </w:rPr>
        <w:t>13</w:t>
      </w:r>
      <w:r>
        <w:t>.</w:t>
      </w:r>
      <w:r>
        <w:tab/>
        <w:t>Schedule 3 replaced</w:t>
      </w:r>
      <w:bookmarkEnd w:id="104"/>
      <w:bookmarkEnd w:id="105"/>
    </w:p>
    <w:p>
      <w:pPr>
        <w:pStyle w:val="nzSubsection"/>
      </w:pPr>
      <w:r>
        <w:tab/>
      </w:r>
      <w:r>
        <w:tab/>
        <w:t>Delete Schedule 3 and insert:</w:t>
      </w:r>
    </w:p>
    <w:p>
      <w:pPr>
        <w:pStyle w:val="BlankOpen"/>
      </w:pPr>
    </w:p>
    <w:p>
      <w:pPr>
        <w:pStyle w:val="zyHeading2"/>
      </w:pPr>
      <w:bookmarkStart w:id="106" w:name="_Toc494975708"/>
      <w:bookmarkStart w:id="107" w:name="_Toc494975736"/>
      <w:bookmarkStart w:id="108" w:name="_Toc494975868"/>
      <w:bookmarkStart w:id="109" w:name="_Toc494975926"/>
      <w:bookmarkStart w:id="110" w:name="_Toc498094790"/>
      <w:r>
        <w:t>Schedule 3 — Fees</w:t>
      </w:r>
      <w:bookmarkEnd w:id="106"/>
      <w:bookmarkEnd w:id="107"/>
      <w:bookmarkEnd w:id="108"/>
      <w:bookmarkEnd w:id="109"/>
      <w:bookmarkEnd w:id="110"/>
    </w:p>
    <w:p>
      <w:pPr>
        <w:pStyle w:val="zyShoulderClause"/>
        <w:spacing w:after="60"/>
      </w:pPr>
      <w:r>
        <w:t>[r. </w:t>
      </w:r>
      <w:r>
        <w:rPr>
          <w:szCs w:val="22"/>
        </w:rPr>
        <w:t>11, 14ADF, 18B, 26 and 27A</w:t>
      </w:r>
      <w:r>
        <w:t>]</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sz w:val="20"/>
              </w:rPr>
            </w:pPr>
            <w:r>
              <w:rPr>
                <w:b/>
                <w:sz w:val="20"/>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sz w:val="20"/>
              </w:rPr>
            </w:pPr>
            <w:r>
              <w:rPr>
                <w:b/>
                <w:sz w:val="20"/>
              </w:rPr>
              <w:t>Fee</w:t>
            </w:r>
            <w:r>
              <w:rPr>
                <w:b/>
                <w:sz w:val="20"/>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hotel licence, nightclub licence, casino liquor licence, special facility licence or liquor store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transfer of a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any licence other than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rPr>
                <w:sz w:val="20"/>
              </w:rPr>
            </w:pPr>
            <w:r>
              <w:rPr>
                <w:sz w:val="20"/>
              </w:rPr>
              <w:t xml:space="preserve">Application for an occasional licence if the anticipated number of patrons is — </w:t>
            </w:r>
          </w:p>
          <w:p>
            <w:pPr>
              <w:pStyle w:val="yTableNAm"/>
              <w:tabs>
                <w:tab w:val="clear" w:pos="567"/>
                <w:tab w:val="left" w:pos="518"/>
                <w:tab w:val="right" w:leader="dot" w:pos="6237"/>
              </w:tabs>
              <w:rPr>
                <w:sz w:val="20"/>
              </w:rPr>
            </w:pPr>
            <w:r>
              <w:rPr>
                <w:sz w:val="20"/>
              </w:rPr>
              <w:t>(a)</w:t>
            </w:r>
            <w:r>
              <w:rPr>
                <w:sz w:val="20"/>
              </w:rPr>
              <w:tab/>
              <w:t xml:space="preserve">up to 250 </w:t>
            </w:r>
            <w:r>
              <w:rPr>
                <w:sz w:val="20"/>
              </w:rPr>
              <w:tab/>
            </w:r>
          </w:p>
          <w:p>
            <w:pPr>
              <w:pStyle w:val="yTableNAm"/>
              <w:tabs>
                <w:tab w:val="clear" w:pos="567"/>
                <w:tab w:val="left" w:pos="518"/>
                <w:tab w:val="right" w:leader="dot" w:pos="6237"/>
              </w:tabs>
              <w:rPr>
                <w:sz w:val="20"/>
              </w:rPr>
            </w:pPr>
            <w:r>
              <w:rPr>
                <w:sz w:val="20"/>
              </w:rPr>
              <w:t>(b)</w:t>
            </w:r>
            <w:r>
              <w:rPr>
                <w:sz w:val="20"/>
              </w:rPr>
              <w:tab/>
              <w:t xml:space="preserve">between 251 and 500 </w:t>
            </w:r>
            <w:r>
              <w:rPr>
                <w:sz w:val="20"/>
              </w:rP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t>53</w:t>
            </w:r>
          </w:p>
          <w:p>
            <w:pPr>
              <w:pStyle w:val="yTableNAm"/>
              <w:tabs>
                <w:tab w:val="clear" w:pos="567"/>
                <w:tab w:val="right" w:pos="659"/>
              </w:tabs>
              <w:ind w:right="48"/>
              <w:jc w:val="right"/>
              <w:rPr>
                <w:sz w:val="20"/>
              </w:rPr>
            </w:pPr>
            <w:r>
              <w:rPr>
                <w:sz w:val="20"/>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between 501 and 1 000 </w:t>
            </w:r>
            <w:r>
              <w:rPr>
                <w:sz w:val="20"/>
              </w:rPr>
              <w:tab/>
            </w:r>
          </w:p>
          <w:p>
            <w:pPr>
              <w:pStyle w:val="yTableNAm"/>
              <w:tabs>
                <w:tab w:val="clear" w:pos="567"/>
                <w:tab w:val="left" w:pos="518"/>
                <w:tab w:val="right" w:leader="dot" w:pos="6237"/>
              </w:tabs>
              <w:rPr>
                <w:sz w:val="20"/>
              </w:rPr>
            </w:pPr>
            <w:r>
              <w:rPr>
                <w:sz w:val="20"/>
              </w:rPr>
              <w:t>(d)</w:t>
            </w:r>
            <w:r>
              <w:rPr>
                <w:sz w:val="20"/>
              </w:rPr>
              <w:tab/>
              <w:t xml:space="preserve">between 1 001 and 5 000 </w:t>
            </w:r>
            <w:r>
              <w:rPr>
                <w:sz w:val="20"/>
              </w:rPr>
              <w:tab/>
            </w:r>
          </w:p>
          <w:p>
            <w:pPr>
              <w:pStyle w:val="yTableNAm"/>
              <w:tabs>
                <w:tab w:val="clear" w:pos="567"/>
                <w:tab w:val="left" w:pos="518"/>
                <w:tab w:val="right" w:leader="dot" w:pos="6237"/>
              </w:tabs>
              <w:rPr>
                <w:sz w:val="20"/>
              </w:rPr>
            </w:pPr>
            <w:r>
              <w:rPr>
                <w:sz w:val="20"/>
              </w:rPr>
              <w:t>(e)</w:t>
            </w:r>
            <w:r>
              <w:rPr>
                <w:sz w:val="20"/>
              </w:rPr>
              <w:tab/>
              <w:t xml:space="preserve">between 5 001 and 10 000 </w:t>
            </w:r>
            <w:r>
              <w:rPr>
                <w:sz w:val="20"/>
              </w:rPr>
              <w:tab/>
            </w:r>
          </w:p>
          <w:p>
            <w:pPr>
              <w:pStyle w:val="yTableNAm"/>
              <w:tabs>
                <w:tab w:val="clear" w:pos="567"/>
                <w:tab w:val="left" w:pos="518"/>
                <w:tab w:val="right" w:leader="dot" w:pos="6237"/>
              </w:tabs>
              <w:rPr>
                <w:sz w:val="20"/>
              </w:rPr>
            </w:pPr>
            <w:r>
              <w:rPr>
                <w:sz w:val="20"/>
              </w:rPr>
              <w:t>(f)</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229</w:t>
            </w:r>
          </w:p>
          <w:p>
            <w:pPr>
              <w:pStyle w:val="yTableNAm"/>
              <w:tabs>
                <w:tab w:val="clear" w:pos="567"/>
                <w:tab w:val="right" w:pos="659"/>
              </w:tabs>
              <w:ind w:right="48"/>
              <w:jc w:val="right"/>
              <w:rPr>
                <w:sz w:val="20"/>
              </w:rPr>
            </w:pPr>
            <w:r>
              <w:rPr>
                <w:sz w:val="20"/>
              </w:rPr>
              <w:t>1 156</w:t>
            </w:r>
          </w:p>
          <w:p>
            <w:pPr>
              <w:pStyle w:val="yTableNAm"/>
              <w:tabs>
                <w:tab w:val="clear" w:pos="567"/>
                <w:tab w:val="right" w:pos="659"/>
              </w:tabs>
              <w:ind w:right="48"/>
              <w:jc w:val="right"/>
              <w:rPr>
                <w:sz w:val="20"/>
              </w:rPr>
            </w:pPr>
            <w:r>
              <w:rPr>
                <w:sz w:val="20"/>
              </w:rPr>
              <w:t>2 314</w:t>
            </w:r>
          </w:p>
          <w:p>
            <w:pPr>
              <w:pStyle w:val="yTableNAm"/>
              <w:tabs>
                <w:tab w:val="clear" w:pos="567"/>
                <w:tab w:val="right" w:pos="659"/>
              </w:tabs>
              <w:ind w:right="48"/>
              <w:jc w:val="right"/>
              <w:rPr>
                <w:sz w:val="20"/>
              </w:rPr>
            </w:pPr>
            <w:r>
              <w:rPr>
                <w:sz w:val="20"/>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7.</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rPr>
                <w:sz w:val="20"/>
              </w:rPr>
            </w:pPr>
            <w:r>
              <w:rPr>
                <w:sz w:val="20"/>
              </w:rPr>
              <w:t>(a)</w:t>
            </w:r>
            <w:r>
              <w:rPr>
                <w:sz w:val="20"/>
              </w:rPr>
              <w:tab/>
              <w:t xml:space="preserve">issued for the purpose referred to in section 60(4)(ca) — </w:t>
            </w:r>
          </w:p>
          <w:p>
            <w:pPr>
              <w:pStyle w:val="yTableNAm"/>
              <w:tabs>
                <w:tab w:val="left" w:pos="1019"/>
                <w:tab w:val="right" w:leader="dot" w:pos="6237"/>
              </w:tabs>
              <w:rPr>
                <w:sz w:val="20"/>
              </w:rPr>
            </w:pPr>
            <w:r>
              <w:rPr>
                <w:sz w:val="20"/>
              </w:rPr>
              <w:tab/>
              <w:t>(i)</w:t>
            </w:r>
            <w:r>
              <w:rPr>
                <w:sz w:val="20"/>
              </w:rPr>
              <w:tab/>
              <w:t xml:space="preserve">if regulation 9F(2) applies </w:t>
            </w:r>
            <w:r>
              <w:rPr>
                <w:sz w:val="20"/>
              </w:rPr>
              <w:tab/>
            </w:r>
          </w:p>
          <w:p>
            <w:pPr>
              <w:pStyle w:val="yTableNAm"/>
              <w:tabs>
                <w:tab w:val="left" w:pos="1006"/>
                <w:tab w:val="right" w:leader="dot" w:pos="6237"/>
              </w:tabs>
              <w:rPr>
                <w:sz w:val="20"/>
              </w:rPr>
            </w:pPr>
            <w:r>
              <w:rPr>
                <w:sz w:val="20"/>
              </w:rPr>
              <w:tab/>
              <w:t>(ii)</w:t>
            </w:r>
            <w:r>
              <w:rPr>
                <w:sz w:val="20"/>
              </w:rPr>
              <w:tab/>
              <w:t xml:space="preserve">if regulation 9F(2)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rPr>
                <w:sz w:val="20"/>
              </w:rPr>
            </w:pPr>
            <w:r>
              <w:rPr>
                <w:sz w:val="20"/>
              </w:rPr>
              <w:br/>
            </w:r>
          </w:p>
          <w:p>
            <w:pPr>
              <w:pStyle w:val="yTableNAm"/>
              <w:tabs>
                <w:tab w:val="clear" w:pos="567"/>
                <w:tab w:val="right" w:pos="659"/>
                <w:tab w:val="right" w:leader="dot" w:pos="6237"/>
              </w:tabs>
              <w:ind w:right="48"/>
              <w:jc w:val="right"/>
              <w:rPr>
                <w:sz w:val="20"/>
              </w:rPr>
            </w:pPr>
            <w:r>
              <w:rPr>
                <w:sz w:val="20"/>
              </w:rPr>
              <w:t>53</w:t>
            </w:r>
          </w:p>
          <w:p>
            <w:pPr>
              <w:pStyle w:val="yTableNAm"/>
              <w:tabs>
                <w:tab w:val="clear" w:pos="567"/>
                <w:tab w:val="right" w:pos="659"/>
                <w:tab w:val="right" w:leader="dot" w:pos="6237"/>
              </w:tabs>
              <w:ind w:right="48"/>
              <w:jc w:val="right"/>
              <w:rPr>
                <w:sz w:val="20"/>
              </w:rPr>
            </w:pPr>
            <w:r>
              <w:rPr>
                <w:sz w:val="20"/>
              </w:rPr>
              <w:t>474</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rPr>
                <w:sz w:val="20"/>
              </w:rPr>
            </w:pPr>
            <w:r>
              <w:rPr>
                <w:sz w:val="20"/>
              </w:rPr>
              <w:t>(b)</w:t>
            </w:r>
            <w:r>
              <w:rPr>
                <w:sz w:val="20"/>
              </w:rPr>
              <w:tab/>
              <w:t xml:space="preserve">issued for the purpose referred to in </w:t>
            </w:r>
            <w:r>
              <w:rPr>
                <w:sz w:val="20"/>
              </w:rPr>
              <w:br/>
              <w:t xml:space="preserve">section 60(4)(e) </w:t>
            </w:r>
            <w:r>
              <w:rPr>
                <w:sz w:val="20"/>
              </w:rPr>
              <w:tab/>
            </w:r>
          </w:p>
          <w:p>
            <w:pPr>
              <w:pStyle w:val="yTableNAm"/>
              <w:tabs>
                <w:tab w:val="clear" w:pos="567"/>
                <w:tab w:val="right" w:leader="dot" w:pos="6237"/>
              </w:tabs>
              <w:ind w:left="516" w:hanging="516"/>
              <w:rPr>
                <w:sz w:val="20"/>
              </w:rPr>
            </w:pPr>
            <w:r>
              <w:rPr>
                <w:sz w:val="20"/>
              </w:rPr>
              <w:t>(c)</w:t>
            </w:r>
            <w:r>
              <w:rPr>
                <w:sz w:val="20"/>
              </w:rPr>
              <w:tab/>
              <w:t xml:space="preserve">issued for the purpose referred to in </w:t>
            </w:r>
            <w:r>
              <w:rPr>
                <w:sz w:val="20"/>
              </w:rPr>
              <w:br/>
              <w:t xml:space="preserve">section 60(4)(h)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354</w:t>
            </w:r>
          </w:p>
          <w:p>
            <w:pPr>
              <w:pStyle w:val="yTableNAm"/>
              <w:tabs>
                <w:tab w:val="clear" w:pos="567"/>
                <w:tab w:val="right" w:pos="659"/>
              </w:tabs>
              <w:ind w:right="48"/>
              <w:jc w:val="right"/>
              <w:rPr>
                <w:sz w:val="20"/>
              </w:rPr>
            </w:pPr>
            <w:r>
              <w:rPr>
                <w:sz w:val="20"/>
              </w:rPr>
              <w:br/>
              <w:t>354</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rPr>
                <w:sz w:val="20"/>
              </w:rPr>
            </w:pPr>
            <w:r>
              <w:rPr>
                <w:sz w:val="20"/>
              </w:rPr>
              <w:t>(d)</w:t>
            </w:r>
            <w:r>
              <w:rPr>
                <w:sz w:val="20"/>
              </w:rPr>
              <w:tab/>
              <w:t xml:space="preserve">issued for the purpose referred to in section 60(4)(ia) — </w:t>
            </w:r>
          </w:p>
          <w:p>
            <w:pPr>
              <w:pStyle w:val="yTableNAm"/>
              <w:tabs>
                <w:tab w:val="clear" w:pos="567"/>
                <w:tab w:val="left" w:pos="518"/>
                <w:tab w:val="right" w:leader="dot" w:pos="6237"/>
              </w:tabs>
              <w:ind w:left="941" w:hanging="941"/>
              <w:rPr>
                <w:sz w:val="20"/>
              </w:rPr>
            </w:pPr>
            <w:r>
              <w:rPr>
                <w:sz w:val="20"/>
              </w:rPr>
              <w:tab/>
              <w:t>(i)</w:t>
            </w:r>
            <w:r>
              <w:rPr>
                <w:sz w:val="20"/>
              </w:rPr>
              <w:tab/>
              <w:t xml:space="preserve">if no previous application for that purpose has been made by any licensee in respect of the relevant premises </w:t>
            </w:r>
            <w:r>
              <w:rPr>
                <w:sz w:val="20"/>
              </w:rPr>
              <w:tab/>
            </w:r>
          </w:p>
          <w:p>
            <w:pPr>
              <w:pStyle w:val="yTableNAm"/>
              <w:tabs>
                <w:tab w:val="clear" w:pos="567"/>
                <w:tab w:val="left" w:pos="518"/>
                <w:tab w:val="right" w:leader="dot" w:pos="6237"/>
              </w:tabs>
              <w:ind w:left="941" w:hanging="941"/>
              <w:rPr>
                <w:sz w:val="20"/>
              </w:rPr>
            </w:pPr>
            <w:r>
              <w:rPr>
                <w:sz w:val="20"/>
              </w:rPr>
              <w:tab/>
              <w:t>(ii)</w:t>
            </w:r>
            <w:r>
              <w:rPr>
                <w:sz w:val="20"/>
              </w:rPr>
              <w:tab/>
              <w:t xml:space="preserve">if subparagraph (i)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br/>
            </w:r>
            <w:r>
              <w:rPr>
                <w:sz w:val="20"/>
              </w:rPr>
              <w:br/>
              <w:t>354</w:t>
            </w:r>
          </w:p>
          <w:p>
            <w:pPr>
              <w:pStyle w:val="yTableNAm"/>
              <w:tabs>
                <w:tab w:val="clear" w:pos="567"/>
                <w:tab w:val="right" w:pos="659"/>
              </w:tabs>
              <w:ind w:right="48"/>
              <w:jc w:val="right"/>
              <w:rPr>
                <w:sz w:val="20"/>
              </w:rPr>
            </w:pPr>
            <w:r>
              <w:rPr>
                <w:sz w:val="20"/>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(e)</w:t>
            </w:r>
            <w:r>
              <w:rPr>
                <w:sz w:val="20"/>
              </w:rPr>
              <w:tab/>
              <w:t xml:space="preserve">issued for any other purpose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(a)</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(b)</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229</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(c)</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1 156</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(d)</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rPr>
                <w:sz w:val="20"/>
              </w:rPr>
            </w:pPr>
            <w:r>
              <w:rPr>
                <w:sz w:val="20"/>
              </w:rPr>
              <w:t>(e)</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extended trading permit (in respect of a club restricted licence) for a period of 21 days or less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43</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10.</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(a)</w:t>
            </w:r>
            <w:r>
              <w:rPr>
                <w:sz w:val="20"/>
              </w:rPr>
              <w:tab/>
              <w:t xml:space="preserve">lodged under r. 14ADA(3)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181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(b)</w:t>
            </w:r>
            <w:r>
              <w:rPr>
                <w:sz w:val="20"/>
              </w:rPr>
              <w:tab/>
              <w:t xml:space="preserve">lodged under r. 14ADA(4)(a)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60</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lodged under r. 14ADA(4)(b)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16</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11.</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renewal of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rPr>
                <w:sz w:val="20"/>
              </w:rPr>
            </w:pPr>
            <w:r>
              <w:rPr>
                <w:sz w:val="20"/>
              </w:rPr>
              <w:t>(a)</w:t>
            </w:r>
            <w:r>
              <w:rPr>
                <w:sz w:val="20"/>
              </w:rPr>
              <w:tab/>
              <w:t xml:space="preserve">lodged under r. 14ADD(3)(a)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rPr>
                <w:sz w:val="20"/>
              </w:rPr>
            </w:pPr>
            <w:r>
              <w:rPr>
                <w:sz w:val="20"/>
              </w:rPr>
              <w:t>(b)</w:t>
            </w:r>
            <w:r>
              <w:rPr>
                <w:sz w:val="20"/>
              </w:rPr>
              <w:tab/>
              <w:t xml:space="preserve">lodged under r. 14ADD(3)(b)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128</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12.</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rPr>
                <w:sz w:val="20"/>
              </w:rPr>
            </w:pPr>
            <w:r>
              <w:rPr>
                <w:sz w:val="20"/>
              </w:rPr>
              <w:t>(a)</w:t>
            </w:r>
            <w:r>
              <w:rPr>
                <w:sz w:val="20"/>
              </w:rPr>
              <w:tab/>
              <w:t xml:space="preserve">lodged under r. 14ADF(2)(b)(i)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52</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lodged under r. 14ADF(2)(b)(ii)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10</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13.</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rPr>
                <w:sz w:val="20"/>
              </w:rPr>
            </w:pPr>
            <w:r>
              <w:rPr>
                <w:sz w:val="20"/>
              </w:rPr>
              <w:t>(a)</w:t>
            </w:r>
            <w:r>
              <w:rPr>
                <w:sz w:val="20"/>
              </w:rPr>
              <w:tab/>
              <w:t xml:space="preserve">under licence other than club licence or club restricted licence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161</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under club licence or club restricted licence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for alteration or redefinition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 protection order under section 87(1)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duplicate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change of name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74</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(a)</w:t>
            </w:r>
            <w:r>
              <w:rPr>
                <w:sz w:val="20"/>
              </w:rPr>
              <w:tab/>
              <w:t xml:space="preserve">for a period of over 21 days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241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(b)</w:t>
            </w:r>
            <w:r>
              <w:rPr>
                <w:sz w:val="20"/>
              </w:rP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229</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(iii)</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1 156</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(iv)</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rPr>
                <w:sz w:val="20"/>
              </w:rPr>
            </w:pPr>
            <w:r>
              <w:rPr>
                <w:sz w:val="20"/>
              </w:rPr>
              <w:tab/>
              <w:t>(v)</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to add, vary or cancel condition of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62(6) to vary any plans or specifications the subject of a condition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agreement or arrangement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115AD for review of decision to give notice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Application under section 119A for approval to conduct non</w:t>
            </w:r>
            <w:r>
              <w:rPr>
                <w:sz w:val="20"/>
              </w:rPr>
              <w:noBreakHyphen/>
              <w:t xml:space="preserve">liquor business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152W(3), other than by an occupier of premises, for a liquor restriction declaration in relation to the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rPr>
                <w:sz w:val="20"/>
              </w:rPr>
            </w:pPr>
            <w:r>
              <w:rPr>
                <w:sz w:val="20"/>
              </w:rP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rPr>
                <w:sz w:val="20"/>
              </w:rPr>
            </w:pPr>
            <w:r>
              <w:rPr>
                <w:sz w:val="20"/>
              </w:rPr>
              <w:t xml:space="preserve">Application under section 126A for approval of entertainment for juveniles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rPr>
                <w:sz w:val="20"/>
              </w:rPr>
            </w:pPr>
            <w:r>
              <w:rPr>
                <w:sz w:val="20"/>
              </w:rPr>
              <w:br/>
              <w:t>65</w:t>
            </w:r>
          </w:p>
        </w:tc>
      </w:tr>
      <w:tr>
        <w:trPr>
          <w:cantSplit/>
        </w:trPr>
        <w:tc>
          <w:tcPr>
            <w:tcW w:w="684" w:type="dxa"/>
          </w:tcPr>
          <w:p>
            <w:pPr>
              <w:pStyle w:val="yTableNAm"/>
              <w:rPr>
                <w:sz w:val="20"/>
              </w:rPr>
            </w:pPr>
            <w:r>
              <w:rPr>
                <w:sz w:val="20"/>
              </w:rPr>
              <w:t>26.</w:t>
            </w:r>
          </w:p>
        </w:tc>
        <w:tc>
          <w:tcPr>
            <w:tcW w:w="5529" w:type="dxa"/>
          </w:tcPr>
          <w:p>
            <w:pPr>
              <w:pStyle w:val="yTableNAm"/>
              <w:tabs>
                <w:tab w:val="clear" w:pos="567"/>
                <w:tab w:val="right" w:leader="dot" w:pos="6237"/>
              </w:tabs>
              <w:rPr>
                <w:sz w:val="20"/>
              </w:rPr>
            </w:pPr>
            <w:r>
              <w:rPr>
                <w:sz w:val="20"/>
              </w:rPr>
              <w:t xml:space="preserve">Supply of a list of licensed premises or a list of owners of licensed premises </w:t>
            </w:r>
            <w:r>
              <w:rPr>
                <w:sz w:val="20"/>
              </w:rPr>
              <w:tab/>
            </w:r>
          </w:p>
        </w:tc>
        <w:tc>
          <w:tcPr>
            <w:tcW w:w="855" w:type="dxa"/>
          </w:tcPr>
          <w:p>
            <w:pPr>
              <w:pStyle w:val="yTableNAm"/>
              <w:tabs>
                <w:tab w:val="clear" w:pos="567"/>
                <w:tab w:val="right" w:pos="659"/>
              </w:tabs>
              <w:ind w:right="48"/>
              <w:jc w:val="right"/>
              <w:rPr>
                <w:sz w:val="20"/>
              </w:rPr>
            </w:pPr>
            <w:r>
              <w:rPr>
                <w:sz w:val="20"/>
              </w:rPr>
              <w:br/>
              <w:t>90</w:t>
            </w:r>
          </w:p>
        </w:tc>
      </w:tr>
      <w:tr>
        <w:trPr>
          <w:cantSplit/>
        </w:trPr>
        <w:tc>
          <w:tcPr>
            <w:tcW w:w="684" w:type="dxa"/>
          </w:tcPr>
          <w:p>
            <w:pPr>
              <w:pStyle w:val="yTableNAm"/>
              <w:rPr>
                <w:sz w:val="20"/>
              </w:rPr>
            </w:pPr>
            <w:r>
              <w:rPr>
                <w:sz w:val="20"/>
              </w:rPr>
              <w:t>27.</w:t>
            </w:r>
          </w:p>
        </w:tc>
        <w:tc>
          <w:tcPr>
            <w:tcW w:w="5529" w:type="dxa"/>
          </w:tcPr>
          <w:p>
            <w:pPr>
              <w:pStyle w:val="yTableNAm"/>
              <w:tabs>
                <w:tab w:val="clear" w:pos="567"/>
                <w:tab w:val="right" w:leader="dot" w:pos="6237"/>
              </w:tabs>
              <w:rPr>
                <w:sz w:val="20"/>
              </w:rPr>
            </w:pPr>
            <w:r>
              <w:rPr>
                <w:sz w:val="20"/>
              </w:rPr>
              <w:t xml:space="preserve">Supply of a list of licensed premises on computer disk </w:t>
            </w:r>
            <w:r>
              <w:rPr>
                <w:sz w:val="20"/>
              </w:rPr>
              <w:tab/>
            </w:r>
          </w:p>
        </w:tc>
        <w:tc>
          <w:tcPr>
            <w:tcW w:w="855" w:type="dxa"/>
          </w:tcPr>
          <w:p>
            <w:pPr>
              <w:pStyle w:val="yTableNAm"/>
              <w:tabs>
                <w:tab w:val="clear" w:pos="567"/>
                <w:tab w:val="right" w:pos="659"/>
              </w:tabs>
              <w:ind w:right="48"/>
              <w:jc w:val="right"/>
              <w:rPr>
                <w:rFonts w:ascii="Arial" w:hAnsi="Arial"/>
                <w:sz w:val="20"/>
              </w:rPr>
            </w:pPr>
            <w:r>
              <w:rPr>
                <w:sz w:val="20"/>
              </w:rPr>
              <w:t>59</w:t>
            </w:r>
          </w:p>
        </w:tc>
      </w:tr>
      <w:tr>
        <w:trPr>
          <w:cantSplit/>
        </w:trPr>
        <w:tc>
          <w:tcPr>
            <w:tcW w:w="684" w:type="dxa"/>
          </w:tcPr>
          <w:p>
            <w:pPr>
              <w:pStyle w:val="yTableNAm"/>
              <w:rPr>
                <w:sz w:val="20"/>
              </w:rPr>
            </w:pPr>
            <w:r>
              <w:rPr>
                <w:sz w:val="20"/>
              </w:rPr>
              <w:t>28.</w:t>
            </w:r>
          </w:p>
        </w:tc>
        <w:tc>
          <w:tcPr>
            <w:tcW w:w="5529" w:type="dxa"/>
          </w:tcPr>
          <w:p>
            <w:pPr>
              <w:pStyle w:val="yTableNAm"/>
              <w:tabs>
                <w:tab w:val="clear" w:pos="567"/>
                <w:tab w:val="right" w:leader="dot" w:pos="6237"/>
              </w:tabs>
              <w:rPr>
                <w:sz w:val="20"/>
              </w:rPr>
            </w:pPr>
            <w:r>
              <w:rPr>
                <w:sz w:val="20"/>
              </w:rPr>
              <w:t xml:space="preserve">Supply of address labels for licensed premises </w:t>
            </w:r>
            <w:r>
              <w:rPr>
                <w:sz w:val="20"/>
              </w:rPr>
              <w:tab/>
            </w:r>
          </w:p>
        </w:tc>
        <w:tc>
          <w:tcPr>
            <w:tcW w:w="855" w:type="dxa"/>
          </w:tcPr>
          <w:p>
            <w:pPr>
              <w:pStyle w:val="yTableNAm"/>
              <w:tabs>
                <w:tab w:val="clear" w:pos="567"/>
                <w:tab w:val="right" w:pos="659"/>
              </w:tabs>
              <w:ind w:right="48"/>
              <w:jc w:val="right"/>
              <w:rPr>
                <w:sz w:val="20"/>
              </w:rPr>
            </w:pPr>
            <w:r>
              <w:rPr>
                <w:sz w:val="20"/>
              </w:rPr>
              <w:t>144</w:t>
            </w:r>
          </w:p>
        </w:tc>
      </w:tr>
      <w:tr>
        <w:trPr>
          <w:cantSplit/>
        </w:trPr>
        <w:tc>
          <w:tcPr>
            <w:tcW w:w="684" w:type="dxa"/>
          </w:tcPr>
          <w:p>
            <w:pPr>
              <w:pStyle w:val="yTableNAm"/>
              <w:rPr>
                <w:sz w:val="20"/>
              </w:rPr>
            </w:pPr>
            <w:r>
              <w:rPr>
                <w:sz w:val="20"/>
              </w:rPr>
              <w:t>29.</w:t>
            </w:r>
          </w:p>
        </w:tc>
        <w:tc>
          <w:tcPr>
            <w:tcW w:w="5529" w:type="dxa"/>
          </w:tcPr>
          <w:p>
            <w:pPr>
              <w:pStyle w:val="yTableNAm"/>
              <w:tabs>
                <w:tab w:val="clear" w:pos="567"/>
                <w:tab w:val="right" w:leader="dot" w:pos="6237"/>
              </w:tabs>
              <w:rPr>
                <w:sz w:val="20"/>
              </w:rPr>
            </w:pPr>
            <w:r>
              <w:rPr>
                <w:sz w:val="20"/>
              </w:rPr>
              <w:t xml:space="preserve">Supply of approved heading for advertising an application </w:t>
            </w:r>
            <w:r>
              <w:rPr>
                <w:sz w:val="20"/>
              </w:rPr>
              <w:tab/>
            </w:r>
          </w:p>
        </w:tc>
        <w:tc>
          <w:tcPr>
            <w:tcW w:w="855" w:type="dxa"/>
          </w:tcPr>
          <w:p>
            <w:pPr>
              <w:pStyle w:val="yTableNAm"/>
              <w:tabs>
                <w:tab w:val="clear" w:pos="567"/>
                <w:tab w:val="right" w:pos="659"/>
              </w:tabs>
              <w:ind w:right="48"/>
              <w:jc w:val="right"/>
              <w:rPr>
                <w:sz w:val="20"/>
              </w:rPr>
            </w:pPr>
            <w:r>
              <w:rPr>
                <w:sz w:val="20"/>
              </w:rPr>
              <w:t>28</w:t>
            </w:r>
          </w:p>
        </w:tc>
      </w:tr>
      <w:tr>
        <w:trPr>
          <w:cantSplit/>
        </w:trPr>
        <w:tc>
          <w:tcPr>
            <w:tcW w:w="684" w:type="dxa"/>
          </w:tcPr>
          <w:p>
            <w:pPr>
              <w:pStyle w:val="yTableNAm"/>
              <w:rPr>
                <w:sz w:val="20"/>
              </w:rPr>
            </w:pPr>
            <w:r>
              <w:rPr>
                <w:sz w:val="20"/>
              </w:rPr>
              <w:t>30.</w:t>
            </w:r>
          </w:p>
        </w:tc>
        <w:tc>
          <w:tcPr>
            <w:tcW w:w="5529" w:type="dxa"/>
          </w:tcPr>
          <w:p>
            <w:pPr>
              <w:pStyle w:val="yTableNAm"/>
              <w:tabs>
                <w:tab w:val="clear" w:pos="567"/>
                <w:tab w:val="right" w:leader="dot" w:pos="6237"/>
              </w:tabs>
              <w:rPr>
                <w:sz w:val="20"/>
              </w:rPr>
            </w:pPr>
            <w:r>
              <w:rPr>
                <w:sz w:val="20"/>
              </w:rPr>
              <w:t xml:space="preserve">Supply of copy of plan — for each sheet </w:t>
            </w:r>
            <w:r>
              <w:rPr>
                <w:sz w:val="20"/>
              </w:rPr>
              <w:tab/>
            </w:r>
          </w:p>
        </w:tc>
        <w:tc>
          <w:tcPr>
            <w:tcW w:w="855" w:type="dxa"/>
          </w:tcPr>
          <w:p>
            <w:pPr>
              <w:pStyle w:val="yTableNAm"/>
              <w:tabs>
                <w:tab w:val="clear" w:pos="567"/>
                <w:tab w:val="right" w:pos="659"/>
              </w:tabs>
              <w:ind w:right="48"/>
              <w:jc w:val="right"/>
              <w:rPr>
                <w:sz w:val="20"/>
              </w:rPr>
            </w:pPr>
            <w:r>
              <w:rPr>
                <w:sz w:val="20"/>
              </w:rPr>
              <w:t>28</w:t>
            </w:r>
            <w:r>
              <w:rPr>
                <w:sz w:val="20"/>
              </w:rPr>
              <w:br/>
              <w:t>(up to a max. of 200)</w:t>
            </w:r>
          </w:p>
        </w:tc>
      </w:tr>
      <w:tr>
        <w:trPr>
          <w:cantSplit/>
        </w:trPr>
        <w:tc>
          <w:tcPr>
            <w:tcW w:w="684" w:type="dxa"/>
          </w:tcPr>
          <w:p>
            <w:pPr>
              <w:pStyle w:val="yTableNAm"/>
              <w:rPr>
                <w:sz w:val="20"/>
              </w:rPr>
            </w:pPr>
            <w:r>
              <w:rPr>
                <w:sz w:val="20"/>
              </w:rPr>
              <w:t>31.</w:t>
            </w:r>
          </w:p>
        </w:tc>
        <w:tc>
          <w:tcPr>
            <w:tcW w:w="5529" w:type="dxa"/>
          </w:tcPr>
          <w:p>
            <w:pPr>
              <w:pStyle w:val="yTableNAm"/>
              <w:tabs>
                <w:tab w:val="clear" w:pos="567"/>
                <w:tab w:val="right" w:leader="dot" w:pos="6237"/>
              </w:tabs>
              <w:rPr>
                <w:sz w:val="20"/>
              </w:rPr>
            </w:pPr>
            <w:r>
              <w:rPr>
                <w:sz w:val="20"/>
              </w:rPr>
              <w:t xml:space="preserve">Supply of certified copy of plan defining licensed premises </w:t>
            </w:r>
          </w:p>
        </w:tc>
        <w:tc>
          <w:tcPr>
            <w:tcW w:w="855" w:type="dxa"/>
          </w:tcPr>
          <w:p>
            <w:pPr>
              <w:pStyle w:val="yTableNAm"/>
              <w:tabs>
                <w:tab w:val="clear" w:pos="567"/>
                <w:tab w:val="right" w:pos="659"/>
              </w:tabs>
              <w:ind w:right="48"/>
              <w:jc w:val="right"/>
              <w:rPr>
                <w:sz w:val="20"/>
              </w:rPr>
            </w:pPr>
            <w:r>
              <w:rPr>
                <w:sz w:val="20"/>
              </w:rPr>
              <w:t>40</w:t>
            </w:r>
          </w:p>
        </w:tc>
      </w:tr>
      <w:tr>
        <w:trPr>
          <w:cantSplit/>
        </w:trPr>
        <w:tc>
          <w:tcPr>
            <w:tcW w:w="684" w:type="dxa"/>
          </w:tcPr>
          <w:p>
            <w:pPr>
              <w:pStyle w:val="yTableNAm"/>
              <w:rPr>
                <w:sz w:val="20"/>
              </w:rPr>
            </w:pPr>
            <w:r>
              <w:rPr>
                <w:sz w:val="20"/>
              </w:rPr>
              <w:t>32.</w:t>
            </w:r>
          </w:p>
        </w:tc>
        <w:tc>
          <w:tcPr>
            <w:tcW w:w="5529" w:type="dxa"/>
          </w:tcPr>
          <w:p>
            <w:pPr>
              <w:pStyle w:val="yTableNAm"/>
              <w:tabs>
                <w:tab w:val="clear" w:pos="567"/>
                <w:tab w:val="right" w:leader="dot" w:pos="6237"/>
              </w:tabs>
              <w:rPr>
                <w:sz w:val="20"/>
              </w:rPr>
            </w:pPr>
            <w:r>
              <w:rPr>
                <w:sz w:val="20"/>
              </w:rPr>
              <w:t xml:space="preserve">Supply of copy of a licence, a permit or a decision of the Commission (or the former Liquor Licensing Court) or the Director </w:t>
            </w:r>
            <w:r>
              <w:rPr>
                <w:sz w:val="20"/>
              </w:rPr>
              <w:tab/>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33.</w:t>
            </w:r>
          </w:p>
        </w:tc>
        <w:tc>
          <w:tcPr>
            <w:tcW w:w="5529" w:type="dxa"/>
          </w:tcPr>
          <w:p>
            <w:pPr>
              <w:pStyle w:val="yTableNAm"/>
              <w:tabs>
                <w:tab w:val="clear" w:pos="567"/>
                <w:tab w:val="right" w:leader="dot" w:pos="6237"/>
              </w:tabs>
              <w:rPr>
                <w:sz w:val="20"/>
              </w:rPr>
            </w:pPr>
            <w:r>
              <w:rPr>
                <w:sz w:val="20"/>
              </w:rPr>
              <w:t xml:space="preserve">For the certification of a copy of a licence, a permit or a decision of the Commission (or the former Liquor Licensing Court) or the Director </w:t>
            </w:r>
            <w:r>
              <w:rPr>
                <w:sz w:val="20"/>
              </w:rPr>
              <w:tab/>
            </w:r>
          </w:p>
          <w:p>
            <w:pPr>
              <w:pStyle w:val="yTableNAm"/>
              <w:tabs>
                <w:tab w:val="clear" w:pos="567"/>
                <w:tab w:val="right" w:leader="dot" w:pos="6237"/>
              </w:tabs>
              <w:rPr>
                <w:sz w:val="18"/>
                <w:szCs w:val="18"/>
              </w:rPr>
            </w:pPr>
            <w:r>
              <w:rPr>
                <w:sz w:val="18"/>
                <w:szCs w:val="18"/>
              </w:rPr>
              <w:t>[In addition to the fee under item 32]</w:t>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34.</w:t>
            </w:r>
          </w:p>
        </w:tc>
        <w:tc>
          <w:tcPr>
            <w:tcW w:w="5529" w:type="dxa"/>
          </w:tcPr>
          <w:p>
            <w:pPr>
              <w:pStyle w:val="yTableNAm"/>
              <w:tabs>
                <w:tab w:val="clear" w:pos="567"/>
                <w:tab w:val="right" w:leader="dot" w:pos="6237"/>
              </w:tabs>
              <w:rPr>
                <w:sz w:val="20"/>
              </w:rPr>
            </w:pPr>
            <w:r>
              <w:rPr>
                <w:sz w:val="20"/>
              </w:rPr>
              <w:t xml:space="preserve">Supply of copy of documentation, other than that already prescribed, per page </w:t>
            </w:r>
            <w:r>
              <w:rPr>
                <w:sz w:val="20"/>
              </w:rPr>
              <w:tab/>
            </w:r>
          </w:p>
        </w:tc>
        <w:tc>
          <w:tcPr>
            <w:tcW w:w="855" w:type="dxa"/>
          </w:tcPr>
          <w:p>
            <w:pPr>
              <w:pStyle w:val="yTableNAm"/>
              <w:tabs>
                <w:tab w:val="clear" w:pos="567"/>
                <w:tab w:val="right" w:pos="659"/>
              </w:tabs>
              <w:ind w:right="48"/>
              <w:jc w:val="right"/>
              <w:rPr>
                <w:sz w:val="20"/>
              </w:rPr>
            </w:pPr>
            <w:r>
              <w:rPr>
                <w:sz w:val="20"/>
              </w:rPr>
              <w:br/>
              <w:t>4</w:t>
            </w:r>
          </w:p>
        </w:tc>
      </w:tr>
      <w:tr>
        <w:trPr>
          <w:cantSplit/>
        </w:trPr>
        <w:tc>
          <w:tcPr>
            <w:tcW w:w="684" w:type="dxa"/>
          </w:tcPr>
          <w:p>
            <w:pPr>
              <w:pStyle w:val="yTableNAm"/>
              <w:rPr>
                <w:sz w:val="20"/>
              </w:rPr>
            </w:pPr>
            <w:r>
              <w:rPr>
                <w:sz w:val="20"/>
              </w:rPr>
              <w:t>35.</w:t>
            </w:r>
          </w:p>
        </w:tc>
        <w:tc>
          <w:tcPr>
            <w:tcW w:w="5529" w:type="dxa"/>
          </w:tcPr>
          <w:p>
            <w:pPr>
              <w:pStyle w:val="yTableNAm"/>
              <w:tabs>
                <w:tab w:val="clear" w:pos="567"/>
                <w:tab w:val="right" w:leader="dot" w:pos="6237"/>
              </w:tabs>
              <w:rPr>
                <w:sz w:val="20"/>
              </w:rPr>
            </w:pPr>
            <w:r>
              <w:rPr>
                <w:sz w:val="20"/>
              </w:rPr>
              <w:t xml:space="preserve">Issue of a summons to a witness </w:t>
            </w:r>
            <w:r>
              <w:rPr>
                <w:sz w:val="20"/>
              </w:rPr>
              <w:tab/>
            </w:r>
          </w:p>
        </w:tc>
        <w:tc>
          <w:tcPr>
            <w:tcW w:w="855" w:type="dxa"/>
          </w:tcPr>
          <w:p>
            <w:pPr>
              <w:pStyle w:val="yTableNAm"/>
              <w:tabs>
                <w:tab w:val="clear" w:pos="567"/>
                <w:tab w:val="right" w:pos="659"/>
              </w:tabs>
              <w:ind w:right="48"/>
              <w:jc w:val="right"/>
              <w:rPr>
                <w:sz w:val="20"/>
              </w:rPr>
            </w:pPr>
            <w:r>
              <w:rPr>
                <w:sz w:val="20"/>
              </w:rPr>
              <w:t>23</w:t>
            </w:r>
          </w:p>
        </w:tc>
      </w:tr>
      <w:tr>
        <w:trPr>
          <w:cantSplit/>
        </w:trPr>
        <w:tc>
          <w:tcPr>
            <w:tcW w:w="684" w:type="dxa"/>
          </w:tcPr>
          <w:p>
            <w:pPr>
              <w:pStyle w:val="yTableNAm"/>
              <w:rPr>
                <w:sz w:val="20"/>
              </w:rPr>
            </w:pPr>
            <w:r>
              <w:rPr>
                <w:sz w:val="20"/>
              </w:rPr>
              <w:t>36.</w:t>
            </w:r>
          </w:p>
        </w:tc>
        <w:tc>
          <w:tcPr>
            <w:tcW w:w="5529" w:type="dxa"/>
          </w:tcPr>
          <w:p>
            <w:pPr>
              <w:pStyle w:val="yTableNAm"/>
              <w:tabs>
                <w:tab w:val="clear" w:pos="567"/>
                <w:tab w:val="right" w:leader="dot" w:pos="6237"/>
              </w:tabs>
              <w:rPr>
                <w:sz w:val="20"/>
              </w:rPr>
            </w:pPr>
            <w:r>
              <w:rPr>
                <w:sz w:val="20"/>
              </w:rPr>
              <w:t xml:space="preserve">For a search of the database of records of licences — per licence </w:t>
            </w:r>
            <w:r>
              <w:rPr>
                <w:sz w:val="20"/>
              </w:rPr>
              <w:tab/>
            </w:r>
          </w:p>
        </w:tc>
        <w:tc>
          <w:tcPr>
            <w:tcW w:w="855" w:type="dxa"/>
          </w:tcPr>
          <w:p>
            <w:pPr>
              <w:pStyle w:val="yTableNAm"/>
              <w:tabs>
                <w:tab w:val="clear" w:pos="567"/>
                <w:tab w:val="right" w:pos="659"/>
              </w:tabs>
              <w:ind w:right="48"/>
              <w:jc w:val="right"/>
              <w:rPr>
                <w:sz w:val="20"/>
              </w:rPr>
            </w:pPr>
            <w:r>
              <w:rPr>
                <w:sz w:val="20"/>
              </w:rPr>
              <w:br/>
              <w:t>40</w:t>
            </w:r>
          </w:p>
        </w:tc>
      </w:tr>
      <w:tr>
        <w:trPr>
          <w:cantSplit/>
        </w:trPr>
        <w:tc>
          <w:tcPr>
            <w:tcW w:w="684" w:type="dxa"/>
          </w:tcPr>
          <w:p>
            <w:pPr>
              <w:pStyle w:val="yTableNAm"/>
              <w:rPr>
                <w:sz w:val="20"/>
              </w:rPr>
            </w:pPr>
            <w:r>
              <w:rPr>
                <w:sz w:val="20"/>
              </w:rPr>
              <w:t>37.</w:t>
            </w:r>
          </w:p>
        </w:tc>
        <w:tc>
          <w:tcPr>
            <w:tcW w:w="5529" w:type="dxa"/>
          </w:tcPr>
          <w:p>
            <w:pPr>
              <w:pStyle w:val="yTableNAm"/>
              <w:tabs>
                <w:tab w:val="clear" w:pos="567"/>
                <w:tab w:val="right" w:leader="dot" w:pos="6237"/>
              </w:tabs>
              <w:rPr>
                <w:sz w:val="20"/>
              </w:rPr>
            </w:pPr>
            <w:r>
              <w:rPr>
                <w:sz w:val="20"/>
              </w:rPr>
              <w:t xml:space="preserve">For a full search of a licence record </w:t>
            </w:r>
            <w:r>
              <w:rPr>
                <w:sz w:val="20"/>
              </w:rPr>
              <w:tab/>
            </w:r>
          </w:p>
        </w:tc>
        <w:tc>
          <w:tcPr>
            <w:tcW w:w="855" w:type="dxa"/>
          </w:tcPr>
          <w:p>
            <w:pPr>
              <w:pStyle w:val="yTableNAm"/>
              <w:tabs>
                <w:tab w:val="clear" w:pos="567"/>
                <w:tab w:val="right" w:pos="659"/>
              </w:tabs>
              <w:ind w:right="48"/>
              <w:jc w:val="right"/>
              <w:rPr>
                <w:sz w:val="20"/>
              </w:rPr>
            </w:pPr>
            <w:r>
              <w:rPr>
                <w:sz w:val="20"/>
              </w:rPr>
              <w:t>52</w:t>
            </w:r>
          </w:p>
        </w:tc>
      </w:tr>
      <w:tr>
        <w:trPr>
          <w:cantSplit/>
        </w:trPr>
        <w:tc>
          <w:tcPr>
            <w:tcW w:w="684" w:type="dxa"/>
            <w:tcBorders>
              <w:bottom w:val="nil"/>
            </w:tcBorders>
          </w:tcPr>
          <w:p>
            <w:pPr>
              <w:pStyle w:val="yTableNAm"/>
              <w:rPr>
                <w:sz w:val="20"/>
              </w:rPr>
            </w:pPr>
            <w:r>
              <w:rPr>
                <w:sz w:val="20"/>
              </w:rPr>
              <w:t>38.</w:t>
            </w:r>
          </w:p>
        </w:tc>
        <w:tc>
          <w:tcPr>
            <w:tcW w:w="5529" w:type="dxa"/>
            <w:tcBorders>
              <w:bottom w:val="nil"/>
            </w:tcBorders>
          </w:tcPr>
          <w:p>
            <w:pPr>
              <w:pStyle w:val="yTableNAm"/>
              <w:tabs>
                <w:tab w:val="clear" w:pos="567"/>
                <w:tab w:val="right" w:leader="dot" w:pos="6237"/>
              </w:tabs>
              <w:rPr>
                <w:sz w:val="20"/>
              </w:rPr>
            </w:pPr>
            <w:r>
              <w:rPr>
                <w:sz w:val="20"/>
              </w:rPr>
              <w:t xml:space="preserve">For a search of postcodes — </w:t>
            </w:r>
          </w:p>
        </w:tc>
        <w:tc>
          <w:tcPr>
            <w:tcW w:w="855" w:type="dxa"/>
            <w:tcBorders>
              <w:bottom w:val="nil"/>
            </w:tcBorders>
          </w:tcPr>
          <w:p>
            <w:pPr>
              <w:pStyle w:val="yTableNAm"/>
              <w:tabs>
                <w:tab w:val="clear" w:pos="567"/>
                <w:tab w:val="right" w:pos="659"/>
              </w:tabs>
              <w:ind w:right="48"/>
              <w:jc w:val="right"/>
              <w:rPr>
                <w:sz w:val="20"/>
              </w:rPr>
            </w:pPr>
          </w:p>
        </w:tc>
      </w:tr>
      <w:tr>
        <w:trPr>
          <w:cantSplit/>
        </w:trPr>
        <w:tc>
          <w:tcPr>
            <w:tcW w:w="684" w:type="dxa"/>
            <w:tcBorders>
              <w:top w:val="nil"/>
              <w:bottom w:val="nil"/>
            </w:tcBorders>
          </w:tcPr>
          <w:p>
            <w:pPr>
              <w:pStyle w:val="yTableNAm"/>
              <w:rPr>
                <w:sz w:val="20"/>
              </w:rPr>
            </w:pPr>
          </w:p>
        </w:tc>
        <w:tc>
          <w:tcPr>
            <w:tcW w:w="5529" w:type="dxa"/>
            <w:tcBorders>
              <w:top w:val="nil"/>
              <w:bottom w:val="nil"/>
            </w:tcBorders>
          </w:tcPr>
          <w:p>
            <w:pPr>
              <w:pStyle w:val="yTableNAm"/>
              <w:tabs>
                <w:tab w:val="right" w:leader="dot" w:pos="6237"/>
              </w:tabs>
              <w:rPr>
                <w:sz w:val="20"/>
              </w:rPr>
            </w:pPr>
            <w:r>
              <w:rPr>
                <w:sz w:val="20"/>
              </w:rPr>
              <w:t>(a)</w:t>
            </w:r>
            <w:r>
              <w:rPr>
                <w:sz w:val="20"/>
              </w:rPr>
              <w:tab/>
              <w:t xml:space="preserve">1 to 10 postcodes </w:t>
            </w:r>
            <w:r>
              <w:rPr>
                <w:sz w:val="20"/>
              </w:rPr>
              <w:tab/>
            </w:r>
          </w:p>
        </w:tc>
        <w:tc>
          <w:tcPr>
            <w:tcW w:w="855" w:type="dxa"/>
            <w:tcBorders>
              <w:top w:val="nil"/>
              <w:bottom w:val="nil"/>
            </w:tcBorders>
          </w:tcPr>
          <w:p>
            <w:pPr>
              <w:pStyle w:val="yTableNAm"/>
              <w:tabs>
                <w:tab w:val="clear" w:pos="567"/>
                <w:tab w:val="right" w:pos="659"/>
              </w:tabs>
              <w:ind w:right="48"/>
              <w:jc w:val="right"/>
              <w:rPr>
                <w:sz w:val="20"/>
              </w:rPr>
            </w:pPr>
            <w:r>
              <w:rPr>
                <w:sz w:val="20"/>
              </w:rPr>
              <w:t>40</w:t>
            </w:r>
          </w:p>
        </w:tc>
      </w:tr>
      <w:tr>
        <w:trPr>
          <w:cantSplit/>
        </w:trPr>
        <w:tc>
          <w:tcPr>
            <w:tcW w:w="684" w:type="dxa"/>
            <w:tcBorders>
              <w:top w:val="nil"/>
            </w:tcBorders>
          </w:tcPr>
          <w:p>
            <w:pPr>
              <w:pStyle w:val="yTableNAm"/>
              <w:rPr>
                <w:sz w:val="20"/>
              </w:rPr>
            </w:pPr>
          </w:p>
        </w:tc>
        <w:tc>
          <w:tcPr>
            <w:tcW w:w="5529" w:type="dxa"/>
            <w:tcBorders>
              <w:top w:val="nil"/>
            </w:tcBorders>
          </w:tcPr>
          <w:p>
            <w:pPr>
              <w:pStyle w:val="yTableNAm"/>
              <w:tabs>
                <w:tab w:val="right" w:leader="dot" w:pos="6237"/>
              </w:tabs>
              <w:rPr>
                <w:sz w:val="20"/>
              </w:rPr>
            </w:pPr>
            <w:r>
              <w:rPr>
                <w:sz w:val="20"/>
              </w:rPr>
              <w:t>(b)</w:t>
            </w:r>
            <w:r>
              <w:rPr>
                <w:sz w:val="20"/>
              </w:rPr>
              <w:tab/>
              <w:t xml:space="preserve">more than 10 postcodes </w:t>
            </w:r>
            <w:r>
              <w:rPr>
                <w:sz w:val="20"/>
              </w:rPr>
              <w:tab/>
            </w:r>
          </w:p>
        </w:tc>
        <w:tc>
          <w:tcPr>
            <w:tcW w:w="855" w:type="dxa"/>
            <w:tcBorders>
              <w:top w:val="nil"/>
            </w:tcBorders>
          </w:tcPr>
          <w:p>
            <w:pPr>
              <w:pStyle w:val="yTableNAm"/>
              <w:tabs>
                <w:tab w:val="clear" w:pos="567"/>
                <w:tab w:val="right" w:pos="659"/>
              </w:tabs>
              <w:ind w:right="48"/>
              <w:jc w:val="right"/>
              <w:rPr>
                <w:sz w:val="20"/>
              </w:rPr>
            </w:pPr>
            <w:r>
              <w:rPr>
                <w:sz w:val="20"/>
              </w:rPr>
              <w:t>89</w:t>
            </w:r>
          </w:p>
        </w:tc>
      </w:tr>
    </w:tbl>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cantSplit/>
        </w:trPr>
        <w:tc>
          <w:tcPr>
            <w:tcW w:w="684" w:type="dxa"/>
            <w:tcBorders>
              <w:top w:val="nil"/>
              <w:left w:val="single" w:sz="4" w:space="0" w:color="auto"/>
              <w:bottom w:val="single" w:sz="4" w:space="0" w:color="auto"/>
              <w:right w:val="single" w:sz="4" w:space="0" w:color="auto"/>
            </w:tcBorders>
          </w:tcPr>
          <w:p>
            <w:pPr>
              <w:pStyle w:val="yTableNAm"/>
              <w:keepNext/>
              <w:rPr>
                <w:sz w:val="20"/>
              </w:rPr>
            </w:pPr>
            <w:r>
              <w:rPr>
                <w:sz w:val="20"/>
              </w:rPr>
              <w:t>39.</w:t>
            </w:r>
          </w:p>
        </w:tc>
        <w:tc>
          <w:tcPr>
            <w:tcW w:w="5529" w:type="dxa"/>
            <w:tcBorders>
              <w:top w:val="nil"/>
              <w:left w:val="single" w:sz="4" w:space="0" w:color="auto"/>
              <w:bottom w:val="single" w:sz="4" w:space="0" w:color="auto"/>
              <w:right w:val="single" w:sz="4" w:space="0" w:color="auto"/>
            </w:tcBorders>
          </w:tcPr>
          <w:p>
            <w:pPr>
              <w:pStyle w:val="yTableNAm"/>
              <w:keepNext/>
              <w:tabs>
                <w:tab w:val="clear" w:pos="567"/>
                <w:tab w:val="right" w:leader="dot" w:pos="6237"/>
              </w:tabs>
              <w:rPr>
                <w:sz w:val="20"/>
              </w:rPr>
            </w:pPr>
            <w:r>
              <w:rPr>
                <w:sz w:val="20"/>
              </w:rPr>
              <w:t xml:space="preserve">For each person who is a party to an application under the Act and in relation to whom a background check is sought from the Police Service </w:t>
            </w:r>
            <w:r>
              <w:rPr>
                <w:sz w:val="20"/>
              </w:rPr>
              <w:tab/>
            </w:r>
          </w:p>
        </w:tc>
        <w:tc>
          <w:tcPr>
            <w:tcW w:w="855" w:type="dxa"/>
            <w:tcBorders>
              <w:top w:val="nil"/>
              <w:left w:val="single" w:sz="4" w:space="0" w:color="auto"/>
              <w:bottom w:val="single" w:sz="4" w:space="0" w:color="auto"/>
              <w:right w:val="single" w:sz="4" w:space="0" w:color="auto"/>
            </w:tcBorders>
          </w:tcPr>
          <w:p>
            <w:pPr>
              <w:pStyle w:val="yTableNAm"/>
              <w:keepNext/>
              <w:tabs>
                <w:tab w:val="clear" w:pos="567"/>
                <w:tab w:val="right" w:pos="659"/>
              </w:tabs>
              <w:ind w:right="48"/>
              <w:jc w:val="right"/>
              <w:rPr>
                <w:sz w:val="20"/>
              </w:rPr>
            </w:pPr>
            <w:r>
              <w:rPr>
                <w:sz w:val="20"/>
              </w:rPr>
              <w:br/>
            </w:r>
            <w:r>
              <w:rPr>
                <w:sz w:val="20"/>
              </w:rPr>
              <w:br/>
              <w:t>150</w:t>
            </w:r>
          </w:p>
        </w:tc>
      </w:tr>
    </w:tbl>
    <w:p>
      <w:pPr>
        <w:pStyle w:val="BlankClose"/>
      </w:pPr>
    </w:p>
    <w:p>
      <w:pPr>
        <w:pStyle w:val="BlankClose"/>
      </w:pPr>
    </w:p>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12" w:name="_Toc498094791"/>
      <w:r>
        <w:rPr>
          <w:sz w:val="28"/>
        </w:rPr>
        <w:t>Defined terms</w:t>
      </w:r>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3AB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110134750"/>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833D9-1EAE-413B-B57F-914BF5D5B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119</Pages>
  <Words>28745</Words>
  <Characters>137116</Characters>
  <Application>Microsoft Office Word</Application>
  <DocSecurity>0</DocSecurity>
  <Lines>5078</Lines>
  <Paragraphs>2961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1989 - 14-f0-00</dc:title>
  <dc:subject/>
  <dc:creator/>
  <cp:keywords/>
  <dc:description/>
  <cp:lastModifiedBy>svcMRProcess</cp:lastModifiedBy>
  <cp:revision>4</cp:revision>
  <cp:lastPrinted>2017-09-12T01:43:00Z</cp:lastPrinted>
  <dcterms:created xsi:type="dcterms:W3CDTF">2020-02-26T16:39:00Z</dcterms:created>
  <dcterms:modified xsi:type="dcterms:W3CDTF">2020-02-26T16:39:00Z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10 Nov 2017</vt:lpwstr>
  </property>
  <property fmtid="{D5CDD505-2E9C-101B-9397-08002B2CF9AE}" pid="8" name="Suffix">
    <vt:lpwstr>14-f0-00</vt:lpwstr>
  </property>
  <property fmtid="{D5CDD505-2E9C-101B-9397-08002B2CF9AE}" pid="9" name="CommencementDate">
    <vt:lpwstr>20171110</vt:lpwstr>
  </property>
</Properties>
</file>