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(Audit)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_Toc115767570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_Toc115767571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_Toc115767572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 xml:space="preserve">Prescribed amount of debt which disqualifies person as auditor — s. </w:t>
      </w:r>
      <w:r>
        <w:rPr>
          <w:noProof/>
          <w:szCs w:val="24"/>
        </w:rPr>
        <w:t>7</w:t>
      </w:r>
      <w:r>
        <w:rPr>
          <w:noProof/>
          <w:snapToGrid w:val="0"/>
          <w:szCs w:val="24"/>
        </w:rPr>
        <w:t>.4(2)(b)</w:t>
      </w:r>
      <w:r>
        <w:rPr>
          <w:noProof/>
        </w:rPr>
        <w:tab/>
      </w:r>
      <w:r>
        <w:rPr>
          <w:noProof/>
        </w:rPr>
        <w:fldChar w:fldCharType="begin"/>
      </w:r>
      <w:r>
        <w:rPr>
          <w:noProof/>
        </w:rPr>
        <w:instrText xml:space="preserve"> PAGEREF _Toc115767573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Prescribed entity, employment or membership of which disqualifies person as auditor — s. </w:t>
      </w:r>
      <w:r>
        <w:rPr>
          <w:noProof/>
          <w:szCs w:val="24"/>
        </w:rPr>
        <w:t>7</w:t>
      </w:r>
      <w:r>
        <w:rPr>
          <w:noProof/>
          <w:snapToGrid w:val="0"/>
          <w:szCs w:val="24"/>
        </w:rPr>
        <w:t>.4(2)(c)</w:t>
      </w:r>
      <w:r>
        <w:rPr>
          <w:noProof/>
        </w:rPr>
        <w:tab/>
      </w:r>
      <w:r>
        <w:rPr>
          <w:noProof/>
        </w:rPr>
        <w:fldChar w:fldCharType="begin"/>
      </w:r>
      <w:r>
        <w:rPr>
          <w:noProof/>
        </w:rPr>
        <w:instrText xml:space="preserve"> PAGEREF _Toc115767574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 xml:space="preserve">Prescribed class of persons, membership of which disqualifies person as auditor — s. </w:t>
      </w:r>
      <w:r>
        <w:rPr>
          <w:noProof/>
          <w:szCs w:val="24"/>
        </w:rPr>
        <w:t>7</w:t>
      </w:r>
      <w:r>
        <w:rPr>
          <w:noProof/>
          <w:snapToGrid w:val="0"/>
          <w:szCs w:val="24"/>
        </w:rPr>
        <w:t>.4(2)(d)</w:t>
      </w:r>
      <w:r>
        <w:rPr>
          <w:noProof/>
        </w:rPr>
        <w:tab/>
      </w:r>
      <w:r>
        <w:rPr>
          <w:noProof/>
        </w:rPr>
        <w:fldChar w:fldCharType="begin"/>
      </w:r>
      <w:r>
        <w:rPr>
          <w:noProof/>
        </w:rPr>
        <w:instrText xml:space="preserve"> PAGEREF _Toc115767575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Audit agreements</w:t>
      </w:r>
      <w:r>
        <w:rPr>
          <w:noProof/>
        </w:rPr>
        <w:tab/>
      </w:r>
      <w:r>
        <w:rPr>
          <w:noProof/>
        </w:rPr>
        <w:fldChar w:fldCharType="begin"/>
      </w:r>
      <w:r>
        <w:rPr>
          <w:noProof/>
        </w:rPr>
        <w:instrText xml:space="preserve"> PAGEREF _Toc115767576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Notification required on termination of audit agreement</w:t>
      </w:r>
      <w:r>
        <w:rPr>
          <w:noProof/>
        </w:rPr>
        <w:tab/>
      </w:r>
      <w:r>
        <w:rPr>
          <w:noProof/>
        </w:rPr>
        <w:fldChar w:fldCharType="begin"/>
      </w:r>
      <w:r>
        <w:rPr>
          <w:noProof/>
        </w:rPr>
        <w:instrText xml:space="preserve"> PAGEREF _Toc115767577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Performance of the audit</w:t>
      </w:r>
      <w:r>
        <w:rPr>
          <w:noProof/>
        </w:rPr>
        <w:tab/>
      </w:r>
      <w:r>
        <w:rPr>
          <w:noProof/>
        </w:rPr>
        <w:fldChar w:fldCharType="begin"/>
      </w:r>
      <w:r>
        <w:rPr>
          <w:noProof/>
        </w:rPr>
        <w:instrText xml:space="preserve"> PAGEREF _Toc115767578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Report by auditor</w:t>
      </w:r>
      <w:r>
        <w:rPr>
          <w:noProof/>
        </w:rPr>
        <w:tab/>
      </w:r>
      <w:r>
        <w:rPr>
          <w:noProof/>
        </w:rPr>
        <w:fldChar w:fldCharType="begin"/>
      </w:r>
      <w:r>
        <w:rPr>
          <w:noProof/>
        </w:rPr>
        <w:instrText xml:space="preserve"> PAGEREF _Toc115767579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Statement of hours and fees</w:t>
      </w:r>
      <w:r>
        <w:rPr>
          <w:noProof/>
        </w:rPr>
        <w:tab/>
      </w:r>
      <w:r>
        <w:rPr>
          <w:noProof/>
        </w:rPr>
        <w:fldChar w:fldCharType="begin"/>
      </w:r>
      <w:r>
        <w:rPr>
          <w:noProof/>
        </w:rPr>
        <w:instrText xml:space="preserve"> PAGEREF _Toc115767580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Auditor’s conflict of interest</w:t>
      </w:r>
      <w:r>
        <w:rPr>
          <w:noProof/>
        </w:rPr>
        <w:tab/>
      </w:r>
      <w:r>
        <w:rPr>
          <w:noProof/>
        </w:rPr>
        <w:fldChar w:fldCharType="begin"/>
      </w:r>
      <w:r>
        <w:rPr>
          <w:noProof/>
        </w:rPr>
        <w:instrText xml:space="preserve"> PAGEREF _Toc115767581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Statutory requirements to be the subject of compliance audit — s. 7.13(i)</w:t>
      </w:r>
      <w:r>
        <w:rPr>
          <w:noProof/>
        </w:rPr>
        <w:tab/>
      </w:r>
      <w:r>
        <w:rPr>
          <w:noProof/>
        </w:rPr>
        <w:fldChar w:fldCharType="begin"/>
      </w:r>
      <w:r>
        <w:rPr>
          <w:noProof/>
        </w:rPr>
        <w:instrText xml:space="preserve"> PAGEREF _Toc115767582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Compliance audit return to be prepared</w:t>
      </w:r>
      <w:r>
        <w:rPr>
          <w:noProof/>
        </w:rPr>
        <w:tab/>
      </w:r>
      <w:r>
        <w:rPr>
          <w:noProof/>
        </w:rPr>
        <w:fldChar w:fldCharType="begin"/>
      </w:r>
      <w:r>
        <w:rPr>
          <w:noProof/>
        </w:rPr>
        <w:instrText xml:space="preserve"> PAGEREF _Toc115767583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Completion of compliance audit</w:t>
      </w:r>
      <w:r>
        <w:rPr>
          <w:noProof/>
        </w:rPr>
        <w:tab/>
      </w:r>
      <w:r>
        <w:rPr>
          <w:noProof/>
        </w:rPr>
        <w:fldChar w:fldCharType="begin"/>
      </w:r>
      <w:r>
        <w:rPr>
          <w:noProof/>
        </w:rPr>
        <w:instrText xml:space="preserve"> PAGEREF _Toc115767584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Functions of audit committee</w:t>
      </w:r>
      <w:r>
        <w:rPr>
          <w:noProof/>
        </w:rPr>
        <w:tab/>
      </w:r>
      <w:r>
        <w:rPr>
          <w:noProof/>
        </w:rPr>
        <w:fldChar w:fldCharType="begin"/>
      </w:r>
      <w:r>
        <w:rPr>
          <w:noProof/>
        </w:rPr>
        <w:instrText xml:space="preserve"> PAGEREF _Toc115767585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_Toc115767587 \h </w:instrText>
      </w:r>
      <w:r>
        <w:rPr>
          <w:noProof/>
        </w:rPr>
      </w:r>
      <w:r>
        <w:rPr>
          <w:noProof/>
        </w:rPr>
        <w:fldChar w:fldCharType="separate"/>
      </w:r>
      <w:r>
        <w:rPr>
          <w:noProof/>
        </w:rPr>
        <w:t>12</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45441688"/>
      <w:bookmarkStart w:id="2" w:name="_Toc45441848"/>
      <w:bookmarkStart w:id="3" w:name="_Toc11576757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45441689"/>
      <w:bookmarkStart w:id="5" w:name="_Toc45441849"/>
      <w:bookmarkStart w:id="6" w:name="_Toc11576757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45441690"/>
      <w:bookmarkStart w:id="8" w:name="_Toc45441850"/>
      <w:bookmarkStart w:id="9" w:name="_Toc11576757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10" w:name="_Toc45441691"/>
      <w:bookmarkStart w:id="11" w:name="_Toc45441851"/>
      <w:bookmarkStart w:id="12" w:name="_Toc115767573"/>
      <w:r>
        <w:rPr>
          <w:rStyle w:val="CharSectno"/>
        </w:rPr>
        <w:lastRenderedPageBreak/>
        <w:t>4</w:t>
      </w:r>
      <w:r>
        <w:rPr>
          <w:snapToGrid w:val="0"/>
        </w:rPr>
        <w:t>.</w:t>
      </w:r>
      <w:r>
        <w:rPr>
          <w:snapToGrid w:val="0"/>
        </w:rPr>
        <w:tab/>
        <w:t xml:space="preserve">Prescribed amount of debt which disqualifies person as auditor — s. </w:t>
      </w:r>
      <w:r>
        <w:rPr>
          <w:rStyle w:val="CharSectno"/>
        </w:rPr>
        <w:t>7</w:t>
      </w:r>
      <w:r>
        <w:rPr>
          <w:snapToGrid w:val="0"/>
        </w:rPr>
        <w:t>.4(2)(b)</w:t>
      </w:r>
      <w:bookmarkEnd w:id="10"/>
      <w:bookmarkEnd w:id="11"/>
      <w:bookmarkEnd w:id="12"/>
      <w:r>
        <w:rPr>
          <w:snapToGrid w:val="0"/>
        </w:rPr>
        <w:t xml:space="preserve"> </w:t>
      </w:r>
    </w:p>
    <w:p>
      <w:pPr>
        <w:pStyle w:val="Subsection"/>
        <w:rPr>
          <w:snapToGrid w:val="0"/>
        </w:rPr>
      </w:pPr>
      <w:r>
        <w:rPr>
          <w:snapToGrid w:val="0"/>
        </w:rPr>
        <w:tab/>
      </w:r>
      <w:r>
        <w:rPr>
          <w:snapToGrid w:val="0"/>
        </w:rPr>
        <w:tab/>
        <w:t>The amount prescribed for the purposes of section 7.4(2)(b) is $5 000.</w:t>
      </w:r>
    </w:p>
    <w:p>
      <w:pPr>
        <w:pStyle w:val="Heading5"/>
        <w:rPr>
          <w:snapToGrid w:val="0"/>
        </w:rPr>
      </w:pPr>
      <w:bookmarkStart w:id="13" w:name="_Toc45441692"/>
      <w:bookmarkStart w:id="14" w:name="_Toc45441852"/>
      <w:bookmarkStart w:id="15" w:name="_Toc115767574"/>
      <w:r>
        <w:rPr>
          <w:rStyle w:val="CharSectno"/>
        </w:rPr>
        <w:t>5</w:t>
      </w:r>
      <w:r>
        <w:rPr>
          <w:snapToGrid w:val="0"/>
        </w:rPr>
        <w:t>.</w:t>
      </w:r>
      <w:r>
        <w:rPr>
          <w:snapToGrid w:val="0"/>
        </w:rPr>
        <w:tab/>
        <w:t xml:space="preserve">Prescribed entity, employment or membership of which disqualifies person as auditor — s. </w:t>
      </w:r>
      <w:r>
        <w:rPr>
          <w:rStyle w:val="CharSectno"/>
        </w:rPr>
        <w:t>7</w:t>
      </w:r>
      <w:r>
        <w:rPr>
          <w:snapToGrid w:val="0"/>
        </w:rPr>
        <w:t>.4(2)(c)</w:t>
      </w:r>
      <w:bookmarkEnd w:id="13"/>
      <w:bookmarkEnd w:id="14"/>
      <w:bookmarkEnd w:id="15"/>
      <w:r>
        <w:rPr>
          <w:snapToGrid w:val="0"/>
        </w:rPr>
        <w:t xml:space="preserve"> </w:t>
      </w:r>
    </w:p>
    <w:p>
      <w:pPr>
        <w:pStyle w:val="Subsection"/>
        <w:rPr>
          <w:snapToGrid w:val="0"/>
        </w:rPr>
      </w:pPr>
      <w:r>
        <w:rPr>
          <w:snapToGrid w:val="0"/>
        </w:rPr>
        <w:tab/>
      </w:r>
      <w:r>
        <w:rPr>
          <w:snapToGrid w:val="0"/>
        </w:rPr>
        <w:tab/>
        <w:t>The prescribed entities for the purposes of section 7.4(2)(c) are, in relation to a local government — </w:t>
      </w:r>
    </w:p>
    <w:p>
      <w:pPr>
        <w:pStyle w:val="Indenta"/>
        <w:rPr>
          <w:snapToGrid w:val="0"/>
        </w:rPr>
      </w:pPr>
      <w:r>
        <w:rPr>
          <w:snapToGrid w:val="0"/>
        </w:rPr>
        <w:tab/>
        <w:t>(a)</w:t>
      </w:r>
      <w:r>
        <w:rPr>
          <w:snapToGrid w:val="0"/>
        </w:rPr>
        <w:tab/>
        <w:t>a regional local government in which the local government is a participant; and</w:t>
      </w:r>
    </w:p>
    <w:p>
      <w:pPr>
        <w:pStyle w:val="Indenta"/>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16" w:name="_Toc45441693"/>
      <w:bookmarkStart w:id="17" w:name="_Toc45441853"/>
      <w:bookmarkStart w:id="18" w:name="_Toc115767575"/>
      <w:r>
        <w:rPr>
          <w:rStyle w:val="CharSectno"/>
        </w:rPr>
        <w:t>6</w:t>
      </w:r>
      <w:r>
        <w:rPr>
          <w:snapToGrid w:val="0"/>
        </w:rPr>
        <w:t>.</w:t>
      </w:r>
      <w:r>
        <w:rPr>
          <w:snapToGrid w:val="0"/>
        </w:rPr>
        <w:tab/>
        <w:t xml:space="preserve">Prescribed class of persons, membership of which disqualifies person as auditor — s. </w:t>
      </w:r>
      <w:r>
        <w:rPr>
          <w:rStyle w:val="CharSectno"/>
        </w:rPr>
        <w:t>7</w:t>
      </w:r>
      <w:r>
        <w:rPr>
          <w:snapToGrid w:val="0"/>
        </w:rPr>
        <w:t>.4(2)(d)</w:t>
      </w:r>
      <w:bookmarkEnd w:id="16"/>
      <w:bookmarkEnd w:id="17"/>
      <w:bookmarkEnd w:id="18"/>
      <w:r>
        <w:rPr>
          <w:snapToGrid w:val="0"/>
        </w:rPr>
        <w:t xml:space="preserve"> </w:t>
      </w:r>
    </w:p>
    <w:p>
      <w:pPr>
        <w:pStyle w:val="Subsection"/>
        <w:rPr>
          <w:snapToGrid w:val="0"/>
        </w:rPr>
      </w:pPr>
      <w:r>
        <w:rPr>
          <w:snapToGrid w:val="0"/>
        </w:rPr>
        <w:tab/>
        <w:t>(1)</w:t>
      </w:r>
      <w:r>
        <w:rPr>
          <w:snapToGrid w:val="0"/>
        </w:rPr>
        <w:tab/>
        <w:t>The prescribed classes of persons for the purposes of section 7.4(2)(d) are — </w:t>
      </w:r>
    </w:p>
    <w:p>
      <w:pPr>
        <w:pStyle w:val="Indenta"/>
        <w:rPr>
          <w:snapToGrid w:val="0"/>
        </w:rPr>
      </w:pPr>
      <w:r>
        <w:rPr>
          <w:snapToGrid w:val="0"/>
        </w:rPr>
        <w:tab/>
        <w:t>(a)</w:t>
      </w:r>
      <w:r>
        <w:rPr>
          <w:snapToGrid w:val="0"/>
        </w:rPr>
        <w:tab/>
        <w:t>persons who are disqualified for membership of a council under section 2.22;</w:t>
      </w:r>
    </w:p>
    <w:p>
      <w:pPr>
        <w:pStyle w:val="Indenta"/>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 </w:t>
      </w:r>
    </w:p>
    <w:p>
      <w:pPr>
        <w:pStyle w:val="Indenta"/>
        <w:rPr>
          <w:snapToGrid w:val="0"/>
        </w:rPr>
      </w:pPr>
      <w:r>
        <w:rPr>
          <w:snapToGrid w:val="0"/>
        </w:rPr>
        <w:tab/>
        <w:t>(a)</w:t>
      </w:r>
      <w:r>
        <w:rPr>
          <w:snapToGrid w:val="0"/>
        </w:rPr>
        <w:tab/>
        <w:t>is in partnership with the relevant person;</w:t>
      </w:r>
    </w:p>
    <w:p>
      <w:pPr>
        <w:pStyle w:val="Indenta"/>
        <w:rPr>
          <w:snapToGrid w:val="0"/>
        </w:rPr>
      </w:pPr>
      <w:r>
        <w:rPr>
          <w:snapToGrid w:val="0"/>
        </w:rPr>
        <w:tab/>
        <w:t>(b)</w:t>
      </w:r>
      <w:r>
        <w:rPr>
          <w:snapToGrid w:val="0"/>
        </w:rPr>
        <w:tab/>
        <w:t>is an employer of the relevant person;</w:t>
      </w:r>
    </w:p>
    <w:p>
      <w:pPr>
        <w:pStyle w:val="Indenta"/>
        <w:rPr>
          <w:snapToGrid w:val="0"/>
        </w:rPr>
      </w:pPr>
      <w:r>
        <w:rPr>
          <w:snapToGrid w:val="0"/>
        </w:rPr>
        <w:lastRenderedPageBreak/>
        <w:tab/>
        <w:t>(c)</w:t>
      </w:r>
      <w:r>
        <w:rPr>
          <w:snapToGrid w:val="0"/>
        </w:rPr>
        <w:tab/>
        <w:t>is a beneficiary under a trust, or an object of a discretionary trust, of which the relevant person is a trustee;</w:t>
      </w:r>
    </w:p>
    <w:p>
      <w:pPr>
        <w:pStyle w:val="Indenta"/>
        <w:rPr>
          <w:snapToGrid w:val="0"/>
        </w:rPr>
      </w:pPr>
      <w:r>
        <w:rPr>
          <w:snapToGrid w:val="0"/>
        </w:rPr>
        <w:tab/>
        <w:t>(d)</w:t>
      </w:r>
      <w:r>
        <w:rPr>
          <w:snapToGrid w:val="0"/>
        </w:rPr>
        <w:tab/>
        <w:t>is a body corporate — </w:t>
      </w:r>
    </w:p>
    <w:p>
      <w:pPr>
        <w:pStyle w:val="Indenti"/>
        <w:rPr>
          <w:snapToGrid w:val="0"/>
        </w:rPr>
      </w:pPr>
      <w:r>
        <w:rPr>
          <w:snapToGrid w:val="0"/>
        </w:rPr>
        <w:tab/>
        <w:t>(i)</w:t>
      </w:r>
      <w:r>
        <w:rPr>
          <w:snapToGrid w:val="0"/>
        </w:rPr>
        <w:tab/>
        <w:t xml:space="preserve">of which the relevant person is a director, secretary or executive officer; or </w:t>
      </w:r>
    </w:p>
    <w:p>
      <w:pPr>
        <w:pStyle w:val="Indenti"/>
        <w:rPr>
          <w:snapToGrid w:val="0"/>
        </w:rPr>
      </w:pPr>
      <w:r>
        <w:rPr>
          <w:snapToGrid w:val="0"/>
        </w:rPr>
        <w:tab/>
        <w:t>(ii)</w:t>
      </w:r>
      <w:r>
        <w:rPr>
          <w:snapToGrid w:val="0"/>
        </w:rPr>
        <w:tab/>
        <w:t>in which the relevant person holds shares having a total value exceeding —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19" w:name="_Toc45441694"/>
      <w:bookmarkStart w:id="20" w:name="_Toc45441854"/>
      <w:bookmarkStart w:id="21" w:name="_Toc115767576"/>
      <w:r>
        <w:rPr>
          <w:rStyle w:val="CharSectno"/>
        </w:rPr>
        <w:t>7</w:t>
      </w:r>
      <w:r>
        <w:rPr>
          <w:snapToGrid w:val="0"/>
        </w:rPr>
        <w:t>.</w:t>
      </w:r>
      <w:r>
        <w:rPr>
          <w:snapToGrid w:val="0"/>
        </w:rPr>
        <w:tab/>
        <w:t>Audit agreements</w:t>
      </w:r>
      <w:bookmarkEnd w:id="19"/>
      <w:bookmarkEnd w:id="20"/>
      <w:bookmarkEnd w:id="21"/>
      <w:r>
        <w:rPr>
          <w:snapToGrid w:val="0"/>
        </w:rPr>
        <w:t xml:space="preserve"> </w:t>
      </w:r>
    </w:p>
    <w:p>
      <w:pPr>
        <w:pStyle w:val="Subsection"/>
        <w:rPr>
          <w:snapToGrid w:val="0"/>
        </w:rPr>
      </w:pPr>
      <w:r>
        <w:rPr>
          <w:snapToGrid w:val="0"/>
        </w:rPr>
        <w:tab/>
      </w:r>
      <w:r>
        <w:rPr>
          <w:snapToGrid w:val="0"/>
        </w:rPr>
        <w:tab/>
        <w:t>An agreement between a local government and an auditor is to include — </w:t>
      </w:r>
    </w:p>
    <w:p>
      <w:pPr>
        <w:pStyle w:val="Indenta"/>
        <w:rPr>
          <w:snapToGrid w:val="0"/>
        </w:rPr>
      </w:pPr>
      <w:r>
        <w:rPr>
          <w:snapToGrid w:val="0"/>
        </w:rPr>
        <w:tab/>
        <w:t>(a)</w:t>
      </w:r>
      <w:r>
        <w:rPr>
          <w:snapToGrid w:val="0"/>
        </w:rPr>
        <w:tab/>
        <w:t>the objectives of the audit;</w:t>
      </w:r>
    </w:p>
    <w:p>
      <w:pPr>
        <w:pStyle w:val="Indenta"/>
        <w:rPr>
          <w:snapToGrid w:val="0"/>
        </w:rPr>
      </w:pPr>
      <w:r>
        <w:rPr>
          <w:snapToGrid w:val="0"/>
        </w:rPr>
        <w:lastRenderedPageBreak/>
        <w:tab/>
        <w:t>(b)</w:t>
      </w:r>
      <w:r>
        <w:rPr>
          <w:snapToGrid w:val="0"/>
        </w:rPr>
        <w:tab/>
        <w:t>the scope of the audit;</w:t>
      </w:r>
    </w:p>
    <w:p>
      <w:pPr>
        <w:pStyle w:val="Indenta"/>
        <w:rPr>
          <w:snapToGrid w:val="0"/>
        </w:rPr>
      </w:pPr>
      <w:r>
        <w:rPr>
          <w:snapToGrid w:val="0"/>
        </w:rPr>
        <w:tab/>
        <w:t>(c)</w:t>
      </w:r>
      <w:r>
        <w:rPr>
          <w:snapToGrid w:val="0"/>
        </w:rPr>
        <w:tab/>
        <w:t>a plan for the audit;</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22" w:name="_Toc45441695"/>
      <w:bookmarkStart w:id="23" w:name="_Toc45441855"/>
      <w:bookmarkStart w:id="24" w:name="_Toc115767577"/>
      <w:r>
        <w:rPr>
          <w:rStyle w:val="CharSectno"/>
        </w:rPr>
        <w:t>8</w:t>
      </w:r>
      <w:r>
        <w:rPr>
          <w:snapToGrid w:val="0"/>
        </w:rPr>
        <w:t>.</w:t>
      </w:r>
      <w:r>
        <w:rPr>
          <w:snapToGrid w:val="0"/>
        </w:rPr>
        <w:tab/>
        <w:t>Notification required on termination of audit agreement</w:t>
      </w:r>
      <w:bookmarkEnd w:id="22"/>
      <w:bookmarkEnd w:id="23"/>
      <w:bookmarkEnd w:id="24"/>
      <w:r>
        <w:rPr>
          <w:snapToGrid w:val="0"/>
        </w:rPr>
        <w:t xml:space="preserve"> </w:t>
      </w:r>
    </w:p>
    <w:p>
      <w:pPr>
        <w:pStyle w:val="Subsection"/>
        <w:rPr>
          <w:snapToGrid w:val="0"/>
        </w:rPr>
      </w:pPr>
      <w:r>
        <w:rPr>
          <w:snapToGrid w:val="0"/>
        </w:rPr>
        <w:tab/>
        <w:t>(1)</w:t>
      </w:r>
      <w:r>
        <w:rPr>
          <w:snapToGrid w:val="0"/>
        </w:rPr>
        <w:tab/>
        <w:t>Where an agreement between a local government and an auditor is terminated — </w:t>
      </w:r>
    </w:p>
    <w:p>
      <w:pPr>
        <w:pStyle w:val="Indenta"/>
        <w:rPr>
          <w:snapToGrid w:val="0"/>
        </w:rPr>
      </w:pPr>
      <w:r>
        <w:rPr>
          <w:snapToGrid w:val="0"/>
        </w:rPr>
        <w:tab/>
        <w:t>(a)</w:t>
      </w:r>
      <w:r>
        <w:rPr>
          <w:snapToGrid w:val="0"/>
        </w:rPr>
        <w:tab/>
        <w:t>the local government is to, within a period of 30 days from the termination, give to the Executive Director —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 xml:space="preserve">the reasons for the termination;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25" w:name="_Toc45441696"/>
      <w:bookmarkStart w:id="26" w:name="_Toc45441856"/>
      <w:bookmarkStart w:id="27" w:name="_Toc115767578"/>
      <w:r>
        <w:rPr>
          <w:rStyle w:val="CharSectno"/>
        </w:rPr>
        <w:t>9</w:t>
      </w:r>
      <w:r>
        <w:rPr>
          <w:snapToGrid w:val="0"/>
        </w:rPr>
        <w:t>.</w:t>
      </w:r>
      <w:r>
        <w:rPr>
          <w:snapToGrid w:val="0"/>
        </w:rPr>
        <w:tab/>
        <w:t>Performance of the audit</w:t>
      </w:r>
      <w:bookmarkEnd w:id="25"/>
      <w:bookmarkEnd w:id="26"/>
      <w:bookmarkEnd w:id="27"/>
      <w:r>
        <w:rPr>
          <w:snapToGrid w:val="0"/>
        </w:rPr>
        <w:t xml:space="preserve"> </w:t>
      </w:r>
    </w:p>
    <w:p>
      <w:pPr>
        <w:pStyle w:val="Subsection"/>
        <w:rPr>
          <w:snapToGrid w:val="0"/>
        </w:rPr>
      </w:pPr>
      <w:r>
        <w:rPr>
          <w:snapToGrid w:val="0"/>
        </w:rPr>
        <w:tab/>
        <w:t>(1)</w:t>
      </w:r>
      <w:r>
        <w:rPr>
          <w:snapToGrid w:val="0"/>
        </w:rPr>
        <w:tab/>
        <w:t>An audit is to be carried out in accordance with the “Auditing Standards” and “Auditing Guidance Statements” adopted from time to time by the Australian Society of Certified Practising Accountants and The Institute of Chartered Accountants in Australia.</w:t>
      </w:r>
    </w:p>
    <w:p>
      <w:pPr>
        <w:pStyle w:val="Subsection"/>
        <w:rPr>
          <w:snapToGrid w:val="0"/>
        </w:rPr>
      </w:pPr>
      <w:r>
        <w:rPr>
          <w:snapToGrid w:val="0"/>
        </w:rPr>
        <w:tab/>
        <w:t>(2)</w:t>
      </w:r>
      <w:r>
        <w:rPr>
          <w:snapToGrid w:val="0"/>
        </w:rPr>
        <w:tab/>
        <w:t>An auditor is to carry out such work as is necessary to form an opinion as to whether —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28" w:name="_Toc45441697"/>
      <w:bookmarkStart w:id="29" w:name="_Toc45441857"/>
      <w:bookmarkStart w:id="30" w:name="_Toc115767579"/>
      <w:r>
        <w:rPr>
          <w:rStyle w:val="CharSectno"/>
        </w:rPr>
        <w:t>10</w:t>
      </w:r>
      <w:r>
        <w:rPr>
          <w:snapToGrid w:val="0"/>
        </w:rPr>
        <w:t>.</w:t>
      </w:r>
      <w:r>
        <w:rPr>
          <w:snapToGrid w:val="0"/>
        </w:rPr>
        <w:tab/>
        <w:t>Report by auditor</w:t>
      </w:r>
      <w:bookmarkEnd w:id="28"/>
      <w:bookmarkEnd w:id="29"/>
      <w:bookmarkEnd w:id="30"/>
      <w:r>
        <w:rPr>
          <w:snapToGrid w:val="0"/>
        </w:rPr>
        <w:t xml:space="preserve"> </w:t>
      </w:r>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31" w:name="_Toc45441698"/>
      <w:bookmarkStart w:id="32" w:name="_Toc45441858"/>
      <w:bookmarkStart w:id="33" w:name="_Toc115767580"/>
      <w:r>
        <w:rPr>
          <w:rStyle w:val="CharSectno"/>
        </w:rPr>
        <w:t>11</w:t>
      </w:r>
      <w:r>
        <w:rPr>
          <w:snapToGrid w:val="0"/>
        </w:rPr>
        <w:t>.</w:t>
      </w:r>
      <w:r>
        <w:rPr>
          <w:snapToGrid w:val="0"/>
        </w:rPr>
        <w:tab/>
        <w:t>Statement of hours and fees</w:t>
      </w:r>
      <w:bookmarkEnd w:id="31"/>
      <w:bookmarkEnd w:id="32"/>
      <w:bookmarkEnd w:id="33"/>
      <w:r>
        <w:rPr>
          <w:snapToGrid w:val="0"/>
        </w:rPr>
        <w:t xml:space="preserve"> </w:t>
      </w:r>
    </w:p>
    <w:p>
      <w:pPr>
        <w:pStyle w:val="Subsection"/>
        <w:rPr>
          <w:snapToGrid w:val="0"/>
        </w:rPr>
      </w:pPr>
      <w:r>
        <w:rPr>
          <w:snapToGrid w:val="0"/>
        </w:rPr>
        <w:tab/>
      </w:r>
      <w:r>
        <w:rPr>
          <w:snapToGrid w:val="0"/>
        </w:rPr>
        <w:tab/>
        <w:t>An auditor is to provide to the Minister with the auditor’s report a detailed statement of —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34" w:name="_Toc45441699"/>
      <w:bookmarkStart w:id="35" w:name="_Toc45441859"/>
      <w:bookmarkStart w:id="36" w:name="_Toc115767581"/>
      <w:r>
        <w:rPr>
          <w:rStyle w:val="CharSectno"/>
        </w:rPr>
        <w:t>12</w:t>
      </w:r>
      <w:r>
        <w:rPr>
          <w:snapToGrid w:val="0"/>
        </w:rPr>
        <w:t>.</w:t>
      </w:r>
      <w:r>
        <w:rPr>
          <w:snapToGrid w:val="0"/>
        </w:rPr>
        <w:tab/>
        <w:t>Auditor’s conflict of interest</w:t>
      </w:r>
      <w:bookmarkEnd w:id="34"/>
      <w:bookmarkEnd w:id="35"/>
      <w:bookmarkEnd w:id="36"/>
      <w:r>
        <w:rPr>
          <w:snapToGrid w:val="0"/>
        </w:rPr>
        <w:t xml:space="preserve"> </w:t>
      </w:r>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37" w:name="_Toc45441700"/>
      <w:bookmarkStart w:id="38" w:name="_Toc45441860"/>
      <w:bookmarkStart w:id="39" w:name="_Toc115767582"/>
      <w:r>
        <w:rPr>
          <w:rStyle w:val="CharSectno"/>
        </w:rPr>
        <w:t>13</w:t>
      </w:r>
      <w:r>
        <w:t>.</w:t>
      </w:r>
      <w:r>
        <w:tab/>
        <w:t>Statutory requirements to be the subject of compliance audit — s. 7.13(i)</w:t>
      </w:r>
      <w:bookmarkEnd w:id="37"/>
      <w:bookmarkEnd w:id="38"/>
      <w:bookmarkEnd w:id="39"/>
    </w:p>
    <w:p>
      <w:pPr>
        <w:pStyle w:val="Subsection"/>
      </w:pPr>
      <w:r>
        <w:tab/>
      </w:r>
      <w:r>
        <w:tab/>
        <w:t>For the purposes of section 7.13(i) the statutory requirements set forth in the Table to this regulation are prescribed.</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410"/>
        <w:gridCol w:w="141"/>
        <w:gridCol w:w="1843"/>
        <w:gridCol w:w="1843"/>
      </w:tblGrid>
      <w:tr>
        <w:trPr>
          <w:cantSplit/>
        </w:trPr>
        <w:tc>
          <w:tcPr>
            <w:tcW w:w="6237" w:type="dxa"/>
            <w:gridSpan w:val="4"/>
          </w:tcPr>
          <w:p>
            <w:pPr>
              <w:pStyle w:val="zTablet"/>
              <w:rPr>
                <w:b/>
                <w:bCs/>
                <w:i/>
                <w:iCs/>
              </w:rPr>
            </w:pPr>
            <w:r>
              <w:rPr>
                <w:b/>
                <w:bCs/>
                <w:i/>
                <w:iCs/>
              </w:rPr>
              <w:t>Local Government Act 1995</w:t>
            </w:r>
          </w:p>
        </w:tc>
      </w:tr>
      <w:tr>
        <w:tc>
          <w:tcPr>
            <w:tcW w:w="2410" w:type="dxa"/>
          </w:tcPr>
          <w:p>
            <w:pPr>
              <w:pStyle w:val="zTablet"/>
            </w:pPr>
            <w:r>
              <w:t>s. 2.25</w:t>
            </w:r>
          </w:p>
          <w:p>
            <w:pPr>
              <w:pStyle w:val="zTablet"/>
            </w:pPr>
            <w:r>
              <w:t>s. 2.29</w:t>
            </w:r>
          </w:p>
          <w:p>
            <w:pPr>
              <w:pStyle w:val="zTablet"/>
            </w:pPr>
            <w:r>
              <w:t>s. 3.12</w:t>
            </w:r>
          </w:p>
          <w:p>
            <w:pPr>
              <w:pStyle w:val="zTablet"/>
            </w:pPr>
            <w:r>
              <w:t>s. 3.16</w:t>
            </w:r>
          </w:p>
          <w:p>
            <w:pPr>
              <w:pStyle w:val="zTablet"/>
            </w:pPr>
            <w:r>
              <w:t>s. 3.18</w:t>
            </w:r>
          </w:p>
          <w:p>
            <w:pPr>
              <w:pStyle w:val="zTablet"/>
            </w:pPr>
            <w:r>
              <w:t>s. 3.32</w:t>
            </w:r>
          </w:p>
          <w:p>
            <w:pPr>
              <w:pStyle w:val="zTablet"/>
            </w:pPr>
            <w:r>
              <w:t>s. 3.40A</w:t>
            </w:r>
          </w:p>
          <w:p>
            <w:pPr>
              <w:pStyle w:val="zTablet"/>
            </w:pPr>
            <w:r>
              <w:t>s. 3.50</w:t>
            </w:r>
          </w:p>
          <w:p>
            <w:pPr>
              <w:pStyle w:val="zTablet"/>
            </w:pPr>
            <w:r>
              <w:t>s. 3.51</w:t>
            </w:r>
          </w:p>
          <w:p>
            <w:pPr>
              <w:pStyle w:val="zTablet"/>
            </w:pPr>
            <w:r>
              <w:t>s. 3.52(4)</w:t>
            </w:r>
          </w:p>
          <w:p>
            <w:pPr>
              <w:pStyle w:val="zTablet"/>
            </w:pPr>
            <w:r>
              <w:t>s. 3.57</w:t>
            </w:r>
          </w:p>
          <w:p>
            <w:pPr>
              <w:pStyle w:val="zTablet"/>
            </w:pPr>
            <w:r>
              <w:t>s. 3.58(3) and (4)</w:t>
            </w:r>
          </w:p>
          <w:p>
            <w:pPr>
              <w:pStyle w:val="zTablet"/>
            </w:pPr>
            <w:r>
              <w:t>s. 3.59(2), (4) and (5)</w:t>
            </w:r>
          </w:p>
          <w:p>
            <w:pPr>
              <w:pStyle w:val="zTablet"/>
            </w:pPr>
            <w:r>
              <w:t>s. 4.17(3)</w:t>
            </w:r>
          </w:p>
          <w:p>
            <w:pPr>
              <w:pStyle w:val="zTablet"/>
            </w:pPr>
            <w:r>
              <w:t>s. 4.20(2), (4) and (5)</w:t>
            </w:r>
          </w:p>
          <w:p>
            <w:pPr>
              <w:pStyle w:val="zTablet"/>
            </w:pPr>
            <w:r>
              <w:t>s. 4.32(6)</w:t>
            </w:r>
          </w:p>
          <w:p>
            <w:pPr>
              <w:pStyle w:val="zTablet"/>
            </w:pPr>
            <w:r>
              <w:t>s. 4.35</w:t>
            </w:r>
          </w:p>
          <w:p>
            <w:pPr>
              <w:pStyle w:val="zTablet"/>
            </w:pPr>
            <w:r>
              <w:t>s. 4.39(2)</w:t>
            </w:r>
          </w:p>
          <w:p>
            <w:pPr>
              <w:pStyle w:val="zTablet"/>
            </w:pPr>
            <w:r>
              <w:t>s. 4.41</w:t>
            </w:r>
          </w:p>
          <w:p>
            <w:pPr>
              <w:pStyle w:val="zTablet"/>
            </w:pPr>
            <w:r>
              <w:t>s. 4.43(1)</w:t>
            </w:r>
          </w:p>
          <w:p>
            <w:pPr>
              <w:pStyle w:val="zTablet"/>
            </w:pPr>
            <w:r>
              <w:t>s. 4.47</w:t>
            </w:r>
          </w:p>
          <w:p>
            <w:pPr>
              <w:pStyle w:val="zTablet"/>
            </w:pPr>
            <w:r>
              <w:t>s. 4.61(2) and (3)</w:t>
            </w:r>
          </w:p>
          <w:p>
            <w:pPr>
              <w:pStyle w:val="zTablet"/>
            </w:pPr>
            <w:r>
              <w:t>s. 4.64</w:t>
            </w:r>
          </w:p>
          <w:p>
            <w:pPr>
              <w:pStyle w:val="zTablet"/>
            </w:pPr>
            <w:r>
              <w:t>s. 5.4</w:t>
            </w:r>
          </w:p>
          <w:p>
            <w:pPr>
              <w:pStyle w:val="zTablet"/>
            </w:pPr>
            <w:r>
              <w:t>s. 5.5</w:t>
            </w:r>
          </w:p>
          <w:p>
            <w:pPr>
              <w:pStyle w:val="zTablet"/>
            </w:pPr>
            <w:r>
              <w:t>s. 5.7</w:t>
            </w:r>
          </w:p>
          <w:p>
            <w:pPr>
              <w:pStyle w:val="zTablet"/>
            </w:pPr>
            <w:r>
              <w:t>s. 5.8</w:t>
            </w:r>
          </w:p>
          <w:p>
            <w:pPr>
              <w:pStyle w:val="zTablet"/>
            </w:pPr>
            <w:r>
              <w:t>s. 5.10</w:t>
            </w:r>
          </w:p>
          <w:p>
            <w:pPr>
              <w:pStyle w:val="zTablet"/>
            </w:pPr>
            <w:r>
              <w:t>s. 5.12</w:t>
            </w:r>
          </w:p>
          <w:p>
            <w:pPr>
              <w:pStyle w:val="zTablet"/>
            </w:pPr>
            <w:r>
              <w:t>s. 5.15</w:t>
            </w:r>
          </w:p>
          <w:p>
            <w:pPr>
              <w:pStyle w:val="zTablet"/>
            </w:pPr>
            <w:r>
              <w:t>s. 5.16</w:t>
            </w:r>
          </w:p>
          <w:p>
            <w:pPr>
              <w:pStyle w:val="zTablet"/>
            </w:pPr>
            <w:r>
              <w:t>s. 5.17</w:t>
            </w:r>
          </w:p>
          <w:p>
            <w:pPr>
              <w:pStyle w:val="zTablet"/>
            </w:pPr>
            <w:r>
              <w:t>s. 5.18</w:t>
            </w:r>
          </w:p>
          <w:p>
            <w:pPr>
              <w:pStyle w:val="zTablet"/>
            </w:pPr>
            <w:r>
              <w:t>s. 5.21</w:t>
            </w:r>
          </w:p>
          <w:p>
            <w:pPr>
              <w:pStyle w:val="zTablet"/>
            </w:pPr>
            <w:r>
              <w:t>s. 5.22</w:t>
            </w:r>
          </w:p>
          <w:p>
            <w:pPr>
              <w:pStyle w:val="zTablet"/>
            </w:pPr>
            <w:r>
              <w:t>s. 5.23</w:t>
            </w:r>
          </w:p>
          <w:p>
            <w:pPr>
              <w:pStyle w:val="zTablet"/>
            </w:pPr>
            <w:r>
              <w:t>s. 5.24</w:t>
            </w:r>
          </w:p>
        </w:tc>
        <w:tc>
          <w:tcPr>
            <w:tcW w:w="1984" w:type="dxa"/>
            <w:gridSpan w:val="2"/>
          </w:tcPr>
          <w:p>
            <w:pPr>
              <w:pStyle w:val="zTablet"/>
            </w:pPr>
            <w:r>
              <w:t>s. 5.27</w:t>
            </w:r>
          </w:p>
          <w:p>
            <w:pPr>
              <w:pStyle w:val="zTablet"/>
            </w:pPr>
            <w:r>
              <w:t>s. 5.29(1)</w:t>
            </w:r>
          </w:p>
          <w:p>
            <w:pPr>
              <w:pStyle w:val="zTablet"/>
            </w:pPr>
            <w:r>
              <w:t>s. 5.32</w:t>
            </w:r>
          </w:p>
          <w:p>
            <w:pPr>
              <w:pStyle w:val="zTablet"/>
            </w:pPr>
            <w:r>
              <w:t>s. 5.33</w:t>
            </w:r>
          </w:p>
          <w:p>
            <w:pPr>
              <w:pStyle w:val="zTablet"/>
            </w:pPr>
            <w:r>
              <w:t>s. 5.36(4)</w:t>
            </w:r>
          </w:p>
          <w:p>
            <w:pPr>
              <w:pStyle w:val="zTablet"/>
            </w:pPr>
            <w:r>
              <w:t>s. 5.37(2) and (3)</w:t>
            </w:r>
          </w:p>
          <w:p>
            <w:pPr>
              <w:pStyle w:val="zTablet"/>
            </w:pPr>
            <w:r>
              <w:t>s. 5.38</w:t>
            </w:r>
          </w:p>
          <w:p>
            <w:pPr>
              <w:pStyle w:val="zTablet"/>
            </w:pPr>
            <w:r>
              <w:t>s. 5.39</w:t>
            </w:r>
          </w:p>
          <w:p>
            <w:pPr>
              <w:pStyle w:val="zTablet"/>
            </w:pPr>
            <w:r>
              <w:t>s. 5.42</w:t>
            </w:r>
          </w:p>
          <w:p>
            <w:pPr>
              <w:pStyle w:val="zTablet"/>
            </w:pPr>
            <w:r>
              <w:t>s. 5.43</w:t>
            </w:r>
          </w:p>
          <w:p>
            <w:pPr>
              <w:pStyle w:val="zTablet"/>
            </w:pPr>
            <w:r>
              <w:t>s. 5.44(2)</w:t>
            </w:r>
          </w:p>
          <w:p>
            <w:pPr>
              <w:pStyle w:val="zTablet"/>
            </w:pPr>
            <w:r>
              <w:t>s. 5.45(1)(b)</w:t>
            </w:r>
          </w:p>
          <w:p>
            <w:pPr>
              <w:pStyle w:val="zTablet"/>
            </w:pPr>
            <w:r>
              <w:t>s. 5.46</w:t>
            </w:r>
          </w:p>
          <w:p>
            <w:pPr>
              <w:pStyle w:val="zTablet"/>
            </w:pPr>
            <w:r>
              <w:t>s. 5.50</w:t>
            </w:r>
          </w:p>
          <w:p>
            <w:pPr>
              <w:pStyle w:val="zTablet"/>
            </w:pPr>
            <w:r>
              <w:t>s. 5.53</w:t>
            </w:r>
          </w:p>
          <w:p>
            <w:pPr>
              <w:pStyle w:val="zTablet"/>
            </w:pPr>
            <w:r>
              <w:t>s. 5.54</w:t>
            </w:r>
          </w:p>
          <w:p>
            <w:pPr>
              <w:pStyle w:val="zTablet"/>
            </w:pPr>
            <w:r>
              <w:t>s. 5.55</w:t>
            </w:r>
          </w:p>
          <w:p>
            <w:pPr>
              <w:pStyle w:val="zTablet"/>
            </w:pPr>
            <w:r>
              <w:t>s. 5.56</w:t>
            </w:r>
          </w:p>
          <w:p>
            <w:pPr>
              <w:pStyle w:val="zTablet"/>
            </w:pPr>
            <w:r>
              <w:t>s. 5.66</w:t>
            </w:r>
          </w:p>
          <w:p>
            <w:pPr>
              <w:pStyle w:val="zTablet"/>
            </w:pPr>
            <w:r>
              <w:t>s. 5.67</w:t>
            </w:r>
          </w:p>
          <w:p>
            <w:pPr>
              <w:pStyle w:val="zTablet"/>
            </w:pPr>
            <w:r>
              <w:t>s. 5.68(2)</w:t>
            </w:r>
          </w:p>
          <w:p>
            <w:pPr>
              <w:pStyle w:val="zTablet"/>
            </w:pPr>
            <w:r>
              <w:t>s. 5.70</w:t>
            </w:r>
          </w:p>
          <w:p>
            <w:pPr>
              <w:pStyle w:val="zTablet"/>
            </w:pPr>
            <w:r>
              <w:t>s. 5.71</w:t>
            </w:r>
          </w:p>
          <w:p>
            <w:pPr>
              <w:pStyle w:val="zTablet"/>
            </w:pPr>
            <w:r>
              <w:t>s. 5.73</w:t>
            </w:r>
          </w:p>
          <w:p>
            <w:pPr>
              <w:pStyle w:val="zTablet"/>
            </w:pPr>
            <w:r>
              <w:t>s. 5.75</w:t>
            </w:r>
          </w:p>
          <w:p>
            <w:pPr>
              <w:pStyle w:val="zTablet"/>
            </w:pPr>
            <w:r>
              <w:t>s. 5.76</w:t>
            </w:r>
          </w:p>
          <w:p>
            <w:pPr>
              <w:pStyle w:val="zTablet"/>
            </w:pPr>
            <w:r>
              <w:t>s. 5.77</w:t>
            </w:r>
          </w:p>
          <w:p>
            <w:pPr>
              <w:pStyle w:val="zTablet"/>
            </w:pPr>
            <w:r>
              <w:t>s. 5.88</w:t>
            </w:r>
          </w:p>
          <w:p>
            <w:pPr>
              <w:pStyle w:val="zTablet"/>
            </w:pPr>
            <w:r>
              <w:t>s. 5.94</w:t>
            </w:r>
          </w:p>
          <w:p>
            <w:pPr>
              <w:pStyle w:val="zTablet"/>
            </w:pPr>
            <w:r>
              <w:t>s. 5.95</w:t>
            </w:r>
          </w:p>
          <w:p>
            <w:pPr>
              <w:pStyle w:val="zTablet"/>
            </w:pPr>
            <w:r>
              <w:t>s. 5.96</w:t>
            </w:r>
          </w:p>
          <w:p>
            <w:pPr>
              <w:pStyle w:val="zTablet"/>
            </w:pPr>
            <w:r>
              <w:t>s. 5.98</w:t>
            </w:r>
          </w:p>
          <w:p>
            <w:pPr>
              <w:pStyle w:val="zTablet"/>
            </w:pPr>
            <w:r>
              <w:t>s. 5.98A(1)</w:t>
            </w:r>
          </w:p>
          <w:p>
            <w:pPr>
              <w:pStyle w:val="zTablet"/>
            </w:pPr>
            <w:r>
              <w:t>s. 5.99</w:t>
            </w:r>
          </w:p>
          <w:p>
            <w:pPr>
              <w:pStyle w:val="zTablet"/>
            </w:pPr>
            <w:r>
              <w:t>s. 5.99A</w:t>
            </w:r>
          </w:p>
          <w:p>
            <w:pPr>
              <w:pStyle w:val="zTablet"/>
            </w:pPr>
            <w:r>
              <w:t>s. 5.100</w:t>
            </w:r>
          </w:p>
          <w:p>
            <w:pPr>
              <w:pStyle w:val="zTablet"/>
            </w:pPr>
            <w:r>
              <w:t>s. 5.103</w:t>
            </w:r>
          </w:p>
        </w:tc>
        <w:tc>
          <w:tcPr>
            <w:tcW w:w="1843" w:type="dxa"/>
          </w:tcPr>
          <w:p>
            <w:pPr>
              <w:pStyle w:val="zTablet"/>
            </w:pPr>
            <w:r>
              <w:t>s. 6.2</w:t>
            </w:r>
          </w:p>
          <w:p>
            <w:pPr>
              <w:pStyle w:val="zTablet"/>
            </w:pPr>
            <w:r>
              <w:t>s. 6.3</w:t>
            </w:r>
          </w:p>
          <w:p>
            <w:pPr>
              <w:pStyle w:val="zTablet"/>
            </w:pPr>
            <w:r>
              <w:t>s. 6.4</w:t>
            </w:r>
          </w:p>
          <w:p>
            <w:pPr>
              <w:pStyle w:val="zTablet"/>
            </w:pPr>
            <w:r>
              <w:t>s. 6.8</w:t>
            </w:r>
          </w:p>
          <w:p>
            <w:pPr>
              <w:pStyle w:val="zTablet"/>
            </w:pPr>
            <w:r>
              <w:t>s. 6.9</w:t>
            </w:r>
          </w:p>
          <w:p>
            <w:pPr>
              <w:pStyle w:val="zTablet"/>
            </w:pPr>
            <w:r>
              <w:t>s. 6.11</w:t>
            </w:r>
          </w:p>
          <w:p>
            <w:pPr>
              <w:pStyle w:val="zTablet"/>
            </w:pPr>
            <w:r>
              <w:t>s. 6.12</w:t>
            </w:r>
          </w:p>
          <w:p>
            <w:pPr>
              <w:pStyle w:val="zTablet"/>
            </w:pPr>
            <w:r>
              <w:t>s. 6.13</w:t>
            </w:r>
          </w:p>
          <w:p>
            <w:pPr>
              <w:pStyle w:val="zTablet"/>
            </w:pPr>
            <w:r>
              <w:t>s. 6.16(1) and (3)</w:t>
            </w:r>
          </w:p>
          <w:p>
            <w:pPr>
              <w:pStyle w:val="zTablet"/>
            </w:pPr>
            <w:r>
              <w:t>s. 6.17(3)</w:t>
            </w:r>
          </w:p>
          <w:p>
            <w:pPr>
              <w:pStyle w:val="zTablet"/>
            </w:pPr>
            <w:r>
              <w:t>s. 6.19</w:t>
            </w:r>
          </w:p>
          <w:p>
            <w:pPr>
              <w:pStyle w:val="zTablet"/>
            </w:pPr>
            <w:r>
              <w:t>s. 6.20</w:t>
            </w:r>
          </w:p>
          <w:p>
            <w:pPr>
              <w:pStyle w:val="zTablet"/>
            </w:pPr>
            <w:r>
              <w:t>s. 6.32</w:t>
            </w:r>
          </w:p>
          <w:p>
            <w:pPr>
              <w:pStyle w:val="zTablet"/>
            </w:pPr>
            <w:r>
              <w:t>s. 6.33(3)</w:t>
            </w:r>
          </w:p>
          <w:p>
            <w:pPr>
              <w:pStyle w:val="zTablet"/>
            </w:pPr>
            <w:r>
              <w:t>s. 6.34</w:t>
            </w:r>
          </w:p>
          <w:p>
            <w:pPr>
              <w:pStyle w:val="zTablet"/>
            </w:pPr>
            <w:r>
              <w:t>s. 6.35(4)</w:t>
            </w:r>
          </w:p>
          <w:p>
            <w:pPr>
              <w:pStyle w:val="zTablet"/>
            </w:pPr>
            <w:r>
              <w:t>s. 6.36</w:t>
            </w:r>
          </w:p>
          <w:p>
            <w:pPr>
              <w:pStyle w:val="zTablet"/>
            </w:pPr>
            <w:r>
              <w:t>s. 6.38</w:t>
            </w:r>
          </w:p>
          <w:p>
            <w:pPr>
              <w:pStyle w:val="zTablet"/>
            </w:pPr>
            <w:r>
              <w:t>s. 6.41</w:t>
            </w:r>
          </w:p>
          <w:p>
            <w:pPr>
              <w:pStyle w:val="zTablet"/>
            </w:pPr>
            <w:r>
              <w:t>s. 6.46</w:t>
            </w:r>
          </w:p>
          <w:p>
            <w:pPr>
              <w:pStyle w:val="zTablet"/>
            </w:pPr>
            <w:r>
              <w:t>s. 6.47</w:t>
            </w:r>
          </w:p>
          <w:p>
            <w:pPr>
              <w:pStyle w:val="zTablet"/>
            </w:pPr>
            <w:r>
              <w:t>s. 6.51</w:t>
            </w:r>
          </w:p>
          <w:p>
            <w:pPr>
              <w:pStyle w:val="zTablet"/>
            </w:pPr>
            <w:r>
              <w:t>s. 6.76(6)</w:t>
            </w:r>
          </w:p>
          <w:p>
            <w:pPr>
              <w:pStyle w:val="zTablet"/>
            </w:pPr>
            <w:r>
              <w:t>s. 7.1A</w:t>
            </w:r>
          </w:p>
          <w:p>
            <w:pPr>
              <w:pStyle w:val="zTablet"/>
            </w:pPr>
            <w:r>
              <w:t>s. 7.1B</w:t>
            </w:r>
          </w:p>
          <w:p>
            <w:pPr>
              <w:pStyle w:val="zTablet"/>
            </w:pPr>
            <w:r>
              <w:t>s. 7.3</w:t>
            </w:r>
          </w:p>
          <w:p>
            <w:pPr>
              <w:pStyle w:val="zTablet"/>
            </w:pPr>
            <w:r>
              <w:t>s. 7.6(3)</w:t>
            </w:r>
          </w:p>
          <w:p>
            <w:pPr>
              <w:pStyle w:val="zTablet"/>
            </w:pPr>
            <w:r>
              <w:t>s. 7.9(1)</w:t>
            </w:r>
          </w:p>
          <w:p>
            <w:pPr>
              <w:pStyle w:val="zTablet"/>
            </w:pPr>
            <w:r>
              <w:t>s. 7.12A</w:t>
            </w:r>
          </w:p>
          <w:p>
            <w:pPr>
              <w:pStyle w:val="zTablet"/>
            </w:pPr>
            <w:r>
              <w:t>s. 9.4</w:t>
            </w:r>
          </w:p>
          <w:p>
            <w:pPr>
              <w:pStyle w:val="zTablet"/>
            </w:pPr>
            <w:r>
              <w:t>s. 9.6(5)</w:t>
            </w:r>
          </w:p>
          <w:p>
            <w:pPr>
              <w:pStyle w:val="zTablet"/>
            </w:pPr>
            <w:r>
              <w:t>s. 9.29(2)</w:t>
            </w:r>
          </w:p>
          <w:p>
            <w:pPr>
              <w:pStyle w:val="zTablet"/>
            </w:pPr>
            <w:r>
              <w:t>Schedule 2.2 cl. 6, 7 and 9</w:t>
            </w:r>
          </w:p>
          <w:p>
            <w:pPr>
              <w:pStyle w:val="zTablet"/>
            </w:pPr>
            <w:r>
              <w:t>Schedule 2.3</w:t>
            </w:r>
          </w:p>
          <w:p>
            <w:pPr>
              <w:pStyle w:val="zTablet"/>
            </w:pPr>
          </w:p>
        </w:tc>
      </w:tr>
      <w:tr>
        <w:trPr>
          <w:cantSplit/>
        </w:trPr>
        <w:tc>
          <w:tcPr>
            <w:tcW w:w="6237" w:type="dxa"/>
            <w:gridSpan w:val="4"/>
          </w:tcPr>
          <w:p>
            <w:pPr>
              <w:pStyle w:val="Table"/>
              <w:spacing w:before="0" w:after="120" w:line="240" w:lineRule="auto"/>
              <w:rPr>
                <w:b/>
                <w:i/>
              </w:rPr>
            </w:pPr>
          </w:p>
        </w:tc>
      </w:tr>
      <w:tr>
        <w:trPr>
          <w:cantSplit/>
        </w:trPr>
        <w:tc>
          <w:tcPr>
            <w:tcW w:w="6237" w:type="dxa"/>
            <w:gridSpan w:val="4"/>
          </w:tcPr>
          <w:p>
            <w:pPr>
              <w:pStyle w:val="Table"/>
              <w:spacing w:before="0" w:after="120" w:line="240" w:lineRule="auto"/>
              <w:rPr>
                <w:b/>
                <w:i/>
              </w:rPr>
            </w:pPr>
            <w:r>
              <w:rPr>
                <w:b/>
                <w:i/>
              </w:rPr>
              <w:t>Local Government (Administration) Regulations 1996</w:t>
            </w:r>
          </w:p>
        </w:tc>
      </w:tr>
      <w:tr>
        <w:trPr>
          <w:cantSplit/>
          <w:trHeight w:val="2423"/>
        </w:trPr>
        <w:tc>
          <w:tcPr>
            <w:tcW w:w="2551" w:type="dxa"/>
            <w:gridSpan w:val="2"/>
          </w:tcPr>
          <w:p>
            <w:pPr>
              <w:pStyle w:val="Table"/>
              <w:spacing w:before="0" w:line="240" w:lineRule="auto"/>
            </w:pPr>
            <w:r>
              <w:t>r. 5</w:t>
            </w:r>
          </w:p>
          <w:p>
            <w:pPr>
              <w:pStyle w:val="Table"/>
              <w:spacing w:before="0" w:line="240" w:lineRule="auto"/>
            </w:pPr>
            <w:r>
              <w:t>r. 6</w:t>
            </w:r>
          </w:p>
          <w:p>
            <w:pPr>
              <w:pStyle w:val="Table"/>
              <w:spacing w:before="0" w:line="240" w:lineRule="auto"/>
            </w:pPr>
            <w:r>
              <w:t>r. 8</w:t>
            </w:r>
          </w:p>
          <w:p>
            <w:pPr>
              <w:pStyle w:val="Table"/>
              <w:spacing w:before="0" w:line="240" w:lineRule="auto"/>
            </w:pPr>
            <w:r>
              <w:t>r. 9</w:t>
            </w:r>
          </w:p>
          <w:p>
            <w:pPr>
              <w:pStyle w:val="Table"/>
              <w:spacing w:before="0" w:line="240" w:lineRule="auto"/>
            </w:pPr>
            <w:r>
              <w:t>r. 10</w:t>
            </w:r>
          </w:p>
          <w:p>
            <w:pPr>
              <w:pStyle w:val="Table"/>
              <w:spacing w:before="0" w:line="240" w:lineRule="auto"/>
            </w:pPr>
            <w:r>
              <w:t>r. 11</w:t>
            </w:r>
          </w:p>
          <w:p>
            <w:pPr>
              <w:pStyle w:val="Table"/>
              <w:spacing w:before="0" w:line="240" w:lineRule="auto"/>
            </w:pPr>
            <w:r>
              <w:t>r. 12</w:t>
            </w:r>
          </w:p>
          <w:p>
            <w:pPr>
              <w:pStyle w:val="Table"/>
              <w:spacing w:before="0" w:line="240" w:lineRule="auto"/>
            </w:pPr>
            <w:r>
              <w:t>r. 13</w:t>
            </w:r>
          </w:p>
          <w:p>
            <w:pPr>
              <w:pStyle w:val="Table"/>
              <w:spacing w:before="0" w:line="240" w:lineRule="auto"/>
            </w:pPr>
            <w:r>
              <w:t>r. 14(1)</w:t>
            </w:r>
          </w:p>
          <w:p>
            <w:pPr>
              <w:pStyle w:val="Table"/>
              <w:spacing w:before="0" w:line="240" w:lineRule="auto"/>
            </w:pPr>
            <w:r>
              <w:t>r. 14A</w:t>
            </w:r>
          </w:p>
          <w:p>
            <w:pPr>
              <w:pStyle w:val="Table"/>
              <w:spacing w:before="0" w:line="240" w:lineRule="auto"/>
            </w:pPr>
            <w:r>
              <w:t>r. 18A</w:t>
            </w:r>
          </w:p>
          <w:p>
            <w:pPr>
              <w:pStyle w:val="Table"/>
              <w:spacing w:before="0" w:line="240" w:lineRule="auto"/>
            </w:pPr>
            <w:r>
              <w:t>r. 18B</w:t>
            </w:r>
          </w:p>
          <w:p>
            <w:pPr>
              <w:pStyle w:val="Table"/>
              <w:spacing w:before="0" w:line="240" w:lineRule="auto"/>
            </w:pPr>
            <w:r>
              <w:t>r. 18C</w:t>
            </w:r>
          </w:p>
          <w:p>
            <w:pPr>
              <w:pStyle w:val="Table"/>
              <w:spacing w:before="0" w:line="240" w:lineRule="auto"/>
            </w:pPr>
            <w:r>
              <w:t>r. 18D</w:t>
            </w:r>
          </w:p>
          <w:p>
            <w:pPr>
              <w:pStyle w:val="Table"/>
              <w:spacing w:before="0" w:line="240" w:lineRule="auto"/>
            </w:pPr>
            <w:r>
              <w:t>r. 18E</w:t>
            </w:r>
          </w:p>
          <w:p>
            <w:pPr>
              <w:pStyle w:val="Table"/>
              <w:spacing w:before="0" w:line="240" w:lineRule="auto"/>
            </w:pPr>
            <w:r>
              <w:t>r. 19</w:t>
            </w:r>
          </w:p>
          <w:p>
            <w:pPr>
              <w:pStyle w:val="Table"/>
              <w:spacing w:before="0" w:line="240" w:lineRule="auto"/>
            </w:pPr>
            <w:r>
              <w:t>r. 19A</w:t>
            </w:r>
          </w:p>
        </w:tc>
        <w:tc>
          <w:tcPr>
            <w:tcW w:w="3686" w:type="dxa"/>
            <w:gridSpan w:val="2"/>
            <w:tcBorders>
              <w:bottom w:val="nil"/>
            </w:tcBorders>
          </w:tcPr>
          <w:p>
            <w:pPr>
              <w:pStyle w:val="Table"/>
              <w:spacing w:before="0" w:line="240" w:lineRule="auto"/>
            </w:pPr>
            <w:r>
              <w:t>r. 19B</w:t>
            </w:r>
          </w:p>
          <w:p>
            <w:pPr>
              <w:pStyle w:val="Table"/>
              <w:spacing w:before="0" w:line="240" w:lineRule="auto"/>
            </w:pPr>
            <w:r>
              <w:t>r. 19C</w:t>
            </w:r>
          </w:p>
          <w:p>
            <w:pPr>
              <w:pStyle w:val="Table"/>
              <w:spacing w:before="0" w:line="240" w:lineRule="auto"/>
            </w:pPr>
            <w:r>
              <w:t>r. 19D</w:t>
            </w:r>
          </w:p>
          <w:p>
            <w:pPr>
              <w:pStyle w:val="Table"/>
              <w:spacing w:before="0" w:line="240" w:lineRule="auto"/>
            </w:pPr>
            <w:r>
              <w:t>r. 22</w:t>
            </w:r>
          </w:p>
          <w:p>
            <w:pPr>
              <w:pStyle w:val="Table"/>
              <w:spacing w:before="0" w:line="240" w:lineRule="auto"/>
            </w:pPr>
            <w:r>
              <w:t>r. 23</w:t>
            </w:r>
          </w:p>
          <w:p>
            <w:pPr>
              <w:pStyle w:val="Table"/>
              <w:spacing w:before="0" w:line="240" w:lineRule="auto"/>
            </w:pPr>
            <w:r>
              <w:t>r. 28</w:t>
            </w:r>
          </w:p>
          <w:p>
            <w:pPr>
              <w:pStyle w:val="Table"/>
              <w:spacing w:before="0" w:line="240" w:lineRule="auto"/>
            </w:pPr>
            <w:r>
              <w:t>r. 30</w:t>
            </w:r>
          </w:p>
          <w:p>
            <w:pPr>
              <w:pStyle w:val="Table"/>
              <w:spacing w:before="0" w:line="240" w:lineRule="auto"/>
            </w:pPr>
            <w:r>
              <w:t>r. 31</w:t>
            </w:r>
          </w:p>
          <w:p>
            <w:pPr>
              <w:pStyle w:val="Table"/>
              <w:spacing w:before="0" w:line="240" w:lineRule="auto"/>
            </w:pPr>
            <w:r>
              <w:t>r. 33</w:t>
            </w:r>
          </w:p>
          <w:p>
            <w:pPr>
              <w:pStyle w:val="Table"/>
              <w:spacing w:before="0" w:line="240" w:lineRule="auto"/>
            </w:pPr>
            <w:r>
              <w:t>r. 33A</w:t>
            </w:r>
          </w:p>
          <w:p>
            <w:pPr>
              <w:pStyle w:val="Table"/>
              <w:spacing w:before="0" w:line="240" w:lineRule="auto"/>
            </w:pPr>
            <w:r>
              <w:t>r. 34</w:t>
            </w:r>
          </w:p>
          <w:p>
            <w:pPr>
              <w:pStyle w:val="Table"/>
              <w:spacing w:before="0" w:line="240" w:lineRule="auto"/>
            </w:pPr>
            <w:r>
              <w:t>r. 34A</w:t>
            </w:r>
          </w:p>
          <w:p>
            <w:pPr>
              <w:pStyle w:val="Table"/>
              <w:spacing w:before="0" w:line="240" w:lineRule="auto"/>
            </w:pPr>
            <w:r>
              <w:t>r. 34AA</w:t>
            </w:r>
          </w:p>
          <w:p>
            <w:pPr>
              <w:pStyle w:val="Table"/>
              <w:spacing w:before="0" w:line="240" w:lineRule="auto"/>
            </w:pPr>
            <w:r>
              <w:t>r. 34AB</w:t>
            </w:r>
          </w:p>
          <w:p>
            <w:pPr>
              <w:pStyle w:val="Table"/>
              <w:spacing w:before="0" w:line="240" w:lineRule="auto"/>
            </w:pPr>
            <w:r>
              <w:t>r. 34B</w:t>
            </w:r>
          </w:p>
          <w:p>
            <w:pPr>
              <w:pStyle w:val="Table"/>
              <w:spacing w:before="0" w:line="240" w:lineRule="auto"/>
            </w:pPr>
            <w:r>
              <w:t>r. 34C</w:t>
            </w: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rPr>
                <w:b/>
                <w:i/>
              </w:rPr>
            </w:pPr>
            <w:r>
              <w:rPr>
                <w:b/>
                <w:i/>
              </w:rPr>
              <w:t>Local Government (Audit) Regulations 1996</w:t>
            </w:r>
          </w:p>
        </w:tc>
      </w:tr>
      <w:tr>
        <w:tc>
          <w:tcPr>
            <w:tcW w:w="2551" w:type="dxa"/>
            <w:gridSpan w:val="2"/>
          </w:tcPr>
          <w:p>
            <w:pPr>
              <w:pStyle w:val="Table"/>
              <w:spacing w:before="0"/>
            </w:pPr>
            <w:r>
              <w:t>r. 7</w:t>
            </w:r>
          </w:p>
        </w:tc>
        <w:tc>
          <w:tcPr>
            <w:tcW w:w="3686" w:type="dxa"/>
            <w:gridSpan w:val="2"/>
          </w:tcPr>
          <w:p>
            <w:pPr>
              <w:pStyle w:val="Table"/>
              <w:spacing w:before="0"/>
            </w:pPr>
            <w:r>
              <w:t>r. 10</w:t>
            </w: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line="240" w:lineRule="auto"/>
              <w:rPr>
                <w:b/>
                <w:i/>
              </w:rPr>
            </w:pPr>
            <w:r>
              <w:rPr>
                <w:b/>
                <w:i/>
              </w:rPr>
              <w:t>Local Government (Elections) Regulations 1997</w:t>
            </w:r>
          </w:p>
        </w:tc>
      </w:tr>
      <w:tr>
        <w:trPr>
          <w:cantSplit/>
        </w:trPr>
        <w:tc>
          <w:tcPr>
            <w:tcW w:w="2551" w:type="dxa"/>
            <w:gridSpan w:val="2"/>
          </w:tcPr>
          <w:p>
            <w:pPr>
              <w:pStyle w:val="Table"/>
              <w:spacing w:before="0" w:line="240" w:lineRule="auto"/>
            </w:pPr>
            <w:r>
              <w:t>r. 7</w:t>
            </w:r>
          </w:p>
          <w:p>
            <w:pPr>
              <w:pStyle w:val="Table"/>
              <w:spacing w:before="0" w:line="240" w:lineRule="auto"/>
            </w:pPr>
            <w:r>
              <w:t>r. 8</w:t>
            </w:r>
          </w:p>
          <w:p>
            <w:pPr>
              <w:pStyle w:val="Table"/>
              <w:spacing w:before="0" w:line="240" w:lineRule="auto"/>
            </w:pPr>
            <w:r>
              <w:t>r. 13</w:t>
            </w:r>
          </w:p>
          <w:p>
            <w:pPr>
              <w:pStyle w:val="Table"/>
              <w:spacing w:before="0" w:line="240" w:lineRule="auto"/>
            </w:pPr>
            <w:r>
              <w:t>r. 17</w:t>
            </w:r>
          </w:p>
          <w:p>
            <w:pPr>
              <w:pStyle w:val="Table"/>
              <w:spacing w:before="0" w:line="240" w:lineRule="auto"/>
            </w:pPr>
            <w:r>
              <w:t>r. 26(4)</w:t>
            </w:r>
          </w:p>
        </w:tc>
        <w:tc>
          <w:tcPr>
            <w:tcW w:w="3686" w:type="dxa"/>
            <w:gridSpan w:val="2"/>
            <w:tcBorders>
              <w:bottom w:val="nil"/>
            </w:tcBorders>
          </w:tcPr>
          <w:p>
            <w:pPr>
              <w:pStyle w:val="Table"/>
              <w:spacing w:before="0" w:line="240" w:lineRule="auto"/>
            </w:pPr>
            <w:r>
              <w:t>r. 30G</w:t>
            </w:r>
          </w:p>
          <w:p>
            <w:pPr>
              <w:pStyle w:val="Table"/>
              <w:spacing w:before="0" w:line="240" w:lineRule="auto"/>
            </w:pPr>
            <w:r>
              <w:t>r. 30H</w:t>
            </w:r>
          </w:p>
          <w:p>
            <w:pPr>
              <w:pStyle w:val="Table"/>
              <w:spacing w:before="0" w:line="240" w:lineRule="auto"/>
            </w:pPr>
            <w:r>
              <w:t>r. 40</w:t>
            </w:r>
          </w:p>
          <w:p>
            <w:pPr>
              <w:pStyle w:val="Table"/>
              <w:spacing w:before="0" w:line="240" w:lineRule="auto"/>
            </w:pPr>
            <w:r>
              <w:t>r. 81</w:t>
            </w: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keepNext/>
              <w:keepLines/>
              <w:spacing w:before="0" w:after="120" w:line="240" w:lineRule="auto"/>
              <w:rPr>
                <w:b/>
                <w:i/>
              </w:rPr>
            </w:pPr>
            <w:r>
              <w:rPr>
                <w:b/>
                <w:i/>
              </w:rPr>
              <w:t>Local Government (Financial Management) Regulations 1996</w:t>
            </w:r>
          </w:p>
        </w:tc>
      </w:tr>
      <w:tr>
        <w:trPr>
          <w:cantSplit/>
        </w:trPr>
        <w:tc>
          <w:tcPr>
            <w:tcW w:w="2551" w:type="dxa"/>
            <w:gridSpan w:val="2"/>
          </w:tcPr>
          <w:p>
            <w:pPr>
              <w:pStyle w:val="Table"/>
              <w:keepNext/>
              <w:keepLines/>
              <w:spacing w:before="0" w:line="240" w:lineRule="auto"/>
            </w:pPr>
            <w:r>
              <w:t>r. 5</w:t>
            </w:r>
          </w:p>
          <w:p>
            <w:pPr>
              <w:pStyle w:val="Table"/>
              <w:keepNext/>
              <w:keepLines/>
              <w:spacing w:before="0" w:line="240" w:lineRule="auto"/>
            </w:pPr>
            <w:r>
              <w:t>r. 6</w:t>
            </w:r>
          </w:p>
          <w:p>
            <w:pPr>
              <w:pStyle w:val="Table"/>
              <w:keepNext/>
              <w:keepLines/>
              <w:spacing w:before="0" w:line="240" w:lineRule="auto"/>
            </w:pPr>
            <w:r>
              <w:t>r. 8</w:t>
            </w:r>
          </w:p>
          <w:p>
            <w:pPr>
              <w:pStyle w:val="Table"/>
              <w:keepNext/>
              <w:keepLines/>
              <w:spacing w:before="0" w:line="240" w:lineRule="auto"/>
            </w:pPr>
            <w:r>
              <w:t>r. 9</w:t>
            </w:r>
          </w:p>
          <w:p>
            <w:pPr>
              <w:pStyle w:val="Table"/>
              <w:keepNext/>
              <w:keepLines/>
              <w:spacing w:before="0" w:line="240" w:lineRule="auto"/>
            </w:pPr>
            <w:r>
              <w:t>r. 11</w:t>
            </w:r>
          </w:p>
          <w:p>
            <w:pPr>
              <w:pStyle w:val="Table"/>
              <w:keepNext/>
              <w:keepLines/>
              <w:spacing w:before="0" w:line="240" w:lineRule="auto"/>
            </w:pPr>
            <w:r>
              <w:t>r. 12</w:t>
            </w:r>
          </w:p>
          <w:p>
            <w:pPr>
              <w:pStyle w:val="Table"/>
              <w:keepNext/>
              <w:keepLines/>
              <w:spacing w:before="0" w:line="240" w:lineRule="auto"/>
            </w:pPr>
            <w:r>
              <w:t>r. 13</w:t>
            </w:r>
          </w:p>
          <w:p>
            <w:pPr>
              <w:pStyle w:val="Table"/>
              <w:keepNext/>
              <w:keepLines/>
              <w:spacing w:before="0" w:line="240" w:lineRule="auto"/>
            </w:pPr>
            <w:r>
              <w:t>r. 19</w:t>
            </w:r>
          </w:p>
          <w:p>
            <w:pPr>
              <w:pStyle w:val="Table"/>
              <w:keepNext/>
              <w:keepLines/>
              <w:spacing w:before="0" w:line="240" w:lineRule="auto"/>
            </w:pPr>
            <w:r>
              <w:t>r. 33</w:t>
            </w:r>
          </w:p>
        </w:tc>
        <w:tc>
          <w:tcPr>
            <w:tcW w:w="3686" w:type="dxa"/>
            <w:gridSpan w:val="2"/>
            <w:tcBorders>
              <w:bottom w:val="nil"/>
            </w:tcBorders>
          </w:tcPr>
          <w:p>
            <w:pPr>
              <w:pStyle w:val="Table"/>
              <w:spacing w:before="0" w:line="240" w:lineRule="auto"/>
            </w:pPr>
            <w:r>
              <w:t>r. 33A</w:t>
            </w:r>
          </w:p>
          <w:p>
            <w:pPr>
              <w:pStyle w:val="Table"/>
              <w:spacing w:before="0" w:line="240" w:lineRule="auto"/>
            </w:pPr>
            <w:r>
              <w:t>r. 34</w:t>
            </w:r>
          </w:p>
          <w:p>
            <w:pPr>
              <w:pStyle w:val="Table"/>
              <w:spacing w:before="0" w:line="240" w:lineRule="auto"/>
            </w:pPr>
            <w:r>
              <w:t>r. 51</w:t>
            </w:r>
          </w:p>
          <w:p>
            <w:pPr>
              <w:pStyle w:val="Table"/>
              <w:spacing w:before="0" w:line="240" w:lineRule="auto"/>
            </w:pPr>
            <w:r>
              <w:t>r. 53</w:t>
            </w:r>
          </w:p>
          <w:p>
            <w:pPr>
              <w:pStyle w:val="Table"/>
              <w:spacing w:before="0" w:line="240" w:lineRule="auto"/>
            </w:pPr>
            <w:r>
              <w:t>r. 54</w:t>
            </w:r>
          </w:p>
          <w:p>
            <w:pPr>
              <w:pStyle w:val="Table"/>
              <w:spacing w:before="0" w:line="240" w:lineRule="auto"/>
            </w:pPr>
            <w:r>
              <w:t>r. 55</w:t>
            </w:r>
          </w:p>
          <w:p>
            <w:pPr>
              <w:pStyle w:val="Table"/>
              <w:spacing w:before="0" w:line="240" w:lineRule="auto"/>
            </w:pPr>
            <w:r>
              <w:t>r. 56</w:t>
            </w:r>
          </w:p>
          <w:p>
            <w:pPr>
              <w:pStyle w:val="Table"/>
              <w:spacing w:before="0" w:line="240" w:lineRule="auto"/>
            </w:pPr>
            <w:r>
              <w:t>r. 57</w:t>
            </w:r>
          </w:p>
          <w:p>
            <w:pPr>
              <w:pStyle w:val="Table"/>
              <w:spacing w:before="0" w:line="240" w:lineRule="auto"/>
            </w:pPr>
            <w:r>
              <w:t>r. 68</w:t>
            </w: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keepNext/>
              <w:spacing w:before="0" w:after="120" w:line="240" w:lineRule="auto"/>
            </w:pPr>
            <w:r>
              <w:rPr>
                <w:b/>
                <w:i/>
              </w:rPr>
              <w:t>Local Government (Functions and General) Regulations 1996</w:t>
            </w:r>
          </w:p>
        </w:tc>
      </w:tr>
      <w:tr>
        <w:trPr>
          <w:cantSplit/>
        </w:trPr>
        <w:tc>
          <w:tcPr>
            <w:tcW w:w="2551" w:type="dxa"/>
            <w:gridSpan w:val="2"/>
          </w:tcPr>
          <w:p>
            <w:pPr>
              <w:pStyle w:val="Table"/>
              <w:keepNext/>
              <w:spacing w:before="0" w:line="240" w:lineRule="auto"/>
            </w:pPr>
            <w:r>
              <w:t>r. 3</w:t>
            </w:r>
          </w:p>
          <w:p>
            <w:pPr>
              <w:pStyle w:val="Table"/>
              <w:keepNext/>
              <w:spacing w:before="0" w:line="240" w:lineRule="auto"/>
            </w:pPr>
            <w:r>
              <w:t>r. 7</w:t>
            </w:r>
          </w:p>
          <w:p>
            <w:pPr>
              <w:pStyle w:val="Table"/>
              <w:keepNext/>
              <w:spacing w:before="0" w:line="240" w:lineRule="auto"/>
            </w:pPr>
            <w:r>
              <w:t>r. 9</w:t>
            </w:r>
          </w:p>
          <w:p>
            <w:pPr>
              <w:pStyle w:val="Table"/>
              <w:keepNext/>
              <w:spacing w:before="0" w:line="240" w:lineRule="auto"/>
            </w:pPr>
            <w:r>
              <w:t>r. 10</w:t>
            </w:r>
          </w:p>
          <w:p>
            <w:pPr>
              <w:pStyle w:val="Table"/>
              <w:spacing w:before="0" w:line="240" w:lineRule="auto"/>
            </w:pPr>
            <w:r>
              <w:t>r. 11</w:t>
            </w:r>
          </w:p>
          <w:p>
            <w:pPr>
              <w:pStyle w:val="Table"/>
              <w:spacing w:before="0" w:line="240" w:lineRule="auto"/>
            </w:pPr>
            <w:r>
              <w:t>r. 12</w:t>
            </w:r>
          </w:p>
          <w:p>
            <w:pPr>
              <w:pStyle w:val="Table"/>
              <w:spacing w:before="0" w:line="240" w:lineRule="auto"/>
            </w:pPr>
            <w:r>
              <w:t>r. 14(1), (3) and (5)</w:t>
            </w:r>
          </w:p>
          <w:p>
            <w:pPr>
              <w:pStyle w:val="Table"/>
              <w:spacing w:before="0" w:line="240" w:lineRule="auto"/>
            </w:pPr>
            <w:r>
              <w:t>r. 15</w:t>
            </w:r>
          </w:p>
          <w:p>
            <w:pPr>
              <w:pStyle w:val="Table"/>
              <w:spacing w:before="0" w:line="240" w:lineRule="auto"/>
            </w:pPr>
            <w:r>
              <w:t>r. 16</w:t>
            </w:r>
          </w:p>
        </w:tc>
        <w:tc>
          <w:tcPr>
            <w:tcW w:w="3686" w:type="dxa"/>
            <w:gridSpan w:val="2"/>
            <w:tcBorders>
              <w:bottom w:val="nil"/>
            </w:tcBorders>
          </w:tcPr>
          <w:p>
            <w:pPr>
              <w:pStyle w:val="Table"/>
              <w:keepNext/>
              <w:spacing w:before="0" w:line="240" w:lineRule="auto"/>
            </w:pPr>
            <w:r>
              <w:t>r. 17</w:t>
            </w:r>
          </w:p>
          <w:p>
            <w:pPr>
              <w:pStyle w:val="Table"/>
              <w:keepNext/>
              <w:spacing w:before="0" w:line="240" w:lineRule="auto"/>
            </w:pPr>
            <w:r>
              <w:t>r. 18(1) and (4)</w:t>
            </w:r>
          </w:p>
          <w:p>
            <w:pPr>
              <w:pStyle w:val="Table"/>
              <w:keepNext/>
              <w:spacing w:before="0" w:line="240" w:lineRule="auto"/>
            </w:pPr>
            <w:r>
              <w:t>r. 19</w:t>
            </w:r>
          </w:p>
          <w:p>
            <w:pPr>
              <w:pStyle w:val="Table"/>
              <w:spacing w:before="0" w:line="240" w:lineRule="auto"/>
            </w:pPr>
            <w:r>
              <w:t>r. 21</w:t>
            </w:r>
          </w:p>
          <w:p>
            <w:pPr>
              <w:pStyle w:val="Table"/>
              <w:spacing w:before="0" w:line="240" w:lineRule="auto"/>
            </w:pPr>
            <w:r>
              <w:t>r. 22</w:t>
            </w:r>
          </w:p>
          <w:p>
            <w:pPr>
              <w:pStyle w:val="Table"/>
              <w:spacing w:before="0" w:line="240" w:lineRule="auto"/>
            </w:pPr>
            <w:r>
              <w:t>r. 23</w:t>
            </w:r>
          </w:p>
          <w:p>
            <w:pPr>
              <w:pStyle w:val="Table"/>
              <w:spacing w:before="0" w:line="240" w:lineRule="auto"/>
            </w:pPr>
            <w:r>
              <w:t>r. 24</w:t>
            </w:r>
          </w:p>
          <w:p>
            <w:pPr>
              <w:pStyle w:val="Table"/>
              <w:spacing w:before="0" w:line="240" w:lineRule="auto"/>
            </w:pPr>
            <w:r>
              <w:t>r. 24E</w:t>
            </w:r>
          </w:p>
          <w:p>
            <w:pPr>
              <w:pStyle w:val="Table"/>
              <w:spacing w:before="0" w:line="240" w:lineRule="auto"/>
            </w:pPr>
            <w:r>
              <w:t>r. 24F</w:t>
            </w: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rPr>
                <w:b/>
                <w:i/>
              </w:rPr>
            </w:pPr>
            <w:r>
              <w:rPr>
                <w:b/>
                <w:i/>
              </w:rPr>
              <w:t>Local Government (Uniform Local Provisions) Regulations 1996</w:t>
            </w:r>
          </w:p>
        </w:tc>
      </w:tr>
      <w:tr>
        <w:tc>
          <w:tcPr>
            <w:tcW w:w="2551" w:type="dxa"/>
            <w:gridSpan w:val="2"/>
          </w:tcPr>
          <w:p>
            <w:pPr>
              <w:pStyle w:val="Table"/>
              <w:spacing w:before="0"/>
            </w:pPr>
            <w:r>
              <w:t>r. 9(8)</w:t>
            </w:r>
          </w:p>
        </w:tc>
        <w:tc>
          <w:tcPr>
            <w:tcW w:w="3686" w:type="dxa"/>
            <w:gridSpan w:val="2"/>
          </w:tcPr>
          <w:p>
            <w:pPr>
              <w:pStyle w:val="Table"/>
              <w:spacing w:before="0"/>
            </w:pP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line="240" w:lineRule="auto"/>
              <w:rPr>
                <w:b/>
                <w:i/>
              </w:rPr>
            </w:pPr>
            <w:r>
              <w:rPr>
                <w:b/>
                <w:i/>
              </w:rPr>
              <w:t>Local Government (Miscellaneous Provisions) Act 1960</w:t>
            </w:r>
          </w:p>
        </w:tc>
      </w:tr>
      <w:tr>
        <w:tc>
          <w:tcPr>
            <w:tcW w:w="2551" w:type="dxa"/>
            <w:gridSpan w:val="2"/>
          </w:tcPr>
          <w:p>
            <w:pPr>
              <w:pStyle w:val="Table"/>
              <w:spacing w:before="0" w:line="240" w:lineRule="auto"/>
            </w:pPr>
            <w:r>
              <w:t>s. 245A(5)(aa)</w:t>
            </w:r>
          </w:p>
        </w:tc>
        <w:tc>
          <w:tcPr>
            <w:tcW w:w="3686" w:type="dxa"/>
            <w:gridSpan w:val="2"/>
          </w:tcPr>
          <w:p>
            <w:pPr>
              <w:pStyle w:val="Table"/>
              <w:spacing w:before="0" w:line="240" w:lineRule="auto"/>
            </w:pP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line="240" w:lineRule="auto"/>
              <w:rPr>
                <w:b/>
                <w:i/>
              </w:rPr>
            </w:pPr>
            <w:r>
              <w:rPr>
                <w:b/>
                <w:i/>
              </w:rPr>
              <w:t>Caravan Parks and Camping Grounds Act 1995</w:t>
            </w:r>
          </w:p>
        </w:tc>
      </w:tr>
      <w:tr>
        <w:tc>
          <w:tcPr>
            <w:tcW w:w="2551" w:type="dxa"/>
            <w:gridSpan w:val="2"/>
          </w:tcPr>
          <w:p>
            <w:pPr>
              <w:pStyle w:val="Table"/>
              <w:spacing w:before="0" w:line="240" w:lineRule="auto"/>
            </w:pPr>
            <w:r>
              <w:t>s. 21(1)</w:t>
            </w:r>
          </w:p>
        </w:tc>
        <w:tc>
          <w:tcPr>
            <w:tcW w:w="3686" w:type="dxa"/>
            <w:gridSpan w:val="2"/>
          </w:tcPr>
          <w:p>
            <w:pPr>
              <w:pStyle w:val="Table"/>
              <w:spacing w:before="0" w:line="240" w:lineRule="auto"/>
            </w:pP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line="240" w:lineRule="auto"/>
              <w:rPr>
                <w:b/>
                <w:i/>
              </w:rPr>
            </w:pPr>
            <w:r>
              <w:rPr>
                <w:b/>
                <w:i/>
              </w:rPr>
              <w:t>Cemeteries Act 1986</w:t>
            </w:r>
          </w:p>
        </w:tc>
      </w:tr>
      <w:tr>
        <w:tc>
          <w:tcPr>
            <w:tcW w:w="2551" w:type="dxa"/>
            <w:gridSpan w:val="2"/>
          </w:tcPr>
          <w:p>
            <w:pPr>
              <w:pStyle w:val="Table"/>
              <w:spacing w:before="0" w:line="240" w:lineRule="auto"/>
            </w:pPr>
            <w:r>
              <w:t>s. 40</w:t>
            </w:r>
          </w:p>
        </w:tc>
        <w:tc>
          <w:tcPr>
            <w:tcW w:w="3686" w:type="dxa"/>
            <w:gridSpan w:val="2"/>
          </w:tcPr>
          <w:p>
            <w:pPr>
              <w:pStyle w:val="Table"/>
              <w:spacing w:before="0" w:line="240" w:lineRule="auto"/>
            </w:pPr>
          </w:p>
        </w:tc>
      </w:tr>
      <w:tr>
        <w:trPr>
          <w:cantSplit/>
        </w:trPr>
        <w:tc>
          <w:tcPr>
            <w:tcW w:w="6237" w:type="dxa"/>
            <w:gridSpan w:val="4"/>
          </w:tcPr>
          <w:p>
            <w:pPr>
              <w:pStyle w:val="Table"/>
              <w:spacing w:before="0" w:after="120"/>
              <w:rPr>
                <w:b/>
                <w:i/>
              </w:rPr>
            </w:pPr>
          </w:p>
        </w:tc>
      </w:tr>
      <w:tr>
        <w:trPr>
          <w:cantSplit/>
        </w:trPr>
        <w:tc>
          <w:tcPr>
            <w:tcW w:w="6237" w:type="dxa"/>
            <w:gridSpan w:val="4"/>
          </w:tcPr>
          <w:p>
            <w:pPr>
              <w:pStyle w:val="Table"/>
              <w:spacing w:before="0" w:after="120" w:line="240" w:lineRule="auto"/>
              <w:rPr>
                <w:b/>
                <w:i/>
              </w:rPr>
            </w:pPr>
            <w:r>
              <w:rPr>
                <w:b/>
                <w:i/>
              </w:rPr>
              <w:t>Local Government Grants Act 1978</w:t>
            </w:r>
          </w:p>
        </w:tc>
      </w:tr>
      <w:tr>
        <w:tc>
          <w:tcPr>
            <w:tcW w:w="2551" w:type="dxa"/>
            <w:gridSpan w:val="2"/>
          </w:tcPr>
          <w:p>
            <w:pPr>
              <w:pStyle w:val="Table"/>
              <w:spacing w:before="0" w:line="240" w:lineRule="auto"/>
            </w:pPr>
            <w:r>
              <w:t>s. 12(4)</w:t>
            </w:r>
          </w:p>
        </w:tc>
        <w:tc>
          <w:tcPr>
            <w:tcW w:w="3686" w:type="dxa"/>
            <w:gridSpan w:val="2"/>
          </w:tcPr>
          <w:p>
            <w:pPr>
              <w:pStyle w:val="Table"/>
              <w:spacing w:before="0" w:line="240" w:lineRule="auto"/>
            </w:pPr>
          </w:p>
        </w:tc>
      </w:tr>
    </w:tbl>
    <w:p>
      <w:pPr>
        <w:pStyle w:val="Footnotesection"/>
      </w:pPr>
      <w:r>
        <w:tab/>
        <w:t>[Regulation 13 inserted in Gazette 23 Apr 1999 p. 1722</w:t>
      </w:r>
      <w:r>
        <w:noBreakHyphen/>
        <w:t>4; amended in Gazette 1 Jun 2004 p. 1917; 31 Mar 2005 p. 1042</w:t>
      </w:r>
      <w:r>
        <w:noBreakHyphen/>
        <w:t>3; 30 Sep 2005 p. 4418-20.]</w:t>
      </w:r>
    </w:p>
    <w:p>
      <w:pPr>
        <w:pStyle w:val="Heading5"/>
      </w:pPr>
      <w:bookmarkStart w:id="40" w:name="_Toc45441701"/>
      <w:bookmarkStart w:id="41" w:name="_Toc45441861"/>
      <w:bookmarkStart w:id="42" w:name="_Toc115767583"/>
      <w:r>
        <w:rPr>
          <w:rStyle w:val="CharSectno"/>
        </w:rPr>
        <w:t>14</w:t>
      </w:r>
      <w:r>
        <w:t>.</w:t>
      </w:r>
      <w:r>
        <w:tab/>
        <w:t>Compliance audit return to be prepared</w:t>
      </w:r>
      <w:bookmarkEnd w:id="40"/>
      <w:bookmarkEnd w:id="41"/>
      <w:bookmarkEnd w:id="42"/>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w:t>
      </w:r>
      <w:r>
        <w:tab/>
        <w:t xml:space="preserve">A compliance audit return is to be — </w:t>
      </w:r>
    </w:p>
    <w:p>
      <w:pPr>
        <w:pStyle w:val="Indenta"/>
      </w:pPr>
      <w:r>
        <w:tab/>
        <w:t>(a)</w:t>
      </w:r>
      <w:r>
        <w:tab/>
        <w:t>presented to the council at a meeting of the council;</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w:t>
      </w:r>
    </w:p>
    <w:p>
      <w:pPr>
        <w:pStyle w:val="Heading5"/>
      </w:pPr>
      <w:bookmarkStart w:id="43" w:name="_Toc45441702"/>
      <w:bookmarkStart w:id="44" w:name="_Toc45441862"/>
      <w:bookmarkStart w:id="45" w:name="_Toc115767584"/>
      <w:r>
        <w:rPr>
          <w:rStyle w:val="CharSectno"/>
        </w:rPr>
        <w:t>15</w:t>
      </w:r>
      <w:r>
        <w:t>.</w:t>
      </w:r>
      <w:r>
        <w:tab/>
        <w:t>Completion of compliance audit</w:t>
      </w:r>
      <w:bookmarkEnd w:id="43"/>
      <w:bookmarkEnd w:id="44"/>
      <w:bookmarkEnd w:id="45"/>
    </w:p>
    <w:p>
      <w:pPr>
        <w:pStyle w:val="Subsection"/>
      </w:pPr>
      <w:r>
        <w:tab/>
        <w:t>(1)</w:t>
      </w:r>
      <w:r>
        <w:tab/>
        <w:t xml:space="preserve">After the compliance audit return has been presented to the council in accordance with regulation 14(3) a certified copy of the return together with —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 xml:space="preserve">In this regulation — </w:t>
      </w:r>
    </w:p>
    <w:p>
      <w:pPr>
        <w:pStyle w:val="Defstart"/>
      </w:pPr>
      <w:r>
        <w:tab/>
      </w:r>
      <w:r>
        <w:rPr>
          <w:rStyle w:val="CharDefText"/>
        </w:rPr>
        <w:t>certified</w:t>
      </w:r>
      <w:r>
        <w:t xml:space="preserve"> in relation to a compliance audit return means signed by —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46" w:name="_Toc115767585"/>
      <w:r>
        <w:rPr>
          <w:rStyle w:val="CharSectno"/>
        </w:rPr>
        <w:t>16</w:t>
      </w:r>
      <w:r>
        <w:t>.</w:t>
      </w:r>
      <w:r>
        <w:tab/>
        <w:t>Functions of audit committee</w:t>
      </w:r>
      <w:bookmarkEnd w:id="46"/>
    </w:p>
    <w:p>
      <w:pPr>
        <w:pStyle w:val="Subsection"/>
      </w:pPr>
      <w:r>
        <w:tab/>
      </w:r>
      <w:r>
        <w:tab/>
        <w:t xml:space="preserve">An audit committee — </w:t>
      </w:r>
    </w:p>
    <w:p>
      <w:pPr>
        <w:pStyle w:val="Indenta"/>
      </w:pPr>
      <w:r>
        <w:tab/>
        <w:t>(a)</w:t>
      </w:r>
      <w:r>
        <w:tab/>
        <w:t xml:space="preserve">is to provide guidance and assistance to the local government —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 xml:space="preserve">may provide guidance and assistance to the local government as to — </w:t>
      </w:r>
    </w:p>
    <w:p>
      <w:pPr>
        <w:pStyle w:val="Indenti"/>
      </w:pPr>
      <w:r>
        <w:tab/>
        <w:t>(i)</w:t>
      </w:r>
      <w:r>
        <w:tab/>
        <w:t>matters to be audited;</w:t>
      </w:r>
    </w:p>
    <w:p>
      <w:pPr>
        <w:pStyle w:val="Indenti"/>
      </w:pPr>
      <w:r>
        <w:tab/>
        <w:t>(ii)</w:t>
      </w:r>
      <w:r>
        <w:tab/>
        <w:t>the scope of audits;</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p>
    <w:p>
      <w:pPr>
        <w:pStyle w:val="Footnotesection"/>
      </w:pPr>
      <w:r>
        <w:tab/>
        <w:t>[Regulation 16 inserted in Gazette 31 Mar 2005 p. 1043.]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7" w:name="UpToHere"/>
      <w:bookmarkStart w:id="48" w:name="_Toc103151329"/>
      <w:bookmarkStart w:id="49" w:name="_Toc115762000"/>
      <w:bookmarkStart w:id="50" w:name="_Toc115767586"/>
      <w:bookmarkEnd w:id="47"/>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45441863"/>
      <w:bookmarkStart w:id="52" w:name="_Toc115767587"/>
      <w:r>
        <w:rPr>
          <w:snapToGrid w:val="0"/>
        </w:rPr>
        <w:t>Compilation table</w:t>
      </w:r>
      <w:bookmarkEnd w:id="51"/>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9" w:type="dxa"/>
            <w:tcBorders>
              <w:bottom w:val="nil"/>
            </w:tcBorders>
          </w:tcPr>
          <w:p>
            <w:pPr>
              <w:pStyle w:val="nTable"/>
              <w:spacing w:after="40"/>
              <w:rPr>
                <w:sz w:val="19"/>
              </w:rPr>
            </w:pPr>
            <w:r>
              <w:rPr>
                <w:i/>
                <w:sz w:val="19"/>
              </w:rPr>
              <w:t>Local Government (Audit) Regulations 1996</w:t>
            </w:r>
          </w:p>
        </w:tc>
        <w:tc>
          <w:tcPr>
            <w:tcW w:w="1276" w:type="dxa"/>
            <w:tcBorders>
              <w:bottom w:val="nil"/>
            </w:tcBorders>
          </w:tcPr>
          <w:p>
            <w:pPr>
              <w:pStyle w:val="nTable"/>
              <w:spacing w:after="40"/>
              <w:rPr>
                <w:sz w:val="19"/>
              </w:rPr>
            </w:pPr>
            <w:r>
              <w:rPr>
                <w:sz w:val="19"/>
              </w:rPr>
              <w:t>24 Jun 1996 p. 2827</w:t>
            </w:r>
            <w:r>
              <w:rPr>
                <w:sz w:val="19"/>
              </w:rPr>
              <w:noBreakHyphen/>
              <w:t>32</w:t>
            </w:r>
          </w:p>
        </w:tc>
        <w:tc>
          <w:tcPr>
            <w:tcW w:w="2693" w:type="dxa"/>
            <w:tcBorders>
              <w:bottom w:val="nil"/>
            </w:tcBorders>
          </w:tcPr>
          <w:p>
            <w:pPr>
              <w:pStyle w:val="nTable"/>
              <w:spacing w:after="40"/>
              <w:rPr>
                <w:sz w:val="19"/>
              </w:rPr>
            </w:pPr>
            <w:r>
              <w:rPr>
                <w:sz w:val="19"/>
              </w:rPr>
              <w:t>1 Jul 1996 (see r. 2)</w:t>
            </w:r>
          </w:p>
        </w:tc>
      </w:tr>
      <w:tr>
        <w:tc>
          <w:tcPr>
            <w:tcW w:w="3119"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9"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8"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9"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9" w:type="dxa"/>
            <w:tcBorders>
              <w:top w:val="nil"/>
              <w:bottom w:val="single" w:sz="4" w:space="0" w:color="auto"/>
            </w:tcBorders>
          </w:tcPr>
          <w:p>
            <w:pPr>
              <w:pStyle w:val="nTable"/>
              <w:spacing w:after="40"/>
              <w:rPr>
                <w:i/>
                <w:sz w:val="19"/>
              </w:rPr>
            </w:pPr>
            <w:r>
              <w:rPr>
                <w:i/>
                <w:sz w:val="19"/>
              </w:rPr>
              <w:t>Local Government (Audit) Amendment Regulations (No. 2) 2005</w:t>
            </w:r>
          </w:p>
        </w:tc>
        <w:tc>
          <w:tcPr>
            <w:tcW w:w="1276" w:type="dxa"/>
            <w:tcBorders>
              <w:top w:val="nil"/>
              <w:bottom w:val="single" w:sz="4" w:space="0" w:color="auto"/>
            </w:tcBorders>
          </w:tcPr>
          <w:p>
            <w:pPr>
              <w:pStyle w:val="nTable"/>
              <w:spacing w:after="40"/>
              <w:rPr>
                <w:sz w:val="19"/>
              </w:rPr>
            </w:pPr>
            <w:r>
              <w:rPr>
                <w:sz w:val="19"/>
              </w:rPr>
              <w:t>30 Sep 2005 p. 4418-20</w:t>
            </w:r>
          </w:p>
        </w:tc>
        <w:tc>
          <w:tcPr>
            <w:tcW w:w="2693" w:type="dxa"/>
            <w:tcBorders>
              <w:top w:val="nil"/>
              <w:bottom w:val="single" w:sz="4" w:space="0" w:color="auto"/>
            </w:tcBorders>
          </w:tcPr>
          <w:p>
            <w:pPr>
              <w:pStyle w:val="nTable"/>
              <w:spacing w:after="40"/>
              <w:rPr>
                <w:sz w:val="19"/>
              </w:rPr>
            </w:pPr>
            <w:r>
              <w:rPr>
                <w:sz w:val="19"/>
              </w:rPr>
              <w:t>30 Sep 2005</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Local Government (Audit) Regulations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(Audit)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68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DC6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967A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784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2E3B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BE7F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A60A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387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328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13E22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3349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5DE67D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330"/>
    <w:docVar w:name="WAFER_20151207141330" w:val="RemoveTrackChanges"/>
    <w:docVar w:name="WAFER_20151207141330_GUID" w:val="b8cbb773-d90d-4bf8-aa0a-ec6886110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2446</Words>
  <Characters>11375</Characters>
  <Application>Microsoft Office Word</Application>
  <DocSecurity>0</DocSecurity>
  <Lines>568</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1996 - 01-c0-07</dc:title>
  <dc:subject/>
  <dc:creator/>
  <cp:keywords/>
  <dc:description/>
  <cp:lastModifiedBy>svcMRProcess</cp:lastModifiedBy>
  <cp:revision>4</cp:revision>
  <cp:lastPrinted>2003-11-17T07:19:00Z</cp:lastPrinted>
  <dcterms:created xsi:type="dcterms:W3CDTF">2015-12-08T04:18:00Z</dcterms:created>
  <dcterms:modified xsi:type="dcterms:W3CDTF">2015-12-08T04:18:00Z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20050930</vt:lpwstr>
  </property>
  <property fmtid="{D5CDD505-2E9C-101B-9397-08002B2CF9AE}" pid="4" name="DocumentType">
    <vt:lpwstr>Reg</vt:lpwstr>
  </property>
  <property fmtid="{D5CDD505-2E9C-101B-9397-08002B2CF9AE}" pid="5" name="OwlsUID">
    <vt:i4>4575</vt:i4>
  </property>
  <property fmtid="{D5CDD505-2E9C-101B-9397-08002B2CF9AE}" pid="6" name="AsAtDate">
    <vt:lpwstr>30 Sep 2005</vt:lpwstr>
  </property>
  <property fmtid="{D5CDD505-2E9C-101B-9397-08002B2CF9AE}" pid="7" name="Suffix">
    <vt:lpwstr>01-c0-07</vt:lpwstr>
  </property>
</Properties>
</file>