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_Toc498095082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_Toc498095083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_Toc498095084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_Toc498095085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_Toc498095086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_Toc498095087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_Toc498095088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_Toc498095089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_Toc498095090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_Toc498095093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_Toc498095094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49809508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49809508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98095084"/>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498095085"/>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$152</w:t>
      </w:r>
      <w:r>
        <w:rPr>
          <w:snapToGrid w:val="0"/>
        </w:rPr>
        <w:t>; and</w:t>
      </w:r>
    </w:p>
    <w:p>
      <w:pPr>
        <w:pStyle w:val="Indenta"/>
        <w:rPr>
          <w:snapToGrid w:val="0"/>
        </w:rPr>
      </w:pPr>
      <w:r>
        <w:rPr>
          <w:snapToGrid w:val="0"/>
        </w:rPr>
        <w:tab/>
        <w:t>(b)</w:t>
      </w:r>
      <w:r>
        <w:rPr>
          <w:snapToGrid w:val="0"/>
        </w:rPr>
        <w:tab/>
        <w:t xml:space="preserve">for all other appeals, </w:t>
      </w:r>
      <w:r>
        <w:t>$377</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$152</w:t>
      </w:r>
      <w:r>
        <w:rPr>
          <w:snapToGrid w:val="0"/>
        </w:rPr>
        <w:t>; and</w:t>
      </w:r>
    </w:p>
    <w:p>
      <w:pPr>
        <w:pStyle w:val="Indenti"/>
        <w:keepNext/>
        <w:rPr>
          <w:snapToGrid w:val="0"/>
        </w:rPr>
      </w:pPr>
      <w:r>
        <w:rPr>
          <w:snapToGrid w:val="0"/>
        </w:rPr>
        <w:tab/>
        <w:t>(ii)</w:t>
      </w:r>
      <w:r>
        <w:rPr>
          <w:snapToGrid w:val="0"/>
        </w:rPr>
        <w:tab/>
        <w:t xml:space="preserve">for all other appeals, </w:t>
      </w:r>
      <w:r>
        <w:t>$377</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w:t>
      </w:r>
    </w:p>
    <w:p>
      <w:pPr>
        <w:pStyle w:val="Heading5"/>
        <w:rPr>
          <w:snapToGrid w:val="0"/>
        </w:rPr>
      </w:pPr>
      <w:bookmarkStart w:id="7" w:name="_Toc498095086"/>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8" w:name="_Toc498095087"/>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498095088"/>
      <w:r>
        <w:rPr>
          <w:rStyle w:val="CharSectno"/>
        </w:rPr>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0" w:name="_Toc498095089"/>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498095090"/>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498095091"/>
      <w:r>
        <w:rPr>
          <w:rStyle w:val="CharSchNo"/>
        </w:rPr>
        <w:t>Schedule 1</w:t>
      </w:r>
      <w:bookmarkEnd w:id="1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pPr>
      <w:bookmarkStart w:id="14" w:name="_Toc498095092"/>
      <w:r>
        <w:t>Notes</w:t>
      </w:r>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 w:name="_Toc498095093"/>
      <w:r>
        <w:t>Compilation table</w:t>
      </w:r>
      <w:bookmarkEnd w:id="15"/>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8</w:t>
            </w:r>
          </w:p>
        </w:tc>
        <w:tc>
          <w:tcPr>
            <w:tcW w:w="1276" w:type="dxa"/>
            <w:gridSpan w:val="2"/>
            <w:tcBorders>
              <w:bottom w:val="single" w:sz="4" w:space="0" w:color="auto"/>
            </w:tcBorders>
          </w:tcPr>
          <w:p>
            <w:pPr>
              <w:pStyle w:val="nTable"/>
              <w:spacing w:after="40"/>
            </w:pPr>
            <w:r>
              <w:t>28 Oct 2016 p. 4910</w:t>
            </w:r>
            <w:r>
              <w:noBreakHyphen/>
              <w:t>16</w:t>
            </w:r>
          </w:p>
        </w:tc>
        <w:tc>
          <w:tcPr>
            <w:tcW w:w="2693" w:type="dxa"/>
            <w:gridSpan w:val="2"/>
            <w:tcBorders>
              <w:bottom w:val="single" w:sz="4" w:space="0" w:color="auto"/>
            </w:tcBorders>
          </w:tcPr>
          <w:p>
            <w:pPr>
              <w:pStyle w:val="nTable"/>
              <w:spacing w:after="40"/>
            </w:pPr>
            <w:r>
              <w:t>1 Jan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498095094"/>
      <w:r>
        <w:t>Provisions that have not come into operation</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Racing, Gaming and Liquor Regulations Amendment (Fees and Charges) Regulations 2017</w:t>
            </w:r>
            <w:r>
              <w:t xml:space="preserve"> Pt. 8 </w:t>
            </w:r>
            <w:r>
              <w:rPr>
                <w:vertAlign w:val="superscript"/>
              </w:rPr>
              <w:t>3</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spacing w:before="200"/>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8 had not come into operation.  It reads as follows:</w:t>
      </w:r>
    </w:p>
    <w:p>
      <w:pPr>
        <w:pStyle w:val="BlankOpen"/>
        <w:rPr>
          <w:snapToGrid w:val="0"/>
        </w:rPr>
      </w:pPr>
    </w:p>
    <w:p>
      <w:pPr>
        <w:pStyle w:val="nzHeading2"/>
      </w:pPr>
      <w:bookmarkStart w:id="17" w:name="_Toc494975713"/>
      <w:bookmarkStart w:id="18" w:name="_Toc494975741"/>
      <w:bookmarkStart w:id="19" w:name="_Toc494975873"/>
      <w:bookmarkStart w:id="20" w:name="_Toc494975931"/>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amended</w:t>
      </w:r>
      <w:bookmarkEnd w:id="17"/>
      <w:bookmarkEnd w:id="18"/>
      <w:bookmarkEnd w:id="19"/>
      <w:bookmarkEnd w:id="20"/>
    </w:p>
    <w:p>
      <w:pPr>
        <w:pStyle w:val="nzHeading5"/>
      </w:pPr>
      <w:bookmarkStart w:id="21" w:name="_Toc494975742"/>
      <w:bookmarkStart w:id="22" w:name="_Toc494975932"/>
      <w:r>
        <w:rPr>
          <w:rStyle w:val="CharSectno"/>
        </w:rPr>
        <w:t>16</w:t>
      </w:r>
      <w:r>
        <w:t>.</w:t>
      </w:r>
      <w:r>
        <w:tab/>
        <w:t>Regulations amended</w:t>
      </w:r>
      <w:bookmarkEnd w:id="21"/>
      <w:bookmarkEnd w:id="22"/>
    </w:p>
    <w:p>
      <w:pPr>
        <w:pStyle w:val="nzSubsection"/>
      </w:pPr>
      <w:r>
        <w:tab/>
      </w:r>
      <w:r>
        <w:tab/>
        <w:t xml:space="preserve">This Part amends the </w:t>
      </w:r>
      <w:r>
        <w:rPr>
          <w:i/>
        </w:rPr>
        <w:t>Racing Penalties (Appeals) Regulations 1991</w:t>
      </w:r>
      <w:r>
        <w:t>.</w:t>
      </w:r>
    </w:p>
    <w:p>
      <w:pPr>
        <w:pStyle w:val="nzHeading5"/>
      </w:pPr>
      <w:bookmarkStart w:id="23" w:name="_Toc494975743"/>
      <w:bookmarkStart w:id="24" w:name="_Toc494975933"/>
      <w:r>
        <w:rPr>
          <w:rStyle w:val="CharSectno"/>
        </w:rPr>
        <w:t>17</w:t>
      </w:r>
      <w:r>
        <w:t>.</w:t>
      </w:r>
      <w:r>
        <w:tab/>
        <w:t>Regulation 4 amended</w:t>
      </w:r>
      <w:bookmarkEnd w:id="23"/>
      <w:bookmarkEnd w:id="24"/>
    </w:p>
    <w:p>
      <w:pPr>
        <w:pStyle w:val="nzSubsection"/>
      </w:pPr>
      <w:r>
        <w:tab/>
      </w:r>
      <w:r>
        <w:tab/>
        <w:t>In regulation 4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4(1)(a)</w:t>
            </w:r>
          </w:p>
        </w:tc>
        <w:tc>
          <w:tcPr>
            <w:tcW w:w="2268" w:type="dxa"/>
          </w:tcPr>
          <w:p>
            <w:pPr>
              <w:pStyle w:val="TableAm"/>
              <w:rPr>
                <w:sz w:val="20"/>
              </w:rPr>
            </w:pPr>
            <w:r>
              <w:rPr>
                <w:sz w:val="20"/>
              </w:rPr>
              <w:t>$152</w:t>
            </w:r>
          </w:p>
        </w:tc>
        <w:tc>
          <w:tcPr>
            <w:tcW w:w="2268" w:type="dxa"/>
          </w:tcPr>
          <w:p>
            <w:pPr>
              <w:pStyle w:val="TableAm"/>
              <w:rPr>
                <w:sz w:val="20"/>
              </w:rPr>
            </w:pPr>
            <w:r>
              <w:rPr>
                <w:sz w:val="20"/>
              </w:rPr>
              <w:t>$154</w:t>
            </w:r>
          </w:p>
        </w:tc>
      </w:tr>
      <w:tr>
        <w:trPr>
          <w:cantSplit/>
          <w:jc w:val="center"/>
        </w:trPr>
        <w:tc>
          <w:tcPr>
            <w:tcW w:w="2268" w:type="dxa"/>
          </w:tcPr>
          <w:p>
            <w:pPr>
              <w:pStyle w:val="TableAm"/>
              <w:rPr>
                <w:sz w:val="20"/>
              </w:rPr>
            </w:pPr>
            <w:r>
              <w:rPr>
                <w:sz w:val="20"/>
              </w:rPr>
              <w:t>r. 4(1)(b)</w:t>
            </w:r>
          </w:p>
        </w:tc>
        <w:tc>
          <w:tcPr>
            <w:tcW w:w="2268" w:type="dxa"/>
          </w:tcPr>
          <w:p>
            <w:pPr>
              <w:pStyle w:val="TableAm"/>
              <w:rPr>
                <w:sz w:val="20"/>
              </w:rPr>
            </w:pPr>
            <w:r>
              <w:rPr>
                <w:sz w:val="20"/>
              </w:rPr>
              <w:t>$377</w:t>
            </w:r>
          </w:p>
        </w:tc>
        <w:tc>
          <w:tcPr>
            <w:tcW w:w="2268" w:type="dxa"/>
          </w:tcPr>
          <w:p>
            <w:pPr>
              <w:pStyle w:val="TableAm"/>
              <w:rPr>
                <w:sz w:val="20"/>
              </w:rPr>
            </w:pPr>
            <w:r>
              <w:rPr>
                <w:sz w:val="20"/>
              </w:rPr>
              <w:t>$383</w:t>
            </w:r>
          </w:p>
        </w:tc>
      </w:tr>
      <w:tr>
        <w:trPr>
          <w:cantSplit/>
          <w:jc w:val="center"/>
        </w:trPr>
        <w:tc>
          <w:tcPr>
            <w:tcW w:w="2268" w:type="dxa"/>
          </w:tcPr>
          <w:p>
            <w:pPr>
              <w:pStyle w:val="TableAm"/>
              <w:rPr>
                <w:sz w:val="20"/>
              </w:rPr>
            </w:pPr>
            <w:r>
              <w:rPr>
                <w:sz w:val="20"/>
              </w:rPr>
              <w:t>r. 4(2)(a)(i)</w:t>
            </w:r>
          </w:p>
        </w:tc>
        <w:tc>
          <w:tcPr>
            <w:tcW w:w="2268" w:type="dxa"/>
          </w:tcPr>
          <w:p>
            <w:pPr>
              <w:pStyle w:val="TableAm"/>
              <w:rPr>
                <w:sz w:val="20"/>
              </w:rPr>
            </w:pPr>
            <w:r>
              <w:rPr>
                <w:sz w:val="20"/>
              </w:rPr>
              <w:t>$152</w:t>
            </w:r>
          </w:p>
        </w:tc>
        <w:tc>
          <w:tcPr>
            <w:tcW w:w="2268" w:type="dxa"/>
          </w:tcPr>
          <w:p>
            <w:pPr>
              <w:pStyle w:val="TableAm"/>
              <w:rPr>
                <w:sz w:val="20"/>
              </w:rPr>
            </w:pPr>
            <w:r>
              <w:rPr>
                <w:sz w:val="20"/>
              </w:rPr>
              <w:t>$154</w:t>
            </w:r>
          </w:p>
        </w:tc>
      </w:tr>
      <w:tr>
        <w:trPr>
          <w:cantSplit/>
          <w:jc w:val="center"/>
        </w:trPr>
        <w:tc>
          <w:tcPr>
            <w:tcW w:w="2268" w:type="dxa"/>
          </w:tcPr>
          <w:p>
            <w:pPr>
              <w:pStyle w:val="TableAm"/>
              <w:rPr>
                <w:sz w:val="20"/>
              </w:rPr>
            </w:pPr>
            <w:r>
              <w:rPr>
                <w:sz w:val="20"/>
              </w:rPr>
              <w:t>r. 4(2)(a)(ii)</w:t>
            </w:r>
          </w:p>
        </w:tc>
        <w:tc>
          <w:tcPr>
            <w:tcW w:w="2268" w:type="dxa"/>
          </w:tcPr>
          <w:p>
            <w:pPr>
              <w:pStyle w:val="TableAm"/>
              <w:rPr>
                <w:sz w:val="20"/>
              </w:rPr>
            </w:pPr>
            <w:r>
              <w:rPr>
                <w:sz w:val="20"/>
              </w:rPr>
              <w:t>$377</w:t>
            </w:r>
          </w:p>
        </w:tc>
        <w:tc>
          <w:tcPr>
            <w:tcW w:w="2268" w:type="dxa"/>
          </w:tcPr>
          <w:p>
            <w:pPr>
              <w:pStyle w:val="TableAm"/>
              <w:rPr>
                <w:sz w:val="20"/>
              </w:rPr>
            </w:pPr>
            <w:r>
              <w:rPr>
                <w:sz w:val="20"/>
              </w:rPr>
              <w:t>$383</w:t>
            </w:r>
          </w:p>
        </w:tc>
      </w:tr>
      <w:tr>
        <w:trPr>
          <w:cantSplit/>
          <w:jc w:val="center"/>
        </w:trPr>
        <w:tc>
          <w:tcPr>
            <w:tcW w:w="2268" w:type="dxa"/>
          </w:tcPr>
          <w:p>
            <w:pPr>
              <w:pStyle w:val="TableAm"/>
              <w:rPr>
                <w:sz w:val="20"/>
              </w:rPr>
            </w:pPr>
            <w:r>
              <w:rPr>
                <w:sz w:val="20"/>
              </w:rPr>
              <w:t>r. 4(2)</w:t>
            </w:r>
          </w:p>
        </w:tc>
        <w:tc>
          <w:tcPr>
            <w:tcW w:w="2268" w:type="dxa"/>
          </w:tcPr>
          <w:p>
            <w:pPr>
              <w:pStyle w:val="TableAm"/>
              <w:rPr>
                <w:sz w:val="20"/>
              </w:rPr>
            </w:pPr>
            <w:r>
              <w:rPr>
                <w:sz w:val="20"/>
              </w:rPr>
              <w:t>$74</w:t>
            </w:r>
          </w:p>
        </w:tc>
        <w:tc>
          <w:tcPr>
            <w:tcW w:w="2268" w:type="dxa"/>
          </w:tcPr>
          <w:p>
            <w:pPr>
              <w:pStyle w:val="TableAm"/>
              <w:rPr>
                <w:sz w:val="20"/>
              </w:rPr>
            </w:pPr>
            <w:r>
              <w:rPr>
                <w:sz w:val="20"/>
              </w:rPr>
              <w:t>$75</w:t>
            </w:r>
          </w:p>
        </w:tc>
      </w:tr>
    </w:tbl>
    <w:p>
      <w:pPr>
        <w:pStyle w:val="BlankClose"/>
        <w:rPr>
          <w:snapToGrid w:val="0"/>
        </w:rPr>
      </w:pPr>
    </w:p>
    <w:p>
      <w:pPr>
        <w:pStyle w:val="BlankClose"/>
        <w:rPr>
          <w:snapToGrid w:val="0"/>
        </w:rPr>
      </w:pPr>
    </w:p>
    <w:p>
      <w:pPr>
        <w:pStyle w:val="nSubsection"/>
      </w:pPr>
    </w:p>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Nov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A94B-C718-48DE-99CD-A25AAD30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1839</Words>
  <Characters>8423</Characters>
  <Application>Microsoft Office Word</Application>
  <DocSecurity>0</DocSecurity>
  <Lines>336</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1991 - 03-h0-00</dc:title>
  <dc:subject/>
  <dc:creator/>
  <cp:keywords/>
  <dc:description/>
  <cp:lastModifiedBy>svcMRProcess</cp:lastModifiedBy>
  <cp:revision>4</cp:revision>
  <cp:lastPrinted>2014-04-15T02:09:00Z</cp:lastPrinted>
  <dcterms:created xsi:type="dcterms:W3CDTF">2020-02-27T18:46:00Z</dcterms:created>
  <dcterms:modified xsi:type="dcterms:W3CDTF">2020-02-27T18:46:00Z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10 Nov 2017</vt:lpwstr>
  </property>
  <property fmtid="{D5CDD505-2E9C-101B-9397-08002B2CF9AE}" pid="8" name="Suffix">
    <vt:lpwstr>03-h0-00</vt:lpwstr>
  </property>
  <property fmtid="{D5CDD505-2E9C-101B-9397-08002B2CF9AE}" pid="9" name="CommencementDate">
    <vt:lpwstr>20171110</vt:lpwstr>
  </property>
</Properties>
</file>