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Legal Profession Act 2008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_Toc498429837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_Toc498429838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_Toc498429839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Library 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Photocopying fee</w:t>
      </w:r>
      <w:r>
        <w:tab/>
      </w:r>
      <w:r>
        <w:fldChar w:fldCharType="begin"/>
      </w:r>
      <w:r>
        <w:instrText xml:space="preserve"> PAGEREF _Toc498429841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Printing fee</w:t>
      </w:r>
      <w:r>
        <w:tab/>
      </w:r>
      <w:r>
        <w:fldChar w:fldCharType="begin"/>
      </w:r>
      <w:r>
        <w:instrText xml:space="preserve"> PAGEREF _Toc498429842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Document delivery fee</w:t>
      </w:r>
      <w:r>
        <w:tab/>
      </w:r>
      <w:r>
        <w:fldChar w:fldCharType="begin"/>
      </w:r>
      <w:r>
        <w:instrText xml:space="preserve"> PAGEREF _Toc498429843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Interlibrary loan fees</w:t>
      </w:r>
      <w:r>
        <w:tab/>
      </w:r>
      <w:r>
        <w:fldChar w:fldCharType="begin"/>
      </w:r>
      <w:r>
        <w:instrText xml:space="preserve"> PAGEREF _Toc498429844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Payment of fees</w:t>
      </w:r>
      <w:r>
        <w:tab/>
      </w:r>
      <w:r>
        <w:fldChar w:fldCharType="begin"/>
      </w:r>
      <w:r>
        <w:instrText xml:space="preserve"> PAGEREF _Toc498429845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Director General may exempt fee paying users</w:t>
      </w:r>
      <w:r>
        <w:tab/>
      </w:r>
      <w:r>
        <w:fldChar w:fldCharType="begin"/>
      </w:r>
      <w:r>
        <w:instrText xml:space="preserve"> PAGEREF _Toc498429846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_Toc498429848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3" w:name="_Toc472589650"/>
      <w:bookmarkStart w:id="4" w:name="_Toc472595692"/>
      <w:bookmarkStart w:id="5" w:name="_Toc49842983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498429837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8" w:name="_Toc4984298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8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9" w:name="_Toc498429839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 8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Heading2"/>
      </w:pPr>
      <w:bookmarkStart w:id="10" w:name="_Toc472589654"/>
      <w:bookmarkStart w:id="11" w:name="_Toc472595696"/>
      <w:bookmarkStart w:id="12" w:name="_Toc498429840"/>
      <w:r>
        <w:rPr>
          <w:rStyle w:val="CharPartNo"/>
        </w:rPr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10"/>
      <w:bookmarkEnd w:id="11"/>
      <w:bookmarkEnd w:id="12"/>
      <w:r>
        <w:t xml:space="preserve"> </w:t>
      </w:r>
    </w:p>
    <w:p>
      <w:pPr>
        <w:pStyle w:val="Heading5"/>
      </w:pPr>
      <w:bookmarkStart w:id="13" w:name="_Toc498429841"/>
      <w:r>
        <w:rPr>
          <w:rStyle w:val="CharSectno"/>
        </w:rPr>
        <w:t>4</w:t>
      </w:r>
      <w:r>
        <w:t>.</w:t>
      </w:r>
      <w:r>
        <w:tab/>
        <w:t>Photocopying fee</w:t>
      </w:r>
      <w:bookmarkEnd w:id="13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14" w:name="_Toc498429842"/>
      <w:r>
        <w:rPr>
          <w:rStyle w:val="CharSectno"/>
        </w:rPr>
        <w:t>5.</w:t>
      </w:r>
      <w:r>
        <w:tab/>
        <w:t>Printing fee</w:t>
      </w:r>
      <w:bookmarkEnd w:id="14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15" w:name="_Toc498429843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15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Ednotepara"/>
      </w:pPr>
      <w:r>
        <w:tab/>
        <w:t>[(a), (b)</w:t>
      </w:r>
      <w:r>
        <w:tab/>
        <w:t>disallowed]</w:t>
      </w:r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Ednotesubsection"/>
      </w:pPr>
      <w:r>
        <w:t>[(2)</w:t>
      </w:r>
      <w:r>
        <w:noBreakHyphen/>
        <w:t>(5)</w:t>
      </w:r>
      <w:r>
        <w:tab/>
        <w:t>disallowed]</w:t>
      </w:r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Footnotesection"/>
      </w:pPr>
      <w:r>
        <w:tab/>
        <w:t>[Rule 6(1)(a) and (b) and (2)</w:t>
      </w:r>
      <w:r>
        <w:noBreakHyphen/>
        <w:t>(5) disallowed, see Gazette 14 Nov 2017 p. 5610.]</w:t>
      </w:r>
    </w:p>
    <w:p>
      <w:pPr>
        <w:pStyle w:val="Heading5"/>
      </w:pPr>
      <w:bookmarkStart w:id="16" w:name="_Toc498429844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16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17" w:name="_Toc498429845"/>
      <w:r>
        <w:rPr>
          <w:rStyle w:val="CharSectno"/>
        </w:rPr>
        <w:t>8</w:t>
      </w:r>
      <w:r>
        <w:t>.</w:t>
      </w:r>
      <w:r>
        <w:tab/>
        <w:t>Payment of fees</w:t>
      </w:r>
      <w:bookmarkEnd w:id="17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18" w:name="_Toc498429846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18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472589661"/>
      <w:bookmarkStart w:id="20" w:name="_Toc472595703"/>
      <w:bookmarkStart w:id="21" w:name="_Toc498429847"/>
      <w:r>
        <w:t>Notes</w:t>
      </w:r>
      <w:bookmarkEnd w:id="19"/>
      <w:bookmarkEnd w:id="20"/>
      <w:bookmarkEnd w:id="21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Legal Profession (Law Library Fees) Rules 2017</w:t>
      </w:r>
      <w:r>
        <w:rPr>
          <w:noProof/>
        </w:rPr>
        <w:t>.</w:t>
      </w:r>
      <w:r>
        <w:t xml:space="preserve">  The following table contains information about those rules.</w:t>
      </w:r>
    </w:p>
    <w:p>
      <w:pPr>
        <w:pStyle w:val="nHeading3"/>
      </w:pPr>
      <w:bookmarkStart w:id="22" w:name="_Toc498429848"/>
      <w:r>
        <w:t>Compilation table</w:t>
      </w:r>
      <w:bookmarkEnd w:id="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</w:rPr>
              <w:t>Legal Profession (Law Library Fees) Rules 2017 </w:t>
            </w:r>
            <w:r>
              <w:rPr>
                <w:i/>
                <w:noProof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Regulation 6(1)(a) and (b) and (2)</w:t>
      </w:r>
      <w:r>
        <w:noBreakHyphen/>
        <w:t xml:space="preserve">(5) disallowed on 9 Nov 2017, see </w:t>
      </w:r>
      <w:r>
        <w:rPr>
          <w:i/>
        </w:rPr>
        <w:t>Gazette</w:t>
      </w:r>
      <w:r>
        <w:t xml:space="preserve"> 14 Nov 2017 p. 5610.</w:t>
      </w:r>
      <w:bookmarkStart w:id="23" w:name="_Hlt507579217"/>
      <w:bookmarkEnd w:id="23"/>
    </w:p>
    <w:p/>
    <w:p>
      <w:pPr>
        <w:sectPr>
          <w:headerReference w:type="even" r:id="rId25"/>
          <w:headerReference w:type="default" r:id="rId26"/>
          <w:foot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498429849"/>
      <w:r>
        <w:rPr>
          <w:sz w:val="28"/>
        </w:rPr>
        <w:t>Defined terms</w:t>
      </w:r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agency</w:t>
      </w:r>
      <w:r>
        <w:tab/>
        <w:t>3</w:t>
      </w:r>
    </w:p>
    <w:p>
      <w:pPr>
        <w:pStyle w:val="DefinedTerms"/>
      </w:pPr>
      <w:r>
        <w:t>committee</w:t>
      </w:r>
      <w:r>
        <w:tab/>
        <w:t>3</w:t>
      </w:r>
    </w:p>
    <w:p>
      <w:pPr>
        <w:pStyle w:val="DefinedTerms"/>
      </w:pPr>
      <w:r>
        <w:t>document delivery service</w:t>
      </w:r>
      <w:r>
        <w:tab/>
        <w:t>3</w:t>
      </w:r>
    </w:p>
    <w:p>
      <w:pPr>
        <w:pStyle w:val="DefinedTerms"/>
      </w:pPr>
      <w:r>
        <w:t>fee paying user</w:t>
      </w:r>
      <w:r>
        <w:tab/>
        <w:t>3</w:t>
      </w:r>
    </w:p>
    <w:p>
      <w:pPr>
        <w:pStyle w:val="DefinedTerms"/>
      </w:pPr>
      <w:r>
        <w:t>interlibrary loan</w:t>
      </w:r>
      <w:r>
        <w:tab/>
        <w:t>3</w:t>
      </w:r>
    </w:p>
    <w:p>
      <w:pPr>
        <w:pStyle w:val="DefinedTerms"/>
      </w:pPr>
      <w:r>
        <w:t>interstate user</w:t>
      </w:r>
      <w:r>
        <w:tab/>
        <w:t>3</w:t>
      </w:r>
    </w:p>
    <w:p>
      <w:pPr>
        <w:pStyle w:val="DefinedTerms"/>
      </w:pPr>
      <w:r>
        <w:t>librarian</w:t>
      </w:r>
      <w:r>
        <w:tab/>
        <w:t>3</w:t>
      </w:r>
    </w:p>
    <w:p>
      <w:pPr>
        <w:pStyle w:val="DefinedTerms"/>
      </w:pPr>
      <w:r>
        <w:t>library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regional fee paying user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09 Nov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09 Nov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1911415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4248</Characters>
  <Application>Microsoft Office Word</Application>
  <DocSecurity>0</DocSecurity>
  <Lines>157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2017 - 00-b0-00</dc:title>
  <dc:subject/>
  <dc:creator/>
  <cp:keywords/>
  <dc:description/>
  <cp:lastModifiedBy>svcMRProcess</cp:lastModifiedBy>
  <cp:revision>4</cp:revision>
  <cp:lastPrinted>2017-11-14T06:26:00Z</cp:lastPrinted>
  <dcterms:created xsi:type="dcterms:W3CDTF">2017-11-14T07:05:00Z</dcterms:created>
  <dcterms:modified xsi:type="dcterms:W3CDTF">2017-11-14T07:05:00Z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AsAtDate">
    <vt:lpwstr>09 Nov 2017</vt:lpwstr>
  </property>
  <property fmtid="{D5CDD505-2E9C-101B-9397-08002B2CF9AE}" pid="6" name="Suffix">
    <vt:lpwstr>00-b0-00</vt:lpwstr>
  </property>
  <property fmtid="{D5CDD505-2E9C-101B-9397-08002B2CF9AE}" pid="7" name="CommencementDate">
    <vt:lpwstr>20171109</vt:lpwstr>
  </property>
</Properties>
</file>