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Domestic Violence Orders (National Recognition) Act 2017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Domestic Violence Orders (National Recognition) Regulations 2017</w:t>
      </w:r>
      <w:r>
        <w:fldChar w:fldCharType="end"/>
      </w:r>
    </w:p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Domestic Violence Orders (National Recognition) Regulations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_Toc499209672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_Toc499209673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Notes</w:t>
      </w:r>
      <w:r>
        <w:tab/>
      </w:r>
      <w:r>
        <w:fldChar w:fldCharType="begin"/>
      </w:r>
      <w:r>
        <w:instrText xml:space="preserve"> PAGEREF _Toc499209674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Corresponding laws (Act, s. 4(1))</w:t>
      </w:r>
      <w:r>
        <w:tab/>
      </w:r>
      <w:r>
        <w:fldChar w:fldCharType="begin"/>
      </w:r>
      <w:r>
        <w:instrText xml:space="preserve"> PAGEREF _Toc499209675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Interim DVOs (Act, s. 4(1))</w:t>
      </w:r>
      <w:r>
        <w:tab/>
      </w:r>
      <w:r>
        <w:fldChar w:fldCharType="begin"/>
      </w:r>
      <w:r>
        <w:instrText xml:space="preserve"> PAGEREF _Toc499209676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Interstate DVOs (Act, s. 6(1))</w:t>
      </w:r>
      <w:r>
        <w:tab/>
      </w:r>
      <w:r>
        <w:fldChar w:fldCharType="begin"/>
      </w:r>
      <w:r>
        <w:instrText xml:space="preserve"> PAGEREF _Toc499209677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Prescribed person or body (Act, s. 31(1))</w:t>
      </w:r>
      <w:r>
        <w:tab/>
      </w:r>
      <w:r>
        <w:fldChar w:fldCharType="begin"/>
      </w:r>
      <w:r>
        <w:instrText xml:space="preserve"> PAGEREF _Toc499209678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_Toc499209680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</w:pPr>
      <w:r>
        <w:t>Domestic Violence Orders (National Recognition) Act 2017</w:t>
      </w:r>
    </w:p>
    <w:p>
      <w:pPr>
        <w:pStyle w:val="NameofActReg"/>
      </w:pPr>
      <w:r>
        <w:t>Domestic Violence Orders (National Recognition) Regulations 2017</w:t>
      </w:r>
    </w:p>
    <w:p>
      <w:pPr>
        <w:pStyle w:val="Heading5"/>
      </w:pPr>
      <w:bookmarkStart w:id="3" w:name="_Toc497911523"/>
      <w:bookmarkStart w:id="4" w:name="_Toc497911532"/>
      <w:bookmarkStart w:id="5" w:name="_Toc49920967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Domestic Violence Orders (National Recognition) Regulations 2017</w:t>
      </w:r>
      <w:r>
        <w:t>.</w:t>
      </w:r>
    </w:p>
    <w:p>
      <w:pPr>
        <w:pStyle w:val="Heading5"/>
        <w:rPr>
          <w:spacing w:val="-2"/>
        </w:rPr>
      </w:pPr>
      <w:bookmarkStart w:id="7" w:name="_Toc497911524"/>
      <w:bookmarkStart w:id="8" w:name="_Toc497911533"/>
      <w:bookmarkStart w:id="9" w:name="_Toc49920967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Domestic Violence Orders (National Recognition) Act 2017 </w:t>
      </w:r>
      <w:r>
        <w:t>Part 2 comes into operation.</w:t>
      </w:r>
    </w:p>
    <w:p>
      <w:pPr>
        <w:pStyle w:val="Heading5"/>
      </w:pPr>
      <w:bookmarkStart w:id="10" w:name="_Toc497911525"/>
      <w:bookmarkStart w:id="11" w:name="_Toc497911534"/>
      <w:bookmarkStart w:id="12" w:name="_Toc499209674"/>
      <w:r>
        <w:rPr>
          <w:rStyle w:val="CharSectno"/>
        </w:rPr>
        <w:t>3</w:t>
      </w:r>
      <w:r>
        <w:t>.</w:t>
      </w:r>
      <w:r>
        <w:tab/>
        <w:t>Notes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Notes in these regulations are provided to assist understanding and do not form part of these regulations.</w:t>
      </w:r>
    </w:p>
    <w:p>
      <w:pPr>
        <w:pStyle w:val="Heading5"/>
      </w:pPr>
      <w:bookmarkStart w:id="13" w:name="_Toc497911526"/>
      <w:bookmarkStart w:id="14" w:name="_Toc497911535"/>
      <w:bookmarkStart w:id="15" w:name="_Toc499209675"/>
      <w:r>
        <w:rPr>
          <w:rStyle w:val="CharSectno"/>
        </w:rPr>
        <w:t>4</w:t>
      </w:r>
      <w:r>
        <w:t>.</w:t>
      </w:r>
      <w:r>
        <w:tab/>
        <w:t>Corresponding laws (Act, s. 4(1))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4(1) of the Act, the following laws are prescribed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Family Violence Act 2016</w:t>
      </w:r>
      <w:r>
        <w:t xml:space="preserve"> (Australian Capital Territory);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(Domestic and Personal Violence) Act 2007</w:t>
      </w:r>
      <w:r>
        <w:t xml:space="preserve"> (New South Wales);</w:t>
      </w:r>
    </w:p>
    <w:p>
      <w:pPr>
        <w:pStyle w:val="Indenta"/>
      </w:pPr>
      <w:r>
        <w:lastRenderedPageBreak/>
        <w:tab/>
        <w:t>(c)</w:t>
      </w:r>
      <w:r>
        <w:tab/>
        <w:t xml:space="preserve">the </w:t>
      </w:r>
      <w:r>
        <w:rPr>
          <w:i/>
        </w:rPr>
        <w:t xml:space="preserve">Domestic and Family Violence Act </w:t>
      </w:r>
      <w:r>
        <w:t>(Northern Territory);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Domestic and Family Violence Protection Act 2012</w:t>
      </w:r>
      <w:r>
        <w:t xml:space="preserve"> (Queensland);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Intervention Orders (Prevention of Abuse) Act 2009</w:t>
      </w:r>
      <w:r>
        <w:t xml:space="preserve"> (South Australia);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National Domestic Violence Order Scheme Act 2016</w:t>
      </w:r>
      <w:r>
        <w:t xml:space="preserve"> (Victoria);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Domestic Violence Orders (National Recognition) Act 2016</w:t>
      </w:r>
      <w:r>
        <w:t xml:space="preserve"> (Tasmania).</w:t>
      </w:r>
    </w:p>
    <w:p>
      <w:pPr>
        <w:pStyle w:val="Heading5"/>
      </w:pPr>
      <w:bookmarkStart w:id="16" w:name="_Toc497911527"/>
      <w:bookmarkStart w:id="17" w:name="_Toc497911536"/>
      <w:bookmarkStart w:id="18" w:name="_Toc499209676"/>
      <w:r>
        <w:rPr>
          <w:rStyle w:val="CharSectno"/>
        </w:rPr>
        <w:t>5</w:t>
      </w:r>
      <w:r>
        <w:t>.</w:t>
      </w:r>
      <w:r>
        <w:tab/>
        <w:t>Interim DVOs (Act, s. 4(1))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interim DVO</w:t>
      </w:r>
      <w:r>
        <w:t xml:space="preserve"> in section 4(1) of the Act, the following DVOs are prescribed — </w:t>
      </w:r>
    </w:p>
    <w:p>
      <w:pPr>
        <w:pStyle w:val="Indenta"/>
      </w:pPr>
      <w:r>
        <w:tab/>
        <w:t>(a)</w:t>
      </w:r>
      <w:r>
        <w:tab/>
        <w:t>an after</w:t>
      </w:r>
      <w:r>
        <w:noBreakHyphen/>
        <w:t xml:space="preserve">hours order under the </w:t>
      </w:r>
      <w:r>
        <w:rPr>
          <w:i/>
        </w:rPr>
        <w:t>Family Violence Act 2016</w:t>
      </w:r>
      <w:r>
        <w:t xml:space="preserve"> (Australian Capital Territory);</w:t>
      </w:r>
    </w:p>
    <w:p>
      <w:pPr>
        <w:pStyle w:val="Indenta"/>
      </w:pPr>
      <w:r>
        <w:tab/>
        <w:t>(b)</w:t>
      </w:r>
      <w:r>
        <w:tab/>
        <w:t xml:space="preserve">a temporary protection order under the </w:t>
      </w:r>
      <w:r>
        <w:rPr>
          <w:i/>
        </w:rPr>
        <w:t>Domestic and Family Violence Protection Act 2012</w:t>
      </w:r>
      <w:r>
        <w:t xml:space="preserve"> (Queensland).</w:t>
      </w:r>
    </w:p>
    <w:p>
      <w:pPr>
        <w:pStyle w:val="Heading5"/>
      </w:pPr>
      <w:bookmarkStart w:id="19" w:name="_Toc497911528"/>
      <w:bookmarkStart w:id="20" w:name="_Toc497911537"/>
      <w:bookmarkStart w:id="21" w:name="_Toc499209677"/>
      <w:r>
        <w:rPr>
          <w:rStyle w:val="CharSectno"/>
        </w:rPr>
        <w:t>6</w:t>
      </w:r>
      <w:r>
        <w:t>.</w:t>
      </w:r>
      <w:r>
        <w:tab/>
        <w:t>Interstate DVOs (Act, s. 6(1))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interstate DVO</w:t>
      </w:r>
      <w:r>
        <w:t xml:space="preserve"> in section 6(1) of the Act, the following orders are prescribed — </w:t>
      </w:r>
    </w:p>
    <w:p>
      <w:pPr>
        <w:pStyle w:val="Indenta"/>
      </w:pPr>
      <w:r>
        <w:tab/>
        <w:t>(a)</w:t>
      </w:r>
      <w:r>
        <w:tab/>
        <w:t xml:space="preserve">a domestic violence order in force under the </w:t>
      </w:r>
      <w:r>
        <w:rPr>
          <w:i/>
        </w:rPr>
        <w:t>Domestic Violence and Protection Act 2008</w:t>
      </w:r>
      <w:r>
        <w:t xml:space="preserve"> (Australian Capital Territory) immediately before that Act was repealed;</w:t>
      </w:r>
    </w:p>
    <w:p>
      <w:pPr>
        <w:pStyle w:val="Indenta"/>
      </w:pPr>
      <w:r>
        <w:tab/>
        <w:t>(b)</w:t>
      </w:r>
      <w:r>
        <w:tab/>
        <w:t>a protection order or an after</w:t>
      </w:r>
      <w:r>
        <w:noBreakHyphen/>
        <w:t xml:space="preserve">hours order under the </w:t>
      </w:r>
      <w:r>
        <w:rPr>
          <w:i/>
        </w:rPr>
        <w:t>Family Violence Act 2016</w:t>
      </w:r>
      <w:r>
        <w:t xml:space="preserve"> (Australian Capital Territory);</w:t>
      </w:r>
    </w:p>
    <w:p>
      <w:pPr>
        <w:pStyle w:val="Indenta"/>
      </w:pPr>
      <w:r>
        <w:tab/>
        <w:t>(c)</w:t>
      </w:r>
      <w:r>
        <w:tab/>
        <w:t xml:space="preserve">an apprehended domestic violence order or an interim apprehended domestic violence order under the </w:t>
      </w:r>
      <w:r>
        <w:rPr>
          <w:i/>
        </w:rPr>
        <w:t>Crimes (Domestic and Personal Violence) Act 2007</w:t>
      </w:r>
      <w:r>
        <w:t xml:space="preserve"> (New South Wales);</w:t>
      </w:r>
    </w:p>
    <w:p>
      <w:pPr>
        <w:pStyle w:val="Indenta"/>
      </w:pPr>
      <w:r>
        <w:tab/>
        <w:t>(d)</w:t>
      </w:r>
      <w:r>
        <w:tab/>
        <w:t xml:space="preserve">a domestic violence order under the </w:t>
      </w:r>
      <w:r>
        <w:rPr>
          <w:i/>
        </w:rPr>
        <w:t>Domestic and Family Violence Act</w:t>
      </w:r>
      <w:r>
        <w:t xml:space="preserve"> (Northern Territory);</w:t>
      </w:r>
    </w:p>
    <w:p>
      <w:pPr>
        <w:pStyle w:val="Indenta"/>
      </w:pPr>
      <w:r>
        <w:lastRenderedPageBreak/>
        <w:tab/>
        <w:t>(e)</w:t>
      </w:r>
      <w:r>
        <w:tab/>
        <w:t xml:space="preserve">a domestic violence order, a police protection notice or release conditions under the </w:t>
      </w:r>
      <w:r>
        <w:rPr>
          <w:i/>
        </w:rPr>
        <w:t>Domestic and Family Violence Protection Act 2012</w:t>
      </w:r>
      <w:r>
        <w:t xml:space="preserve"> (Queensland);</w:t>
      </w:r>
    </w:p>
    <w:p>
      <w:pPr>
        <w:pStyle w:val="Indenta"/>
        <w:rPr>
          <w:i/>
        </w:rPr>
      </w:pPr>
      <w:r>
        <w:tab/>
        <w:t>(f)</w:t>
      </w:r>
      <w:r>
        <w:tab/>
        <w:t xml:space="preserve">an intervention order under the </w:t>
      </w:r>
      <w:r>
        <w:rPr>
          <w:i/>
        </w:rPr>
        <w:t>Intervention Orders (Prevention of Abuse) Act 2009</w:t>
      </w:r>
      <w:r>
        <w:t xml:space="preserve"> (South Australia) that addresses a domestic violence concern;</w:t>
      </w:r>
    </w:p>
    <w:p>
      <w:pPr>
        <w:pStyle w:val="Indenta"/>
      </w:pPr>
      <w:r>
        <w:tab/>
        <w:t>(g)</w:t>
      </w:r>
      <w:r>
        <w:tab/>
        <w:t xml:space="preserve">a family violence order (FVO), an interim FVO or a police family violence order (PFVO) under the </w:t>
      </w:r>
      <w:r>
        <w:rPr>
          <w:i/>
        </w:rPr>
        <w:t>Family Violence Act 2004</w:t>
      </w:r>
      <w:r>
        <w:t xml:space="preserve"> (Tasmania);</w:t>
      </w:r>
    </w:p>
    <w:p>
      <w:pPr>
        <w:pStyle w:val="Indenta"/>
      </w:pPr>
      <w:r>
        <w:tab/>
        <w:t>(h)</w:t>
      </w:r>
      <w:r>
        <w:tab/>
        <w:t xml:space="preserve">a family violence intervention order or a family violence safety notice under the </w:t>
      </w:r>
      <w:r>
        <w:rPr>
          <w:i/>
        </w:rPr>
        <w:t>Family Violence Protection Act 2008</w:t>
      </w:r>
      <w:r>
        <w:t xml:space="preserve"> (Victoria).</w:t>
      </w:r>
    </w:p>
    <w:p>
      <w:pPr>
        <w:pStyle w:val="Heading5"/>
      </w:pPr>
      <w:bookmarkStart w:id="22" w:name="_Toc497911529"/>
      <w:bookmarkStart w:id="23" w:name="_Toc497911538"/>
      <w:bookmarkStart w:id="24" w:name="_Toc499209678"/>
      <w:r>
        <w:rPr>
          <w:rStyle w:val="CharSectno"/>
        </w:rPr>
        <w:t>7</w:t>
      </w:r>
      <w:r>
        <w:t>.</w:t>
      </w:r>
      <w:r>
        <w:tab/>
        <w:t>Prescribed person or body (Act, s. 31(1))</w:t>
      </w:r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ACC</w:t>
      </w:r>
      <w:r>
        <w:t xml:space="preserve"> means the Australian Crime Commission established by the </w:t>
      </w:r>
      <w:r>
        <w:rPr>
          <w:i/>
        </w:rPr>
        <w:t>Australian Crime Commission Act 2002</w:t>
      </w:r>
      <w:r>
        <w:t xml:space="preserve"> (Commonwealth) section 7.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prescribed person or body</w:t>
      </w:r>
      <w:r>
        <w:t xml:space="preserve"> in section 31(1) of the Act, the ACC is prescribed.</w:t>
      </w:r>
    </w:p>
    <w:p>
      <w:pPr>
        <w:pStyle w:val="PermNoteHeading"/>
      </w:pPr>
      <w:r>
        <w:tab/>
        <w:t>Note for this regulation:</w:t>
      </w:r>
    </w:p>
    <w:p>
      <w:pPr>
        <w:pStyle w:val="PermNoteHeading"/>
      </w:pPr>
      <w:r>
        <w:tab/>
        <w:t xml:space="preserve">The ACC, or Australian Crime Commission, established by the </w:t>
      </w:r>
      <w:r>
        <w:rPr>
          <w:i/>
        </w:rPr>
        <w:t>Australian Crime Commission Act 2002</w:t>
      </w:r>
      <w:r>
        <w:t xml:space="preserve"> (Commonwealth) is, pursuant to the </w:t>
      </w:r>
      <w:r>
        <w:rPr>
          <w:i/>
        </w:rPr>
        <w:t>Australian Crime Commission Regulations 2002</w:t>
      </w:r>
      <w:r>
        <w:t xml:space="preserve"> regulation 3A, known as the Australian Criminal Intelligence Commission.</w:t>
      </w:r>
    </w:p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5" w:name="_Toc378944432"/>
      <w:bookmarkStart w:id="26" w:name="_Toc391885482"/>
      <w:bookmarkStart w:id="27" w:name="_Toc391885539"/>
      <w:bookmarkStart w:id="28" w:name="_Toc396738383"/>
      <w:bookmarkStart w:id="29" w:name="_Toc425172592"/>
      <w:bookmarkStart w:id="30" w:name="_Toc499200342"/>
      <w:bookmarkStart w:id="31" w:name="_Toc499200354"/>
      <w:bookmarkStart w:id="32" w:name="_Toc499209679"/>
      <w:r>
        <w:lastRenderedPageBreak/>
        <w:t>Notes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Domestic Violence Orders (National Recognition) Regulations 2017</w:t>
      </w:r>
      <w:r>
        <w:t>.  The following table contains information about those regulations.</w:t>
      </w:r>
    </w:p>
    <w:p>
      <w:pPr>
        <w:pStyle w:val="nHeading3"/>
      </w:pPr>
      <w:bookmarkStart w:id="33" w:name="_Toc396738384"/>
      <w:bookmarkStart w:id="34" w:name="_Toc425172593"/>
      <w:bookmarkStart w:id="35" w:name="_Toc499209680"/>
      <w:r>
        <w:t>Compilation table</w:t>
      </w:r>
      <w:bookmarkEnd w:id="33"/>
      <w:bookmarkEnd w:id="34"/>
      <w:bookmarkEnd w:id="3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Domestic Violence Orders (National Recognition) Regulations 2017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Nov 2017 p. 5676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24 Nov 2017 (see r. 2(a));</w:t>
            </w:r>
            <w:r>
              <w:br/>
              <w:t xml:space="preserve">Regulations other than r. 1 and 2: 25 Nov 2017 (see r.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79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6" w:name="_Toc499200344"/>
      <w:bookmarkStart w:id="37" w:name="_Toc499200356"/>
      <w:bookmarkStart w:id="38" w:name="_Toc499209681"/>
      <w:r>
        <w:rPr>
          <w:sz w:val="28"/>
        </w:rPr>
        <w:lastRenderedPageBreak/>
        <w:t>Defined terms</w:t>
      </w:r>
      <w:bookmarkEnd w:id="36"/>
      <w:bookmarkEnd w:id="37"/>
      <w:bookmarkEnd w:id="3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ACC</w:t>
      </w:r>
      <w:r>
        <w:tab/>
        <w:t>7(1)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Nov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9" w:name="DefinedTerms"/>
    <w:bookmarkEnd w:id="39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Domestic Violence Orders (National Recognition)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3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17110813341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1108133412" w:val="RemoveTocBookmarks,RemoveUnusedBookmarks,RemoveLanguageTags,UpdateStyles,UsedStyles,ResetPageSize"/>
    <w:docVar w:name="WAFER_20171108133412_GUID" w:val="0fedabee-bb1d-4d30-b6f1-1f5b6fbed7c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887CB03-CAC9-49EB-A0EB-3C5AA78C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0700-D175-4F56-BB1D-DCB40979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4496</Characters>
  <Application>Microsoft Office Word</Application>
  <DocSecurity>0</DocSecurity>
  <Lines>149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Orders (National Recognition) Regulations 2017 - 00-a0-02</dc:title>
  <dc:subject/>
  <dc:creator/>
  <cp:keywords/>
  <dc:description/>
  <cp:lastModifiedBy>Master Repository Process</cp:lastModifiedBy>
  <cp:revision>4</cp:revision>
  <cp:lastPrinted>2017-11-08T05:36:00Z</cp:lastPrinted>
  <dcterms:created xsi:type="dcterms:W3CDTF">2023-10-20T06:03:00Z</dcterms:created>
  <dcterms:modified xsi:type="dcterms:W3CDTF">2023-10-20T06:03:00Z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20171125</vt:lpwstr>
  </property>
  <property fmtid="{D5CDD505-2E9C-101B-9397-08002B2CF9AE}" pid="4" name="AsAtDate">
    <vt:lpwstr>25 Nov 2017</vt:lpwstr>
  </property>
  <property fmtid="{D5CDD505-2E9C-101B-9397-08002B2CF9AE}" pid="5" name="Suffix">
    <vt:lpwstr>00-a0-02</vt:lpwstr>
  </property>
</Properties>
</file>