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First Home Owner Grant Amendment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Amendment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_Toc500333289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_Toc500333290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_Toc500333291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6 amended</w:t>
      </w:r>
      <w:r>
        <w:tab/>
      </w:r>
      <w:r>
        <w:fldChar w:fldCharType="begin"/>
      </w:r>
      <w:r>
        <w:instrText xml:space="preserve"> PAGEREF _Toc500333292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12 amended</w:t>
      </w:r>
      <w:r>
        <w:tab/>
      </w:r>
      <w:r>
        <w:fldChar w:fldCharType="begin"/>
      </w:r>
      <w:r>
        <w:instrText xml:space="preserve"> PAGEREF _Toc500333293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13B inserted</w:t>
      </w:r>
      <w:r>
        <w:tab/>
      </w:r>
      <w:r>
        <w:fldChar w:fldCharType="begin"/>
      </w:r>
      <w:r>
        <w:instrText xml:space="preserve"> PAGEREF _Toc500333294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13B.</w:t>
      </w:r>
      <w:r>
        <w:rPr>
          <w:noProof/>
        </w:rPr>
        <w:tab/>
        <w:t>Criterion 7 — applicant must not hold relevant interest as trustee</w:t>
      </w:r>
      <w:r>
        <w:rPr>
          <w:noProof/>
        </w:rPr>
        <w:tab/>
      </w:r>
      <w:r>
        <w:rPr>
          <w:noProof/>
        </w:rPr>
        <w:fldChar w:fldCharType="begin"/>
      </w:r>
      <w:r>
        <w:rPr>
          <w:noProof/>
        </w:rPr>
        <w:instrText xml:space="preserve"> PAGEREF _Toc500333295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Section 14AA amended</w:t>
      </w:r>
      <w:r>
        <w:tab/>
      </w:r>
      <w:r>
        <w:fldChar w:fldCharType="begin"/>
      </w:r>
      <w:r>
        <w:instrText xml:space="preserve"> PAGEREF _Toc500333296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14A amended</w:t>
      </w:r>
      <w:r>
        <w:tab/>
      </w:r>
      <w:r>
        <w:fldChar w:fldCharType="begin"/>
      </w:r>
      <w:r>
        <w:instrText xml:space="preserve"> PAGEREF _Toc500333297 \h </w:instrText>
      </w:r>
      <w:r>
        <w:fldChar w:fldCharType="separate"/>
      </w:r>
      <w:r>
        <w:t>3</w:t>
      </w:r>
      <w:r>
        <w:fldChar w:fldCharType="end"/>
      </w:r>
    </w:p>
    <w:p>
      <w:pPr>
        <w:pStyle w:val="TOC8"/>
        <w:rPr>
          <w:rFonts w:asciiTheme="minorHAnsi" w:eastAsiaTheme="minorEastAsia" w:hAnsiTheme="minorHAnsi" w:cstheme="minorBidi"/>
          <w:szCs w:val="22"/>
        </w:rPr>
      </w:pPr>
      <w:r>
        <w:t>9.</w:t>
      </w:r>
      <w:r>
        <w:tab/>
        <w:t>Section 14B amended</w:t>
      </w:r>
      <w:r>
        <w:tab/>
      </w:r>
      <w:r>
        <w:fldChar w:fldCharType="begin"/>
      </w:r>
      <w:r>
        <w:instrText xml:space="preserve"> PAGEREF _Toc500333298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19 amended</w:t>
      </w:r>
      <w:r>
        <w:tab/>
      </w:r>
      <w:r>
        <w:fldChar w:fldCharType="begin"/>
      </w:r>
      <w:r>
        <w:instrText xml:space="preserve"> PAGEREF _Toc500333299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22 amended</w:t>
      </w:r>
      <w:r>
        <w:tab/>
      </w:r>
      <w:r>
        <w:fldChar w:fldCharType="begin"/>
      </w:r>
      <w:r>
        <w:instrText xml:space="preserve"> PAGEREF _Toc500333300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26 amended</w:t>
      </w:r>
      <w:r>
        <w:tab/>
      </w:r>
      <w:r>
        <w:fldChar w:fldCharType="begin"/>
      </w:r>
      <w:r>
        <w:instrText xml:space="preserve"> PAGEREF _Toc500333301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28 amended</w:t>
      </w:r>
      <w:r>
        <w:tab/>
      </w:r>
      <w:r>
        <w:fldChar w:fldCharType="begin"/>
      </w:r>
      <w:r>
        <w:instrText xml:space="preserve"> PAGEREF _Toc500333302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30 amended</w:t>
      </w:r>
      <w:r>
        <w:tab/>
      </w:r>
      <w:r>
        <w:fldChar w:fldCharType="begin"/>
      </w:r>
      <w:r>
        <w:instrText xml:space="preserve"> PAGEREF _Toc500333303 \h </w:instrText>
      </w:r>
      <w:r>
        <w:fldChar w:fldCharType="separate"/>
      </w:r>
      <w:r>
        <w:t>7</w:t>
      </w:r>
      <w:r>
        <w:fldChar w:fldCharType="end"/>
      </w:r>
    </w:p>
    <w:p>
      <w:pPr>
        <w:pStyle w:val="TOC8"/>
        <w:rPr>
          <w:rFonts w:asciiTheme="minorHAnsi" w:eastAsiaTheme="minorEastAsia" w:hAnsiTheme="minorHAnsi" w:cstheme="minorBidi"/>
          <w:szCs w:val="22"/>
        </w:rPr>
      </w:pPr>
      <w:r>
        <w:t>15.</w:t>
      </w:r>
      <w:r>
        <w:tab/>
        <w:t>Section 32 amended</w:t>
      </w:r>
      <w:r>
        <w:tab/>
      </w:r>
      <w:r>
        <w:fldChar w:fldCharType="begin"/>
      </w:r>
      <w:r>
        <w:instrText xml:space="preserve"> PAGEREF _Toc500333304 \h </w:instrText>
      </w:r>
      <w:r>
        <w:fldChar w:fldCharType="separate"/>
      </w:r>
      <w:r>
        <w:t>7</w:t>
      </w:r>
      <w:r>
        <w:fldChar w:fldCharType="end"/>
      </w:r>
    </w:p>
    <w:p>
      <w:pPr>
        <w:pStyle w:val="TOC8"/>
        <w:rPr>
          <w:rFonts w:asciiTheme="minorHAnsi" w:eastAsiaTheme="minorEastAsia" w:hAnsiTheme="minorHAnsi" w:cstheme="minorBidi"/>
          <w:szCs w:val="22"/>
        </w:rPr>
      </w:pPr>
      <w:r>
        <w:t>16.</w:t>
      </w:r>
      <w:r>
        <w:tab/>
        <w:t>Section 51 amended</w:t>
      </w:r>
      <w:r>
        <w:tab/>
      </w:r>
      <w:r>
        <w:fldChar w:fldCharType="begin"/>
      </w:r>
      <w:r>
        <w:instrText xml:space="preserve"> PAGEREF _Toc500333305 \h </w:instrText>
      </w:r>
      <w:r>
        <w:fldChar w:fldCharType="separate"/>
      </w:r>
      <w:r>
        <w:t>8</w:t>
      </w:r>
      <w:r>
        <w:fldChar w:fldCharType="end"/>
      </w:r>
    </w:p>
    <w:p>
      <w:pPr>
        <w:pStyle w:val="TOC8"/>
        <w:rPr>
          <w:rFonts w:asciiTheme="minorHAnsi" w:eastAsiaTheme="minorEastAsia" w:hAnsiTheme="minorHAnsi" w:cstheme="minorBidi"/>
          <w:szCs w:val="22"/>
        </w:rPr>
      </w:pPr>
      <w:r>
        <w:t>17.</w:t>
      </w:r>
      <w:r>
        <w:tab/>
        <w:t>Section 52 amended</w:t>
      </w:r>
      <w:r>
        <w:tab/>
      </w:r>
      <w:r>
        <w:fldChar w:fldCharType="begin"/>
      </w:r>
      <w:r>
        <w:instrText xml:space="preserve"> PAGEREF _Toc500333306 \h </w:instrText>
      </w:r>
      <w:r>
        <w:fldChar w:fldCharType="separate"/>
      </w:r>
      <w:r>
        <w:t>9</w:t>
      </w:r>
      <w:r>
        <w:fldChar w:fldCharType="end"/>
      </w:r>
    </w:p>
    <w:p>
      <w:pPr>
        <w:pStyle w:val="TOC8"/>
        <w:rPr>
          <w:rFonts w:asciiTheme="minorHAnsi" w:eastAsiaTheme="minorEastAsia" w:hAnsiTheme="minorHAnsi" w:cstheme="minorBidi"/>
          <w:szCs w:val="22"/>
        </w:rPr>
      </w:pPr>
      <w:r>
        <w:t>18.</w:t>
      </w:r>
      <w:r>
        <w:tab/>
        <w:t>Section 52A inserted</w:t>
      </w:r>
      <w:r>
        <w:tab/>
      </w:r>
      <w:r>
        <w:fldChar w:fldCharType="begin"/>
      </w:r>
      <w:r>
        <w:instrText xml:space="preserve"> PAGEREF _Toc500333307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52A.</w:t>
      </w:r>
      <w:r>
        <w:rPr>
          <w:noProof/>
        </w:rPr>
        <w:tab/>
        <w:t>Commissioner may recover legal costs</w:t>
      </w:r>
      <w:r>
        <w:rPr>
          <w:noProof/>
        </w:rPr>
        <w:tab/>
      </w:r>
      <w:r>
        <w:rPr>
          <w:noProof/>
        </w:rPr>
        <w:fldChar w:fldCharType="begin"/>
      </w:r>
      <w:r>
        <w:rPr>
          <w:noProof/>
        </w:rPr>
        <w:instrText xml:space="preserve"> PAGEREF _Toc500333308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19.</w:t>
      </w:r>
      <w:r>
        <w:tab/>
        <w:t>Section 53 amended</w:t>
      </w:r>
      <w:r>
        <w:tab/>
      </w:r>
      <w:r>
        <w:fldChar w:fldCharType="begin"/>
      </w:r>
      <w:r>
        <w:instrText xml:space="preserve"> PAGEREF _Toc500333309 \h </w:instrText>
      </w:r>
      <w:r>
        <w:fldChar w:fldCharType="separate"/>
      </w:r>
      <w:r>
        <w:t>10</w:t>
      </w:r>
      <w:r>
        <w:fldChar w:fldCharType="end"/>
      </w:r>
    </w:p>
    <w:p>
      <w:pPr>
        <w:pStyle w:val="TOC8"/>
        <w:rPr>
          <w:rFonts w:asciiTheme="minorHAnsi" w:eastAsiaTheme="minorEastAsia" w:hAnsiTheme="minorHAnsi" w:cstheme="minorBidi"/>
          <w:szCs w:val="22"/>
        </w:rPr>
      </w:pPr>
      <w:r>
        <w:t>20.</w:t>
      </w:r>
      <w:r>
        <w:tab/>
        <w:t>Section 62 amended</w:t>
      </w:r>
      <w:r>
        <w:tab/>
      </w:r>
      <w:r>
        <w:fldChar w:fldCharType="begin"/>
      </w:r>
      <w:r>
        <w:instrText xml:space="preserve"> PAGEREF _Toc500333310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69 amended</w:t>
      </w:r>
      <w:r>
        <w:tab/>
      </w:r>
      <w:r>
        <w:fldChar w:fldCharType="begin"/>
      </w:r>
      <w:r>
        <w:instrText xml:space="preserve"> PAGEREF _Toc500333311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pPr>
      <w:r>
        <w:t>First Home Owner Grant Amendment Act 2017</w:t>
      </w:r>
    </w:p>
    <w:p>
      <w:pPr>
        <w:pStyle w:val="ABillFor"/>
        <w:pBdr>
          <w:top w:val="single" w:sz="4" w:space="6" w:color="auto"/>
          <w:bottom w:val="single" w:sz="4" w:space="6" w:color="auto"/>
        </w:pBdr>
        <w:spacing w:before="0" w:after="240"/>
        <w:ind w:left="2551" w:right="2551"/>
      </w:pPr>
      <w:bookmarkStart w:id="3" w:name="BillCited"/>
      <w:bookmarkEnd w:id="3"/>
      <w:r>
        <w:t>No. 16 of 2017</w:t>
      </w:r>
    </w:p>
    <w:p>
      <w:pPr>
        <w:pStyle w:val="LongTitle"/>
        <w:suppressLineNumbers/>
      </w:pPr>
      <w:r>
        <w:t xml:space="preserve">An Act to amend the </w:t>
      </w:r>
      <w:r>
        <w:rPr>
          <w:i/>
        </w:rPr>
        <w:t>First Home Owner Grant Act 2000</w:t>
      </w:r>
      <w:r>
        <w:t>.</w:t>
      </w:r>
    </w:p>
    <w:p>
      <w:pPr>
        <w:pStyle w:val="AssentNote"/>
      </w:pPr>
      <w:r>
        <w:t>[Assented to 5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99802587"/>
      <w:bookmarkStart w:id="5" w:name="_Toc500326396"/>
      <w:bookmarkStart w:id="6" w:name="_Toc500333289"/>
      <w:r>
        <w:rPr>
          <w:rStyle w:val="CharSectno"/>
        </w:rPr>
        <w:t>1</w:t>
      </w:r>
      <w:r>
        <w:t>.</w:t>
      </w:r>
      <w:r>
        <w:tab/>
        <w:t>Short title</w:t>
      </w:r>
      <w:bookmarkEnd w:id="4"/>
      <w:bookmarkEnd w:id="5"/>
      <w:bookmarkEnd w:id="6"/>
    </w:p>
    <w:p>
      <w:pPr>
        <w:pStyle w:val="Subsection"/>
      </w:pPr>
      <w:r>
        <w:tab/>
      </w:r>
      <w:r>
        <w:tab/>
        <w:t>This is the</w:t>
      </w:r>
      <w:r>
        <w:rPr>
          <w:i/>
        </w:rPr>
        <w:t xml:space="preserve"> First Home Owner Grant Amendment Act 2017</w:t>
      </w:r>
      <w:r>
        <w:t>.</w:t>
      </w:r>
    </w:p>
    <w:p>
      <w:pPr>
        <w:pStyle w:val="Heading5"/>
      </w:pPr>
      <w:bookmarkStart w:id="7" w:name="_Toc499802588"/>
      <w:bookmarkStart w:id="8" w:name="_Toc500326397"/>
      <w:bookmarkStart w:id="9" w:name="_Toc500333290"/>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8 to 16 are deemed to have come into operation on 1 January 2017;</w:t>
      </w:r>
    </w:p>
    <w:p>
      <w:pPr>
        <w:pStyle w:val="Indenta"/>
      </w:pPr>
      <w:r>
        <w:tab/>
        <w:t>(c)</w:t>
      </w:r>
      <w:r>
        <w:tab/>
        <w:t>the rest of the Act comes into operation on the day after assent day.</w:t>
      </w:r>
    </w:p>
    <w:p>
      <w:pPr>
        <w:pStyle w:val="Heading5"/>
        <w:rPr>
          <w:snapToGrid w:val="0"/>
        </w:rPr>
      </w:pPr>
      <w:bookmarkStart w:id="10" w:name="_Toc499802589"/>
      <w:bookmarkStart w:id="11" w:name="_Toc500326398"/>
      <w:bookmarkStart w:id="12" w:name="_Toc500333291"/>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First Home Owner Grant Act 2000</w:t>
      </w:r>
      <w:r>
        <w:t>.</w:t>
      </w:r>
    </w:p>
    <w:p>
      <w:pPr>
        <w:pStyle w:val="Heading5"/>
      </w:pPr>
      <w:bookmarkStart w:id="13" w:name="_Toc499802590"/>
      <w:bookmarkStart w:id="14" w:name="_Toc500326399"/>
      <w:bookmarkStart w:id="15" w:name="_Toc500333292"/>
      <w:r>
        <w:rPr>
          <w:rStyle w:val="CharSectno"/>
        </w:rPr>
        <w:t>4</w:t>
      </w:r>
      <w:r>
        <w:t>.</w:t>
      </w:r>
      <w:r>
        <w:tab/>
        <w:t>Section 6 amended</w:t>
      </w:r>
      <w:bookmarkEnd w:id="13"/>
      <w:bookmarkEnd w:id="14"/>
      <w:bookmarkEnd w:id="15"/>
    </w:p>
    <w:p>
      <w:pPr>
        <w:pStyle w:val="Subsection"/>
      </w:pPr>
      <w:r>
        <w:tab/>
      </w:r>
      <w:r>
        <w:tab/>
        <w:t>Delete section 6(2)(a) and (b).</w:t>
      </w:r>
    </w:p>
    <w:p>
      <w:pPr>
        <w:pStyle w:val="Heading5"/>
      </w:pPr>
      <w:bookmarkStart w:id="16" w:name="_Toc499802591"/>
      <w:bookmarkStart w:id="17" w:name="_Toc500326400"/>
      <w:bookmarkStart w:id="18" w:name="_Toc500333293"/>
      <w:r>
        <w:rPr>
          <w:rStyle w:val="CharSectno"/>
        </w:rPr>
        <w:t>5</w:t>
      </w:r>
      <w:r>
        <w:t>.</w:t>
      </w:r>
      <w:r>
        <w:tab/>
        <w:t>Section 12 amended</w:t>
      </w:r>
      <w:bookmarkEnd w:id="16"/>
      <w:bookmarkEnd w:id="17"/>
      <w:bookmarkEnd w:id="18"/>
    </w:p>
    <w:p>
      <w:pPr>
        <w:pStyle w:val="Subsection"/>
      </w:pPr>
      <w:r>
        <w:tab/>
        <w:t>(1)</w:t>
      </w:r>
      <w:r>
        <w:tab/>
        <w:t>In section 12(1)(a) delete “the State; or” and insert:</w:t>
      </w:r>
    </w:p>
    <w:p>
      <w:pPr>
        <w:pStyle w:val="BlankOpen"/>
      </w:pPr>
    </w:p>
    <w:p>
      <w:pPr>
        <w:pStyle w:val="Subsection"/>
      </w:pPr>
      <w:r>
        <w:tab/>
      </w:r>
      <w:r>
        <w:tab/>
        <w:t>the State, other than a relevant interest held subject to a trust; or</w:t>
      </w:r>
    </w:p>
    <w:p>
      <w:pPr>
        <w:pStyle w:val="BlankClose"/>
      </w:pPr>
    </w:p>
    <w:p>
      <w:pPr>
        <w:pStyle w:val="Subsection"/>
      </w:pPr>
      <w:r>
        <w:tab/>
        <w:t>(2)</w:t>
      </w:r>
      <w:r>
        <w:tab/>
        <w:t>In section 12(3)(a) delete “the State” and insert:</w:t>
      </w:r>
    </w:p>
    <w:p>
      <w:pPr>
        <w:pStyle w:val="BlankOpen"/>
      </w:pPr>
    </w:p>
    <w:p>
      <w:pPr>
        <w:pStyle w:val="Subsection"/>
      </w:pPr>
      <w:r>
        <w:tab/>
      </w:r>
      <w:r>
        <w:tab/>
        <w:t>the State, other than a relevant interest held subject to a trust,</w:t>
      </w:r>
    </w:p>
    <w:p>
      <w:pPr>
        <w:pStyle w:val="BlankClose"/>
      </w:pPr>
    </w:p>
    <w:p>
      <w:pPr>
        <w:pStyle w:val="Heading5"/>
      </w:pPr>
      <w:bookmarkStart w:id="19" w:name="_Toc499802592"/>
      <w:bookmarkStart w:id="20" w:name="_Toc500326401"/>
      <w:bookmarkStart w:id="21" w:name="_Toc500333294"/>
      <w:r>
        <w:rPr>
          <w:rStyle w:val="CharSectno"/>
        </w:rPr>
        <w:t>6</w:t>
      </w:r>
      <w:r>
        <w:t>.</w:t>
      </w:r>
      <w:r>
        <w:tab/>
        <w:t>Section 13B inserted</w:t>
      </w:r>
      <w:bookmarkEnd w:id="19"/>
      <w:bookmarkEnd w:id="20"/>
      <w:bookmarkEnd w:id="21"/>
    </w:p>
    <w:p>
      <w:pPr>
        <w:pStyle w:val="Subsection"/>
        <w:keepNext/>
      </w:pPr>
      <w:r>
        <w:tab/>
      </w:r>
      <w:r>
        <w:tab/>
        <w:t>At the end of Part 2 Division 2 insert:</w:t>
      </w:r>
    </w:p>
    <w:p>
      <w:pPr>
        <w:pStyle w:val="BlankOpen"/>
      </w:pPr>
    </w:p>
    <w:p>
      <w:pPr>
        <w:pStyle w:val="zHeading5"/>
      </w:pPr>
      <w:bookmarkStart w:id="22" w:name="_Toc499802593"/>
      <w:bookmarkStart w:id="23" w:name="_Toc500326402"/>
      <w:bookmarkStart w:id="24" w:name="_Toc500333295"/>
      <w:r>
        <w:t>13B.</w:t>
      </w:r>
      <w:r>
        <w:tab/>
        <w:t>Criterion 7 — applicant must not hold relevant interest as trustee</w:t>
      </w:r>
      <w:bookmarkEnd w:id="22"/>
      <w:bookmarkEnd w:id="23"/>
      <w:bookmarkEnd w:id="24"/>
    </w:p>
    <w:p>
      <w:pPr>
        <w:pStyle w:val="zSubsection"/>
      </w:pPr>
      <w:r>
        <w:tab/>
      </w:r>
      <w:r>
        <w:tab/>
        <w:t>An applicant is ineligible in relation to a transaction if the applicant owns or will, on completion of the transaction, own the home in circumstances where the applicant holds the relevant interest as a trustee.</w:t>
      </w:r>
    </w:p>
    <w:p>
      <w:pPr>
        <w:pStyle w:val="BlankClose"/>
      </w:pPr>
    </w:p>
    <w:p>
      <w:pPr>
        <w:pStyle w:val="Heading5"/>
      </w:pPr>
      <w:bookmarkStart w:id="25" w:name="_Toc499802594"/>
      <w:bookmarkStart w:id="26" w:name="_Toc500326403"/>
      <w:bookmarkStart w:id="27" w:name="_Toc500333296"/>
      <w:r>
        <w:rPr>
          <w:rStyle w:val="CharSectno"/>
        </w:rPr>
        <w:t>7</w:t>
      </w:r>
      <w:r>
        <w:t>.</w:t>
      </w:r>
      <w:r>
        <w:tab/>
        <w:t>Section 14AA amended</w:t>
      </w:r>
      <w:bookmarkEnd w:id="25"/>
      <w:bookmarkEnd w:id="26"/>
      <w:bookmarkEnd w:id="27"/>
    </w:p>
    <w:p>
      <w:pPr>
        <w:pStyle w:val="Subsection"/>
      </w:pPr>
      <w:r>
        <w:tab/>
      </w:r>
      <w:r>
        <w:tab/>
        <w:t>Delete section 14AA(2)(a) and insert:</w:t>
      </w:r>
    </w:p>
    <w:p>
      <w:pPr>
        <w:pStyle w:val="BlankOpen"/>
      </w:pPr>
    </w:p>
    <w:p>
      <w:pPr>
        <w:pStyle w:val="zIndenta"/>
      </w:pPr>
      <w:r>
        <w:tab/>
        <w:t>(a)</w:t>
      </w:r>
      <w:r>
        <w:tab/>
        <w:t>in the case of a contract for the purchase of a home — the purchaser acquires the relevant interest in land on which the home is built; or</w:t>
      </w:r>
    </w:p>
    <w:p>
      <w:pPr>
        <w:pStyle w:val="BlankClose"/>
      </w:pPr>
    </w:p>
    <w:p>
      <w:pPr>
        <w:pStyle w:val="Heading5"/>
      </w:pPr>
      <w:bookmarkStart w:id="28" w:name="_Toc499802595"/>
      <w:bookmarkStart w:id="29" w:name="_Toc500326404"/>
      <w:bookmarkStart w:id="30" w:name="_Toc500333297"/>
      <w:r>
        <w:rPr>
          <w:rStyle w:val="CharSectno"/>
        </w:rPr>
        <w:t>8</w:t>
      </w:r>
      <w:r>
        <w:t>.</w:t>
      </w:r>
      <w:r>
        <w:tab/>
        <w:t>Section 14A amended</w:t>
      </w:r>
      <w:bookmarkEnd w:id="28"/>
      <w:bookmarkEnd w:id="29"/>
      <w:bookmarkEnd w:id="30"/>
    </w:p>
    <w:p>
      <w:pPr>
        <w:pStyle w:val="Subsection"/>
      </w:pPr>
      <w:r>
        <w:tab/>
      </w:r>
      <w:r>
        <w:tab/>
        <w:t xml:space="preserve">In section 14A in the definition of </w:t>
      </w:r>
      <w:r>
        <w:rPr>
          <w:b/>
          <w:i/>
        </w:rPr>
        <w:t>relevant date</w:t>
      </w:r>
      <w:r>
        <w:t>:</w:t>
      </w:r>
    </w:p>
    <w:p>
      <w:pPr>
        <w:pStyle w:val="Indenta"/>
      </w:pPr>
      <w:r>
        <w:tab/>
        <w:t>(a)</w:t>
      </w:r>
      <w:r>
        <w:tab/>
        <w:t>in paragraph (d) delete “transaction;” and insert:</w:t>
      </w:r>
    </w:p>
    <w:p>
      <w:pPr>
        <w:pStyle w:val="BlankOpen"/>
      </w:pPr>
    </w:p>
    <w:p>
      <w:pPr>
        <w:pStyle w:val="Indenta"/>
      </w:pPr>
      <w:r>
        <w:tab/>
      </w:r>
      <w:r>
        <w:tab/>
        <w:t>transaction; or</w:t>
      </w:r>
    </w:p>
    <w:p>
      <w:pPr>
        <w:pStyle w:val="BlankClose"/>
      </w:pPr>
    </w:p>
    <w:p>
      <w:pPr>
        <w:pStyle w:val="Indenta"/>
      </w:pPr>
      <w:r>
        <w:tab/>
        <w:t>(b)</w:t>
      </w:r>
      <w:r>
        <w:tab/>
        <w:t>after paragraph (d) insert:</w:t>
      </w:r>
    </w:p>
    <w:p>
      <w:pPr>
        <w:pStyle w:val="BlankOpen"/>
      </w:pPr>
    </w:p>
    <w:p>
      <w:pPr>
        <w:pStyle w:val="zDefpara"/>
      </w:pPr>
      <w:r>
        <w:tab/>
        <w:t>(e)</w:t>
      </w:r>
      <w:r>
        <w:tab/>
        <w:t>in relation to a class 8 eligible transaction — 1 July 2019;</w:t>
      </w:r>
    </w:p>
    <w:p>
      <w:pPr>
        <w:pStyle w:val="BlankClose"/>
      </w:pPr>
    </w:p>
    <w:p>
      <w:pPr>
        <w:pStyle w:val="Heading5"/>
      </w:pPr>
      <w:bookmarkStart w:id="31" w:name="_Toc499802596"/>
      <w:bookmarkStart w:id="32" w:name="_Toc500326405"/>
      <w:bookmarkStart w:id="33" w:name="_Toc500333298"/>
      <w:r>
        <w:rPr>
          <w:rStyle w:val="CharSectno"/>
        </w:rPr>
        <w:t>9</w:t>
      </w:r>
      <w:r>
        <w:t>.</w:t>
      </w:r>
      <w:r>
        <w:tab/>
        <w:t>Section 14B amended</w:t>
      </w:r>
      <w:bookmarkEnd w:id="31"/>
      <w:bookmarkEnd w:id="32"/>
      <w:bookmarkEnd w:id="33"/>
    </w:p>
    <w:p>
      <w:pPr>
        <w:pStyle w:val="Subsection"/>
        <w:keepNext/>
      </w:pPr>
      <w:r>
        <w:tab/>
        <w:t>(1)</w:t>
      </w:r>
      <w:r>
        <w:tab/>
        <w:t>After section 14B(4B) insert:</w:t>
      </w:r>
    </w:p>
    <w:p>
      <w:pPr>
        <w:pStyle w:val="BlankOpen"/>
      </w:pPr>
    </w:p>
    <w:p>
      <w:pPr>
        <w:pStyle w:val="z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zIndenta"/>
      </w:pPr>
      <w:r>
        <w:tab/>
        <w:t>(a)</w:t>
      </w:r>
      <w:r>
        <w:tab/>
        <w:t>a contract for the purchase of a new home or a substantially renovated home; or</w:t>
      </w:r>
    </w:p>
    <w:p>
      <w:pPr>
        <w:pStyle w:val="zIndenta"/>
      </w:pPr>
      <w:r>
        <w:tab/>
        <w:t>(b)</w:t>
      </w:r>
      <w:r>
        <w:tab/>
        <w:t>a comprehensive home building contract for a new home if —</w:t>
      </w:r>
    </w:p>
    <w:p>
      <w:pPr>
        <w:pStyle w:val="zIndenti"/>
      </w:pPr>
      <w:r>
        <w:tab/>
        <w:t>(i)</w:t>
      </w:r>
      <w:r>
        <w:tab/>
        <w:t>the building work begins within 26 weeks after the commencement date; and</w:t>
      </w:r>
    </w:p>
    <w:p>
      <w:pPr>
        <w:pStyle w:val="z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zIndenta"/>
      </w:pPr>
      <w:r>
        <w:tab/>
      </w:r>
      <w:r>
        <w:tab/>
        <w:t>or</w:t>
      </w:r>
    </w:p>
    <w:p>
      <w:pPr>
        <w:pStyle w:val="zIndenta"/>
      </w:pPr>
      <w:r>
        <w:tab/>
        <w:t>(c)</w:t>
      </w:r>
      <w:r>
        <w:tab/>
        <w:t>the building of a new home by an owner builder if the eligible transaction is completed before the relevant date.</w:t>
      </w:r>
    </w:p>
    <w:p>
      <w:pPr>
        <w:pStyle w:val="BlankClose"/>
      </w:pPr>
    </w:p>
    <w:p>
      <w:pPr>
        <w:pStyle w:val="Subsection"/>
      </w:pPr>
      <w:r>
        <w:tab/>
        <w:t>(2)</w:t>
      </w:r>
      <w:r>
        <w:tab/>
        <w:t>Delete section 14B(4) and insert:</w:t>
      </w:r>
    </w:p>
    <w:p>
      <w:pPr>
        <w:pStyle w:val="BlankOpen"/>
      </w:pPr>
    </w:p>
    <w:p>
      <w:pPr>
        <w:pStyle w:val="zSubsection"/>
      </w:pPr>
      <w:r>
        <w:tab/>
        <w:t>(4)</w:t>
      </w:r>
      <w:r>
        <w:tab/>
        <w:t xml:space="preserve">If the Commissioner is satisfied that a delay in building work is caused by circumstances beyond the control of the parties, the Commissioner may extend — </w:t>
      </w:r>
    </w:p>
    <w:p>
      <w:pPr>
        <w:pStyle w:val="zIndenta"/>
      </w:pPr>
      <w:r>
        <w:tab/>
        <w:t>(a)</w:t>
      </w:r>
      <w:r>
        <w:tab/>
        <w:t>the period within which the building work is to begin under subsection (3)(b)(i), (4B)(b)(i) or (4C)(b)(i); or</w:t>
      </w:r>
    </w:p>
    <w:p>
      <w:pPr>
        <w:pStyle w:val="zIndenta"/>
      </w:pPr>
      <w:r>
        <w:tab/>
        <w:t>(b)</w:t>
      </w:r>
      <w:r>
        <w:tab/>
        <w:t>the period within which the building work is to be completed under subsection (3)(b)(ii), (3)(c), (4B)(b)(ii), (4B)(c), (4C)(b)(ii), (4C)(c) or (6)(a).</w:t>
      </w:r>
    </w:p>
    <w:p>
      <w:pPr>
        <w:pStyle w:val="BlankClose"/>
      </w:pPr>
    </w:p>
    <w:p>
      <w:pPr>
        <w:pStyle w:val="Subsection"/>
      </w:pPr>
      <w:r>
        <w:tab/>
        <w:t>(3)</w:t>
      </w:r>
      <w:r>
        <w:tab/>
        <w:t>In section 14B(6):</w:t>
      </w:r>
    </w:p>
    <w:p>
      <w:pPr>
        <w:pStyle w:val="Indenta"/>
      </w:pPr>
      <w:r>
        <w:tab/>
        <w:t>(a)</w:t>
      </w:r>
      <w:r>
        <w:tab/>
        <w:t>in paragraph (b)(ii) delete “transaction.” and insert:</w:t>
      </w:r>
    </w:p>
    <w:p>
      <w:pPr>
        <w:pStyle w:val="BlankOpen"/>
      </w:pPr>
    </w:p>
    <w:p>
      <w:pPr>
        <w:pStyle w:val="Indenta"/>
      </w:pPr>
      <w:r>
        <w:tab/>
      </w:r>
      <w:r>
        <w:tab/>
        <w:t>transaction; or</w:t>
      </w:r>
    </w:p>
    <w:p>
      <w:pPr>
        <w:pStyle w:val="BlankClose"/>
      </w:pPr>
    </w:p>
    <w:p>
      <w:pPr>
        <w:pStyle w:val="Indenta"/>
      </w:pPr>
      <w:r>
        <w:tab/>
        <w:t>(b)</w:t>
      </w:r>
      <w:r>
        <w:tab/>
        <w:t>after paragraph (b)(ii) insert:</w:t>
      </w:r>
    </w:p>
    <w:p>
      <w:pPr>
        <w:pStyle w:val="BlankOpen"/>
      </w:pPr>
    </w:p>
    <w:p>
      <w:pPr>
        <w:pStyle w:val="zIndenti"/>
      </w:pPr>
      <w:r>
        <w:tab/>
        <w:t>(iii)</w:t>
      </w:r>
      <w:r>
        <w:tab/>
        <w:t>before 1 January 2017, in respect of a class 8 eligible transaction.</w:t>
      </w:r>
    </w:p>
    <w:p>
      <w:pPr>
        <w:pStyle w:val="BlankClose"/>
      </w:pPr>
    </w:p>
    <w:p>
      <w:pPr>
        <w:pStyle w:val="Heading5"/>
      </w:pPr>
      <w:bookmarkStart w:id="34" w:name="_Toc499802597"/>
      <w:bookmarkStart w:id="35" w:name="_Toc500326406"/>
      <w:bookmarkStart w:id="36" w:name="_Toc500333299"/>
      <w:r>
        <w:rPr>
          <w:rStyle w:val="CharSectno"/>
        </w:rPr>
        <w:t>10</w:t>
      </w:r>
      <w:r>
        <w:t>.</w:t>
      </w:r>
      <w:r>
        <w:tab/>
        <w:t>Section 19 amended</w:t>
      </w:r>
      <w:bookmarkEnd w:id="34"/>
      <w:bookmarkEnd w:id="35"/>
      <w:bookmarkEnd w:id="36"/>
    </w:p>
    <w:p>
      <w:pPr>
        <w:pStyle w:val="Subsection"/>
      </w:pPr>
      <w:r>
        <w:tab/>
      </w:r>
      <w:r>
        <w:tab/>
        <w:t xml:space="preserve">In section 19(3) in the definition of </w:t>
      </w:r>
      <w:r>
        <w:rPr>
          <w:b/>
          <w:i/>
        </w:rPr>
        <w:t>relevant amount</w:t>
      </w:r>
      <w:r>
        <w:t>:</w:t>
      </w:r>
    </w:p>
    <w:p>
      <w:pPr>
        <w:pStyle w:val="Indenta"/>
      </w:pPr>
      <w:r>
        <w:tab/>
        <w:t>(a)</w:t>
      </w:r>
      <w:r>
        <w:tab/>
        <w:t>in paragraph (f) delete “$14 000.” and insert:</w:t>
      </w:r>
    </w:p>
    <w:p>
      <w:pPr>
        <w:pStyle w:val="BlankOpen"/>
      </w:pPr>
    </w:p>
    <w:p>
      <w:pPr>
        <w:pStyle w:val="Indenta"/>
      </w:pPr>
      <w:r>
        <w:tab/>
      </w:r>
      <w:r>
        <w:tab/>
        <w:t>$14 000; or</w:t>
      </w:r>
    </w:p>
    <w:p>
      <w:pPr>
        <w:pStyle w:val="BlankClose"/>
      </w:pPr>
    </w:p>
    <w:p>
      <w:pPr>
        <w:pStyle w:val="Indenta"/>
      </w:pPr>
      <w:r>
        <w:tab/>
        <w:t>(b)</w:t>
      </w:r>
      <w:r>
        <w:tab/>
        <w:t>after paragraph (f) insert:</w:t>
      </w:r>
    </w:p>
    <w:p>
      <w:pPr>
        <w:pStyle w:val="BlankOpen"/>
      </w:pPr>
    </w:p>
    <w:p>
      <w:pPr>
        <w:pStyle w:val="zIndenta"/>
      </w:pPr>
      <w:r>
        <w:tab/>
        <w:t>(g)</w:t>
      </w:r>
      <w:r>
        <w:tab/>
        <w:t>in the case of a class 8 eligible transaction within the meaning of section 14B — $15 000.</w:t>
      </w:r>
    </w:p>
    <w:p>
      <w:pPr>
        <w:pStyle w:val="BlankClose"/>
      </w:pPr>
    </w:p>
    <w:p>
      <w:pPr>
        <w:pStyle w:val="Heading5"/>
      </w:pPr>
      <w:bookmarkStart w:id="37" w:name="_Toc499802598"/>
      <w:bookmarkStart w:id="38" w:name="_Toc500326407"/>
      <w:bookmarkStart w:id="39" w:name="_Toc500333300"/>
      <w:r>
        <w:rPr>
          <w:rStyle w:val="CharSectno"/>
        </w:rPr>
        <w:t>11</w:t>
      </w:r>
      <w:r>
        <w:t>.</w:t>
      </w:r>
      <w:r>
        <w:tab/>
        <w:t>Section 22 amended</w:t>
      </w:r>
      <w:bookmarkEnd w:id="37"/>
      <w:bookmarkEnd w:id="38"/>
      <w:bookmarkEnd w:id="39"/>
    </w:p>
    <w:p>
      <w:pPr>
        <w:pStyle w:val="Subsection"/>
      </w:pPr>
      <w:r>
        <w:tab/>
      </w:r>
      <w:r>
        <w:tab/>
        <w:t>In section 22(2)(b) after “repay” insert:</w:t>
      </w:r>
    </w:p>
    <w:p>
      <w:pPr>
        <w:pStyle w:val="BlankOpen"/>
      </w:pPr>
    </w:p>
    <w:p>
      <w:pPr>
        <w:pStyle w:val="Subsection"/>
      </w:pPr>
      <w:r>
        <w:tab/>
      </w:r>
      <w:r>
        <w:tab/>
        <w:t>the whole or part of</w:t>
      </w:r>
    </w:p>
    <w:p>
      <w:pPr>
        <w:pStyle w:val="BlankClose"/>
      </w:pPr>
    </w:p>
    <w:p>
      <w:pPr>
        <w:pStyle w:val="Heading5"/>
      </w:pPr>
      <w:bookmarkStart w:id="40" w:name="_Toc499802599"/>
      <w:bookmarkStart w:id="41" w:name="_Toc500326408"/>
      <w:bookmarkStart w:id="42" w:name="_Toc500333301"/>
      <w:r>
        <w:rPr>
          <w:rStyle w:val="CharSectno"/>
        </w:rPr>
        <w:t>12</w:t>
      </w:r>
      <w:r>
        <w:t>.</w:t>
      </w:r>
      <w:r>
        <w:tab/>
        <w:t>Section 26 amended</w:t>
      </w:r>
      <w:bookmarkEnd w:id="40"/>
      <w:bookmarkEnd w:id="41"/>
      <w:bookmarkEnd w:id="42"/>
    </w:p>
    <w:p>
      <w:pPr>
        <w:pStyle w:val="Subsection"/>
      </w:pPr>
      <w:r>
        <w:tab/>
      </w:r>
      <w:r>
        <w:tab/>
        <w:t xml:space="preserve">In section 26 in the definition of </w:t>
      </w:r>
      <w:r>
        <w:rPr>
          <w:b/>
          <w:i/>
        </w:rPr>
        <w:t>decision on the application</w:t>
      </w:r>
      <w:r>
        <w:t>:</w:t>
      </w:r>
    </w:p>
    <w:p>
      <w:pPr>
        <w:pStyle w:val="Indenta"/>
      </w:pPr>
      <w:r>
        <w:tab/>
        <w:t>(a)</w:t>
      </w:r>
      <w:r>
        <w:tab/>
        <w:t>in paragraph (d) delete “(3);” and insert:</w:t>
      </w:r>
    </w:p>
    <w:p>
      <w:pPr>
        <w:pStyle w:val="BlankOpen"/>
      </w:pPr>
    </w:p>
    <w:p>
      <w:pPr>
        <w:pStyle w:val="Indenta"/>
      </w:pPr>
      <w:r>
        <w:tab/>
      </w:r>
      <w:r>
        <w:tab/>
        <w:t>(3); and</w:t>
      </w:r>
    </w:p>
    <w:p/>
    <w:p>
      <w:pPr>
        <w:pStyle w:val="Indenta"/>
      </w:pPr>
      <w:r>
        <w:tab/>
        <w:t>(b)</w:t>
      </w:r>
      <w:r>
        <w:tab/>
        <w:t>after paragraph (d) insert:</w:t>
      </w:r>
    </w:p>
    <w:p>
      <w:pPr>
        <w:pStyle w:val="BlankOpen"/>
      </w:pPr>
    </w:p>
    <w:p>
      <w:pPr>
        <w:pStyle w:val="zIndenta"/>
      </w:pPr>
      <w:r>
        <w:tab/>
        <w:t>(e)</w:t>
      </w:r>
      <w:r>
        <w:tab/>
        <w:t>a requirement under section 52A(1) to pay an amount of legal costs incurred by the Commissioner;</w:t>
      </w:r>
    </w:p>
    <w:p>
      <w:pPr>
        <w:pStyle w:val="BlankClose"/>
      </w:pPr>
    </w:p>
    <w:p>
      <w:pPr>
        <w:pStyle w:val="Heading5"/>
      </w:pPr>
      <w:bookmarkStart w:id="43" w:name="_Toc499802600"/>
      <w:bookmarkStart w:id="44" w:name="_Toc500326409"/>
      <w:bookmarkStart w:id="45" w:name="_Toc500333302"/>
      <w:r>
        <w:rPr>
          <w:rStyle w:val="CharSectno"/>
        </w:rPr>
        <w:t>13</w:t>
      </w:r>
      <w:r>
        <w:t>.</w:t>
      </w:r>
      <w:r>
        <w:tab/>
        <w:t>Section 28 amended</w:t>
      </w:r>
      <w:bookmarkEnd w:id="43"/>
      <w:bookmarkEnd w:id="44"/>
      <w:bookmarkEnd w:id="45"/>
    </w:p>
    <w:p>
      <w:pPr>
        <w:pStyle w:val="Subsection"/>
      </w:pPr>
      <w:r>
        <w:tab/>
      </w:r>
      <w:r>
        <w:tab/>
        <w:t>In section 28(1):</w:t>
      </w:r>
    </w:p>
    <w:p>
      <w:pPr>
        <w:pStyle w:val="Indenta"/>
      </w:pPr>
      <w:r>
        <w:tab/>
        <w:t>(a)</w:t>
      </w:r>
      <w:r>
        <w:tab/>
        <w:t>in paragraph (b)(ii) delete “Assent.” and insert:</w:t>
      </w:r>
    </w:p>
    <w:p>
      <w:pPr>
        <w:pStyle w:val="BlankOpen"/>
      </w:pPr>
    </w:p>
    <w:p>
      <w:pPr>
        <w:pStyle w:val="Indenta"/>
      </w:pPr>
      <w:r>
        <w:tab/>
      </w:r>
      <w:r>
        <w:tab/>
        <w:t>Assent;</w:t>
      </w:r>
    </w:p>
    <w:p>
      <w:pPr>
        <w:pStyle w:val="BlankClose"/>
      </w:pPr>
    </w:p>
    <w:p>
      <w:pPr>
        <w:pStyle w:val="Indenta"/>
      </w:pPr>
      <w:r>
        <w:tab/>
        <w:t>(b)</w:t>
      </w:r>
      <w:r>
        <w:tab/>
        <w:t>after paragraph (b) insert:</w:t>
      </w:r>
    </w:p>
    <w:p>
      <w:pPr>
        <w:pStyle w:val="BlankOpen"/>
      </w:pPr>
    </w:p>
    <w:p>
      <w:pPr>
        <w:pStyle w:val="zIndenta"/>
      </w:pPr>
      <w:r>
        <w:tab/>
      </w:r>
      <w:r>
        <w:tab/>
        <w:t>or</w:t>
      </w:r>
    </w:p>
    <w:p>
      <w:pPr>
        <w:pStyle w:val="zIndenta"/>
      </w:pPr>
      <w:r>
        <w:tab/>
        <w:t>(c)</w:t>
      </w:r>
      <w:r>
        <w:tab/>
        <w:t xml:space="preserve">in the case of a class 8 eligible transaction within the meaning of section 14B, within 60 days after the later of — </w:t>
      </w:r>
    </w:p>
    <w:p>
      <w:pPr>
        <w:pStyle w:val="zIndenti"/>
      </w:pPr>
      <w:r>
        <w:tab/>
        <w:t>(i)</w:t>
      </w:r>
      <w:r>
        <w:tab/>
        <w:t>the date on which notice of the decision is given to the objector; or</w:t>
      </w:r>
    </w:p>
    <w:p>
      <w:pPr>
        <w:pStyle w:val="zIndenti"/>
        <w:keepNext/>
      </w:pPr>
      <w:r>
        <w:tab/>
        <w:t>(ii)</w:t>
      </w:r>
      <w:r>
        <w:tab/>
        <w:t xml:space="preserve">the day on which the </w:t>
      </w:r>
      <w:r>
        <w:rPr>
          <w:i/>
        </w:rPr>
        <w:t>First Home Owner Grant Amendment Act 2017</w:t>
      </w:r>
      <w:r>
        <w:t xml:space="preserve"> receives the Royal Assent.</w:t>
      </w:r>
    </w:p>
    <w:p>
      <w:pPr>
        <w:pStyle w:val="BlankClose"/>
      </w:pPr>
    </w:p>
    <w:p>
      <w:pPr>
        <w:pStyle w:val="Heading5"/>
      </w:pPr>
      <w:bookmarkStart w:id="46" w:name="_Toc499802601"/>
      <w:bookmarkStart w:id="47" w:name="_Toc500326410"/>
      <w:bookmarkStart w:id="48" w:name="_Toc500333303"/>
      <w:r>
        <w:rPr>
          <w:rStyle w:val="CharSectno"/>
        </w:rPr>
        <w:t>14</w:t>
      </w:r>
      <w:r>
        <w:t>.</w:t>
      </w:r>
      <w:r>
        <w:tab/>
        <w:t>Section 30 amended</w:t>
      </w:r>
      <w:bookmarkEnd w:id="46"/>
      <w:bookmarkEnd w:id="47"/>
      <w:bookmarkEnd w:id="48"/>
    </w:p>
    <w:p>
      <w:pPr>
        <w:pStyle w:val="Subsection"/>
      </w:pPr>
      <w:r>
        <w:tab/>
      </w:r>
      <w:r>
        <w:tab/>
        <w:t>After section 30(5) insert:</w:t>
      </w:r>
    </w:p>
    <w:p>
      <w:pPr>
        <w:pStyle w:val="BlankClose"/>
        <w:keepNext/>
      </w:pPr>
    </w:p>
    <w:p>
      <w:pPr>
        <w:pStyle w:val="zSubsection"/>
        <w:spacing w:before="80"/>
      </w:pPr>
      <w:r>
        <w:tab/>
        <w:t>(6)</w:t>
      </w:r>
      <w:r>
        <w:tab/>
        <w:t xml:space="preserve">If, as the result of a decision on an objection, an amount of legal costs paid by an applicant is to be repaid to the applicant, the following amounts are payable to the applicant —  </w:t>
      </w:r>
    </w:p>
    <w:p>
      <w:pPr>
        <w:pStyle w:val="zIndenta"/>
        <w:keepLines/>
      </w:pPr>
      <w:r>
        <w:tab/>
        <w:t>(a)</w:t>
      </w:r>
      <w:r>
        <w:tab/>
        <w:t>the amount of legal costs to be repaid;</w:t>
      </w:r>
    </w:p>
    <w:p>
      <w:pPr>
        <w:pStyle w:val="zIndenta"/>
        <w:keepLines/>
      </w:pPr>
      <w:r>
        <w:tab/>
        <w:t>(b)</w:t>
      </w:r>
      <w:r>
        <w:tab/>
        <w:t>any interest paid by the applicant in respect of a written arrangement approved by the Commissioner under section 52 that relates to an amount referred to in paragraph (a);</w:t>
      </w:r>
    </w:p>
    <w:p>
      <w:pPr>
        <w:pStyle w:val="zIndenta"/>
        <w:keepLines/>
      </w:pPr>
      <w:r>
        <w:tab/>
        <w:t>(c)</w:t>
      </w:r>
      <w:r>
        <w:tab/>
        <w:t>interest at the prescribed rate on the amounts payable to the applicant under paragraphs (a) and (b) from the date the amount was paid by the applicant to the date approved for the repayment.</w:t>
      </w:r>
    </w:p>
    <w:p>
      <w:pPr>
        <w:pStyle w:val="BlankClose"/>
        <w:keepNext/>
      </w:pPr>
    </w:p>
    <w:p>
      <w:pPr>
        <w:pStyle w:val="Heading5"/>
      </w:pPr>
      <w:bookmarkStart w:id="49" w:name="_Toc499802602"/>
      <w:bookmarkStart w:id="50" w:name="_Toc500326411"/>
      <w:bookmarkStart w:id="51" w:name="_Toc500333304"/>
      <w:r>
        <w:rPr>
          <w:rStyle w:val="CharSectno"/>
        </w:rPr>
        <w:t>15</w:t>
      </w:r>
      <w:r>
        <w:t>.</w:t>
      </w:r>
      <w:r>
        <w:tab/>
        <w:t>Section 32 amended</w:t>
      </w:r>
      <w:bookmarkEnd w:id="49"/>
      <w:bookmarkEnd w:id="50"/>
      <w:bookmarkEnd w:id="51"/>
    </w:p>
    <w:p>
      <w:pPr>
        <w:pStyle w:val="Subsection"/>
      </w:pPr>
      <w:r>
        <w:tab/>
      </w:r>
      <w:r>
        <w:tab/>
        <w:t>After section 32(4) insert:</w:t>
      </w:r>
    </w:p>
    <w:p>
      <w:pPr>
        <w:pStyle w:val="BlankClose"/>
        <w:keepNext/>
      </w:pPr>
    </w:p>
    <w:p>
      <w:pPr>
        <w:pStyle w:val="zSubsection"/>
        <w:spacing w:before="80"/>
      </w:pPr>
      <w:r>
        <w:tab/>
        <w:t>(5)</w:t>
      </w:r>
      <w:r>
        <w:tab/>
        <w:t xml:space="preserve">If, as the result of an application for a review of a decision, an amount of legal costs paid by an applicant is to be repaid to the applicant, the following amounts are payable to the applicant — </w:t>
      </w:r>
    </w:p>
    <w:p>
      <w:pPr>
        <w:pStyle w:val="zIndenta"/>
        <w:keepLines/>
      </w:pPr>
      <w:r>
        <w:tab/>
        <w:t>(a)</w:t>
      </w:r>
      <w:r>
        <w:tab/>
        <w:t>the amount of legal costs to be repaid;</w:t>
      </w:r>
    </w:p>
    <w:p>
      <w:pPr>
        <w:pStyle w:val="zIndenta"/>
        <w:keepLines/>
      </w:pPr>
      <w:r>
        <w:tab/>
        <w:t>(b)</w:t>
      </w:r>
      <w:r>
        <w:tab/>
        <w:t>any interest paid by the applicant in respect of a written arrangement approved by the Commissioner under section 52 that relates to an amount referred to in paragraph (a);</w:t>
      </w:r>
    </w:p>
    <w:p>
      <w:pPr>
        <w:pStyle w:val="zIndenta"/>
      </w:pPr>
      <w:r>
        <w:tab/>
        <w:t>(c)</w:t>
      </w:r>
      <w:r>
        <w:tab/>
        <w:t>interest at the prescribed rate on the amounts payable to the applicant under paragraphs (a) and (b) from the date the amount was paid by the applicant to the date approved for the repayment.</w:t>
      </w:r>
    </w:p>
    <w:p>
      <w:pPr>
        <w:pStyle w:val="BlankClose"/>
        <w:keepNext/>
      </w:pPr>
    </w:p>
    <w:p>
      <w:pPr>
        <w:pStyle w:val="Heading5"/>
      </w:pPr>
      <w:bookmarkStart w:id="52" w:name="_Toc499802603"/>
      <w:bookmarkStart w:id="53" w:name="_Toc500326412"/>
      <w:bookmarkStart w:id="54" w:name="_Toc500333305"/>
      <w:r>
        <w:rPr>
          <w:rStyle w:val="CharSectno"/>
        </w:rPr>
        <w:t>16</w:t>
      </w:r>
      <w:r>
        <w:t>.</w:t>
      </w:r>
      <w:r>
        <w:tab/>
        <w:t>Section 51 amended</w:t>
      </w:r>
      <w:bookmarkEnd w:id="52"/>
      <w:bookmarkEnd w:id="53"/>
      <w:bookmarkEnd w:id="54"/>
    </w:p>
    <w:p>
      <w:pPr>
        <w:pStyle w:val="Subsection"/>
      </w:pPr>
      <w:r>
        <w:tab/>
        <w:t>(1)</w:t>
      </w:r>
      <w:r>
        <w:tab/>
        <w:t>In section 51(1):</w:t>
      </w:r>
    </w:p>
    <w:p>
      <w:pPr>
        <w:pStyle w:val="Indenta"/>
      </w:pPr>
      <w:r>
        <w:tab/>
        <w:t>(a)</w:t>
      </w:r>
      <w:r>
        <w:tab/>
        <w:t>in paragraph (c) delete “condition.” and insert:</w:t>
      </w:r>
    </w:p>
    <w:p>
      <w:pPr>
        <w:pStyle w:val="BlankOpen"/>
      </w:pPr>
    </w:p>
    <w:p>
      <w:pPr>
        <w:pStyle w:val="Indenta"/>
      </w:pPr>
      <w:r>
        <w:tab/>
      </w:r>
      <w:r>
        <w:tab/>
        <w:t>condition; or</w:t>
      </w:r>
    </w:p>
    <w:p>
      <w:pPr>
        <w:pStyle w:val="BlankClose"/>
      </w:pPr>
    </w:p>
    <w:p>
      <w:pPr>
        <w:pStyle w:val="Indenta"/>
      </w:pPr>
      <w:r>
        <w:tab/>
        <w:t>(b)</w:t>
      </w:r>
      <w:r>
        <w:tab/>
        <w:t>after paragraph (c) insert:</w:t>
      </w:r>
    </w:p>
    <w:p>
      <w:pPr>
        <w:pStyle w:val="BlankOpen"/>
      </w:pPr>
    </w:p>
    <w:p>
      <w:pPr>
        <w:pStyle w:val="zIndenta"/>
        <w:keepLines/>
      </w:pPr>
      <w:r>
        <w:tab/>
        <w:t>(d)</w:t>
      </w:r>
      <w:r>
        <w:tab/>
        <w:t>the amount was paid on the basis that the eligible transaction was of a class referred to in section 14B but the eligible transaction is not of such a class.</w:t>
      </w:r>
    </w:p>
    <w:p>
      <w:pPr>
        <w:pStyle w:val="BlankClose"/>
      </w:pPr>
    </w:p>
    <w:p>
      <w:pPr>
        <w:pStyle w:val="Subsection"/>
      </w:pPr>
      <w:r>
        <w:tab/>
        <w:t>(2)</w:t>
      </w:r>
      <w:r>
        <w:tab/>
        <w:t>After section 51(1) insert:</w:t>
      </w:r>
    </w:p>
    <w:p>
      <w:pPr>
        <w:pStyle w:val="BlankOpen"/>
      </w:pPr>
    </w:p>
    <w:p>
      <w:pPr>
        <w:pStyle w:val="zSubsection"/>
      </w:pPr>
      <w:r>
        <w:tab/>
        <w:t>(1A)</w:t>
      </w:r>
      <w:r>
        <w:tab/>
        <w:t xml:space="preserve">For the purposes of subsection (1)(d), the amount that the Commissioner may require an applicant to repay is — </w:t>
      </w:r>
    </w:p>
    <w:p>
      <w:pPr>
        <w:pStyle w:val="zIndenta"/>
      </w:pPr>
      <w:r>
        <w:tab/>
        <w:t>(a)</w:t>
      </w:r>
      <w:r>
        <w:tab/>
        <w:t>if the amount paid on the application was more than the standard grant amount — the difference between those amounts; or</w:t>
      </w:r>
    </w:p>
    <w:p>
      <w:pPr>
        <w:pStyle w:val="zIndenta"/>
      </w:pPr>
      <w:r>
        <w:tab/>
        <w:t>(b)</w:t>
      </w:r>
      <w:r>
        <w:tab/>
        <w:t>if the amount paid on the application was equal to or less than the standard grant amount — nil.</w:t>
      </w:r>
    </w:p>
    <w:p>
      <w:pPr>
        <w:pStyle w:val="zSubsection"/>
      </w:pPr>
      <w:r>
        <w:tab/>
        <w:t>(1B)</w:t>
      </w:r>
      <w:r>
        <w:tab/>
        <w:t xml:space="preserve">In subsection (1A) — </w:t>
      </w:r>
    </w:p>
    <w:p>
      <w:pPr>
        <w:pStyle w:val="zDefstart"/>
      </w:pPr>
      <w:r>
        <w:tab/>
      </w:r>
      <w:r>
        <w:rPr>
          <w:rStyle w:val="CharDefText"/>
        </w:rPr>
        <w:t>standard grant amount</w:t>
      </w:r>
      <w:r>
        <w:t>, in relation to an eligible transaction, means the amount of the first home owner grant payable in respect of the transaction under section 19(2A) to (2C).</w:t>
      </w:r>
    </w:p>
    <w:p>
      <w:pPr>
        <w:pStyle w:val="BlankClose"/>
      </w:pPr>
    </w:p>
    <w:p>
      <w:pPr>
        <w:pStyle w:val="Subsection"/>
      </w:pPr>
      <w:r>
        <w:tab/>
        <w:t>(3)</w:t>
      </w:r>
      <w:r>
        <w:tab/>
        <w:t>In section 51(1) after paragraph (a) insert:</w:t>
      </w:r>
    </w:p>
    <w:p>
      <w:pPr>
        <w:pStyle w:val="BlankOpen"/>
      </w:pPr>
    </w:p>
    <w:p>
      <w:pPr>
        <w:pStyle w:val="Subsection"/>
      </w:pPr>
      <w:r>
        <w:tab/>
      </w:r>
      <w:r>
        <w:tab/>
        <w:t>or</w:t>
      </w:r>
    </w:p>
    <w:p>
      <w:pPr>
        <w:pStyle w:val="BlankClose"/>
      </w:pPr>
    </w:p>
    <w:p>
      <w:pPr>
        <w:pStyle w:val="Heading5"/>
      </w:pPr>
      <w:bookmarkStart w:id="55" w:name="_Toc499802604"/>
      <w:bookmarkStart w:id="56" w:name="_Toc500326413"/>
      <w:bookmarkStart w:id="57" w:name="_Toc500333306"/>
      <w:r>
        <w:rPr>
          <w:rStyle w:val="CharSectno"/>
        </w:rPr>
        <w:t>17</w:t>
      </w:r>
      <w:r>
        <w:t>.</w:t>
      </w:r>
      <w:r>
        <w:tab/>
        <w:t>Section 52 amended</w:t>
      </w:r>
      <w:bookmarkEnd w:id="55"/>
      <w:bookmarkEnd w:id="56"/>
      <w:bookmarkEnd w:id="57"/>
    </w:p>
    <w:p>
      <w:pPr>
        <w:pStyle w:val="Subsection"/>
      </w:pPr>
      <w:r>
        <w:tab/>
        <w:t>(1)</w:t>
      </w:r>
      <w:r>
        <w:tab/>
        <w:t>Before section 52(1) insert:</w:t>
      </w:r>
    </w:p>
    <w:p>
      <w:pPr>
        <w:pStyle w:val="BlankOpen"/>
      </w:pPr>
    </w:p>
    <w:p>
      <w:pPr>
        <w:pStyle w:val="zSubsection"/>
      </w:pPr>
      <w:r>
        <w:tab/>
        <w:t>(1A)</w:t>
      </w:r>
      <w:r>
        <w:tab/>
        <w:t xml:space="preserve">In this section — </w:t>
      </w:r>
    </w:p>
    <w:p>
      <w:pPr>
        <w:pStyle w:val="zDefstart"/>
      </w:pPr>
      <w:r>
        <w:tab/>
      </w:r>
      <w:r>
        <w:rPr>
          <w:rStyle w:val="CharDefText"/>
        </w:rPr>
        <w:t>required repayment</w:t>
      </w:r>
      <w:r>
        <w:t xml:space="preserve"> means any of the following — </w:t>
      </w:r>
    </w:p>
    <w:p>
      <w:pPr>
        <w:pStyle w:val="zDefpara"/>
      </w:pPr>
      <w:r>
        <w:tab/>
        <w:t>(a)</w:t>
      </w:r>
      <w:r>
        <w:tab/>
        <w:t>a repayment required, or a penalty imposed, under section 18, 21 or 51;</w:t>
      </w:r>
    </w:p>
    <w:p>
      <w:pPr>
        <w:pStyle w:val="zDefpara"/>
        <w:keepNext/>
        <w:keepLines/>
      </w:pPr>
      <w:r>
        <w:tab/>
        <w:t>(b)</w:t>
      </w:r>
      <w:r>
        <w:tab/>
        <w:t>a payment required under section 52A(1) or 60(1).</w:t>
      </w:r>
    </w:p>
    <w:p>
      <w:pPr>
        <w:pStyle w:val="BlankClose"/>
        <w:keepNext/>
      </w:pPr>
    </w:p>
    <w:p>
      <w:pPr>
        <w:pStyle w:val="Subsection"/>
      </w:pPr>
      <w:r>
        <w:tab/>
        <w:t>(2)</w:t>
      </w:r>
      <w:r>
        <w:tab/>
        <w:t xml:space="preserve">In section 52(1)(a) delete “repayment required, or a penalty imposed, under section 18, 21 or 51 (a </w:t>
      </w:r>
      <w:r>
        <w:rPr>
          <w:b/>
          <w:i/>
        </w:rPr>
        <w:t>required repayment</w:t>
      </w:r>
      <w:r>
        <w:t>); or” and insert:</w:t>
      </w:r>
    </w:p>
    <w:p>
      <w:pPr>
        <w:pStyle w:val="BlankOpen"/>
      </w:pPr>
    </w:p>
    <w:p>
      <w:pPr>
        <w:pStyle w:val="Subsection"/>
      </w:pPr>
      <w:r>
        <w:tab/>
      </w:r>
      <w:r>
        <w:tab/>
        <w:t>required repayment; or</w:t>
      </w:r>
    </w:p>
    <w:p>
      <w:pPr>
        <w:pStyle w:val="BlankClose"/>
      </w:pPr>
    </w:p>
    <w:p>
      <w:pPr>
        <w:pStyle w:val="Heading5"/>
      </w:pPr>
      <w:bookmarkStart w:id="58" w:name="_Toc499802605"/>
      <w:bookmarkStart w:id="59" w:name="_Toc500326414"/>
      <w:bookmarkStart w:id="60" w:name="_Toc500333307"/>
      <w:r>
        <w:rPr>
          <w:rStyle w:val="CharSectno"/>
        </w:rPr>
        <w:t>18</w:t>
      </w:r>
      <w:r>
        <w:t>.</w:t>
      </w:r>
      <w:r>
        <w:tab/>
        <w:t>Section 52A inserted</w:t>
      </w:r>
      <w:bookmarkEnd w:id="58"/>
      <w:bookmarkEnd w:id="59"/>
      <w:bookmarkEnd w:id="60"/>
    </w:p>
    <w:p>
      <w:pPr>
        <w:pStyle w:val="Subsection"/>
      </w:pPr>
      <w:r>
        <w:tab/>
      </w:r>
      <w:r>
        <w:tab/>
        <w:t>After section 52 insert:</w:t>
      </w:r>
    </w:p>
    <w:p>
      <w:pPr>
        <w:pStyle w:val="BlankOpen"/>
      </w:pPr>
    </w:p>
    <w:p>
      <w:pPr>
        <w:pStyle w:val="zHeading5"/>
      </w:pPr>
      <w:bookmarkStart w:id="61" w:name="_Toc499802606"/>
      <w:bookmarkStart w:id="62" w:name="_Toc500326415"/>
      <w:bookmarkStart w:id="63" w:name="_Toc500333308"/>
      <w:r>
        <w:t>52A.</w:t>
      </w:r>
      <w:r>
        <w:tab/>
        <w:t>Commissioner may recover legal costs</w:t>
      </w:r>
      <w:bookmarkEnd w:id="61"/>
      <w:bookmarkEnd w:id="62"/>
      <w:bookmarkEnd w:id="63"/>
    </w:p>
    <w:p>
      <w:pPr>
        <w:pStyle w:val="z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zSubsection"/>
      </w:pPr>
      <w:r>
        <w:tab/>
        <w:t>(2)</w:t>
      </w:r>
      <w:r>
        <w:tab/>
        <w:t>Subject to any arrangement made under section 52, a payment required under subsection (1) must be paid by the applicant within 28 days after the date on which notice of the requirement is given to the applicant.</w:t>
      </w:r>
    </w:p>
    <w:p>
      <w:pPr>
        <w:pStyle w:val="zSubsection"/>
      </w:pPr>
      <w:r>
        <w:tab/>
        <w:t>(3)</w:t>
      </w:r>
      <w:r>
        <w:tab/>
        <w:t xml:space="preserve">If the notice covers legal costs as defined in the </w:t>
      </w:r>
      <w:r>
        <w:rPr>
          <w:i/>
        </w:rPr>
        <w:t>Legal Profession Act 2008</w:t>
      </w:r>
      <w:r>
        <w:t xml:space="preserve"> section 3 — </w:t>
      </w:r>
    </w:p>
    <w:p>
      <w:pPr>
        <w:pStyle w:val="z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zIndenta"/>
      </w:pPr>
      <w:r>
        <w:tab/>
        <w:t>(b)</w:t>
      </w:r>
      <w:r>
        <w:tab/>
        <w:t>the Commissioner must not commence proceedings to recover those costs until at least 30 days after the date on which the notice is given to the applicant.</w:t>
      </w:r>
    </w:p>
    <w:p>
      <w:pPr>
        <w:pStyle w:val="BlankClose"/>
      </w:pPr>
    </w:p>
    <w:p>
      <w:pPr>
        <w:pStyle w:val="Heading5"/>
      </w:pPr>
      <w:bookmarkStart w:id="64" w:name="_Toc499802607"/>
      <w:bookmarkStart w:id="65" w:name="_Toc500326416"/>
      <w:bookmarkStart w:id="66" w:name="_Toc500333309"/>
      <w:r>
        <w:rPr>
          <w:rStyle w:val="CharSectno"/>
        </w:rPr>
        <w:t>19</w:t>
      </w:r>
      <w:r>
        <w:t>.</w:t>
      </w:r>
      <w:r>
        <w:tab/>
        <w:t>Section 53 amended</w:t>
      </w:r>
      <w:bookmarkEnd w:id="64"/>
      <w:bookmarkEnd w:id="65"/>
      <w:bookmarkEnd w:id="66"/>
    </w:p>
    <w:p>
      <w:pPr>
        <w:pStyle w:val="Subsection"/>
      </w:pPr>
      <w:r>
        <w:tab/>
        <w:t>(1)</w:t>
      </w:r>
      <w:r>
        <w:tab/>
        <w:t>In section 53(1):</w:t>
      </w:r>
    </w:p>
    <w:p>
      <w:pPr>
        <w:pStyle w:val="Indenta"/>
      </w:pPr>
      <w:r>
        <w:tab/>
        <w:t>(a)</w:t>
      </w:r>
      <w:r>
        <w:tab/>
        <w:t>delete “to —” and insert:</w:t>
      </w:r>
    </w:p>
    <w:p>
      <w:pPr>
        <w:pStyle w:val="BlankOpen"/>
      </w:pPr>
    </w:p>
    <w:p>
      <w:pPr>
        <w:pStyle w:val="Indenta"/>
      </w:pPr>
      <w:r>
        <w:tab/>
      </w:r>
      <w:r>
        <w:tab/>
        <w:t>to the following amounts —</w:t>
      </w:r>
    </w:p>
    <w:p>
      <w:pPr>
        <w:pStyle w:val="BlankClose"/>
      </w:pPr>
    </w:p>
    <w:p>
      <w:pPr>
        <w:pStyle w:val="Indenta"/>
        <w:keepNext/>
      </w:pPr>
      <w:r>
        <w:tab/>
        <w:t>(b)</w:t>
      </w:r>
      <w:r>
        <w:tab/>
        <w:t>in paragraph (d) delete “section 60.” and insert:</w:t>
      </w:r>
    </w:p>
    <w:p>
      <w:pPr>
        <w:pStyle w:val="BlankOpen"/>
      </w:pPr>
    </w:p>
    <w:p>
      <w:pPr>
        <w:pStyle w:val="Indenta"/>
      </w:pPr>
      <w:r>
        <w:tab/>
      </w:r>
      <w:r>
        <w:tab/>
        <w:t>section 60;</w:t>
      </w:r>
    </w:p>
    <w:p>
      <w:pPr>
        <w:pStyle w:val="BlankClose"/>
      </w:pPr>
    </w:p>
    <w:p>
      <w:pPr>
        <w:pStyle w:val="Indenta"/>
        <w:keepLines/>
      </w:pPr>
      <w:r>
        <w:tab/>
        <w:t>(c)</w:t>
      </w:r>
      <w:r>
        <w:tab/>
        <w:t>after paragraph (d) insert:</w:t>
      </w:r>
    </w:p>
    <w:p>
      <w:pPr>
        <w:pStyle w:val="BlankOpen"/>
      </w:pPr>
    </w:p>
    <w:p>
      <w:pPr>
        <w:pStyle w:val="zIndenta"/>
      </w:pPr>
      <w:r>
        <w:tab/>
        <w:t>(e)</w:t>
      </w:r>
      <w:r>
        <w:tab/>
        <w:t>the amount of legal costs referred to in a notice given by the Commissioner under section 52A(1).</w:t>
      </w:r>
    </w:p>
    <w:p>
      <w:pPr>
        <w:pStyle w:val="BlankClose"/>
      </w:pPr>
    </w:p>
    <w:p>
      <w:pPr>
        <w:pStyle w:val="Subsection"/>
      </w:pPr>
      <w:r>
        <w:tab/>
        <w:t>(2)</w:t>
      </w:r>
      <w:r>
        <w:tab/>
        <w:t>In section 53(1) after paragraph (c) delete “and”.</w:t>
      </w:r>
    </w:p>
    <w:p>
      <w:pPr>
        <w:pStyle w:val="Heading5"/>
      </w:pPr>
      <w:bookmarkStart w:id="67" w:name="_Toc499802608"/>
      <w:bookmarkStart w:id="68" w:name="_Toc500326417"/>
      <w:bookmarkStart w:id="69" w:name="_Toc500333310"/>
      <w:r>
        <w:rPr>
          <w:rStyle w:val="CharSectno"/>
        </w:rPr>
        <w:t>20</w:t>
      </w:r>
      <w:r>
        <w:t>.</w:t>
      </w:r>
      <w:r>
        <w:tab/>
        <w:t>Section 62 amended</w:t>
      </w:r>
      <w:bookmarkEnd w:id="67"/>
      <w:bookmarkEnd w:id="68"/>
      <w:bookmarkEnd w:id="69"/>
    </w:p>
    <w:p>
      <w:pPr>
        <w:pStyle w:val="Subsection"/>
      </w:pPr>
      <w:r>
        <w:tab/>
        <w:t>(1)</w:t>
      </w:r>
      <w:r>
        <w:tab/>
        <w:t>In section 62(3) delete “on the business day following the day on which the document is sent to, or left for, the person to whom it is addressed, subject to the exceptions in subsection (4).” and insert:</w:t>
      </w:r>
    </w:p>
    <w:p>
      <w:pPr>
        <w:pStyle w:val="BlankOpen"/>
      </w:pPr>
    </w:p>
    <w:p>
      <w:pPr>
        <w:pStyle w:val="Subsection"/>
      </w:pPr>
      <w:r>
        <w:tab/>
      </w:r>
      <w:r>
        <w:tab/>
        <w:t>on a day prescribed by the regulations.</w:t>
      </w:r>
    </w:p>
    <w:p>
      <w:pPr>
        <w:pStyle w:val="BlankClose"/>
      </w:pPr>
    </w:p>
    <w:p>
      <w:pPr>
        <w:pStyle w:val="Subsection"/>
      </w:pPr>
      <w:r>
        <w:tab/>
        <w:t>(2)</w:t>
      </w:r>
      <w:r>
        <w:tab/>
        <w:t>Delete section 62(4) and insert:</w:t>
      </w:r>
    </w:p>
    <w:p>
      <w:pPr>
        <w:pStyle w:val="BlankOpen"/>
      </w:pPr>
    </w:p>
    <w:p>
      <w:pPr>
        <w:pStyle w:val="zSubsection"/>
      </w:pPr>
      <w:r>
        <w:tab/>
        <w:t>(4)</w:t>
      </w:r>
      <w:r>
        <w:tab/>
        <w:t>For the purposes of subsection (3), the regulations may prescribe different days for documents served by different methods and in different circumstances.</w:t>
      </w:r>
    </w:p>
    <w:p>
      <w:pPr>
        <w:pStyle w:val="BlankClose"/>
      </w:pPr>
    </w:p>
    <w:p>
      <w:pPr>
        <w:pStyle w:val="Heading5"/>
      </w:pPr>
      <w:bookmarkStart w:id="70" w:name="_Toc499802609"/>
      <w:bookmarkStart w:id="71" w:name="_Toc500326418"/>
      <w:bookmarkStart w:id="72" w:name="_Toc500333311"/>
      <w:r>
        <w:rPr>
          <w:rStyle w:val="CharSectno"/>
        </w:rPr>
        <w:t>21</w:t>
      </w:r>
      <w:r>
        <w:t>.</w:t>
      </w:r>
      <w:r>
        <w:tab/>
        <w:t>Section 69 amended</w:t>
      </w:r>
      <w:bookmarkEnd w:id="70"/>
      <w:bookmarkEnd w:id="71"/>
      <w:bookmarkEnd w:id="72"/>
    </w:p>
    <w:p>
      <w:pPr>
        <w:pStyle w:val="Subsection"/>
      </w:pPr>
      <w:r>
        <w:tab/>
      </w:r>
      <w:r>
        <w:tab/>
        <w:t>After section 69(2) insert:</w:t>
      </w:r>
    </w:p>
    <w:p>
      <w:pPr>
        <w:pStyle w:val="BlankOpen"/>
      </w:pPr>
    </w:p>
    <w:p>
      <w:pPr>
        <w:pStyle w:val="z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Amendment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Amendment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Amendment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Amendment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240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02115604" w:val="RemoveTocBookmarks,RemoveUnusedBookmarks,RemoveLanguageTags,UsedStyles,ResetPageSize"/>
    <w:docVar w:name="WAFER_20170602115604_GUID" w:val="35e79f83-c104-4798-89a9-1a7f6adf46aa"/>
    <w:docVar w:name="WAFER_20170602125303" w:val="RemoveTocBookmarks,RemoveUnusedBookmarks,RemoveLanguageTags,UsedStyles,ResetPageSize"/>
    <w:docVar w:name="WAFER_20170602125303_GUID" w:val="8a66c1d9-2c68-4d8c-b74d-6651c48e3405"/>
    <w:docVar w:name="WAFER_20170613145823" w:val="RemoveTocBookmarks,RemoveUnusedBookmarks,RemoveLanguageTags,UsedStyles,ResetPageSize"/>
    <w:docVar w:name="WAFER_20170613145823_GUID" w:val="05fc98ce-307a-47d9-85b6-b4dd0c9a4cfa"/>
    <w:docVar w:name="WAFER_20170620102345" w:val="RemoveTocBookmarks,RemoveUnusedBookmarks,RemoveLanguageTags,UsedStyles,ResetPageSize"/>
    <w:docVar w:name="WAFER_20170620102345_GUID" w:val="6d7a9df4-8275-4dd8-9865-6df7d9587096"/>
    <w:docVar w:name="WAFER_20171206124011" w:val="UpdateStyles,ResetPageSize"/>
    <w:docVar w:name="WAFER_20171206124011_GUID" w:val="47bfc0df-71b8-4397-bfd1-0bca83a1e0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116C-BD4D-4C3E-9385-7D2855E2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1951</Words>
  <Characters>9271</Characters>
  <Application>Microsoft Office Word</Application>
  <DocSecurity>0</DocSecurity>
  <Lines>386</Lines>
  <Paragraphs>224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10998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Amendment Act 2017 - 00-00-00</dc:title>
  <dc:subject/>
  <dc:creator/>
  <cp:keywords/>
  <dc:description/>
  <cp:lastModifiedBy>svcMRProcess</cp:lastModifiedBy>
  <cp:revision>4</cp:revision>
  <cp:lastPrinted>2017-12-06T03:04:00Z</cp:lastPrinted>
  <dcterms:created xsi:type="dcterms:W3CDTF">2017-12-06T06:33:00Z</dcterms:created>
  <dcterms:modified xsi:type="dcterms:W3CDTF">2017-12-06T06:33:00Z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2538</vt:lpwstr>
  </property>
  <property fmtid="{D5CDD505-2E9C-101B-9397-08002B2CF9AE}" pid="3" name="ActNo">
    <vt:lpwstr>16 of 2017</vt:lpwstr>
  </property>
  <property fmtid="{D5CDD505-2E9C-101B-9397-08002B2CF9AE}" pid="4" name="DocumentType">
    <vt:lpwstr>Act</vt:lpwstr>
  </property>
  <property fmtid="{D5CDD505-2E9C-101B-9397-08002B2CF9AE}" pid="5" name="AsAtDate">
    <vt:lpwstr>05 Dec 2017</vt:lpwstr>
  </property>
  <property fmtid="{D5CDD505-2E9C-101B-9397-08002B2CF9AE}" pid="6" name="Suffix">
    <vt:lpwstr>00-00-00</vt:lpwstr>
  </property>
  <property fmtid="{D5CDD505-2E9C-101B-9397-08002B2CF9AE}" pid="7" name="ActNoFooter">
    <vt:lpwstr>No. 16 of 2017</vt:lpwstr>
  </property>
  <property fmtid="{D5CDD505-2E9C-101B-9397-08002B2CF9AE}" pid="8" name="CommencementDate">
    <vt:lpwstr>20171205</vt:lpwstr>
  </property>
</Properties>
</file>