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(Functions and General)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(Functions and General) Regulations 1996</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_Toc103150768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_Toc103150769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1A — Local laws</w:t>
      </w:r>
    </w:p>
    <w:p>
      <w:pPr>
        <w:pStyle w:val="TOC4"/>
        <w:rPr>
          <w:noProof/>
          <w:sz w:val="24"/>
          <w:szCs w:val="24"/>
        </w:rPr>
      </w:pPr>
      <w:r>
        <w:rPr>
          <w:noProof/>
          <w:szCs w:val="24"/>
        </w:rPr>
        <w:t>2A.</w:t>
      </w:r>
      <w:r>
        <w:rPr>
          <w:noProof/>
          <w:sz w:val="24"/>
          <w:szCs w:val="24"/>
        </w:rPr>
        <w:tab/>
      </w:r>
      <w:r>
        <w:rPr>
          <w:noProof/>
          <w:szCs w:val="24"/>
        </w:rPr>
        <w:t>Matters about which local laws are not to be made — s.3.5</w:t>
      </w:r>
      <w:r>
        <w:rPr>
          <w:noProof/>
        </w:rPr>
        <w:tab/>
      </w:r>
      <w:r>
        <w:rPr>
          <w:noProof/>
        </w:rPr>
        <w:fldChar w:fldCharType="begin"/>
      </w:r>
      <w:r>
        <w:rPr>
          <w:noProof/>
        </w:rPr>
        <w:instrText xml:space="preserve"> PAGEREF _Toc103150771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Notice of purpose and effect of proposed local law — s. 3.12(2)</w:t>
      </w:r>
      <w:r>
        <w:rPr>
          <w:noProof/>
        </w:rPr>
        <w:tab/>
      </w:r>
      <w:r>
        <w:rPr>
          <w:noProof/>
        </w:rPr>
        <w:fldChar w:fldCharType="begin"/>
      </w:r>
      <w:r>
        <w:rPr>
          <w:noProof/>
        </w:rPr>
        <w:instrText xml:space="preserve"> PAGEREF _Toc103150772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Thoroughfares</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Persons who are to be notified of road closure — s.3.50</w:t>
      </w:r>
      <w:r>
        <w:rPr>
          <w:noProof/>
        </w:rPr>
        <w:tab/>
      </w:r>
      <w:r>
        <w:rPr>
          <w:noProof/>
        </w:rPr>
        <w:fldChar w:fldCharType="begin"/>
      </w:r>
      <w:r>
        <w:rPr>
          <w:noProof/>
        </w:rPr>
        <w:instrText xml:space="preserve"> PAGEREF _Toc103150774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Additional persons who are to be notified of certain other proposals — s.</w:t>
      </w:r>
      <w:r>
        <w:rPr>
          <w:noProof/>
          <w:szCs w:val="24"/>
        </w:rPr>
        <w:t>3</w:t>
      </w:r>
      <w:r>
        <w:rPr>
          <w:noProof/>
          <w:snapToGrid w:val="0"/>
          <w:szCs w:val="24"/>
        </w:rPr>
        <w:t>.51</w:t>
      </w:r>
      <w:r>
        <w:rPr>
          <w:noProof/>
        </w:rPr>
        <w:tab/>
      </w:r>
      <w:r>
        <w:rPr>
          <w:noProof/>
        </w:rPr>
        <w:fldChar w:fldCharType="begin"/>
      </w:r>
      <w:r>
        <w:rPr>
          <w:noProof/>
        </w:rPr>
        <w:instrText xml:space="preserve"> PAGEREF _Toc103150775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Transitional provisions about road closures</w:t>
      </w:r>
      <w:r>
        <w:rPr>
          <w:noProof/>
        </w:rPr>
        <w:tab/>
      </w:r>
      <w:r>
        <w:rPr>
          <w:noProof/>
        </w:rPr>
        <w:fldChar w:fldCharType="begin"/>
      </w:r>
      <w:r>
        <w:rPr>
          <w:noProof/>
        </w:rPr>
        <w:instrText xml:space="preserve"> PAGEREF _Toc103150776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3 — Commercial enterprises by local governments (s.3.59)</w:t>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Minimum value of “major land transaction”</w:t>
      </w:r>
      <w:r>
        <w:rPr>
          <w:noProof/>
        </w:rPr>
        <w:tab/>
      </w:r>
      <w:r>
        <w:rPr>
          <w:noProof/>
        </w:rPr>
        <w:fldChar w:fldCharType="begin"/>
      </w:r>
      <w:r>
        <w:rPr>
          <w:noProof/>
        </w:rPr>
        <w:instrText xml:space="preserve"> PAGEREF _Toc103150778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Transactions that cannot be major land transactions</w:t>
      </w:r>
      <w:r>
        <w:rPr>
          <w:noProof/>
        </w:rPr>
        <w:tab/>
      </w:r>
      <w:r>
        <w:rPr>
          <w:noProof/>
        </w:rPr>
        <w:fldChar w:fldCharType="begin"/>
      </w:r>
      <w:r>
        <w:rPr>
          <w:noProof/>
        </w:rPr>
        <w:instrText xml:space="preserve"> PAGEREF _Toc103150779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Minimum expenditure involved in a “major trading undertaking”</w:t>
      </w:r>
      <w:r>
        <w:rPr>
          <w:noProof/>
        </w:rPr>
        <w:tab/>
      </w:r>
      <w:r>
        <w:rPr>
          <w:noProof/>
        </w:rPr>
        <w:fldChar w:fldCharType="begin"/>
      </w:r>
      <w:r>
        <w:rPr>
          <w:noProof/>
        </w:rPr>
        <w:instrText xml:space="preserve"> PAGEREF _Toc103150780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Other matters of which details to be given in business plan</w:t>
      </w:r>
      <w:r>
        <w:rPr>
          <w:noProof/>
        </w:rPr>
        <w:tab/>
      </w:r>
      <w:r>
        <w:rPr>
          <w:noProof/>
        </w:rPr>
        <w:fldChar w:fldCharType="begin"/>
      </w:r>
      <w:r>
        <w:rPr>
          <w:noProof/>
        </w:rPr>
        <w:instrText xml:space="preserve"> PAGEREF _Toc103150781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4 — Tenders for providing goods or services (s.3.57)</w:t>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Tenders to be invited for certain contracts</w:t>
      </w:r>
      <w:r>
        <w:rPr>
          <w:noProof/>
        </w:rPr>
        <w:tab/>
      </w:r>
      <w:r>
        <w:rPr>
          <w:noProof/>
        </w:rPr>
        <w:fldChar w:fldCharType="begin"/>
      </w:r>
      <w:r>
        <w:rPr>
          <w:noProof/>
        </w:rPr>
        <w:instrText xml:space="preserve"> PAGEREF _Toc103150783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Anti</w:t>
      </w:r>
      <w:r>
        <w:rPr>
          <w:noProof/>
          <w:snapToGrid w:val="0"/>
          <w:szCs w:val="24"/>
        </w:rPr>
        <w:noBreakHyphen/>
        <w:t>avoidance provision</w:t>
      </w:r>
      <w:r>
        <w:rPr>
          <w:noProof/>
        </w:rPr>
        <w:tab/>
      </w:r>
      <w:r>
        <w:rPr>
          <w:noProof/>
        </w:rPr>
        <w:fldChar w:fldCharType="begin"/>
      </w:r>
      <w:r>
        <w:rPr>
          <w:noProof/>
        </w:rPr>
        <w:instrText xml:space="preserve"> PAGEREF _Toc103150784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Procedure when local government invites tenders though not required to do so</w:t>
      </w:r>
      <w:r>
        <w:rPr>
          <w:noProof/>
        </w:rPr>
        <w:tab/>
      </w:r>
      <w:r>
        <w:rPr>
          <w:noProof/>
        </w:rPr>
        <w:fldChar w:fldCharType="begin"/>
      </w:r>
      <w:r>
        <w:rPr>
          <w:noProof/>
        </w:rPr>
        <w:instrText xml:space="preserve"> PAGEREF _Toc103150785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Requirements for publicly inviting tenders</w:t>
      </w:r>
      <w:r>
        <w:rPr>
          <w:noProof/>
        </w:rPr>
        <w:tab/>
      </w:r>
      <w:r>
        <w:rPr>
          <w:noProof/>
        </w:rPr>
        <w:fldChar w:fldCharType="begin"/>
      </w:r>
      <w:r>
        <w:rPr>
          <w:noProof/>
        </w:rPr>
        <w:instrText xml:space="preserve"> PAGEREF _Toc103150786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Minimum time to be allowed for submitting tenders</w:t>
      </w:r>
      <w:r>
        <w:rPr>
          <w:noProof/>
        </w:rPr>
        <w:tab/>
      </w:r>
      <w:r>
        <w:rPr>
          <w:noProof/>
        </w:rPr>
        <w:fldChar w:fldCharType="begin"/>
      </w:r>
      <w:r>
        <w:rPr>
          <w:noProof/>
        </w:rPr>
        <w:instrText xml:space="preserve"> PAGEREF _Toc103150787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Receiving and opening tenders</w:t>
      </w:r>
      <w:r>
        <w:rPr>
          <w:noProof/>
        </w:rPr>
        <w:tab/>
      </w:r>
      <w:r>
        <w:rPr>
          <w:noProof/>
        </w:rPr>
        <w:fldChar w:fldCharType="begin"/>
      </w:r>
      <w:r>
        <w:rPr>
          <w:noProof/>
        </w:rPr>
        <w:instrText xml:space="preserve"> PAGEREF _Toc103150788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Tenders register</w:t>
      </w:r>
      <w:r>
        <w:rPr>
          <w:noProof/>
        </w:rPr>
        <w:tab/>
      </w:r>
      <w:r>
        <w:rPr>
          <w:noProof/>
        </w:rPr>
        <w:fldChar w:fldCharType="begin"/>
      </w:r>
      <w:r>
        <w:rPr>
          <w:noProof/>
        </w:rPr>
        <w:instrText xml:space="preserve"> PAGEREF _Toc103150789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Choice of tender</w:t>
      </w:r>
      <w:r>
        <w:rPr>
          <w:noProof/>
        </w:rPr>
        <w:tab/>
      </w:r>
      <w:r>
        <w:rPr>
          <w:noProof/>
        </w:rPr>
        <w:fldChar w:fldCharType="begin"/>
      </w:r>
      <w:r>
        <w:rPr>
          <w:noProof/>
        </w:rPr>
        <w:instrText xml:space="preserve"> PAGEREF _Toc103150790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Tenderers to be notified of outcome</w:t>
      </w:r>
      <w:r>
        <w:rPr>
          <w:noProof/>
        </w:rPr>
        <w:tab/>
      </w:r>
      <w:r>
        <w:rPr>
          <w:noProof/>
        </w:rPr>
        <w:fldChar w:fldCharType="begin"/>
      </w:r>
      <w:r>
        <w:rPr>
          <w:noProof/>
        </w:rPr>
        <w:instrText xml:space="preserve"> PAGEREF _Toc103150791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Variation of requirements before entry into contract</w:t>
      </w:r>
      <w:r>
        <w:rPr>
          <w:noProof/>
        </w:rPr>
        <w:tab/>
      </w:r>
      <w:r>
        <w:rPr>
          <w:noProof/>
        </w:rPr>
        <w:fldChar w:fldCharType="begin"/>
      </w:r>
      <w:r>
        <w:rPr>
          <w:noProof/>
        </w:rPr>
        <w:instrText xml:space="preserve"> PAGEREF _Toc103150792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Limitation may be placed on who can tender</w:t>
      </w:r>
      <w:r>
        <w:rPr>
          <w:noProof/>
        </w:rPr>
        <w:tab/>
      </w:r>
      <w:r>
        <w:rPr>
          <w:noProof/>
        </w:rPr>
        <w:fldChar w:fldCharType="begin"/>
      </w:r>
      <w:r>
        <w:rPr>
          <w:noProof/>
        </w:rPr>
        <w:instrText xml:space="preserve"> PAGEREF _Toc103150793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Minimum time to be allowed for submitting expressions of interest</w:t>
      </w:r>
      <w:r>
        <w:rPr>
          <w:noProof/>
        </w:rPr>
        <w:tab/>
      </w:r>
      <w:r>
        <w:rPr>
          <w:noProof/>
        </w:rPr>
        <w:fldChar w:fldCharType="begin"/>
      </w:r>
      <w:r>
        <w:rPr>
          <w:noProof/>
        </w:rPr>
        <w:instrText xml:space="preserve"> PAGEREF _Toc103150794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Choice of acceptable tenderers</w:t>
      </w:r>
      <w:r>
        <w:rPr>
          <w:noProof/>
        </w:rPr>
        <w:tab/>
      </w:r>
      <w:r>
        <w:rPr>
          <w:noProof/>
        </w:rPr>
        <w:fldChar w:fldCharType="begin"/>
      </w:r>
      <w:r>
        <w:rPr>
          <w:noProof/>
        </w:rPr>
        <w:instrText xml:space="preserve"> PAGEREF _Toc103150795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Persons expressing interest to be notified of outcome</w:t>
      </w:r>
      <w:r>
        <w:rPr>
          <w:noProof/>
        </w:rPr>
        <w:tab/>
      </w:r>
      <w:r>
        <w:rPr>
          <w:noProof/>
        </w:rPr>
        <w:fldChar w:fldCharType="begin"/>
      </w:r>
      <w:r>
        <w:rPr>
          <w:noProof/>
        </w:rPr>
        <w:instrText xml:space="preserve"> PAGEREF _Toc103150796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4A — Regional price preference</w:t>
      </w:r>
    </w:p>
    <w:p>
      <w:pPr>
        <w:pStyle w:val="TOC4"/>
        <w:rPr>
          <w:noProof/>
          <w:sz w:val="24"/>
          <w:szCs w:val="24"/>
        </w:rPr>
      </w:pPr>
      <w:r>
        <w:rPr>
          <w:noProof/>
          <w:szCs w:val="24"/>
        </w:rPr>
        <w:t>24A.</w:t>
      </w:r>
      <w:r>
        <w:rPr>
          <w:noProof/>
          <w:sz w:val="24"/>
          <w:szCs w:val="24"/>
        </w:rPr>
        <w:tab/>
      </w:r>
      <w:r>
        <w:rPr>
          <w:noProof/>
          <w:szCs w:val="24"/>
        </w:rPr>
        <w:t>Application of this Part</w:t>
      </w:r>
      <w:r>
        <w:rPr>
          <w:noProof/>
        </w:rPr>
        <w:tab/>
      </w:r>
      <w:r>
        <w:rPr>
          <w:noProof/>
        </w:rPr>
        <w:fldChar w:fldCharType="begin"/>
      </w:r>
      <w:r>
        <w:rPr>
          <w:noProof/>
        </w:rPr>
        <w:instrText xml:space="preserve"> PAGEREF _Toc103150798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24B.</w:t>
      </w:r>
      <w:r>
        <w:rPr>
          <w:noProof/>
          <w:sz w:val="24"/>
          <w:szCs w:val="24"/>
        </w:rPr>
        <w:tab/>
      </w:r>
      <w:r>
        <w:rPr>
          <w:noProof/>
          <w:szCs w:val="24"/>
        </w:rPr>
        <w:t>Interpretation</w:t>
      </w:r>
      <w:r>
        <w:rPr>
          <w:noProof/>
        </w:rPr>
        <w:tab/>
      </w:r>
      <w:r>
        <w:rPr>
          <w:noProof/>
        </w:rPr>
        <w:fldChar w:fldCharType="begin"/>
      </w:r>
      <w:r>
        <w:rPr>
          <w:noProof/>
        </w:rPr>
        <w:instrText xml:space="preserve"> PAGEREF _Toc103150799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24C.</w:t>
      </w:r>
      <w:r>
        <w:rPr>
          <w:noProof/>
          <w:sz w:val="24"/>
          <w:szCs w:val="24"/>
        </w:rPr>
        <w:tab/>
      </w:r>
      <w:r>
        <w:rPr>
          <w:noProof/>
          <w:szCs w:val="24"/>
        </w:rPr>
        <w:t>Regional price preference may be given</w:t>
      </w:r>
      <w:r>
        <w:rPr>
          <w:noProof/>
        </w:rPr>
        <w:tab/>
      </w:r>
      <w:r>
        <w:rPr>
          <w:noProof/>
        </w:rPr>
        <w:fldChar w:fldCharType="begin"/>
      </w:r>
      <w:r>
        <w:rPr>
          <w:noProof/>
        </w:rPr>
        <w:instrText xml:space="preserve"> PAGEREF _Toc103150800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24D.</w:t>
      </w:r>
      <w:r>
        <w:rPr>
          <w:noProof/>
          <w:sz w:val="24"/>
          <w:szCs w:val="24"/>
        </w:rPr>
        <w:tab/>
      </w:r>
      <w:r>
        <w:rPr>
          <w:noProof/>
          <w:szCs w:val="24"/>
        </w:rPr>
        <w:t>Price percentage within which preference may be given</w:t>
      </w:r>
      <w:r>
        <w:rPr>
          <w:noProof/>
        </w:rPr>
        <w:tab/>
      </w:r>
      <w:r>
        <w:rPr>
          <w:noProof/>
        </w:rPr>
        <w:fldChar w:fldCharType="begin"/>
      </w:r>
      <w:r>
        <w:rPr>
          <w:noProof/>
        </w:rPr>
        <w:instrText xml:space="preserve"> PAGEREF _Toc103150801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24E.</w:t>
      </w:r>
      <w:r>
        <w:rPr>
          <w:noProof/>
          <w:sz w:val="24"/>
          <w:szCs w:val="24"/>
        </w:rPr>
        <w:tab/>
      </w:r>
      <w:r>
        <w:rPr>
          <w:noProof/>
          <w:szCs w:val="24"/>
        </w:rPr>
        <w:t>Preparation of policy</w:t>
      </w:r>
      <w:r>
        <w:rPr>
          <w:noProof/>
        </w:rPr>
        <w:tab/>
      </w:r>
      <w:r>
        <w:rPr>
          <w:noProof/>
        </w:rPr>
        <w:fldChar w:fldCharType="begin"/>
      </w:r>
      <w:r>
        <w:rPr>
          <w:noProof/>
        </w:rPr>
        <w:instrText xml:space="preserve"> PAGEREF _Toc103150802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24F.</w:t>
      </w:r>
      <w:r>
        <w:rPr>
          <w:noProof/>
          <w:sz w:val="24"/>
          <w:szCs w:val="24"/>
        </w:rPr>
        <w:tab/>
      </w:r>
      <w:r>
        <w:rPr>
          <w:noProof/>
          <w:szCs w:val="24"/>
        </w:rPr>
        <w:t>Adoption and notice of policy</w:t>
      </w:r>
      <w:r>
        <w:rPr>
          <w:noProof/>
        </w:rPr>
        <w:tab/>
      </w:r>
      <w:r>
        <w:rPr>
          <w:noProof/>
        </w:rPr>
        <w:fldChar w:fldCharType="begin"/>
      </w:r>
      <w:r>
        <w:rPr>
          <w:noProof/>
        </w:rPr>
        <w:instrText xml:space="preserve"> PAGEREF _Toc103150803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24G.</w:t>
      </w:r>
      <w:r>
        <w:rPr>
          <w:noProof/>
          <w:sz w:val="24"/>
          <w:szCs w:val="24"/>
        </w:rPr>
        <w:tab/>
      </w:r>
      <w:r>
        <w:rPr>
          <w:noProof/>
          <w:szCs w:val="24"/>
        </w:rPr>
        <w:t>Adopted policy applies</w:t>
      </w:r>
      <w:r>
        <w:rPr>
          <w:noProof/>
        </w:rPr>
        <w:tab/>
      </w:r>
      <w:r>
        <w:rPr>
          <w:noProof/>
        </w:rPr>
        <w:fldChar w:fldCharType="begin"/>
      </w:r>
      <w:r>
        <w:rPr>
          <w:noProof/>
        </w:rPr>
        <w:instrText xml:space="preserve"> PAGEREF _Toc103150804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4B — Regional local governments</w:t>
      </w:r>
    </w:p>
    <w:p>
      <w:pPr>
        <w:pStyle w:val="TOC4"/>
        <w:rPr>
          <w:noProof/>
          <w:sz w:val="24"/>
          <w:szCs w:val="24"/>
        </w:rPr>
      </w:pPr>
      <w:r>
        <w:rPr>
          <w:noProof/>
          <w:szCs w:val="24"/>
        </w:rPr>
        <w:t>24H.</w:t>
      </w:r>
      <w:r>
        <w:rPr>
          <w:noProof/>
          <w:sz w:val="24"/>
          <w:szCs w:val="24"/>
        </w:rPr>
        <w:tab/>
      </w:r>
      <w:r>
        <w:rPr>
          <w:noProof/>
          <w:szCs w:val="24"/>
        </w:rPr>
        <w:t>Modification of s.6.21(2) — s.3.66(5)</w:t>
      </w:r>
      <w:r>
        <w:rPr>
          <w:noProof/>
        </w:rPr>
        <w:tab/>
      </w:r>
      <w:r>
        <w:rPr>
          <w:noProof/>
        </w:rPr>
        <w:fldChar w:fldCharType="begin"/>
      </w:r>
      <w:r>
        <w:rPr>
          <w:noProof/>
        </w:rPr>
        <w:instrText xml:space="preserve"> PAGEREF _Toc103150806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24I.</w:t>
      </w:r>
      <w:r>
        <w:rPr>
          <w:noProof/>
          <w:sz w:val="24"/>
          <w:szCs w:val="24"/>
        </w:rPr>
        <w:tab/>
      </w:r>
      <w:r>
        <w:rPr>
          <w:noProof/>
          <w:szCs w:val="24"/>
        </w:rPr>
        <w:t>Modification of s.6.23(1) — s.3.66(5)</w:t>
      </w:r>
      <w:r>
        <w:rPr>
          <w:noProof/>
        </w:rPr>
        <w:tab/>
      </w:r>
      <w:r>
        <w:rPr>
          <w:noProof/>
        </w:rPr>
        <w:fldChar w:fldCharType="begin"/>
      </w:r>
      <w:r>
        <w:rPr>
          <w:noProof/>
        </w:rPr>
        <w:instrText xml:space="preserve"> PAGEREF _Toc103150807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5 — Owner onus and infringement notices</w:t>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Form of notice to put onus on vehicle owner — s.9.13</w:t>
      </w:r>
      <w:r>
        <w:rPr>
          <w:noProof/>
        </w:rPr>
        <w:tab/>
      </w:r>
      <w:r>
        <w:rPr>
          <w:noProof/>
        </w:rPr>
        <w:fldChar w:fldCharType="begin"/>
      </w:r>
      <w:r>
        <w:rPr>
          <w:noProof/>
        </w:rPr>
        <w:instrText xml:space="preserve"> PAGEREF _Toc103150809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Form of infringement notice — s.9.16</w:t>
      </w:r>
      <w:r>
        <w:rPr>
          <w:noProof/>
        </w:rPr>
        <w:tab/>
      </w:r>
      <w:r>
        <w:rPr>
          <w:noProof/>
        </w:rPr>
        <w:fldChar w:fldCharType="begin"/>
      </w:r>
      <w:r>
        <w:rPr>
          <w:noProof/>
        </w:rPr>
        <w:instrText xml:space="preserve"> PAGEREF _Toc103150810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Form of withdrawal of infringement notice — s.9.20</w:t>
      </w:r>
      <w:r>
        <w:rPr>
          <w:noProof/>
        </w:rPr>
        <w:tab/>
      </w:r>
      <w:r>
        <w:rPr>
          <w:noProof/>
        </w:rPr>
        <w:fldChar w:fldCharType="begin"/>
      </w:r>
      <w:r>
        <w:rPr>
          <w:noProof/>
        </w:rPr>
        <w:instrText xml:space="preserve"> PAGEREF _Toc103150811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Transitional provision</w:t>
      </w:r>
      <w:r>
        <w:rPr>
          <w:noProof/>
        </w:rPr>
        <w:tab/>
      </w:r>
      <w:r>
        <w:rPr>
          <w:noProof/>
        </w:rPr>
        <w:fldChar w:fldCharType="begin"/>
      </w:r>
      <w:r>
        <w:rPr>
          <w:noProof/>
        </w:rPr>
        <w:instrText xml:space="preserve"> PAGEREF _Toc103150812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6 — Miscellaneous</w:t>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Contraventions that may lead to impounding of goods —s.</w:t>
      </w:r>
      <w:r>
        <w:rPr>
          <w:noProof/>
          <w:szCs w:val="24"/>
        </w:rPr>
        <w:t>3</w:t>
      </w:r>
      <w:r>
        <w:rPr>
          <w:noProof/>
          <w:snapToGrid w:val="0"/>
          <w:szCs w:val="24"/>
        </w:rPr>
        <w:t>.37</w:t>
      </w:r>
      <w:r>
        <w:rPr>
          <w:noProof/>
        </w:rPr>
        <w:tab/>
      </w:r>
      <w:r>
        <w:rPr>
          <w:noProof/>
        </w:rPr>
        <w:fldChar w:fldCharType="begin"/>
      </w:r>
      <w:r>
        <w:rPr>
          <w:noProof/>
        </w:rPr>
        <w:instrText xml:space="preserve"> PAGEREF _Toc103150814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29A.</w:t>
      </w:r>
      <w:r>
        <w:rPr>
          <w:noProof/>
          <w:sz w:val="24"/>
          <w:szCs w:val="24"/>
        </w:rPr>
        <w:tab/>
      </w:r>
      <w:r>
        <w:rPr>
          <w:noProof/>
          <w:szCs w:val="24"/>
        </w:rPr>
        <w:t>Abandoned vehicle wrecks — s. 3.40A</w:t>
      </w:r>
      <w:r>
        <w:rPr>
          <w:noProof/>
        </w:rPr>
        <w:tab/>
      </w:r>
      <w:r>
        <w:rPr>
          <w:noProof/>
        </w:rPr>
        <w:fldChar w:fldCharType="begin"/>
      </w:r>
      <w:r>
        <w:rPr>
          <w:noProof/>
        </w:rPr>
        <w:instrText xml:space="preserve"> PAGEREF _Toc103150815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Dispositions of property to which section 3.58 of Act does not apply</w:t>
      </w:r>
      <w:r>
        <w:rPr>
          <w:noProof/>
        </w:rPr>
        <w:tab/>
      </w:r>
      <w:r>
        <w:rPr>
          <w:noProof/>
        </w:rPr>
        <w:fldChar w:fldCharType="begin"/>
      </w:r>
      <w:r>
        <w:rPr>
          <w:noProof/>
        </w:rPr>
        <w:instrText xml:space="preserve"> PAGEREF _Toc103150816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Anti</w:t>
      </w:r>
      <w:r>
        <w:rPr>
          <w:noProof/>
          <w:snapToGrid w:val="0"/>
          <w:szCs w:val="24"/>
        </w:rPr>
        <w:noBreakHyphen/>
        <w:t>avoidance provision about dispositions</w:t>
      </w:r>
      <w:r>
        <w:rPr>
          <w:noProof/>
        </w:rPr>
        <w:tab/>
      </w:r>
      <w:r>
        <w:rPr>
          <w:noProof/>
        </w:rPr>
        <w:fldChar w:fldCharType="begin"/>
      </w:r>
      <w:r>
        <w:rPr>
          <w:noProof/>
        </w:rPr>
        <w:instrText xml:space="preserve"> PAGEREF _Toc103150817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Local government permitted to form incorporated association — s.</w:t>
      </w:r>
      <w:r>
        <w:rPr>
          <w:noProof/>
          <w:szCs w:val="24"/>
        </w:rPr>
        <w:t>3</w:t>
      </w:r>
      <w:r>
        <w:rPr>
          <w:noProof/>
          <w:snapToGrid w:val="0"/>
          <w:szCs w:val="24"/>
        </w:rPr>
        <w:t>.60</w:t>
      </w:r>
      <w:r>
        <w:rPr>
          <w:noProof/>
        </w:rPr>
        <w:tab/>
      </w:r>
      <w:r>
        <w:rPr>
          <w:noProof/>
        </w:rPr>
        <w:fldChar w:fldCharType="begin"/>
      </w:r>
      <w:r>
        <w:rPr>
          <w:noProof/>
        </w:rPr>
        <w:instrText xml:space="preserve"> PAGEREF _Toc103150818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32A.</w:t>
      </w:r>
      <w:r>
        <w:rPr>
          <w:noProof/>
          <w:sz w:val="24"/>
          <w:szCs w:val="24"/>
        </w:rPr>
        <w:tab/>
      </w:r>
      <w:r>
        <w:rPr>
          <w:noProof/>
          <w:szCs w:val="24"/>
        </w:rPr>
        <w:t>Excluded “authorisations” — s.9.2</w:t>
      </w:r>
      <w:r>
        <w:rPr>
          <w:noProof/>
        </w:rPr>
        <w:tab/>
      </w:r>
      <w:r>
        <w:rPr>
          <w:noProof/>
        </w:rPr>
        <w:fldChar w:fldCharType="begin"/>
      </w:r>
      <w:r>
        <w:rPr>
          <w:noProof/>
        </w:rPr>
        <w:instrText xml:space="preserve"> PAGEREF _Toc103150819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Objections made to local government — s.9.5</w:t>
      </w:r>
      <w:r>
        <w:rPr>
          <w:noProof/>
        </w:rPr>
        <w:tab/>
      </w:r>
      <w:r>
        <w:rPr>
          <w:noProof/>
        </w:rPr>
        <w:fldChar w:fldCharType="begin"/>
      </w:r>
      <w:r>
        <w:rPr>
          <w:noProof/>
        </w:rPr>
        <w:instrText xml:space="preserve"> PAGEREF _Toc103150820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Certain persons protected from liability for wrongdoing — s.</w:t>
      </w:r>
      <w:r>
        <w:rPr>
          <w:noProof/>
          <w:szCs w:val="24"/>
        </w:rPr>
        <w:t>9</w:t>
      </w:r>
      <w:r>
        <w:rPr>
          <w:noProof/>
          <w:snapToGrid w:val="0"/>
          <w:szCs w:val="24"/>
        </w:rPr>
        <w:t>.56</w:t>
      </w:r>
      <w:r>
        <w:rPr>
          <w:noProof/>
        </w:rPr>
        <w:tab/>
      </w:r>
      <w:r>
        <w:rPr>
          <w:noProof/>
        </w:rPr>
        <w:fldChar w:fldCharType="begin"/>
      </w:r>
      <w:r>
        <w:rPr>
          <w:noProof/>
        </w:rPr>
        <w:instrText xml:space="preserve"> PAGEREF _Toc103150821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35A.</w:t>
      </w:r>
      <w:r>
        <w:rPr>
          <w:noProof/>
          <w:sz w:val="24"/>
          <w:szCs w:val="24"/>
        </w:rPr>
        <w:tab/>
      </w:r>
      <w:r>
        <w:rPr>
          <w:noProof/>
          <w:szCs w:val="24"/>
        </w:rPr>
        <w:t>Delegable functions of Minister — s. 9.66</w:t>
      </w:r>
      <w:r>
        <w:rPr>
          <w:noProof/>
        </w:rPr>
        <w:tab/>
      </w:r>
      <w:r>
        <w:rPr>
          <w:noProof/>
        </w:rPr>
        <w:fldChar w:fldCharType="begin"/>
      </w:r>
      <w:r>
        <w:rPr>
          <w:noProof/>
        </w:rPr>
        <w:instrText xml:space="preserve"> PAGEREF _Toc103150822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Form of warrant to enter — ss.3.33(1) and 8.8(1)</w:t>
      </w:r>
      <w:r>
        <w:rPr>
          <w:noProof/>
        </w:rPr>
        <w:tab/>
      </w:r>
      <w:r>
        <w:rPr>
          <w:noProof/>
        </w:rPr>
        <w:fldChar w:fldCharType="begin"/>
      </w:r>
      <w:r>
        <w:rPr>
          <w:noProof/>
        </w:rPr>
        <w:instrText xml:space="preserve"> PAGEREF _Toc103150823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7 — Other transitional provisions</w:t>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By</w:t>
      </w:r>
      <w:r>
        <w:rPr>
          <w:noProof/>
          <w:snapToGrid w:val="0"/>
          <w:szCs w:val="24"/>
        </w:rPr>
        <w:noBreakHyphen/>
        <w:t>laws resolved to be made but not published by 1 July 1996</w:t>
      </w:r>
      <w:r>
        <w:rPr>
          <w:noProof/>
        </w:rPr>
        <w:tab/>
      </w:r>
      <w:r>
        <w:rPr>
          <w:noProof/>
        </w:rPr>
        <w:fldChar w:fldCharType="begin"/>
      </w:r>
      <w:r>
        <w:rPr>
          <w:noProof/>
        </w:rPr>
        <w:instrText xml:space="preserve"> PAGEREF _Toc103150825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Adoption of former model by</w:t>
      </w:r>
      <w:r>
        <w:rPr>
          <w:noProof/>
          <w:snapToGrid w:val="0"/>
          <w:szCs w:val="24"/>
        </w:rPr>
        <w:noBreakHyphen/>
        <w:t>laws as local laws</w:t>
      </w:r>
      <w:r>
        <w:rPr>
          <w:noProof/>
        </w:rPr>
        <w:tab/>
      </w:r>
      <w:r>
        <w:rPr>
          <w:noProof/>
        </w:rPr>
        <w:fldChar w:fldCharType="begin"/>
      </w:r>
      <w:r>
        <w:rPr>
          <w:noProof/>
        </w:rPr>
        <w:instrText xml:space="preserve"> PAGEREF _Toc103150826 \h </w:instrText>
      </w:r>
      <w:r>
        <w:rPr>
          <w:noProof/>
        </w:rPr>
      </w:r>
      <w:r>
        <w:rPr>
          <w:noProof/>
        </w:rPr>
        <w:fldChar w:fldCharType="separate"/>
      </w:r>
      <w:r>
        <w:rPr>
          <w:noProof/>
        </w:rPr>
        <w:t>33</w:t>
      </w:r>
      <w:r>
        <w:rPr>
          <w:noProof/>
        </w:rPr>
        <w:fldChar w:fldCharType="end"/>
      </w:r>
    </w:p>
    <w:p>
      <w:pPr>
        <w:pStyle w:val="TOC5"/>
        <w:rPr>
          <w:b w:val="0"/>
          <w:noProof/>
          <w:sz w:val="24"/>
          <w:szCs w:val="24"/>
        </w:rPr>
      </w:pPr>
      <w:r>
        <w:rPr>
          <w:noProof/>
          <w:szCs w:val="28"/>
        </w:rPr>
        <w:t>Schedule 1 — Forms</w:t>
      </w:r>
      <w:r>
        <w:rPr>
          <w:noProof/>
        </w:rPr>
        <w:tab/>
      </w:r>
      <w:r>
        <w:rPr>
          <w:b w:val="0"/>
          <w:noProof/>
          <w:sz w:val="22"/>
        </w:rPr>
        <w:fldChar w:fldCharType="begin"/>
      </w:r>
      <w:r>
        <w:rPr>
          <w:b w:val="0"/>
          <w:noProof/>
          <w:sz w:val="22"/>
        </w:rPr>
        <w:instrText xml:space="preserve"> PAGEREF _Toc103150827 \h </w:instrText>
      </w:r>
      <w:r>
        <w:rPr>
          <w:b w:val="0"/>
          <w:noProof/>
          <w:sz w:val="22"/>
        </w:rPr>
      </w:r>
      <w:r>
        <w:rPr>
          <w:b w:val="0"/>
          <w:noProof/>
          <w:sz w:val="22"/>
        </w:rPr>
        <w:fldChar w:fldCharType="separate"/>
      </w:r>
      <w:r>
        <w:rPr>
          <w:b w:val="0"/>
          <w:noProof/>
          <w:sz w:val="22"/>
        </w:rPr>
        <w:t>34</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_Toc103150829 \h </w:instrText>
      </w:r>
      <w:r>
        <w:rPr>
          <w:noProof/>
        </w:rPr>
      </w:r>
      <w:r>
        <w:rPr>
          <w:noProof/>
        </w:rPr>
        <w:fldChar w:fldCharType="separate"/>
      </w:r>
      <w:r>
        <w:rPr>
          <w:noProof/>
        </w:rPr>
        <w:t>40</w:t>
      </w:r>
      <w:r>
        <w:rPr>
          <w:noProof/>
        </w:rPr>
        <w:fldChar w:fldCharType="end"/>
      </w:r>
    </w:p>
    <w:p>
      <w:pPr>
        <w:pStyle w:val="TOC4"/>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1" w:name="_Toc92787630"/>
      <w:bookmarkStart w:id="2" w:name="_Toc92787692"/>
      <w:bookmarkStart w:id="3" w:name="_Toc92964418"/>
      <w:bookmarkStart w:id="4" w:name="_Toc1031507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81472603"/>
      <w:bookmarkStart w:id="6" w:name="_Toc12956105"/>
      <w:bookmarkStart w:id="7" w:name="_Toc92787631"/>
      <w:bookmarkStart w:id="8" w:name="_Toc103150768"/>
      <w:r>
        <w:rPr>
          <w:rStyle w:val="CharSectno"/>
        </w:rPr>
        <w:t>1</w:t>
      </w:r>
      <w:r>
        <w:rPr>
          <w:snapToGrid w:val="0"/>
        </w:rPr>
        <w:t>.</w:t>
      </w:r>
      <w:r>
        <w:rPr>
          <w:snapToGrid w:val="0"/>
        </w:rPr>
        <w:tab/>
        <w:t>Citation</w:t>
      </w:r>
      <w:bookmarkEnd w:id="5"/>
      <w:bookmarkEnd w:id="6"/>
      <w:bookmarkEnd w:id="7"/>
      <w:bookmarkEnd w:id="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 xml:space="preserve">Local Government (Functions and General) Regulations 1996 </w:t>
      </w:r>
      <w:r>
        <w:rPr>
          <w:snapToGrid w:val="0"/>
          <w:vertAlign w:val="superscript"/>
        </w:rPr>
        <w:t>1</w:t>
      </w:r>
      <w:r>
        <w:rPr>
          <w:snapToGrid w:val="0"/>
        </w:rPr>
        <w:t>.</w:t>
      </w:r>
    </w:p>
    <w:p>
      <w:pPr>
        <w:pStyle w:val="Heading5"/>
        <w:rPr>
          <w:snapToGrid w:val="0"/>
        </w:rPr>
      </w:pPr>
      <w:bookmarkStart w:id="9" w:name="_Toc481472604"/>
      <w:bookmarkStart w:id="10" w:name="_Toc12956106"/>
      <w:bookmarkStart w:id="11" w:name="_Toc92787632"/>
      <w:bookmarkStart w:id="12" w:name="_Toc103150769"/>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2"/>
        <w:rPr>
          <w:rStyle w:val="CharPartNo"/>
        </w:rPr>
      </w:pPr>
      <w:bookmarkStart w:id="13" w:name="_Toc92787633"/>
      <w:bookmarkStart w:id="14" w:name="_Toc92787695"/>
      <w:bookmarkStart w:id="15" w:name="_Toc92964421"/>
      <w:bookmarkStart w:id="16" w:name="_Toc103150770"/>
      <w:r>
        <w:rPr>
          <w:rStyle w:val="CharPartNo"/>
        </w:rPr>
        <w:t>Part 1A</w:t>
      </w:r>
      <w:r>
        <w:rPr>
          <w:rStyle w:val="CharDivNo"/>
        </w:rPr>
        <w:t> </w:t>
      </w:r>
      <w:r>
        <w:rPr>
          <w:rStyle w:val="CharPartNo"/>
        </w:rPr>
        <w:t>—</w:t>
      </w:r>
      <w:r>
        <w:rPr>
          <w:rStyle w:val="CharDivText"/>
        </w:rPr>
        <w:t> </w:t>
      </w:r>
      <w:r>
        <w:rPr>
          <w:rStyle w:val="CharPartText"/>
        </w:rPr>
        <w:t>Local laws</w:t>
      </w:r>
      <w:bookmarkEnd w:id="13"/>
      <w:bookmarkEnd w:id="14"/>
      <w:bookmarkEnd w:id="15"/>
      <w:bookmarkEnd w:id="16"/>
    </w:p>
    <w:p>
      <w:pPr>
        <w:pStyle w:val="Footnoteheading"/>
      </w:pPr>
      <w:r>
        <w:t>[Heading inserted in Gazette 11 September 1998 p.4927.]</w:t>
      </w:r>
    </w:p>
    <w:p>
      <w:pPr>
        <w:pStyle w:val="Heading5"/>
      </w:pPr>
      <w:bookmarkStart w:id="17" w:name="_Toc481472605"/>
      <w:bookmarkStart w:id="18" w:name="_Toc12956107"/>
      <w:bookmarkStart w:id="19" w:name="_Toc92787634"/>
      <w:bookmarkStart w:id="20" w:name="_Toc103150771"/>
      <w:r>
        <w:rPr>
          <w:rStyle w:val="CharSectno"/>
        </w:rPr>
        <w:t>2A</w:t>
      </w:r>
      <w:r>
        <w:t>.</w:t>
      </w:r>
      <w:r>
        <w:tab/>
        <w:t>Matters about which local laws are not to be made — s.3.5</w:t>
      </w:r>
      <w:bookmarkEnd w:id="17"/>
      <w:bookmarkEnd w:id="18"/>
      <w:bookmarkEnd w:id="19"/>
      <w:bookmarkEnd w:id="20"/>
    </w:p>
    <w:p>
      <w:pPr>
        <w:pStyle w:val="Subsection"/>
        <w:rPr>
          <w:snapToGrid w:val="0"/>
        </w:rPr>
      </w:pPr>
      <w:r>
        <w:rPr>
          <w:snapToGrid w:val="0"/>
        </w:rPr>
        <w:tab/>
      </w:r>
      <w:r>
        <w:rPr>
          <w:snapToGrid w:val="0"/>
        </w:rPr>
        <w:tab/>
        <w:t>Local laws are not to be made —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in Gazette 11 September 1998 p.4927.]</w:t>
      </w:r>
    </w:p>
    <w:p>
      <w:pPr>
        <w:pStyle w:val="Heading5"/>
      </w:pPr>
      <w:bookmarkStart w:id="21" w:name="_Toc103150772"/>
      <w:bookmarkStart w:id="22" w:name="_Toc92787635"/>
      <w:bookmarkStart w:id="23" w:name="_Toc92787697"/>
      <w:bookmarkStart w:id="24" w:name="_Toc92964423"/>
      <w:r>
        <w:rPr>
          <w:rStyle w:val="CharSectno"/>
        </w:rPr>
        <w:t>3</w:t>
      </w:r>
      <w:r>
        <w:t>.</w:t>
      </w:r>
      <w:r>
        <w:tab/>
        <w:t>Notice of purpose and effect of proposed local law — s. 3.12(2)</w:t>
      </w:r>
      <w:bookmarkEnd w:id="21"/>
    </w:p>
    <w:p>
      <w:pPr>
        <w:pStyle w:val="Subsection"/>
      </w:pPr>
      <w:r>
        <w:tab/>
      </w:r>
      <w:r>
        <w:tab/>
        <w:t xml:space="preserve">For the purpose of section 3.12, the person presiding at a council meeting is to give notice of the purpose and effect of a local law by ensuring that —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in Gazette 31 Mar 2005 p. 1057.]</w:t>
      </w:r>
    </w:p>
    <w:p>
      <w:pPr>
        <w:pStyle w:val="Heading2"/>
      </w:pPr>
      <w:bookmarkStart w:id="25" w:name="_Toc103150773"/>
      <w:r>
        <w:rPr>
          <w:rStyle w:val="CharPartNo"/>
        </w:rPr>
        <w:t>Part 2</w:t>
      </w:r>
      <w:r>
        <w:rPr>
          <w:rStyle w:val="CharDivNo"/>
        </w:rPr>
        <w:t> </w:t>
      </w:r>
      <w:r>
        <w:t>—</w:t>
      </w:r>
      <w:r>
        <w:rPr>
          <w:rStyle w:val="CharDivText"/>
        </w:rPr>
        <w:t> </w:t>
      </w:r>
      <w:r>
        <w:rPr>
          <w:rStyle w:val="CharPartText"/>
        </w:rPr>
        <w:t>Thoroughfares</w:t>
      </w:r>
      <w:bookmarkEnd w:id="22"/>
      <w:bookmarkEnd w:id="23"/>
      <w:bookmarkEnd w:id="24"/>
      <w:bookmarkEnd w:id="25"/>
      <w:r>
        <w:rPr>
          <w:rStyle w:val="CharPartText"/>
        </w:rPr>
        <w:t xml:space="preserve"> </w:t>
      </w:r>
    </w:p>
    <w:p>
      <w:pPr>
        <w:pStyle w:val="Heading5"/>
        <w:rPr>
          <w:snapToGrid w:val="0"/>
        </w:rPr>
      </w:pPr>
      <w:bookmarkStart w:id="26" w:name="_Toc481472606"/>
      <w:bookmarkStart w:id="27" w:name="_Toc12956108"/>
      <w:bookmarkStart w:id="28" w:name="_Toc92787636"/>
      <w:bookmarkStart w:id="29" w:name="_Toc103150774"/>
      <w:r>
        <w:rPr>
          <w:rStyle w:val="CharSectno"/>
        </w:rPr>
        <w:t>4</w:t>
      </w:r>
      <w:r>
        <w:rPr>
          <w:snapToGrid w:val="0"/>
        </w:rPr>
        <w:t>.</w:t>
      </w:r>
      <w:r>
        <w:rPr>
          <w:snapToGrid w:val="0"/>
        </w:rPr>
        <w:tab/>
        <w:t>Persons who are to be notified of road closure — s.3.50</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persons prescribed for the purposes of section 3.50 of the Act are — </w:t>
      </w:r>
    </w:p>
    <w:p>
      <w:pPr>
        <w:pStyle w:val="Indenta"/>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w:t>
      </w:r>
    </w:p>
    <w:p>
      <w:pPr>
        <w:pStyle w:val="Indenta"/>
        <w:rPr>
          <w:snapToGrid w:val="0"/>
        </w:rPr>
      </w:pPr>
      <w:r>
        <w:rPr>
          <w:snapToGrid w:val="0"/>
        </w:rPr>
        <w:tab/>
        <w:t>(b)</w:t>
      </w:r>
      <w:r>
        <w:rPr>
          <w:snapToGrid w:val="0"/>
        </w:rPr>
        <w:tab/>
        <w:t>the person having principal responsibility in the locality for ambulance services;</w:t>
      </w:r>
    </w:p>
    <w:p>
      <w:pPr>
        <w:pStyle w:val="Indenta"/>
        <w:rPr>
          <w:snapToGrid w:val="0"/>
        </w:rPr>
      </w:pPr>
      <w:r>
        <w:rPr>
          <w:snapToGrid w:val="0"/>
        </w:rPr>
        <w:tab/>
        <w:t>(c)</w:t>
      </w:r>
      <w:r>
        <w:rPr>
          <w:snapToGrid w:val="0"/>
        </w:rPr>
        <w:tab/>
        <w:t>the person having principal responsibility in the locality for fire services; and</w:t>
      </w:r>
    </w:p>
    <w:p>
      <w:pPr>
        <w:pStyle w:val="Indenta"/>
        <w:rPr>
          <w:snapToGrid w:val="0"/>
        </w:rPr>
      </w:pPr>
      <w:r>
        <w:rPr>
          <w:snapToGrid w:val="0"/>
        </w:rPr>
        <w:tab/>
        <w:t>(d)</w:t>
      </w:r>
      <w:r>
        <w:rPr>
          <w:snapToGrid w:val="0"/>
        </w:rPr>
        <w:tab/>
        <w:t>the occupier of land that will lose its access.</w:t>
      </w:r>
    </w:p>
    <w:p>
      <w:pPr>
        <w:pStyle w:val="Subsection"/>
        <w:rPr>
          <w:snapToGrid w:val="0"/>
        </w:rPr>
      </w:pPr>
      <w:r>
        <w:rPr>
          <w:snapToGrid w:val="0"/>
        </w:rPr>
        <w:tab/>
        <w:t>(2)</w:t>
      </w:r>
      <w:r>
        <w:rPr>
          <w:snapToGrid w:val="0"/>
        </w:rPr>
        <w:tab/>
        <w:t>The land that is prescribed for the purposes of section 3.50 of the Act is land that will lose its access.</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land that will lose its access</w:t>
      </w:r>
      <w:r>
        <w:rPr>
          <w:b/>
        </w:rPr>
        <w:t>”</w:t>
      </w:r>
      <w:r>
        <w:t xml:space="preserve"> means land that abuts the thoroughfare at any point to which access would be precluded as a result of the closure.</w:t>
      </w:r>
    </w:p>
    <w:p>
      <w:pPr>
        <w:pStyle w:val="Heading5"/>
        <w:rPr>
          <w:snapToGrid w:val="0"/>
        </w:rPr>
      </w:pPr>
      <w:bookmarkStart w:id="30" w:name="_Toc481472607"/>
      <w:bookmarkStart w:id="31" w:name="_Toc12956109"/>
      <w:bookmarkStart w:id="32" w:name="_Toc92787637"/>
      <w:bookmarkStart w:id="33" w:name="_Toc103150775"/>
      <w:r>
        <w:rPr>
          <w:rStyle w:val="CharSectno"/>
        </w:rPr>
        <w:t>5</w:t>
      </w:r>
      <w:r>
        <w:rPr>
          <w:snapToGrid w:val="0"/>
        </w:rPr>
        <w:t>.</w:t>
      </w:r>
      <w:r>
        <w:rPr>
          <w:snapToGrid w:val="0"/>
        </w:rPr>
        <w:tab/>
        <w:t>Additional persons who are to be notified of certain other proposals — s.</w:t>
      </w:r>
      <w:r>
        <w:rPr>
          <w:rStyle w:val="CharSectno"/>
        </w:rPr>
        <w:t>3</w:t>
      </w:r>
      <w:r>
        <w:rPr>
          <w:snapToGrid w:val="0"/>
        </w:rPr>
        <w:t>.51</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persons prescribed for the purposes of section 3.51 of the Act are — </w:t>
      </w:r>
    </w:p>
    <w:p>
      <w:pPr>
        <w:pStyle w:val="Indenta"/>
        <w:rPr>
          <w:snapToGrid w:val="0"/>
        </w:rPr>
      </w:pPr>
      <w:r>
        <w:rPr>
          <w:snapToGrid w:val="0"/>
        </w:rPr>
        <w:tab/>
        <w:t>(a)</w:t>
      </w:r>
      <w:r>
        <w:rPr>
          <w:snapToGrid w:val="0"/>
        </w:rPr>
        <w:tab/>
        <w:t>if the land to which that section applies is occupied, the occupier; and</w:t>
      </w:r>
    </w:p>
    <w:p>
      <w:pPr>
        <w:pStyle w:val="Indenta"/>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34" w:name="_Toc481472608"/>
      <w:bookmarkStart w:id="35" w:name="_Toc12956110"/>
      <w:bookmarkStart w:id="36" w:name="_Toc92787638"/>
      <w:bookmarkStart w:id="37" w:name="_Toc103150776"/>
      <w:r>
        <w:rPr>
          <w:rStyle w:val="CharSectno"/>
        </w:rPr>
        <w:t>6</w:t>
      </w:r>
      <w:r>
        <w:rPr>
          <w:snapToGrid w:val="0"/>
        </w:rPr>
        <w:t>.</w:t>
      </w:r>
      <w:r>
        <w:rPr>
          <w:snapToGrid w:val="0"/>
        </w:rPr>
        <w:tab/>
        <w:t>Transitional provisions about road closures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If, when the Act comes into operation, a thoroughfare —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former section</w:t>
      </w:r>
      <w:r>
        <w:rPr>
          <w:b/>
        </w:rPr>
        <w:t>”</w:t>
      </w:r>
      <w:r>
        <w:t xml:space="preserve"> means a section of the </w:t>
      </w:r>
      <w:r>
        <w:rPr>
          <w:i/>
        </w:rPr>
        <w:t>Local Government Act 1960</w:t>
      </w:r>
      <w:r>
        <w:t xml:space="preserve"> as in force before the day on which the </w:t>
      </w:r>
      <w:r>
        <w:rPr>
          <w:i/>
        </w:rPr>
        <w:t>Local Government Act 1995</w:t>
      </w:r>
      <w:r>
        <w:t xml:space="preserve"> comes into operation.</w:t>
      </w:r>
    </w:p>
    <w:p>
      <w:pPr>
        <w:pStyle w:val="Heading2"/>
      </w:pPr>
      <w:bookmarkStart w:id="38" w:name="_Toc92787639"/>
      <w:bookmarkStart w:id="39" w:name="_Toc92787701"/>
      <w:bookmarkStart w:id="40" w:name="_Toc92964427"/>
      <w:bookmarkStart w:id="41" w:name="_Toc103150777"/>
      <w:r>
        <w:rPr>
          <w:rStyle w:val="CharPartNo"/>
        </w:rPr>
        <w:t>Part 3</w:t>
      </w:r>
      <w:r>
        <w:rPr>
          <w:rStyle w:val="CharDivNo"/>
        </w:rPr>
        <w:t> </w:t>
      </w:r>
      <w:r>
        <w:t>—</w:t>
      </w:r>
      <w:r>
        <w:rPr>
          <w:rStyle w:val="CharDivText"/>
        </w:rPr>
        <w:t> </w:t>
      </w:r>
      <w:r>
        <w:rPr>
          <w:rStyle w:val="CharPartText"/>
        </w:rPr>
        <w:t>Commercial enterprises by local governments (s.3.59)</w:t>
      </w:r>
      <w:bookmarkEnd w:id="38"/>
      <w:bookmarkEnd w:id="39"/>
      <w:bookmarkEnd w:id="40"/>
      <w:bookmarkEnd w:id="41"/>
      <w:r>
        <w:rPr>
          <w:rStyle w:val="CharPartText"/>
        </w:rPr>
        <w:t xml:space="preserve"> </w:t>
      </w:r>
    </w:p>
    <w:p>
      <w:pPr>
        <w:pStyle w:val="Heading5"/>
        <w:spacing w:before="120"/>
        <w:rPr>
          <w:snapToGrid w:val="0"/>
        </w:rPr>
      </w:pPr>
      <w:bookmarkStart w:id="42" w:name="_Toc481472609"/>
      <w:bookmarkStart w:id="43" w:name="_Toc12956111"/>
      <w:bookmarkStart w:id="44" w:name="_Toc92787640"/>
      <w:bookmarkStart w:id="45" w:name="_Toc103150778"/>
      <w:r>
        <w:rPr>
          <w:rStyle w:val="CharSectno"/>
        </w:rPr>
        <w:t>7</w:t>
      </w:r>
      <w:r>
        <w:rPr>
          <w:snapToGrid w:val="0"/>
        </w:rPr>
        <w:t>.</w:t>
      </w:r>
      <w:r>
        <w:rPr>
          <w:snapToGrid w:val="0"/>
        </w:rPr>
        <w:tab/>
        <w:t>Minimum value of “major land transaction”</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For a land transaction to be a major land transaction the total value of — </w:t>
      </w:r>
    </w:p>
    <w:p>
      <w:pPr>
        <w:pStyle w:val="Indenta"/>
        <w:rPr>
          <w:snapToGrid w:val="0"/>
        </w:rPr>
      </w:pPr>
      <w:r>
        <w:rPr>
          <w:snapToGrid w:val="0"/>
        </w:rPr>
        <w:tab/>
        <w:t>(a)</w:t>
      </w:r>
      <w:r>
        <w:rPr>
          <w:snapToGrid w:val="0"/>
        </w:rPr>
        <w:tab/>
        <w:t>the consideration under the transaction; and</w:t>
      </w:r>
    </w:p>
    <w:p>
      <w:pPr>
        <w:pStyle w:val="Indenta"/>
        <w:rPr>
          <w:snapToGrid w:val="0"/>
        </w:rPr>
      </w:pPr>
      <w:r>
        <w:rPr>
          <w:snapToGrid w:val="0"/>
        </w:rPr>
        <w:tab/>
        <w:t>(b)</w:t>
      </w:r>
      <w:r>
        <w:rPr>
          <w:snapToGrid w:val="0"/>
        </w:rPr>
        <w:tab/>
        <w:t>anything done by the local government for achieving the purpose of the transaction,</w:t>
      </w:r>
    </w:p>
    <w:p>
      <w:pPr>
        <w:pStyle w:val="Subsection"/>
        <w:rPr>
          <w:snapToGrid w:val="0"/>
        </w:rPr>
      </w:pPr>
      <w:r>
        <w:rPr>
          <w:snapToGrid w:val="0"/>
        </w:rPr>
        <w:tab/>
      </w:r>
      <w:r>
        <w:rPr>
          <w:snapToGrid w:val="0"/>
        </w:rPr>
        <w:tab/>
        <w:t xml:space="preserve">has to be more, or worth more, than either </w:t>
      </w:r>
      <w:r>
        <w:t>$1 000 000</w:t>
      </w:r>
      <w:r>
        <w:rPr>
          <w:snapToGrid w:val="0"/>
        </w:rPr>
        <w:t xml:space="preserve"> or 10% of the operating expenditure incurred by the local government from its municipal fund in the last completed financial year.</w:t>
      </w:r>
    </w:p>
    <w:p>
      <w:pPr>
        <w:pStyle w:val="Footnotesection"/>
      </w:pPr>
      <w:r>
        <w:tab/>
        <w:t>[Regulation 7 amended in Gazette 31 Mar 2005 p. 1054.]</w:t>
      </w:r>
    </w:p>
    <w:p>
      <w:pPr>
        <w:pStyle w:val="Heading5"/>
        <w:rPr>
          <w:snapToGrid w:val="0"/>
        </w:rPr>
      </w:pPr>
      <w:bookmarkStart w:id="46" w:name="_Toc481472610"/>
      <w:bookmarkStart w:id="47" w:name="_Toc12956112"/>
      <w:bookmarkStart w:id="48" w:name="_Toc92787641"/>
      <w:bookmarkStart w:id="49" w:name="_Toc103150779"/>
      <w:r>
        <w:rPr>
          <w:rStyle w:val="CharSectno"/>
        </w:rPr>
        <w:t>8</w:t>
      </w:r>
      <w:r>
        <w:rPr>
          <w:snapToGrid w:val="0"/>
        </w:rPr>
        <w:t>.</w:t>
      </w:r>
      <w:r>
        <w:rPr>
          <w:snapToGrid w:val="0"/>
        </w:rPr>
        <w:tab/>
        <w:t>Transactions that cannot be major land transactions</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although the total value referred to in the definition of “major land transaction”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in Gazette 29 August 1997 pp.4867</w:t>
      </w:r>
      <w:r>
        <w:noBreakHyphen/>
        <w:t xml:space="preserve">8.] </w:t>
      </w:r>
    </w:p>
    <w:p>
      <w:pPr>
        <w:pStyle w:val="Heading5"/>
        <w:rPr>
          <w:snapToGrid w:val="0"/>
        </w:rPr>
      </w:pPr>
      <w:bookmarkStart w:id="50" w:name="_Toc481472611"/>
      <w:bookmarkStart w:id="51" w:name="_Toc12956113"/>
      <w:bookmarkStart w:id="52" w:name="_Toc92787642"/>
      <w:bookmarkStart w:id="53" w:name="_Toc103150780"/>
      <w:r>
        <w:rPr>
          <w:rStyle w:val="CharSectno"/>
        </w:rPr>
        <w:t>9</w:t>
      </w:r>
      <w:r>
        <w:rPr>
          <w:snapToGrid w:val="0"/>
        </w:rPr>
        <w:t>.</w:t>
      </w:r>
      <w:r>
        <w:rPr>
          <w:snapToGrid w:val="0"/>
        </w:rPr>
        <w:tab/>
        <w:t>Minimum expenditure involved in a “major trading undertaking”</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For a trading undertaking to be a major trading undertaking the expenditure by the local government that — </w:t>
      </w:r>
    </w:p>
    <w:p>
      <w:pPr>
        <w:pStyle w:val="Indenta"/>
        <w:rPr>
          <w:snapToGrid w:val="0"/>
        </w:rPr>
      </w:pPr>
      <w:r>
        <w:rPr>
          <w:snapToGrid w:val="0"/>
        </w:rPr>
        <w:tab/>
        <w:t>(a)</w:t>
      </w:r>
      <w:r>
        <w:rPr>
          <w:snapToGrid w:val="0"/>
        </w:rPr>
        <w:tab/>
        <w:t>the undertaking involved in the last completed financial year; or</w:t>
      </w:r>
    </w:p>
    <w:p>
      <w:pPr>
        <w:pStyle w:val="Indenta"/>
        <w:rPr>
          <w:snapToGrid w:val="0"/>
        </w:rPr>
      </w:pPr>
      <w:r>
        <w:rPr>
          <w:snapToGrid w:val="0"/>
        </w:rPr>
        <w:tab/>
        <w:t>(b)</w:t>
      </w:r>
      <w:r>
        <w:rPr>
          <w:snapToGrid w:val="0"/>
        </w:rPr>
        <w:tab/>
        <w:t>the undertaking is likely to involve in the current financial year or the financial year after the current financial year,</w:t>
      </w:r>
    </w:p>
    <w:p>
      <w:pPr>
        <w:pStyle w:val="Subsection"/>
        <w:rPr>
          <w:snapToGrid w:val="0"/>
        </w:rPr>
      </w:pPr>
      <w:r>
        <w:rPr>
          <w:snapToGrid w:val="0"/>
        </w:rPr>
        <w:tab/>
      </w:r>
      <w:r>
        <w:rPr>
          <w:snapToGrid w:val="0"/>
        </w:rPr>
        <w:tab/>
        <w:t xml:space="preserve">has to be more than either $500 000 or 10% of the lowest operating expenditure described in subregulation (2). </w:t>
      </w:r>
    </w:p>
    <w:p>
      <w:pPr>
        <w:pStyle w:val="Subsection"/>
        <w:rPr>
          <w:snapToGrid w:val="0"/>
        </w:rPr>
      </w:pPr>
      <w:r>
        <w:rPr>
          <w:snapToGrid w:val="0"/>
        </w:rPr>
        <w:tab/>
        <w:t>(2)</w:t>
      </w:r>
      <w:r>
        <w:rPr>
          <w:snapToGrid w:val="0"/>
        </w:rPr>
        <w:tab/>
        <w:t>The lowest operating expenditure referred to in subregulation (1) is the lowest of — </w:t>
      </w:r>
    </w:p>
    <w:p>
      <w:pPr>
        <w:pStyle w:val="Indenta"/>
        <w:rPr>
          <w:snapToGrid w:val="0"/>
        </w:rPr>
      </w:pPr>
      <w:r>
        <w:rPr>
          <w:snapToGrid w:val="0"/>
        </w:rPr>
        <w:tab/>
        <w:t>(a)</w:t>
      </w:r>
      <w:r>
        <w:rPr>
          <w:snapToGrid w:val="0"/>
        </w:rPr>
        <w:tab/>
        <w:t>the operating expenditure incurred by the local government from its municipal fund in the last completed financial year;</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Footnotesection"/>
      </w:pPr>
      <w:bookmarkStart w:id="54" w:name="_Toc481472612"/>
      <w:bookmarkStart w:id="55" w:name="_Toc12956114"/>
      <w:bookmarkStart w:id="56" w:name="_Toc92787643"/>
      <w:r>
        <w:tab/>
        <w:t>[Regulation 9 amended in Gazette 31 Mar 2005 p. 1054.]</w:t>
      </w:r>
    </w:p>
    <w:p>
      <w:pPr>
        <w:pStyle w:val="Heading5"/>
        <w:rPr>
          <w:snapToGrid w:val="0"/>
        </w:rPr>
      </w:pPr>
      <w:bookmarkStart w:id="57" w:name="_Toc103150781"/>
      <w:r>
        <w:rPr>
          <w:rStyle w:val="CharSectno"/>
        </w:rPr>
        <w:t>10</w:t>
      </w:r>
      <w:r>
        <w:rPr>
          <w:snapToGrid w:val="0"/>
        </w:rPr>
        <w:t>.</w:t>
      </w:r>
      <w:r>
        <w:rPr>
          <w:snapToGrid w:val="0"/>
        </w:rPr>
        <w:tab/>
        <w:t>Other matters of which details to be given in business plan</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 </w:t>
      </w:r>
    </w:p>
    <w:p>
      <w:pPr>
        <w:pStyle w:val="Indenti"/>
        <w:rPr>
          <w:snapToGrid w:val="0"/>
        </w:rPr>
      </w:pPr>
      <w:r>
        <w:rPr>
          <w:snapToGrid w:val="0"/>
        </w:rPr>
        <w:tab/>
        <w:t>(i)</w:t>
      </w:r>
      <w:r>
        <w:rPr>
          <w:snapToGrid w:val="0"/>
        </w:rPr>
        <w:tab/>
        <w:t>the identity of each joint venturer other than the local government;</w:t>
      </w:r>
    </w:p>
    <w:p>
      <w:pPr>
        <w:pStyle w:val="Indenti"/>
        <w:rPr>
          <w:snapToGrid w:val="0"/>
        </w:rPr>
      </w:pPr>
      <w:r>
        <w:rPr>
          <w:snapToGrid w:val="0"/>
        </w:rPr>
        <w:tab/>
        <w:t>(ii)</w:t>
      </w:r>
      <w:r>
        <w:rPr>
          <w:snapToGrid w:val="0"/>
        </w:rPr>
        <w:tab/>
        <w:t>the ownership of, and any other interests in, property that is involved in, or acquired in the course of, the joint venture;</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joint venture</w:t>
      </w:r>
      <w:r>
        <w:rPr>
          <w:b/>
        </w:rPr>
        <w:t>”</w:t>
      </w:r>
      <w:r>
        <w:t xml:space="preserve"> means the major trading undertaking or major land transaction that is to be jointly carried on or entered into;</w:t>
      </w:r>
    </w:p>
    <w:p>
      <w:pPr>
        <w:pStyle w:val="Defstart"/>
      </w:pPr>
      <w:r>
        <w:rPr>
          <w:b/>
        </w:rPr>
        <w:tab/>
        <w:t>“</w:t>
      </w:r>
      <w:r>
        <w:rPr>
          <w:rStyle w:val="CharDefText"/>
        </w:rPr>
        <w:t>joint venturer</w:t>
      </w:r>
      <w:r>
        <w:rPr>
          <w:b/>
        </w:rPr>
        <w:t>”</w:t>
      </w:r>
      <w:r>
        <w:t xml:space="preserve"> means the local government or another person with whom the local government is to carry on or enter into the joint venture.</w:t>
      </w:r>
    </w:p>
    <w:p>
      <w:pPr>
        <w:pStyle w:val="Heading2"/>
      </w:pPr>
      <w:bookmarkStart w:id="58" w:name="_Toc92787644"/>
      <w:bookmarkStart w:id="59" w:name="_Toc92787706"/>
      <w:bookmarkStart w:id="60" w:name="_Toc92964432"/>
      <w:bookmarkStart w:id="61" w:name="_Toc103150782"/>
      <w:r>
        <w:rPr>
          <w:rStyle w:val="CharPartNo"/>
        </w:rPr>
        <w:t>Part 4</w:t>
      </w:r>
      <w:r>
        <w:rPr>
          <w:rStyle w:val="CharDivNo"/>
        </w:rPr>
        <w:t> </w:t>
      </w:r>
      <w:r>
        <w:t>—</w:t>
      </w:r>
      <w:r>
        <w:rPr>
          <w:rStyle w:val="CharDivText"/>
        </w:rPr>
        <w:t> </w:t>
      </w:r>
      <w:r>
        <w:rPr>
          <w:rStyle w:val="CharPartText"/>
        </w:rPr>
        <w:t>Tenders for providing goods or services (s.3.57)</w:t>
      </w:r>
      <w:bookmarkEnd w:id="58"/>
      <w:bookmarkEnd w:id="59"/>
      <w:bookmarkEnd w:id="60"/>
      <w:bookmarkEnd w:id="61"/>
      <w:r>
        <w:rPr>
          <w:rStyle w:val="CharPartText"/>
        </w:rPr>
        <w:t xml:space="preserve"> </w:t>
      </w:r>
    </w:p>
    <w:p>
      <w:pPr>
        <w:pStyle w:val="Heading5"/>
        <w:rPr>
          <w:snapToGrid w:val="0"/>
        </w:rPr>
      </w:pPr>
      <w:bookmarkStart w:id="62" w:name="_Toc481472613"/>
      <w:bookmarkStart w:id="63" w:name="_Toc12956115"/>
      <w:bookmarkStart w:id="64" w:name="_Toc92787645"/>
      <w:bookmarkStart w:id="65" w:name="_Toc103150783"/>
      <w:r>
        <w:rPr>
          <w:rStyle w:val="CharSectno"/>
        </w:rPr>
        <w:t>11</w:t>
      </w:r>
      <w:r>
        <w:rPr>
          <w:snapToGrid w:val="0"/>
        </w:rPr>
        <w:t>.</w:t>
      </w:r>
      <w:r>
        <w:rPr>
          <w:snapToGrid w:val="0"/>
        </w:rPr>
        <w:tab/>
        <w:t>Tenders to be invited for certain contracts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Tenders are to be publicly invited according to the requirements of this Part before a local government enters into a contract for another person to supply goods or services if the consideration under the contract is, or is expected to be, more, or worth more, than $50 000 unless subregulation (2) states otherwise.</w:t>
      </w:r>
    </w:p>
    <w:p>
      <w:pPr>
        <w:pStyle w:val="Subsection"/>
        <w:rPr>
          <w:snapToGrid w:val="0"/>
        </w:rPr>
      </w:pPr>
      <w:r>
        <w:rPr>
          <w:snapToGrid w:val="0"/>
        </w:rPr>
        <w:tab/>
        <w:t>(2)</w:t>
      </w:r>
      <w:r>
        <w:rPr>
          <w:snapToGrid w:val="0"/>
        </w:rPr>
        <w:tab/>
        <w:t>Tenders do not have to be publicly invited according to the requirements of this Part if — </w:t>
      </w:r>
    </w:p>
    <w:p>
      <w:pPr>
        <w:pStyle w:val="Indenta"/>
        <w:rPr>
          <w:snapToGrid w:val="0"/>
        </w:rPr>
      </w:pPr>
      <w:r>
        <w:rPr>
          <w:snapToGrid w:val="0"/>
        </w:rPr>
        <w:tab/>
        <w:t>(a)</w:t>
      </w:r>
      <w:r>
        <w:rPr>
          <w:snapToGrid w:val="0"/>
        </w:rPr>
        <w:tab/>
        <w:t>the supply of the goods or services is to be obtained from expenditure authorised in an emergency under section 6.8(1)(c) of the Act;</w:t>
      </w:r>
    </w:p>
    <w:p>
      <w:pPr>
        <w:pStyle w:val="Indenta"/>
        <w:rPr>
          <w:snapToGrid w:val="0"/>
        </w:rPr>
      </w:pPr>
      <w:r>
        <w:rPr>
          <w:snapToGrid w:val="0"/>
        </w:rPr>
        <w:tab/>
        <w:t>(b)</w:t>
      </w:r>
      <w:r>
        <w:rPr>
          <w:snapToGrid w:val="0"/>
        </w:rPr>
        <w:tab/>
        <w:t>the supply of the goods or services is to be obtained through the Council Purchasing Service of WALGA;</w:t>
      </w:r>
    </w:p>
    <w:p>
      <w:pPr>
        <w:pStyle w:val="Indenta"/>
      </w:pPr>
      <w:r>
        <w:tab/>
        <w:t>(ba)</w:t>
      </w:r>
      <w:r>
        <w:tab/>
        <w:t>the local government intends to enter into a contract arrangement for the supply of goods or services where —</w:t>
      </w:r>
    </w:p>
    <w:p>
      <w:pPr>
        <w:pStyle w:val="Indenti"/>
      </w:pPr>
      <w:r>
        <w:tab/>
        <w:t>(i)</w:t>
      </w:r>
      <w:r>
        <w:tab/>
        <w:t>the supplier is either —</w:t>
      </w:r>
    </w:p>
    <w:p>
      <w:pPr>
        <w:pStyle w:val="IndentI0"/>
      </w:pPr>
      <w:r>
        <w:tab/>
        <w:t>(I)</w:t>
      </w:r>
      <w:r>
        <w:tab/>
        <w:t>an individual whose last employer was the local government; or</w:t>
      </w:r>
    </w:p>
    <w:p>
      <w:pPr>
        <w:pStyle w:val="IndentI0"/>
      </w:pPr>
      <w:r>
        <w:tab/>
        <w:t>(II)</w:t>
      </w:r>
      <w:r>
        <w:tab/>
        <w:t>a group, partnership or company comprising at least 75% of persons whose last employer was that local government;</w:t>
      </w:r>
    </w:p>
    <w:p>
      <w:pPr>
        <w:pStyle w:val="Indenti"/>
      </w:pPr>
      <w:r>
        <w:tab/>
        <w:t>(ii)</w:t>
      </w:r>
      <w:r>
        <w:tab/>
        <w:t>the contract —</w:t>
      </w:r>
    </w:p>
    <w:p>
      <w:pPr>
        <w:pStyle w:val="IndentI0"/>
      </w:pPr>
      <w:r>
        <w:tab/>
        <w:t>(I)</w:t>
      </w:r>
      <w:r>
        <w:tab/>
        <w:t>is the first contract of that nature with that individual or group; and</w:t>
      </w:r>
    </w:p>
    <w:p>
      <w:pPr>
        <w:pStyle w:val="IndentI0"/>
      </w:pPr>
      <w:r>
        <w:tab/>
        <w:t>(II)</w:t>
      </w:r>
      <w:r>
        <w:tab/>
        <w:t>is not to operate for more than 3 years;</w:t>
      </w:r>
    </w:p>
    <w:p>
      <w:pPr>
        <w:pStyle w:val="Indenti"/>
      </w:pPr>
      <w:r>
        <w:tab/>
      </w:r>
      <w:r>
        <w:tab/>
        <w:t>and</w:t>
      </w:r>
    </w:p>
    <w:p>
      <w:pPr>
        <w:pStyle w:val="Indenti"/>
        <w:keepNext/>
      </w:pPr>
      <w:r>
        <w:tab/>
        <w:t>(iii)</w:t>
      </w:r>
      <w:r>
        <w:tab/>
        <w:t>the goods or services are —</w:t>
      </w:r>
    </w:p>
    <w:p>
      <w:pPr>
        <w:pStyle w:val="IndentI0"/>
      </w:pPr>
      <w:r>
        <w:tab/>
        <w:t>(I)</w:t>
      </w:r>
      <w:r>
        <w:tab/>
        <w:t>goods or services of a type; or</w:t>
      </w:r>
    </w:p>
    <w:p>
      <w:pPr>
        <w:pStyle w:val="IndentI0"/>
      </w:pPr>
      <w:r>
        <w:tab/>
        <w:t>(II)</w:t>
      </w:r>
      <w:r>
        <w:tab/>
        <w:t>(in the opinion of the local government) substantially similar to, or closely related to, goods or services of a type,</w:t>
      </w:r>
    </w:p>
    <w:p>
      <w:pPr>
        <w:pStyle w:val="Indenti"/>
      </w:pPr>
      <w:r>
        <w:tab/>
      </w:r>
      <w:r>
        <w:tab/>
        <w:t>that were provided by the individual (or persons) whilst employed by the local government;</w:t>
      </w:r>
    </w:p>
    <w:p>
      <w:pPr>
        <w:pStyle w:val="Indenta"/>
        <w:rPr>
          <w:snapToGrid w:val="0"/>
        </w:rPr>
      </w:pPr>
      <w:r>
        <w:rPr>
          <w:snapToGrid w:val="0"/>
        </w:rPr>
        <w:tab/>
        <w:t>(c)</w:t>
      </w:r>
      <w:r>
        <w:rPr>
          <w:snapToGrid w:val="0"/>
        </w:rPr>
        <w:tab/>
        <w:t>within the last 6 months — </w:t>
      </w:r>
    </w:p>
    <w:p>
      <w:pPr>
        <w:pStyle w:val="Indenti"/>
        <w:rPr>
          <w:snapToGrid w:val="0"/>
        </w:rPr>
      </w:pPr>
      <w:r>
        <w:rPr>
          <w:snapToGrid w:val="0"/>
        </w:rPr>
        <w:tab/>
        <w:t>(i)</w:t>
      </w:r>
      <w:r>
        <w:rPr>
          <w:snapToGrid w:val="0"/>
        </w:rPr>
        <w:tab/>
        <w:t>the local government has, according to the requirements of this Part, publicly invited tenders for the supply of the goods or services but no tender was submitted that met the tender specifications; or</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w:t>
      </w:r>
    </w:p>
    <w:p>
      <w:pPr>
        <w:pStyle w:val="Indenta"/>
        <w:rPr>
          <w:snapToGrid w:val="0"/>
        </w:rPr>
      </w:pPr>
      <w:r>
        <w:rPr>
          <w:snapToGrid w:val="0"/>
        </w:rPr>
        <w:tab/>
        <w:t>(ea)</w:t>
      </w:r>
      <w:r>
        <w:rPr>
          <w:snapToGrid w:val="0"/>
        </w:rPr>
        <w:tab/>
        <w:t>the goods or services are to be supplied —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 xml:space="preserve">by a person who, on the commencement of the order referred to in subparagraph (i), has a contract to supply the same kind of goods or services to the local government of the district referred to in that subparagraph; </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 xml:space="preserve">the goods to be supplied under the contract are — </w:t>
      </w:r>
    </w:p>
    <w:p>
      <w:pPr>
        <w:pStyle w:val="Indenti"/>
      </w:pPr>
      <w:r>
        <w:tab/>
        <w:t>(i)</w:t>
      </w:r>
      <w:r>
        <w:tab/>
        <w:t xml:space="preserve">petrol or oil; or </w:t>
      </w:r>
    </w:p>
    <w:p>
      <w:pPr>
        <w:pStyle w:val="Indenti"/>
        <w:rPr>
          <w:snapToGrid w:val="0"/>
        </w:rPr>
      </w:pPr>
      <w:r>
        <w:tab/>
        <w:t>(ii)</w:t>
      </w:r>
      <w:r>
        <w:tab/>
        <w:t>any other liquid, or any gas, used for internal combustion engines.</w:t>
      </w:r>
    </w:p>
    <w:p>
      <w:pPr>
        <w:pStyle w:val="Footnotesection"/>
      </w:pPr>
      <w:r>
        <w:tab/>
        <w:t>[Regulation 11 amended in Gazette 29 Apr 1997 p. 2145; 26 Jun 1998 p. 3447; 25 Feb 2000 p. 970</w:t>
      </w:r>
      <w:r>
        <w:noBreakHyphen/>
        <w:t xml:space="preserve">1; 29 Jun 2001 p. 3130; 31 Mar 2005 p. 1054-5.] </w:t>
      </w:r>
    </w:p>
    <w:p>
      <w:pPr>
        <w:pStyle w:val="Heading5"/>
        <w:rPr>
          <w:snapToGrid w:val="0"/>
        </w:rPr>
      </w:pPr>
      <w:bookmarkStart w:id="66" w:name="_Toc481472614"/>
      <w:bookmarkStart w:id="67" w:name="_Toc12956116"/>
      <w:bookmarkStart w:id="68" w:name="_Toc92787646"/>
      <w:bookmarkStart w:id="69" w:name="_Toc103150784"/>
      <w:r>
        <w:rPr>
          <w:rStyle w:val="CharSectno"/>
        </w:rPr>
        <w:t>12</w:t>
      </w:r>
      <w:r>
        <w:rPr>
          <w:snapToGrid w:val="0"/>
        </w:rPr>
        <w:t>.</w:t>
      </w:r>
      <w:r>
        <w:rPr>
          <w:snapToGrid w:val="0"/>
        </w:rPr>
        <w:tab/>
        <w:t>Anti</w:t>
      </w:r>
      <w:r>
        <w:rPr>
          <w:snapToGrid w:val="0"/>
        </w:rPr>
        <w:noBreakHyphen/>
        <w:t>avoidance provision</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If a local government enters into 2 or more contracts in circumstances such that the desire to avoid the requirements of regulation 11(1) is a significant reason for not dealing with the matter in a single contract, tenders are to be publicly invited according to the requirements of this Part before entering into any of the contracts regardless of the consideration.</w:t>
      </w:r>
    </w:p>
    <w:p>
      <w:pPr>
        <w:pStyle w:val="Heading5"/>
        <w:rPr>
          <w:snapToGrid w:val="0"/>
        </w:rPr>
      </w:pPr>
      <w:bookmarkStart w:id="70" w:name="_Toc481472615"/>
      <w:bookmarkStart w:id="71" w:name="_Toc12956117"/>
      <w:bookmarkStart w:id="72" w:name="_Toc92787647"/>
      <w:bookmarkStart w:id="73" w:name="_Toc103150785"/>
      <w:r>
        <w:rPr>
          <w:rStyle w:val="CharSectno"/>
        </w:rPr>
        <w:t>13</w:t>
      </w:r>
      <w:r>
        <w:rPr>
          <w:snapToGrid w:val="0"/>
        </w:rPr>
        <w:t>.</w:t>
      </w:r>
      <w:r>
        <w:rPr>
          <w:snapToGrid w:val="0"/>
        </w:rPr>
        <w:tab/>
        <w:t>Procedure when local government invites tenders though not required to do so</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If a local government, although not required by this Part to invite tenders before entering into a contract for another person to supply goods or services, decides to invite tenders, the tenders are to be publicly invited according to the requirements of this Part.</w:t>
      </w:r>
    </w:p>
    <w:p>
      <w:pPr>
        <w:pStyle w:val="Heading5"/>
        <w:rPr>
          <w:snapToGrid w:val="0"/>
        </w:rPr>
      </w:pPr>
      <w:bookmarkStart w:id="74" w:name="_Toc481472616"/>
      <w:bookmarkStart w:id="75" w:name="_Toc12956118"/>
      <w:bookmarkStart w:id="76" w:name="_Toc92787648"/>
      <w:bookmarkStart w:id="77" w:name="_Toc103150786"/>
      <w:r>
        <w:rPr>
          <w:rStyle w:val="CharSectno"/>
        </w:rPr>
        <w:t>14</w:t>
      </w:r>
      <w:r>
        <w:rPr>
          <w:snapToGrid w:val="0"/>
        </w:rPr>
        <w:t>.</w:t>
      </w:r>
      <w:r>
        <w:rPr>
          <w:snapToGrid w:val="0"/>
        </w:rPr>
        <w:tab/>
        <w:t>Requirements for publicly inviting tenders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When regulation 11(1), 12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as to tendering may be obtained;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w:t>
      </w:r>
    </w:p>
    <w:p>
      <w:pPr>
        <w:pStyle w:val="Indenta"/>
      </w:pPr>
      <w:r>
        <w:tab/>
        <w:t>(b)</w:t>
      </w:r>
      <w:r>
        <w:tab/>
        <w:t>detailed specifications of the goods or services required;</w:t>
      </w:r>
    </w:p>
    <w:p>
      <w:pPr>
        <w:pStyle w:val="Indenta"/>
      </w:pPr>
      <w:r>
        <w:tab/>
        <w:t>(c)</w:t>
      </w:r>
      <w:r>
        <w:tab/>
        <w:t>the criteria for deciding which tender should be accepted;</w:t>
      </w:r>
    </w:p>
    <w:p>
      <w:pPr>
        <w:pStyle w:val="Indenta"/>
      </w:pPr>
      <w:r>
        <w:tab/>
        <w:t>(d)</w:t>
      </w:r>
      <w:r>
        <w:tab/>
        <w:t>whether or not the local government has decided to submit a tender; and</w:t>
      </w:r>
    </w:p>
    <w:p>
      <w:pPr>
        <w:pStyle w:val="Indenta"/>
      </w:pPr>
      <w:r>
        <w:tab/>
        <w:t>(e)</w:t>
      </w:r>
      <w:r>
        <w:tab/>
        <w:t>whether or not the CEO has decided to allow tenders to be submitted by facsimile or other electronic means, and if so, how tenders may so be submitted.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in Gazette 29 June 2001 p. 3130.]</w:t>
      </w:r>
    </w:p>
    <w:p>
      <w:pPr>
        <w:pStyle w:val="Heading5"/>
        <w:rPr>
          <w:snapToGrid w:val="0"/>
        </w:rPr>
      </w:pPr>
      <w:bookmarkStart w:id="78" w:name="_Toc481472617"/>
      <w:bookmarkStart w:id="79" w:name="_Toc12956119"/>
      <w:bookmarkStart w:id="80" w:name="_Toc92787649"/>
      <w:bookmarkStart w:id="81" w:name="_Toc103150787"/>
      <w:r>
        <w:rPr>
          <w:rStyle w:val="CharSectno"/>
        </w:rPr>
        <w:t>15</w:t>
      </w:r>
      <w:r>
        <w:rPr>
          <w:snapToGrid w:val="0"/>
        </w:rPr>
        <w:t>.</w:t>
      </w:r>
      <w:r>
        <w:rPr>
          <w:snapToGrid w:val="0"/>
        </w:rPr>
        <w:tab/>
        <w:t>Minimum time to be allowed for submitting tenders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If the notice is published in the newspaper as part of giving Statewide public notice, the time specified in the notice as the time after which tenders cannot be submitted has to be at least 14 days after the notice is first published in the newspaper as part of giving Statewide public notice.</w:t>
      </w:r>
    </w:p>
    <w:p>
      <w:pPr>
        <w:pStyle w:val="Subsection"/>
        <w:rPr>
          <w:snapToGrid w:val="0"/>
        </w:rPr>
      </w:pPr>
      <w:r>
        <w:rPr>
          <w:snapToGrid w:val="0"/>
        </w:rPr>
        <w:tab/>
        <w:t>(2)</w:t>
      </w:r>
      <w:r>
        <w:rPr>
          <w:snapToGrid w:val="0"/>
        </w:rPr>
        <w:tab/>
        <w:t>If the notice is given to a person listed as an acceptable tenderer, the time specified in the notice as the time after which tenders cannot be submitted has to be at least 14 days after the notice is given.</w:t>
      </w:r>
    </w:p>
    <w:p>
      <w:pPr>
        <w:pStyle w:val="Heading5"/>
        <w:rPr>
          <w:snapToGrid w:val="0"/>
        </w:rPr>
      </w:pPr>
      <w:bookmarkStart w:id="82" w:name="_Toc481472618"/>
      <w:bookmarkStart w:id="83" w:name="_Toc12956120"/>
      <w:bookmarkStart w:id="84" w:name="_Toc92787650"/>
      <w:bookmarkStart w:id="85" w:name="_Toc103150788"/>
      <w:r>
        <w:rPr>
          <w:rStyle w:val="CharSectno"/>
        </w:rPr>
        <w:t>16</w:t>
      </w:r>
      <w:r>
        <w:rPr>
          <w:snapToGrid w:val="0"/>
        </w:rPr>
        <w:t>.</w:t>
      </w:r>
      <w:r>
        <w:rPr>
          <w:snapToGrid w:val="0"/>
        </w:rPr>
        <w:tab/>
        <w:t>Receiving and opening tenders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rPr>
          <w:snapToGrid w:val="0"/>
        </w:rPr>
      </w:pPr>
      <w:r>
        <w:rPr>
          <w:snapToGrid w:val="0"/>
        </w:rPr>
        <w:tab/>
        <w:t>(3)</w:t>
      </w:r>
      <w:r>
        <w:rPr>
          <w:snapToGrid w:val="0"/>
        </w:rPr>
        <w:tab/>
        <w:t>When tenders are opened — </w:t>
      </w:r>
    </w:p>
    <w:p>
      <w:pPr>
        <w:pStyle w:val="Indenta"/>
        <w:rPr>
          <w:snapToGrid w:val="0"/>
        </w:rPr>
      </w:pPr>
      <w:r>
        <w:rPr>
          <w:snapToGrid w:val="0"/>
        </w:rPr>
        <w:tab/>
        <w:t>(a)</w:t>
      </w:r>
      <w:r>
        <w:rPr>
          <w:snapToGrid w:val="0"/>
        </w:rPr>
        <w:tab/>
        <w:t xml:space="preserve">at least one and, if practicable, more than one employee of the local government </w:t>
      </w:r>
      <w:r>
        <w:t xml:space="preserve">or one person authorised by the CEO to open tenders and, if practicable, one or more other persons, </w:t>
      </w:r>
      <w:r>
        <w:rPr>
          <w:snapToGrid w:val="0"/>
        </w:rPr>
        <w:t>is required to be present;</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in Gazette 29 Jun 2001 p. 3131; 31 Mar 2005 p. 1055.]</w:t>
      </w:r>
    </w:p>
    <w:p>
      <w:pPr>
        <w:pStyle w:val="Heading5"/>
        <w:rPr>
          <w:snapToGrid w:val="0"/>
        </w:rPr>
      </w:pPr>
      <w:bookmarkStart w:id="86" w:name="_Toc481472619"/>
      <w:bookmarkStart w:id="87" w:name="_Toc12956121"/>
      <w:bookmarkStart w:id="88" w:name="_Toc92787651"/>
      <w:bookmarkStart w:id="89" w:name="_Toc103150789"/>
      <w:r>
        <w:rPr>
          <w:rStyle w:val="CharSectno"/>
        </w:rPr>
        <w:t>17</w:t>
      </w:r>
      <w:r>
        <w:rPr>
          <w:snapToGrid w:val="0"/>
        </w:rPr>
        <w:t>.</w:t>
      </w:r>
      <w:r>
        <w:rPr>
          <w:snapToGrid w:val="0"/>
        </w:rPr>
        <w:tab/>
        <w:t>Tenders register</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of the making of — </w:t>
      </w:r>
    </w:p>
    <w:p>
      <w:pPr>
        <w:pStyle w:val="Indenti"/>
        <w:rPr>
          <w:snapToGrid w:val="0"/>
        </w:rPr>
      </w:pPr>
      <w:r>
        <w:rPr>
          <w:snapToGrid w:val="0"/>
        </w:rPr>
        <w:tab/>
        <w:t>(i)</w:t>
      </w:r>
      <w:r>
        <w:rPr>
          <w:snapToGrid w:val="0"/>
        </w:rPr>
        <w:tab/>
        <w:t>the decision to invite tenders; and</w:t>
      </w:r>
    </w:p>
    <w:p>
      <w:pPr>
        <w:pStyle w:val="Indenti"/>
        <w:rPr>
          <w:snapToGrid w:val="0"/>
        </w:rPr>
      </w:pPr>
      <w:r>
        <w:rPr>
          <w:snapToGrid w:val="0"/>
        </w:rPr>
        <w:tab/>
        <w:t>(ii)</w:t>
      </w:r>
      <w:r>
        <w:rPr>
          <w:snapToGrid w:val="0"/>
        </w:rPr>
        <w:tab/>
        <w:t>if applicable, the decision to seek expressions of interest under regulation 21(1);</w:t>
      </w:r>
    </w:p>
    <w:p>
      <w:pPr>
        <w:pStyle w:val="Indenta"/>
        <w:rPr>
          <w:snapToGrid w:val="0"/>
        </w:rPr>
      </w:pPr>
      <w:r>
        <w:rPr>
          <w:snapToGrid w:val="0"/>
        </w:rPr>
        <w:tab/>
        <w:t>(c)</w:t>
      </w:r>
      <w:r>
        <w:rPr>
          <w:snapToGrid w:val="0"/>
        </w:rPr>
        <w:tab/>
        <w:t>particulars of — </w:t>
      </w:r>
    </w:p>
    <w:p>
      <w:pPr>
        <w:pStyle w:val="Indenti"/>
        <w:rPr>
          <w:snapToGrid w:val="0"/>
        </w:rPr>
      </w:pPr>
      <w:r>
        <w:rPr>
          <w:snapToGrid w:val="0"/>
        </w:rPr>
        <w:tab/>
        <w:t>(i)</w:t>
      </w:r>
      <w:r>
        <w:rPr>
          <w:snapToGrid w:val="0"/>
        </w:rPr>
        <w:tab/>
        <w:t>any notice by which expressions of interests from prospective tenderers was sought;</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t>(d)</w:t>
      </w:r>
      <w:r>
        <w:rPr>
          <w:snapToGrid w:val="0"/>
        </w:rPr>
        <w:tab/>
        <w:t>a copy of the notice of the invitation to tender;</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in Gazette 29 June 2001 p. 3131.]</w:t>
      </w:r>
    </w:p>
    <w:p>
      <w:pPr>
        <w:pStyle w:val="Heading5"/>
        <w:rPr>
          <w:snapToGrid w:val="0"/>
        </w:rPr>
      </w:pPr>
      <w:bookmarkStart w:id="90" w:name="_Toc481472620"/>
      <w:bookmarkStart w:id="91" w:name="_Toc12956122"/>
      <w:bookmarkStart w:id="92" w:name="_Toc92787652"/>
      <w:bookmarkStart w:id="93" w:name="_Toc103150790"/>
      <w:r>
        <w:rPr>
          <w:rStyle w:val="CharSectno"/>
        </w:rPr>
        <w:t>18</w:t>
      </w:r>
      <w:r>
        <w:rPr>
          <w:snapToGrid w:val="0"/>
        </w:rPr>
        <w:t>.</w:t>
      </w:r>
      <w:r>
        <w:rPr>
          <w:snapToGrid w:val="0"/>
        </w:rPr>
        <w:tab/>
        <w:t>Choice of tender</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in Gazette 29 June 2001 p. 3131-2.]</w:t>
      </w:r>
    </w:p>
    <w:p>
      <w:pPr>
        <w:pStyle w:val="Heading5"/>
        <w:spacing w:before="120"/>
        <w:rPr>
          <w:snapToGrid w:val="0"/>
        </w:rPr>
      </w:pPr>
      <w:bookmarkStart w:id="94" w:name="_Toc481472621"/>
      <w:bookmarkStart w:id="95" w:name="_Toc12956123"/>
      <w:bookmarkStart w:id="96" w:name="_Toc92787653"/>
      <w:bookmarkStart w:id="97" w:name="_Toc103150791"/>
      <w:r>
        <w:rPr>
          <w:rStyle w:val="CharSectno"/>
        </w:rPr>
        <w:t>19</w:t>
      </w:r>
      <w:r>
        <w:rPr>
          <w:snapToGrid w:val="0"/>
        </w:rPr>
        <w:t>.</w:t>
      </w:r>
      <w:r>
        <w:rPr>
          <w:snapToGrid w:val="0"/>
        </w:rPr>
        <w:tab/>
        <w:t>Tenderers to be notified of outcome</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in Gazette 29 June 2001 p. 3132.]</w:t>
      </w:r>
    </w:p>
    <w:p>
      <w:pPr>
        <w:pStyle w:val="Heading5"/>
        <w:spacing w:before="120"/>
        <w:rPr>
          <w:snapToGrid w:val="0"/>
        </w:rPr>
      </w:pPr>
      <w:bookmarkStart w:id="98" w:name="_Toc481472622"/>
      <w:bookmarkStart w:id="99" w:name="_Toc12956124"/>
      <w:bookmarkStart w:id="100" w:name="_Toc92787654"/>
      <w:bookmarkStart w:id="101" w:name="_Toc103150792"/>
      <w:r>
        <w:rPr>
          <w:rStyle w:val="CharSectno"/>
        </w:rPr>
        <w:t>20</w:t>
      </w:r>
      <w:r>
        <w:rPr>
          <w:snapToGrid w:val="0"/>
        </w:rPr>
        <w:t>.</w:t>
      </w:r>
      <w:r>
        <w:rPr>
          <w:snapToGrid w:val="0"/>
        </w:rPr>
        <w:tab/>
        <w:t>Variation of requirements before entry into contract</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minor variation</w:t>
      </w:r>
      <w:r>
        <w:rPr>
          <w:b/>
        </w:rPr>
        <w:t>”</w:t>
      </w:r>
      <w:r>
        <w:t xml:space="preserve"> means a variation that the local government is satisfied is minor having regard to the total goods or services that tenderers were invited to supply.</w:t>
      </w:r>
    </w:p>
    <w:p>
      <w:pPr>
        <w:pStyle w:val="Heading5"/>
        <w:rPr>
          <w:snapToGrid w:val="0"/>
        </w:rPr>
      </w:pPr>
      <w:bookmarkStart w:id="102" w:name="_Toc481472623"/>
      <w:bookmarkStart w:id="103" w:name="_Toc12956125"/>
      <w:bookmarkStart w:id="104" w:name="_Toc92787655"/>
      <w:bookmarkStart w:id="105" w:name="_Toc103150793"/>
      <w:r>
        <w:rPr>
          <w:rStyle w:val="CharSectno"/>
        </w:rPr>
        <w:t>21</w:t>
      </w:r>
      <w:r>
        <w:rPr>
          <w:snapToGrid w:val="0"/>
        </w:rPr>
        <w:t>.</w:t>
      </w:r>
      <w:r>
        <w:rPr>
          <w:snapToGrid w:val="0"/>
        </w:rPr>
        <w:tab/>
        <w:t>Limitation may be placed on who can tender</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If a local government thinks that there is good reason to make a preliminary selection from amongst prospective tenderers, it may seek expressions of interest with respect to the supply of the goods or services.</w:t>
      </w:r>
    </w:p>
    <w:p>
      <w:pPr>
        <w:pStyle w:val="Subsection"/>
        <w:rPr>
          <w:snapToGrid w:val="0"/>
        </w:rPr>
      </w:pPr>
      <w:r>
        <w:rPr>
          <w:snapToGrid w:val="0"/>
        </w:rPr>
        <w:tab/>
        <w:t>(2)</w:t>
      </w:r>
      <w:r>
        <w:rPr>
          <w:snapToGrid w:val="0"/>
        </w:rPr>
        <w:tab/>
        <w:t>There is good reason to make a preliminary selection if, because of — </w:t>
      </w:r>
    </w:p>
    <w:p>
      <w:pPr>
        <w:pStyle w:val="Indenta"/>
        <w:rPr>
          <w:snapToGrid w:val="0"/>
        </w:rPr>
      </w:pPr>
      <w:r>
        <w:rPr>
          <w:snapToGrid w:val="0"/>
        </w:rPr>
        <w:tab/>
        <w:t>(a)</w:t>
      </w:r>
      <w:r>
        <w:rPr>
          <w:snapToGrid w:val="0"/>
        </w:rPr>
        <w:tab/>
        <w:t>the nature of the goods or services required; or</w:t>
      </w:r>
    </w:p>
    <w:p>
      <w:pPr>
        <w:pStyle w:val="Indenta"/>
        <w:rPr>
          <w:snapToGrid w:val="0"/>
        </w:rPr>
      </w:pPr>
      <w:r>
        <w:rPr>
          <w:snapToGrid w:val="0"/>
        </w:rPr>
        <w:tab/>
        <w:t>(b)</w:t>
      </w:r>
      <w:r>
        <w:rPr>
          <w:snapToGrid w:val="0"/>
        </w:rPr>
        <w:tab/>
        <w:t>the cost of preparing plans, specifications or other information for the purpose of adequately describing the goods or services required,</w:t>
      </w:r>
    </w:p>
    <w:p>
      <w:pPr>
        <w:pStyle w:val="Subsection"/>
        <w:rPr>
          <w:snapToGrid w:val="0"/>
        </w:rPr>
      </w:pPr>
      <w:r>
        <w:rPr>
          <w:snapToGrid w:val="0"/>
        </w:rPr>
        <w:tab/>
      </w:r>
      <w:r>
        <w:rPr>
          <w:snapToGrid w:val="0"/>
        </w:rPr>
        <w:tab/>
        <w:t>it would be advantageous to the local government if tenders were invited only from persons it considers to be capable of satisfactorily supplying the goods or services.</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rPr>
          <w:snapToGrid w:val="0"/>
        </w:rPr>
      </w:pPr>
      <w:r>
        <w:rPr>
          <w:snapToGrid w:val="0"/>
        </w:rPr>
        <w:tab/>
        <w:t>(4)</w:t>
      </w:r>
      <w:r>
        <w:rPr>
          <w:snapToGrid w:val="0"/>
        </w:rPr>
        <w:tab/>
        <w:t>The notice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may be obtained;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Heading5"/>
        <w:rPr>
          <w:snapToGrid w:val="0"/>
        </w:rPr>
      </w:pPr>
      <w:bookmarkStart w:id="106" w:name="_Toc481472624"/>
      <w:bookmarkStart w:id="107" w:name="_Toc12956126"/>
      <w:bookmarkStart w:id="108" w:name="_Toc92787656"/>
      <w:bookmarkStart w:id="109" w:name="_Toc103150794"/>
      <w:r>
        <w:rPr>
          <w:rStyle w:val="CharSectno"/>
        </w:rPr>
        <w:t>22</w:t>
      </w:r>
      <w:r>
        <w:rPr>
          <w:snapToGrid w:val="0"/>
        </w:rPr>
        <w:t>.</w:t>
      </w:r>
      <w:r>
        <w:rPr>
          <w:snapToGrid w:val="0"/>
        </w:rPr>
        <w:tab/>
        <w:t>Minimum time to be allowed for submitting expressions of interest</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110" w:name="_Toc481472625"/>
      <w:bookmarkStart w:id="111" w:name="_Toc12956127"/>
      <w:bookmarkStart w:id="112" w:name="_Toc92787657"/>
      <w:bookmarkStart w:id="113" w:name="_Toc103150795"/>
      <w:r>
        <w:rPr>
          <w:rStyle w:val="CharSectno"/>
        </w:rPr>
        <w:t>23</w:t>
      </w:r>
      <w:r>
        <w:rPr>
          <w:snapToGrid w:val="0"/>
        </w:rPr>
        <w:t>.</w:t>
      </w:r>
      <w:r>
        <w:rPr>
          <w:snapToGrid w:val="0"/>
        </w:rPr>
        <w:tab/>
        <w:t>Choice of acceptable tenderers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in Gazette 29 June 2001 p. 3132.]</w:t>
      </w:r>
    </w:p>
    <w:p>
      <w:pPr>
        <w:pStyle w:val="Heading5"/>
        <w:rPr>
          <w:snapToGrid w:val="0"/>
        </w:rPr>
      </w:pPr>
      <w:bookmarkStart w:id="114" w:name="_Toc481472626"/>
      <w:bookmarkStart w:id="115" w:name="_Toc12956128"/>
      <w:bookmarkStart w:id="116" w:name="_Toc92787658"/>
      <w:bookmarkStart w:id="117" w:name="_Toc103150796"/>
      <w:r>
        <w:rPr>
          <w:rStyle w:val="CharSectno"/>
        </w:rPr>
        <w:t>24</w:t>
      </w:r>
      <w:r>
        <w:rPr>
          <w:snapToGrid w:val="0"/>
        </w:rPr>
        <w:t>.</w:t>
      </w:r>
      <w:r>
        <w:rPr>
          <w:snapToGrid w:val="0"/>
        </w:rPr>
        <w:tab/>
        <w:t>Persons expressing interest to be notified of outcome</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CEO is to give each person who submitted an expression of interest notice in writing — </w:t>
      </w:r>
    </w:p>
    <w:p>
      <w:pPr>
        <w:pStyle w:val="Indenta"/>
        <w:rPr>
          <w:snapToGrid w:val="0"/>
        </w:rPr>
      </w:pPr>
      <w:r>
        <w:rPr>
          <w:snapToGrid w:val="0"/>
        </w:rPr>
        <w:tab/>
        <w:t>(a)</w:t>
      </w:r>
      <w:r>
        <w:rPr>
          <w:snapToGrid w:val="0"/>
        </w:rPr>
        <w:tab/>
        <w:t>containing particulars of the persons the CEO has listed under regulation 23(4) as acceptable tenderers;</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in Gazette 29 June 2001 p. 3133.]</w:t>
      </w:r>
    </w:p>
    <w:p>
      <w:pPr>
        <w:pStyle w:val="Heading2"/>
        <w:rPr>
          <w:rStyle w:val="CharPartText"/>
        </w:rPr>
      </w:pPr>
      <w:bookmarkStart w:id="118" w:name="_Toc92787659"/>
      <w:bookmarkStart w:id="119" w:name="_Toc92787721"/>
      <w:bookmarkStart w:id="120" w:name="_Toc92964447"/>
      <w:bookmarkStart w:id="121" w:name="_Toc103150797"/>
      <w:r>
        <w:rPr>
          <w:rStyle w:val="CharPartNo"/>
        </w:rPr>
        <w:t>Part 4A</w:t>
      </w:r>
      <w:r>
        <w:t xml:space="preserve"> — </w:t>
      </w:r>
      <w:r>
        <w:rPr>
          <w:rStyle w:val="CharPartText"/>
        </w:rPr>
        <w:t>Regional price preference</w:t>
      </w:r>
      <w:bookmarkEnd w:id="118"/>
      <w:bookmarkEnd w:id="119"/>
      <w:bookmarkEnd w:id="120"/>
      <w:bookmarkEnd w:id="121"/>
    </w:p>
    <w:p>
      <w:pPr>
        <w:pStyle w:val="Footnoteheading"/>
      </w:pPr>
      <w:r>
        <w:t>[Heading inserted in Gazette 25 February 2000 p.971.]</w:t>
      </w:r>
    </w:p>
    <w:p>
      <w:pPr>
        <w:pStyle w:val="Heading5"/>
      </w:pPr>
      <w:bookmarkStart w:id="122" w:name="_Toc481472627"/>
      <w:bookmarkStart w:id="123" w:name="_Toc12956129"/>
      <w:bookmarkStart w:id="124" w:name="_Toc92787660"/>
      <w:bookmarkStart w:id="125" w:name="_Toc103150798"/>
      <w:r>
        <w:rPr>
          <w:rStyle w:val="CharSectno"/>
        </w:rPr>
        <w:t>24A</w:t>
      </w:r>
      <w:r>
        <w:t>.</w:t>
      </w:r>
      <w:r>
        <w:tab/>
        <w:t>Application of this Part</w:t>
      </w:r>
      <w:bookmarkEnd w:id="122"/>
      <w:bookmarkEnd w:id="123"/>
      <w:bookmarkEnd w:id="124"/>
      <w:bookmarkEnd w:id="125"/>
    </w:p>
    <w:p>
      <w:pPr>
        <w:pStyle w:val="Subsection"/>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pPr>
      <w:r>
        <w:tab/>
        <w:t>[Regulation 24A inserted in Gazette 25 February 2000 p.971.]</w:t>
      </w:r>
    </w:p>
    <w:p>
      <w:pPr>
        <w:pStyle w:val="Heading5"/>
      </w:pPr>
      <w:bookmarkStart w:id="126" w:name="_Toc481472628"/>
      <w:bookmarkStart w:id="127" w:name="_Toc12956130"/>
      <w:bookmarkStart w:id="128" w:name="_Toc92787661"/>
      <w:bookmarkStart w:id="129" w:name="_Toc103150799"/>
      <w:r>
        <w:rPr>
          <w:rStyle w:val="CharSectno"/>
        </w:rPr>
        <w:t>24B</w:t>
      </w:r>
      <w:r>
        <w:t>.</w:t>
      </w:r>
      <w:r>
        <w:tab/>
        <w:t>Interpretation</w:t>
      </w:r>
      <w:bookmarkEnd w:id="126"/>
      <w:bookmarkEnd w:id="127"/>
      <w:bookmarkEnd w:id="128"/>
      <w:bookmarkEnd w:id="129"/>
    </w:p>
    <w:p>
      <w:pPr>
        <w:pStyle w:val="Subsection"/>
      </w:pPr>
      <w:r>
        <w:tab/>
        <w:t>(1)</w:t>
      </w:r>
      <w:r>
        <w:tab/>
        <w:t>In this Part —</w:t>
      </w:r>
    </w:p>
    <w:p>
      <w:pPr>
        <w:pStyle w:val="Defstart"/>
      </w:pPr>
      <w:r>
        <w:tab/>
      </w:r>
      <w:r>
        <w:rPr>
          <w:b/>
        </w:rPr>
        <w:t>“</w:t>
      </w:r>
      <w:r>
        <w:rPr>
          <w:rStyle w:val="CharDefText"/>
        </w:rPr>
        <w:t>regional tenderer</w:t>
      </w:r>
      <w:r>
        <w:rPr>
          <w:b/>
        </w:rPr>
        <w:t>”</w:t>
      </w:r>
      <w:r>
        <w:t xml:space="preserve"> means a supplier of goods or services who satisfies the criteria in subregulation (2);</w:t>
      </w:r>
    </w:p>
    <w:p>
      <w:pPr>
        <w:pStyle w:val="Defstart"/>
      </w:pPr>
      <w:r>
        <w:tab/>
      </w:r>
      <w:r>
        <w:rPr>
          <w:b/>
        </w:rPr>
        <w:t>“</w:t>
      </w:r>
      <w:r>
        <w:rPr>
          <w:rStyle w:val="CharDefText"/>
        </w:rPr>
        <w:t>regional price preference</w:t>
      </w:r>
      <w:r>
        <w:rPr>
          <w:b/>
        </w:rPr>
        <w:t>”</w:t>
      </w:r>
      <w:r>
        <w:t>, in relation to a tender submitted by a regional tenderer, involves assessing the tender as if the proposed tender price were discounted in accordance with regulation 24D.</w:t>
      </w:r>
    </w:p>
    <w:p>
      <w:pPr>
        <w:pStyle w:val="Subsection"/>
      </w:pPr>
      <w:r>
        <w:tab/>
        <w:t>(2)</w:t>
      </w:r>
      <w:r>
        <w:tab/>
        <w:t>A supplier of goods or services who submits a tender is regarded as being a regional tenderer for the purposes of this Part if —</w:t>
      </w:r>
    </w:p>
    <w:p>
      <w:pPr>
        <w:pStyle w:val="Indenta"/>
      </w:pPr>
      <w:r>
        <w:tab/>
        <w:t>(a)</w:t>
      </w:r>
      <w:r>
        <w:tab/>
        <w:t>that supplier has been operating a business continuously out of premises in the appropriate region for at least 6 months before the time after which further tenders cannot be submitted; or</w:t>
      </w:r>
    </w:p>
    <w:p>
      <w:pPr>
        <w:pStyle w:val="Indenta"/>
      </w:pPr>
      <w:r>
        <w:tab/>
        <w:t>(b)</w:t>
      </w:r>
      <w:r>
        <w:tab/>
        <w:t>some or all of the goods or services are to be supplied from regional sources.</w:t>
      </w:r>
    </w:p>
    <w:p>
      <w:pPr>
        <w:pStyle w:val="Footnotesection"/>
      </w:pPr>
      <w:r>
        <w:tab/>
        <w:t>[Regulation 24B inserted in Gazette 25 February 2000 p.971.]</w:t>
      </w:r>
    </w:p>
    <w:p>
      <w:pPr>
        <w:pStyle w:val="Heading5"/>
      </w:pPr>
      <w:bookmarkStart w:id="130" w:name="_Toc481472629"/>
      <w:bookmarkStart w:id="131" w:name="_Toc12956131"/>
      <w:bookmarkStart w:id="132" w:name="_Toc92787662"/>
      <w:bookmarkStart w:id="133" w:name="_Toc103150800"/>
      <w:r>
        <w:rPr>
          <w:rStyle w:val="CharSectno"/>
        </w:rPr>
        <w:t>24C</w:t>
      </w:r>
      <w:r>
        <w:t>.</w:t>
      </w:r>
      <w:r>
        <w:tab/>
        <w:t>Regional price preference may be given</w:t>
      </w:r>
      <w:bookmarkEnd w:id="130"/>
      <w:bookmarkEnd w:id="131"/>
      <w:bookmarkEnd w:id="132"/>
      <w:bookmarkEnd w:id="133"/>
    </w:p>
    <w:p>
      <w:pPr>
        <w:pStyle w:val="Subsection"/>
      </w:pPr>
      <w:r>
        <w:tab/>
      </w:r>
      <w:r>
        <w:tab/>
        <w:t>A local government located outside the metropolitan area may give a regional price preference to a regional tenderer in accordance with this Part.</w:t>
      </w:r>
    </w:p>
    <w:p>
      <w:pPr>
        <w:pStyle w:val="Footnotesection"/>
      </w:pPr>
      <w:r>
        <w:tab/>
        <w:t>[Regulation 24C inserted in Gazette 25 February 2000 p.971.]</w:t>
      </w:r>
    </w:p>
    <w:p>
      <w:pPr>
        <w:pStyle w:val="Heading5"/>
      </w:pPr>
      <w:bookmarkStart w:id="134" w:name="_Toc481472630"/>
      <w:bookmarkStart w:id="135" w:name="_Toc12956132"/>
      <w:bookmarkStart w:id="136" w:name="_Toc92787663"/>
      <w:bookmarkStart w:id="137" w:name="_Toc103150801"/>
      <w:r>
        <w:rPr>
          <w:rStyle w:val="CharSectno"/>
        </w:rPr>
        <w:t>24D</w:t>
      </w:r>
      <w:r>
        <w:t>.</w:t>
      </w:r>
      <w:r>
        <w:tab/>
        <w:t>Price percentage within which preference may be given</w:t>
      </w:r>
      <w:bookmarkEnd w:id="134"/>
      <w:bookmarkEnd w:id="135"/>
      <w:bookmarkEnd w:id="136"/>
      <w:bookmarkEnd w:id="137"/>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 xml:space="preserve">wholly supplied from regional sources; or </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in Gazette 25 February 2000 p.972.]</w:t>
      </w:r>
    </w:p>
    <w:p>
      <w:pPr>
        <w:pStyle w:val="Heading5"/>
      </w:pPr>
      <w:bookmarkStart w:id="138" w:name="_Toc481472631"/>
      <w:bookmarkStart w:id="139" w:name="_Toc12956133"/>
      <w:bookmarkStart w:id="140" w:name="_Toc92787664"/>
      <w:bookmarkStart w:id="141" w:name="_Toc103150802"/>
      <w:r>
        <w:rPr>
          <w:rStyle w:val="CharSectno"/>
        </w:rPr>
        <w:t>24E</w:t>
      </w:r>
      <w:r>
        <w:t>.</w:t>
      </w:r>
      <w:r>
        <w:tab/>
        <w:t>Preparation of policy</w:t>
      </w:r>
      <w:bookmarkEnd w:id="138"/>
      <w:bookmarkEnd w:id="139"/>
      <w:bookmarkEnd w:id="140"/>
      <w:bookmarkEnd w:id="141"/>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 </w:t>
      </w:r>
    </w:p>
    <w:p>
      <w:pPr>
        <w:pStyle w:val="Indenta"/>
      </w:pPr>
      <w:r>
        <w:tab/>
        <w:t>(b)</w:t>
      </w:r>
      <w:r>
        <w:tab/>
      </w:r>
      <w:r>
        <w:rPr>
          <w:u w:val="single"/>
        </w:rPr>
        <w:t>for different goods or services</w:t>
      </w:r>
      <w:r>
        <w:t xml:space="preserve"> within a single contract or various contracts; </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pPr>
      <w:r>
        <w:tab/>
        <w:t>(3)</w:t>
      </w:r>
      <w:r>
        <w:tab/>
        <w:t>A region specified under this Part —</w:t>
      </w:r>
    </w:p>
    <w:p>
      <w:pPr>
        <w:pStyle w:val="Indenta"/>
      </w:pPr>
      <w:r>
        <w:tab/>
        <w:t>(a)</w:t>
      </w:r>
      <w:r>
        <w:tab/>
        <w:t>must be (or include) the entire district of the local government; and</w:t>
      </w:r>
    </w:p>
    <w:p>
      <w:pPr>
        <w:pStyle w:val="Indenta"/>
      </w:pPr>
      <w:r>
        <w:tab/>
        <w:t>(b)</w:t>
      </w:r>
      <w:r>
        <w:tab/>
        <w:t>cannot include a part of the metropolitan area.</w:t>
      </w:r>
    </w:p>
    <w:p>
      <w:pPr>
        <w:pStyle w:val="Subsection"/>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pPr>
      <w:r>
        <w:tab/>
        <w:t>[Regulation 24E inserted in Gazette 25 Feb 2000 p. 972</w:t>
      </w:r>
      <w:r>
        <w:noBreakHyphen/>
        <w:t>3; amended in Gazette 31 Mar 2005 p. 1055.]</w:t>
      </w:r>
    </w:p>
    <w:p>
      <w:pPr>
        <w:pStyle w:val="Heading5"/>
      </w:pPr>
      <w:bookmarkStart w:id="142" w:name="_Toc481472632"/>
      <w:bookmarkStart w:id="143" w:name="_Toc12956134"/>
      <w:bookmarkStart w:id="144" w:name="_Toc92787665"/>
      <w:bookmarkStart w:id="145" w:name="_Toc103150803"/>
      <w:r>
        <w:rPr>
          <w:rStyle w:val="CharSectno"/>
        </w:rPr>
        <w:t>24F</w:t>
      </w:r>
      <w:r>
        <w:t>.</w:t>
      </w:r>
      <w:r>
        <w:tab/>
        <w:t>Adoption and notice of policy</w:t>
      </w:r>
      <w:bookmarkEnd w:id="142"/>
      <w:bookmarkEnd w:id="143"/>
      <w:bookmarkEnd w:id="144"/>
      <w:bookmarkEnd w:id="145"/>
    </w:p>
    <w:p>
      <w:pPr>
        <w:pStyle w:val="Subsection"/>
      </w:pPr>
      <w:r>
        <w:tab/>
        <w:t>(1)</w:t>
      </w:r>
      <w:r>
        <w:tab/>
        <w:t>A policy cannot be adopted by a local government until at least 4 weeks after the publication of the Statewide notice of the proposed policy.</w:t>
      </w:r>
    </w:p>
    <w:p>
      <w:pPr>
        <w:pStyle w:val="Subsection"/>
      </w:pPr>
      <w:r>
        <w:tab/>
        <w:t>(2)</w:t>
      </w:r>
      <w:r>
        <w:tab/>
        <w:t>An adopted policy must state —</w:t>
      </w:r>
    </w:p>
    <w:p>
      <w:pPr>
        <w:pStyle w:val="Indenta"/>
      </w:pPr>
      <w:r>
        <w:tab/>
        <w:t>(a)</w:t>
      </w:r>
      <w:r>
        <w:tab/>
        <w:t>the region or regions within which each aspect of it is to be applied;</w:t>
      </w:r>
    </w:p>
    <w:p>
      <w:pPr>
        <w:pStyle w:val="Indenta"/>
      </w:pPr>
      <w:r>
        <w:tab/>
        <w:t>(b)</w:t>
      </w:r>
      <w:r>
        <w:tab/>
        <w:t>the types and nature of businesses that may be considered for each type of preference; and</w:t>
      </w:r>
    </w:p>
    <w:p>
      <w:pPr>
        <w:pStyle w:val="Indenta"/>
      </w:pPr>
      <w:r>
        <w:tab/>
        <w:t>(c)</w:t>
      </w:r>
      <w:r>
        <w:tab/>
        <w:t>whether the policy applies to —</w:t>
      </w:r>
    </w:p>
    <w:p>
      <w:pPr>
        <w:pStyle w:val="Indenti"/>
      </w:pPr>
      <w:r>
        <w:tab/>
        <w:t>(i)</w:t>
      </w:r>
      <w:r>
        <w:tab/>
        <w:t>different regions in respect of different parts of the contract, or the various contracts, comprising the basis of the tender;</w:t>
      </w:r>
    </w:p>
    <w:p>
      <w:pPr>
        <w:pStyle w:val="Indenti"/>
      </w:pPr>
      <w:r>
        <w:tab/>
        <w:t>(ii)</w:t>
      </w:r>
      <w:r>
        <w:tab/>
        <w:t xml:space="preserve">different goods or services within a single contract or various contracts; </w:t>
      </w:r>
    </w:p>
    <w:p>
      <w:pPr>
        <w:pStyle w:val="Indenti"/>
      </w:pPr>
      <w:r>
        <w:tab/>
        <w:t>(iii)</w:t>
      </w:r>
      <w:r>
        <w:tab/>
        <w:t>different price preferences in respect of the different goods or services, or the different regions, that are the subject of a tender or tenders,</w:t>
      </w:r>
    </w:p>
    <w:p>
      <w:pPr>
        <w:pStyle w:val="Indenta"/>
      </w:pPr>
      <w:r>
        <w:tab/>
      </w:r>
      <w:r>
        <w:tab/>
        <w:t>or to any combination of those factors.</w:t>
      </w:r>
    </w:p>
    <w:p>
      <w:pPr>
        <w:pStyle w:val="Ednotepara"/>
      </w:pPr>
      <w:r>
        <w:tab/>
        <w:t>[(d)</w:t>
      </w:r>
      <w:r>
        <w:tab/>
        <w:t>deleted]</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in Gazette 25 Feb 2000 p. 973</w:t>
      </w:r>
      <w:r>
        <w:noBreakHyphen/>
        <w:t>4; amended in Gazette 31 Mar 2005 p. 1055.]</w:t>
      </w:r>
    </w:p>
    <w:p>
      <w:pPr>
        <w:pStyle w:val="Heading5"/>
      </w:pPr>
      <w:bookmarkStart w:id="146" w:name="_Toc481472633"/>
      <w:bookmarkStart w:id="147" w:name="_Toc12956135"/>
      <w:bookmarkStart w:id="148" w:name="_Toc92787666"/>
      <w:bookmarkStart w:id="149" w:name="_Toc103150804"/>
      <w:r>
        <w:rPr>
          <w:rStyle w:val="CharSectno"/>
        </w:rPr>
        <w:t>24G</w:t>
      </w:r>
      <w:r>
        <w:t>.</w:t>
      </w:r>
      <w:r>
        <w:tab/>
        <w:t>Adopted policy applies</w:t>
      </w:r>
      <w:bookmarkEnd w:id="146"/>
      <w:bookmarkEnd w:id="147"/>
      <w:bookmarkEnd w:id="148"/>
      <w:bookmarkEnd w:id="149"/>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in Gazette 25 February 2000 p.974.]</w:t>
      </w:r>
    </w:p>
    <w:p>
      <w:pPr>
        <w:pStyle w:val="Heading2"/>
      </w:pPr>
      <w:bookmarkStart w:id="150" w:name="_Toc92787667"/>
      <w:bookmarkStart w:id="151" w:name="_Toc92787729"/>
      <w:bookmarkStart w:id="152" w:name="_Toc92964455"/>
      <w:bookmarkStart w:id="153" w:name="_Toc103150805"/>
      <w:r>
        <w:rPr>
          <w:rStyle w:val="CharPartNo"/>
        </w:rPr>
        <w:t>Part 4B</w:t>
      </w:r>
      <w:r>
        <w:rPr>
          <w:rStyle w:val="CharDivNo"/>
        </w:rPr>
        <w:t xml:space="preserve"> </w:t>
      </w:r>
      <w:r>
        <w:t>—</w:t>
      </w:r>
      <w:r>
        <w:rPr>
          <w:rStyle w:val="CharDivText"/>
        </w:rPr>
        <w:t xml:space="preserve"> </w:t>
      </w:r>
      <w:r>
        <w:rPr>
          <w:rStyle w:val="CharPartText"/>
        </w:rPr>
        <w:t>Regional local governments</w:t>
      </w:r>
      <w:bookmarkEnd w:id="150"/>
      <w:bookmarkEnd w:id="151"/>
      <w:bookmarkEnd w:id="152"/>
      <w:bookmarkEnd w:id="153"/>
    </w:p>
    <w:p>
      <w:pPr>
        <w:pStyle w:val="Footnoteheading"/>
      </w:pPr>
      <w:r>
        <w:t>[Heading inserted in Gazette 28 April 2000 p.2039.]</w:t>
      </w:r>
    </w:p>
    <w:p>
      <w:pPr>
        <w:pStyle w:val="Heading5"/>
      </w:pPr>
      <w:bookmarkStart w:id="154" w:name="_Toc481472634"/>
      <w:bookmarkStart w:id="155" w:name="_Toc12956136"/>
      <w:bookmarkStart w:id="156" w:name="_Toc92787668"/>
      <w:bookmarkStart w:id="157" w:name="_Toc103150806"/>
      <w:r>
        <w:rPr>
          <w:rStyle w:val="CharSectno"/>
        </w:rPr>
        <w:t>24H</w:t>
      </w:r>
      <w:r>
        <w:t>.</w:t>
      </w:r>
      <w:r>
        <w:tab/>
        <w:t>Modification of s.6.21(2) — s.3.66(5)</w:t>
      </w:r>
      <w:bookmarkEnd w:id="154"/>
      <w:bookmarkEnd w:id="155"/>
      <w:bookmarkEnd w:id="156"/>
      <w:bookmarkEnd w:id="157"/>
    </w:p>
    <w:p>
      <w:pPr>
        <w:pStyle w:val="Subsection"/>
      </w:pPr>
      <w:r>
        <w:tab/>
      </w:r>
      <w:r>
        <w:tab/>
        <w:t xml:space="preserve">Section 6.21(2) applies to a regional local government as if it were as follows — </w:t>
      </w:r>
    </w:p>
    <w:p>
      <w:pPr>
        <w:pStyle w:val="MiscOpen"/>
        <w:ind w:left="595"/>
      </w:pPr>
      <w:r>
        <w:t xml:space="preserve">“    </w:t>
      </w:r>
    </w:p>
    <w:p>
      <w:pPr>
        <w:pStyle w:val="zSubsection"/>
      </w:pPr>
      <w:r>
        <w:tab/>
        <w:t>(2)</w:t>
      </w:r>
      <w:r>
        <w:tab/>
        <w:t xml:space="preserve">Where, under section 6.20(1), a regional local government borrows money, obtains credit or arranges for financial accommodation to be extended to the regional local government that money, credit or financial accommodation is only to be secured — </w:t>
      </w:r>
    </w:p>
    <w:p>
      <w:pPr>
        <w:pStyle w:val="zIndenta"/>
      </w:pPr>
      <w:r>
        <w:tab/>
        <w:t>(a)</w:t>
      </w:r>
      <w:r>
        <w:tab/>
        <w:t xml:space="preserve">by the regional local government giving security over the financial contributions of the participants to the regional local government’s funds as set out or provided for in the establishment agreement for the regional local government; </w:t>
      </w:r>
    </w:p>
    <w:p>
      <w:pPr>
        <w:pStyle w:val="zIndenta"/>
      </w:pPr>
      <w:r>
        <w:tab/>
        <w:t>(b)</w:t>
      </w:r>
      <w:r>
        <w:tab/>
        <w:t>by the regional local government giving security over Government grants which were not given to the regional local government for a specific purpose; or</w:t>
      </w:r>
    </w:p>
    <w:p>
      <w:pPr>
        <w:pStyle w:val="zIndenta"/>
      </w:pPr>
      <w:r>
        <w:tab/>
        <w:t>(c)</w:t>
      </w:r>
      <w:r>
        <w:tab/>
        <w:t>by a participant giving security over its general funds to the extent agreed by the participant.</w:t>
      </w:r>
    </w:p>
    <w:p>
      <w:pPr>
        <w:pStyle w:val="zSubsection"/>
      </w:pPr>
      <w:r>
        <w:tab/>
        <w:t>(2a)</w:t>
      </w:r>
      <w:r>
        <w:tab/>
        <w:t xml:space="preserve">Despite subsection (2)(a) and (c), security cannot be given over — </w:t>
      </w:r>
    </w:p>
    <w:p>
      <w:pPr>
        <w:pStyle w:val="zIndenta"/>
      </w:pPr>
      <w:r>
        <w:tab/>
        <w:t>(a)</w:t>
      </w:r>
      <w:r>
        <w:tab/>
        <w:t>the financial contributions of a particular participant to the regional local government’s funds; or</w:t>
      </w:r>
    </w:p>
    <w:p>
      <w:pPr>
        <w:pStyle w:val="zIndenta"/>
      </w:pPr>
      <w:r>
        <w:tab/>
        <w:t>(b)</w:t>
      </w:r>
      <w:r>
        <w:tab/>
        <w:t>the general funds of a particular participant,</w:t>
      </w:r>
    </w:p>
    <w:p>
      <w:pPr>
        <w:pStyle w:val="z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MiscClose"/>
        <w:ind w:right="152"/>
      </w:pPr>
      <w:r>
        <w:t xml:space="preserve">    ”.</w:t>
      </w:r>
    </w:p>
    <w:p>
      <w:pPr>
        <w:pStyle w:val="Footnotesection"/>
      </w:pPr>
      <w:r>
        <w:tab/>
        <w:t>[Regulation 24H inserted in Gazette 28 April 2000 pp.2039</w:t>
      </w:r>
      <w:r>
        <w:noBreakHyphen/>
        <w:t>40.]</w:t>
      </w:r>
    </w:p>
    <w:p>
      <w:pPr>
        <w:pStyle w:val="Heading5"/>
      </w:pPr>
      <w:bookmarkStart w:id="158" w:name="_Toc481472635"/>
      <w:bookmarkStart w:id="159" w:name="_Toc12956137"/>
      <w:bookmarkStart w:id="160" w:name="_Toc92787669"/>
      <w:bookmarkStart w:id="161" w:name="_Toc103150807"/>
      <w:r>
        <w:rPr>
          <w:rStyle w:val="CharSectno"/>
        </w:rPr>
        <w:t>24I</w:t>
      </w:r>
      <w:r>
        <w:t>.</w:t>
      </w:r>
      <w:r>
        <w:tab/>
        <w:t>Modification of s.6.23(1) — s.3.66(5)</w:t>
      </w:r>
      <w:bookmarkEnd w:id="158"/>
      <w:bookmarkEnd w:id="159"/>
      <w:bookmarkEnd w:id="160"/>
      <w:bookmarkEnd w:id="161"/>
    </w:p>
    <w:p>
      <w:pPr>
        <w:pStyle w:val="Subsection"/>
      </w:pPr>
      <w:r>
        <w:tab/>
      </w:r>
      <w:r>
        <w:tab/>
        <w:t>Section 6.23(1) applies to a regional local government as if it were as follows —</w:t>
      </w:r>
    </w:p>
    <w:p>
      <w:pPr>
        <w:pStyle w:val="MiscOpen"/>
        <w:ind w:left="595"/>
      </w:pPr>
      <w:r>
        <w:t xml:space="preserve">“    </w:t>
      </w:r>
    </w:p>
    <w:p>
      <w:pPr>
        <w:pStyle w:val="zSubsection"/>
      </w:pPr>
      <w:r>
        <w:tab/>
        <w:t>(1)</w:t>
      </w:r>
      <w:r>
        <w:tab/>
        <w:t xml:space="preserve">In relation to a regional local government a receiver is entitled to receive whichever of the following over which security has been given in a particular case — </w:t>
      </w:r>
    </w:p>
    <w:p>
      <w:pPr>
        <w:pStyle w:val="zIndenta"/>
      </w:pPr>
      <w:r>
        <w:tab/>
        <w:t>(a)</w:t>
      </w:r>
      <w:r>
        <w:tab/>
        <w:t>the financial contributions of the participants to the regional local government’s funds as set out or provided for in the establishment agreement for the regional local government;</w:t>
      </w:r>
    </w:p>
    <w:p>
      <w:pPr>
        <w:pStyle w:val="zIndenta"/>
      </w:pPr>
      <w:r>
        <w:tab/>
        <w:t>(b)</w:t>
      </w:r>
      <w:r>
        <w:tab/>
        <w:t xml:space="preserve">Government grants which were not given to the regional local government for a specific purpose; </w:t>
      </w:r>
    </w:p>
    <w:p>
      <w:pPr>
        <w:pStyle w:val="zIndenta"/>
      </w:pPr>
      <w:r>
        <w:tab/>
        <w:t>(c)</w:t>
      </w:r>
      <w:r>
        <w:tab/>
        <w:t>the general funds of a participant to the extent that those funds secure either money borrowed by, credit obtained for, or financial accommodation extended to, the regional local government.</w:t>
      </w:r>
    </w:p>
    <w:p>
      <w:pPr>
        <w:pStyle w:val="MiscClose"/>
        <w:keepNext/>
        <w:tabs>
          <w:tab w:val="left" w:pos="7088"/>
        </w:tabs>
      </w:pPr>
      <w:r>
        <w:t>”.</w:t>
      </w:r>
    </w:p>
    <w:p>
      <w:pPr>
        <w:pStyle w:val="Footnotesection"/>
      </w:pPr>
      <w:r>
        <w:tab/>
        <w:t>[Regulation 24I inserted in Gazette 28 April 2000 p.2040.]</w:t>
      </w:r>
    </w:p>
    <w:p>
      <w:pPr>
        <w:pStyle w:val="Heading2"/>
      </w:pPr>
      <w:bookmarkStart w:id="162" w:name="_Toc92787670"/>
      <w:bookmarkStart w:id="163" w:name="_Toc92787732"/>
      <w:bookmarkStart w:id="164" w:name="_Toc92964458"/>
      <w:bookmarkStart w:id="165" w:name="_Toc103150808"/>
      <w:r>
        <w:rPr>
          <w:rStyle w:val="CharPartNo"/>
        </w:rPr>
        <w:t>Part 5</w:t>
      </w:r>
      <w:r>
        <w:rPr>
          <w:rStyle w:val="CharDivNo"/>
        </w:rPr>
        <w:t> </w:t>
      </w:r>
      <w:r>
        <w:t>—</w:t>
      </w:r>
      <w:r>
        <w:rPr>
          <w:rStyle w:val="CharDivText"/>
        </w:rPr>
        <w:t> </w:t>
      </w:r>
      <w:r>
        <w:rPr>
          <w:rStyle w:val="CharPartText"/>
        </w:rPr>
        <w:t>Owner onus and infringement notices</w:t>
      </w:r>
      <w:bookmarkEnd w:id="162"/>
      <w:bookmarkEnd w:id="163"/>
      <w:bookmarkEnd w:id="164"/>
      <w:bookmarkEnd w:id="165"/>
      <w:r>
        <w:rPr>
          <w:rStyle w:val="CharPartText"/>
        </w:rPr>
        <w:t xml:space="preserve"> </w:t>
      </w:r>
    </w:p>
    <w:p>
      <w:pPr>
        <w:pStyle w:val="Heading5"/>
        <w:rPr>
          <w:snapToGrid w:val="0"/>
        </w:rPr>
      </w:pPr>
      <w:bookmarkStart w:id="166" w:name="_Toc481472636"/>
      <w:bookmarkStart w:id="167" w:name="_Toc12956138"/>
      <w:bookmarkStart w:id="168" w:name="_Toc92787671"/>
      <w:bookmarkStart w:id="169" w:name="_Toc103150809"/>
      <w:r>
        <w:rPr>
          <w:rStyle w:val="CharSectno"/>
        </w:rPr>
        <w:t>25</w:t>
      </w:r>
      <w:r>
        <w:rPr>
          <w:snapToGrid w:val="0"/>
        </w:rPr>
        <w:t>.</w:t>
      </w:r>
      <w:r>
        <w:rPr>
          <w:snapToGrid w:val="0"/>
        </w:rPr>
        <w:tab/>
        <w:t>Form of notice to put onus on vehicle owner — s.9.13</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170" w:name="_Toc481472637"/>
      <w:bookmarkStart w:id="171" w:name="_Toc12956139"/>
      <w:bookmarkStart w:id="172" w:name="_Toc92787672"/>
      <w:bookmarkStart w:id="173" w:name="_Toc103150810"/>
      <w:r>
        <w:rPr>
          <w:rStyle w:val="CharSectno"/>
        </w:rPr>
        <w:t>26</w:t>
      </w:r>
      <w:r>
        <w:rPr>
          <w:snapToGrid w:val="0"/>
        </w:rPr>
        <w:t>.</w:t>
      </w:r>
      <w:r>
        <w:rPr>
          <w:snapToGrid w:val="0"/>
        </w:rPr>
        <w:tab/>
        <w:t>Form of infringement notice — s.9.16</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174" w:name="_Toc481472638"/>
      <w:bookmarkStart w:id="175" w:name="_Toc12956140"/>
      <w:bookmarkStart w:id="176" w:name="_Toc92787673"/>
      <w:bookmarkStart w:id="177" w:name="_Toc103150811"/>
      <w:r>
        <w:rPr>
          <w:rStyle w:val="CharSectno"/>
        </w:rPr>
        <w:t>27</w:t>
      </w:r>
      <w:r>
        <w:rPr>
          <w:snapToGrid w:val="0"/>
        </w:rPr>
        <w:t>.</w:t>
      </w:r>
      <w:r>
        <w:rPr>
          <w:snapToGrid w:val="0"/>
        </w:rPr>
        <w:tab/>
        <w:t>Form of withdrawal of infringement notice — s.9.20</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178" w:name="_Toc481472639"/>
      <w:bookmarkStart w:id="179" w:name="_Toc12956141"/>
      <w:bookmarkStart w:id="180" w:name="_Toc92787674"/>
      <w:bookmarkStart w:id="181" w:name="_Toc103150812"/>
      <w:r>
        <w:rPr>
          <w:rStyle w:val="CharSectno"/>
        </w:rPr>
        <w:t>28</w:t>
      </w:r>
      <w:r>
        <w:rPr>
          <w:snapToGrid w:val="0"/>
        </w:rPr>
        <w:t>.</w:t>
      </w:r>
      <w:r>
        <w:rPr>
          <w:snapToGrid w:val="0"/>
        </w:rPr>
        <w:tab/>
        <w:t>Transitional provision</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If, before 1 July 1996, a modified penalty was fixed for an offence by a continuing local law, then until 30 June 1998 — </w:t>
      </w:r>
    </w:p>
    <w:p>
      <w:pPr>
        <w:pStyle w:val="Indenta"/>
        <w:rPr>
          <w:snapToGrid w:val="0"/>
        </w:rPr>
      </w:pPr>
      <w:r>
        <w:rPr>
          <w:snapToGrid w:val="0"/>
        </w:rPr>
        <w:tab/>
        <w:t>(a)</w:t>
      </w:r>
      <w:r>
        <w:rPr>
          <w:snapToGrid w:val="0"/>
        </w:rPr>
        <w:tab/>
        <w:t>the offence is taken to be prescribed for the purposes of section 9.16 of the Act, unless otherwise expressly provided; and</w:t>
      </w:r>
    </w:p>
    <w:p>
      <w:pPr>
        <w:pStyle w:val="Indenta"/>
        <w:rPr>
          <w:snapToGrid w:val="0"/>
        </w:rPr>
      </w:pPr>
      <w:r>
        <w:rPr>
          <w:snapToGrid w:val="0"/>
        </w:rPr>
        <w:tab/>
        <w:t>(b)</w:t>
      </w:r>
      <w:r>
        <w:rPr>
          <w:snapToGrid w:val="0"/>
        </w:rPr>
        <w:tab/>
        <w:t>section 9.17(3) does not apply to the modified penalty that was fixed.</w:t>
      </w:r>
    </w:p>
    <w:p>
      <w:pPr>
        <w:pStyle w:val="Subsection"/>
        <w:keepNext/>
        <w:rPr>
          <w:snapToGrid w:val="0"/>
        </w:rPr>
      </w:pPr>
      <w:r>
        <w:rPr>
          <w:snapToGrid w:val="0"/>
        </w:rPr>
        <w:tab/>
        <w:t>(2)</w:t>
      </w:r>
      <w:r>
        <w:rPr>
          <w:snapToGrid w:val="0"/>
        </w:rPr>
        <w:tab/>
        <w:t>In subregulation (1) — </w:t>
      </w:r>
    </w:p>
    <w:p>
      <w:pPr>
        <w:pStyle w:val="Defstart"/>
      </w:pPr>
      <w:r>
        <w:rPr>
          <w:b/>
        </w:rPr>
        <w:tab/>
        <w:t>“</w:t>
      </w:r>
      <w:r>
        <w:rPr>
          <w:rStyle w:val="CharDefText"/>
        </w:rPr>
        <w:t>continuing local law</w:t>
      </w:r>
      <w:r>
        <w:rPr>
          <w:b/>
        </w:rPr>
        <w:t>”</w:t>
      </w:r>
      <w:r>
        <w:t xml:space="preserve"> means a by</w:t>
      </w:r>
      <w:r>
        <w:noBreakHyphen/>
        <w:t>law under any Act that, on 1 July 1996, becomes a local law.</w:t>
      </w:r>
    </w:p>
    <w:p>
      <w:pPr>
        <w:pStyle w:val="Footnotesection"/>
      </w:pPr>
      <w:r>
        <w:tab/>
        <w:t xml:space="preserve">[Regulation 28 amended in Gazette 29 April 1997 p.2145.] </w:t>
      </w:r>
    </w:p>
    <w:p>
      <w:pPr>
        <w:pStyle w:val="Heading2"/>
      </w:pPr>
      <w:bookmarkStart w:id="182" w:name="_Toc92787675"/>
      <w:bookmarkStart w:id="183" w:name="_Toc92787737"/>
      <w:bookmarkStart w:id="184" w:name="_Toc92964463"/>
      <w:bookmarkStart w:id="185" w:name="_Toc103150813"/>
      <w:r>
        <w:rPr>
          <w:rStyle w:val="CharPartNo"/>
        </w:rPr>
        <w:t>Part 6</w:t>
      </w:r>
      <w:r>
        <w:rPr>
          <w:rStyle w:val="CharDivNo"/>
        </w:rPr>
        <w:t> </w:t>
      </w:r>
      <w:r>
        <w:t>—</w:t>
      </w:r>
      <w:r>
        <w:rPr>
          <w:rStyle w:val="CharDivText"/>
        </w:rPr>
        <w:t> </w:t>
      </w:r>
      <w:r>
        <w:rPr>
          <w:rStyle w:val="CharPartText"/>
        </w:rPr>
        <w:t>Miscellaneous</w:t>
      </w:r>
      <w:bookmarkEnd w:id="182"/>
      <w:bookmarkEnd w:id="183"/>
      <w:bookmarkEnd w:id="184"/>
      <w:bookmarkEnd w:id="185"/>
      <w:r>
        <w:rPr>
          <w:rStyle w:val="CharPartText"/>
        </w:rPr>
        <w:t xml:space="preserve"> </w:t>
      </w:r>
    </w:p>
    <w:p>
      <w:pPr>
        <w:pStyle w:val="Heading5"/>
        <w:rPr>
          <w:snapToGrid w:val="0"/>
        </w:rPr>
      </w:pPr>
      <w:bookmarkStart w:id="186" w:name="_Toc481472640"/>
      <w:bookmarkStart w:id="187" w:name="_Toc12956142"/>
      <w:bookmarkStart w:id="188" w:name="_Toc92787676"/>
      <w:bookmarkStart w:id="189" w:name="_Toc103150814"/>
      <w:r>
        <w:rPr>
          <w:rStyle w:val="CharSectno"/>
        </w:rPr>
        <w:t>29</w:t>
      </w:r>
      <w:r>
        <w:rPr>
          <w:snapToGrid w:val="0"/>
        </w:rPr>
        <w:t>.</w:t>
      </w:r>
      <w:r>
        <w:rPr>
          <w:snapToGrid w:val="0"/>
        </w:rPr>
        <w:tab/>
        <w:t>Contraventions that may lead to impounding of goods —s.</w:t>
      </w:r>
      <w:r>
        <w:rPr>
          <w:rStyle w:val="CharSectno"/>
        </w:rPr>
        <w:t>3</w:t>
      </w:r>
      <w:r>
        <w:rPr>
          <w:snapToGrid w:val="0"/>
        </w:rPr>
        <w:t>.37</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presence of the goods —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 xml:space="preserve">obstructs the lawful use of any place;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 </w:t>
      </w:r>
    </w:p>
    <w:p>
      <w:pPr>
        <w:pStyle w:val="Defstart"/>
      </w:pPr>
      <w:r>
        <w:rPr>
          <w:b/>
        </w:rPr>
        <w:tab/>
        <w:t>“</w:t>
      </w:r>
      <w:r>
        <w:rPr>
          <w:rStyle w:val="CharDefText"/>
        </w:rPr>
        <w:t>public place</w:t>
      </w:r>
      <w:r>
        <w:rPr>
          <w:b/>
        </w:rPr>
        <w:t>”</w:t>
      </w:r>
      <w:r>
        <w:t xml:space="preserve"> includes a place that is on private property that the public are allowed to use.</w:t>
      </w:r>
    </w:p>
    <w:p>
      <w:pPr>
        <w:pStyle w:val="Footnotesection"/>
      </w:pPr>
      <w:r>
        <w:tab/>
        <w:t xml:space="preserve">[Regulation 29 amended in Gazette 29 April 1997 p.2145; 25 February 2000 p.974.] </w:t>
      </w:r>
    </w:p>
    <w:p>
      <w:pPr>
        <w:pStyle w:val="Heading5"/>
      </w:pPr>
      <w:bookmarkStart w:id="190" w:name="_Toc103150815"/>
      <w:bookmarkStart w:id="191" w:name="_Toc481472641"/>
      <w:bookmarkStart w:id="192" w:name="_Toc12956143"/>
      <w:bookmarkStart w:id="193" w:name="_Toc92787677"/>
      <w:r>
        <w:rPr>
          <w:rStyle w:val="CharSectno"/>
        </w:rPr>
        <w:t>29A</w:t>
      </w:r>
      <w:r>
        <w:t>.</w:t>
      </w:r>
      <w:r>
        <w:tab/>
        <w:t>Abandoned vehicle wrecks — s. 3.40A</w:t>
      </w:r>
      <w:bookmarkEnd w:id="190"/>
    </w:p>
    <w:p>
      <w:pPr>
        <w:pStyle w:val="Subsection"/>
      </w:pPr>
      <w:r>
        <w:tab/>
      </w:r>
      <w:r>
        <w:tab/>
        <w:t xml:space="preserve">For the purposes of the definition of “abandoned vehicle wreck” in section 3.40A(5)(c) — </w:t>
      </w:r>
    </w:p>
    <w:p>
      <w:pPr>
        <w:pStyle w:val="Indenta"/>
      </w:pPr>
      <w:r>
        <w:tab/>
        <w:t>(a)</w:t>
      </w:r>
      <w:r>
        <w:tab/>
        <w:t xml:space="preserve">the prescribed value is “$200”;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in Gazette 31 Mar 2005 p. 1058.]</w:t>
      </w:r>
    </w:p>
    <w:p>
      <w:pPr>
        <w:pStyle w:val="Heading5"/>
        <w:rPr>
          <w:snapToGrid w:val="0"/>
        </w:rPr>
      </w:pPr>
      <w:bookmarkStart w:id="194" w:name="_Toc103150816"/>
      <w:r>
        <w:rPr>
          <w:rStyle w:val="CharSectno"/>
        </w:rPr>
        <w:t>30</w:t>
      </w:r>
      <w:r>
        <w:rPr>
          <w:snapToGrid w:val="0"/>
        </w:rPr>
        <w:t>.</w:t>
      </w:r>
      <w:r>
        <w:rPr>
          <w:snapToGrid w:val="0"/>
        </w:rPr>
        <w:tab/>
        <w:t>Dispositions of property to which section 3.58 of Act does not apply</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 </w:t>
      </w:r>
    </w:p>
    <w:p>
      <w:pPr>
        <w:pStyle w:val="Indenta"/>
        <w:rPr>
          <w:snapToGrid w:val="0"/>
        </w:rPr>
      </w:pPr>
      <w:r>
        <w:rPr>
          <w:snapToGrid w:val="0"/>
        </w:rPr>
        <w:tab/>
        <w:t>(a)</w:t>
      </w:r>
      <w:r>
        <w:rPr>
          <w:snapToGrid w:val="0"/>
        </w:rPr>
        <w:tab/>
        <w:t xml:space="preserve">the land is disposed of to an owner of adjoining land (in this paragraph called </w:t>
      </w:r>
      <w:r>
        <w:rPr>
          <w:b/>
          <w:snapToGrid w:val="0"/>
        </w:rPr>
        <w:t>“</w:t>
      </w:r>
      <w:r>
        <w:rPr>
          <w:rStyle w:val="CharDefText"/>
        </w:rPr>
        <w:t>the transferee</w:t>
      </w:r>
      <w:r>
        <w:rPr>
          <w:b/>
          <w:snapToGrid w:val="0"/>
        </w:rPr>
        <w:t>”</w:t>
      </w:r>
      <w:r>
        <w:rPr>
          <w:snapToGrid w:val="0"/>
        </w:rPr>
        <w:t>) and —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t>(b)</w:t>
      </w:r>
      <w:r>
        <w:rPr>
          <w:snapToGrid w:val="0"/>
        </w:rPr>
        <w:tab/>
        <w:t>the land is disposed of to a body, whether incorporated or not —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t>(c)</w:t>
      </w:r>
      <w:r>
        <w:rPr>
          <w:snapToGrid w:val="0"/>
        </w:rPr>
        <w:tab/>
        <w:t>the land is disposed of to — </w:t>
      </w:r>
    </w:p>
    <w:p>
      <w:pPr>
        <w:pStyle w:val="Indenti"/>
        <w:rPr>
          <w:snapToGrid w:val="0"/>
        </w:rPr>
      </w:pPr>
      <w:r>
        <w:rPr>
          <w:snapToGrid w:val="0"/>
        </w:rPr>
        <w:tab/>
        <w:t>(i)</w:t>
      </w:r>
      <w:r>
        <w:rPr>
          <w:snapToGrid w:val="0"/>
        </w:rPr>
        <w:tab/>
        <w:t>the Crown in right of the State or the Commonwealth;</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t>(d)</w:t>
      </w:r>
      <w:r>
        <w:rPr>
          <w:snapToGrid w:val="0"/>
        </w:rPr>
        <w:tab/>
        <w:t>it is the leasing of land to an employee of the local government for use as the employee’s residence;</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w:t>
      </w:r>
    </w:p>
    <w:p>
      <w:pPr>
        <w:pStyle w:val="Indenta"/>
      </w:pPr>
      <w:r>
        <w:tab/>
        <w:t>(f)</w:t>
      </w:r>
      <w:r>
        <w:tab/>
        <w:t xml:space="preserve">it is the leasing of land to a “medical practitioner” (as defined in section 3 of the </w:t>
      </w:r>
      <w:r>
        <w:rPr>
          <w:i/>
        </w:rPr>
        <w:t>Medical Act 1894</w:t>
      </w:r>
      <w:r>
        <w:t xml:space="preserve">) to be used for carrying on his or her medical practice; or </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 xml:space="preserve">the subject of Statewide public notice under section 3.59(4), and if the business plan referred to in that notice described the property concerned and gave details of the proposed disposition including — </w:t>
      </w:r>
    </w:p>
    <w:p>
      <w:pPr>
        <w:pStyle w:val="Indenti"/>
      </w:pPr>
      <w:r>
        <w:tab/>
        <w:t>(i)</w:t>
      </w:r>
      <w:r>
        <w:tab/>
        <w:t>the names of all other parties concerned;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 </w:t>
      </w:r>
    </w:p>
    <w:p>
      <w:pPr>
        <w:pStyle w:val="Indenta"/>
        <w:rPr>
          <w:snapToGrid w:val="0"/>
        </w:rPr>
      </w:pPr>
      <w:r>
        <w:rPr>
          <w:snapToGrid w:val="0"/>
        </w:rPr>
        <w:tab/>
        <w:t>(a)</w:t>
      </w:r>
      <w:r>
        <w:rPr>
          <w:snapToGrid w:val="0"/>
        </w:rPr>
        <w:tab/>
        <w:t>its market value is less than $20 000; or</w:t>
      </w:r>
    </w:p>
    <w:p>
      <w:pPr>
        <w:pStyle w:val="Indenta"/>
        <w:rPr>
          <w:snapToGrid w:val="0"/>
        </w:rPr>
      </w:pPr>
      <w:r>
        <w:rPr>
          <w:snapToGrid w:val="0"/>
        </w:rPr>
        <w:tab/>
        <w:t>(b)</w:t>
      </w:r>
      <w:r>
        <w:rPr>
          <w:snapToGrid w:val="0"/>
        </w:rPr>
        <w:tab/>
        <w:t>it is disposed of as part of the consideration for other property that the local government is acquiring for a consideration the total value of which is not more, or worth more, than $50 000.</w:t>
      </w:r>
    </w:p>
    <w:p>
      <w:pPr>
        <w:pStyle w:val="Footnotesection"/>
      </w:pPr>
      <w:r>
        <w:tab/>
        <w:t>[Regulation 30 amended in Gazette 25 Feb 2000 p. 974</w:t>
      </w:r>
      <w:r>
        <w:noBreakHyphen/>
        <w:t>5; 28 Apr 2000 p. 2041; 31 Mar 2005 p. 1055-6.]</w:t>
      </w:r>
    </w:p>
    <w:p>
      <w:pPr>
        <w:pStyle w:val="Heading5"/>
        <w:rPr>
          <w:snapToGrid w:val="0"/>
        </w:rPr>
      </w:pPr>
      <w:bookmarkStart w:id="195" w:name="_Toc481472642"/>
      <w:bookmarkStart w:id="196" w:name="_Toc12956144"/>
      <w:bookmarkStart w:id="197" w:name="_Toc92787678"/>
      <w:bookmarkStart w:id="198" w:name="_Toc103150817"/>
      <w:r>
        <w:rPr>
          <w:rStyle w:val="CharSectno"/>
        </w:rPr>
        <w:t>31</w:t>
      </w:r>
      <w:r>
        <w:rPr>
          <w:snapToGrid w:val="0"/>
        </w:rPr>
        <w:t>.</w:t>
      </w:r>
      <w:r>
        <w:rPr>
          <w:snapToGrid w:val="0"/>
        </w:rPr>
        <w:tab/>
        <w:t>Anti</w:t>
      </w:r>
      <w:r>
        <w:rPr>
          <w:snapToGrid w:val="0"/>
        </w:rPr>
        <w:noBreakHyphen/>
        <w:t>avoidance provision about dispositions</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rPr>
          <w:snapToGrid w:val="0"/>
        </w:rPr>
      </w:pPr>
      <w:bookmarkStart w:id="199" w:name="_Toc481472643"/>
      <w:bookmarkStart w:id="200" w:name="_Toc12956145"/>
      <w:bookmarkStart w:id="201" w:name="_Toc92787679"/>
      <w:bookmarkStart w:id="202" w:name="_Toc103150818"/>
      <w:r>
        <w:rPr>
          <w:rStyle w:val="CharSectno"/>
        </w:rPr>
        <w:t>32</w:t>
      </w:r>
      <w:r>
        <w:rPr>
          <w:snapToGrid w:val="0"/>
        </w:rPr>
        <w:t>.</w:t>
      </w:r>
      <w:r>
        <w:rPr>
          <w:snapToGrid w:val="0"/>
        </w:rPr>
        <w:tab/>
        <w:t>Local government permitted to form incorporated association — s.</w:t>
      </w:r>
      <w:r>
        <w:rPr>
          <w:rStyle w:val="CharSectno"/>
        </w:rPr>
        <w:t>3</w:t>
      </w:r>
      <w:r>
        <w:rPr>
          <w:snapToGrid w:val="0"/>
        </w:rPr>
        <w:t>.60</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snapToGrid w:val="0"/>
        </w:rPr>
        <w:t>Associations Incorporation Act 1987</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in Gazette 4 December 1998 p.6500.]</w:t>
      </w:r>
    </w:p>
    <w:p>
      <w:pPr>
        <w:pStyle w:val="Heading5"/>
      </w:pPr>
      <w:bookmarkStart w:id="203" w:name="_Toc481472644"/>
      <w:bookmarkStart w:id="204" w:name="_Toc12956146"/>
      <w:bookmarkStart w:id="205" w:name="_Toc92787680"/>
      <w:bookmarkStart w:id="206" w:name="_Toc103150819"/>
      <w:r>
        <w:rPr>
          <w:rStyle w:val="CharSectno"/>
        </w:rPr>
        <w:t>32A</w:t>
      </w:r>
      <w:r>
        <w:t>.</w:t>
      </w:r>
      <w:r>
        <w:tab/>
        <w:t>Excluded “authorisations” — s.9.2</w:t>
      </w:r>
      <w:bookmarkEnd w:id="203"/>
      <w:bookmarkEnd w:id="204"/>
      <w:bookmarkEnd w:id="205"/>
      <w:bookmarkEnd w:id="206"/>
    </w:p>
    <w:p>
      <w:pPr>
        <w:pStyle w:val="Subsection"/>
      </w:pPr>
      <w:r>
        <w:tab/>
        <w:t>(1)</w:t>
      </w:r>
      <w:r>
        <w:tab/>
        <w:t>The following are excluded from being authorisations for the purposes of the definition of “authorisation” in section 9.2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Despite subregulation (1), an authority set out in paragraph (a) or (b) of that subregulation is to be regarded as an “authorisation” under section 9.2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in Gazette 25 February 2000 pp.975</w:t>
      </w:r>
      <w:r>
        <w:noBreakHyphen/>
        <w:t>6.]</w:t>
      </w:r>
    </w:p>
    <w:p>
      <w:pPr>
        <w:pStyle w:val="Heading5"/>
        <w:rPr>
          <w:snapToGrid w:val="0"/>
        </w:rPr>
      </w:pPr>
      <w:bookmarkStart w:id="207" w:name="_Toc481472645"/>
      <w:bookmarkStart w:id="208" w:name="_Toc12956147"/>
      <w:bookmarkStart w:id="209" w:name="_Toc92787681"/>
      <w:bookmarkStart w:id="210" w:name="_Toc103150820"/>
      <w:r>
        <w:rPr>
          <w:rStyle w:val="CharSectno"/>
        </w:rPr>
        <w:t>33</w:t>
      </w:r>
      <w:r>
        <w:rPr>
          <w:snapToGrid w:val="0"/>
        </w:rPr>
        <w:t>.</w:t>
      </w:r>
      <w:r>
        <w:rPr>
          <w:snapToGrid w:val="0"/>
        </w:rPr>
        <w:tab/>
        <w:t>Objections made to local government — s.9.5</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Ednotesection"/>
      </w:pPr>
      <w:r>
        <w:t>[</w:t>
      </w:r>
      <w:r>
        <w:rPr>
          <w:b/>
          <w:bCs/>
        </w:rPr>
        <w:t>34.</w:t>
      </w:r>
      <w:r>
        <w:tab/>
      </w:r>
      <w:r>
        <w:tab/>
        <w:t>Repealed in Gazette 30 Dec 2004 p. 7016.]</w:t>
      </w:r>
    </w:p>
    <w:p>
      <w:pPr>
        <w:pStyle w:val="Heading5"/>
        <w:rPr>
          <w:snapToGrid w:val="0"/>
        </w:rPr>
      </w:pPr>
      <w:bookmarkStart w:id="211" w:name="_Toc481472647"/>
      <w:bookmarkStart w:id="212" w:name="_Toc12956149"/>
      <w:bookmarkStart w:id="213" w:name="_Toc92787683"/>
      <w:bookmarkStart w:id="214" w:name="_Toc103150821"/>
      <w:r>
        <w:rPr>
          <w:rStyle w:val="CharSectno"/>
        </w:rPr>
        <w:t>35</w:t>
      </w:r>
      <w:r>
        <w:rPr>
          <w:snapToGrid w:val="0"/>
        </w:rPr>
        <w:t>.</w:t>
      </w:r>
      <w:r>
        <w:rPr>
          <w:snapToGrid w:val="0"/>
        </w:rPr>
        <w:tab/>
        <w:t>Certain persons protected from liability for wrongdoing — s.</w:t>
      </w:r>
      <w:r>
        <w:rPr>
          <w:rStyle w:val="CharSectno"/>
        </w:rPr>
        <w:t>9</w:t>
      </w:r>
      <w:r>
        <w:rPr>
          <w:snapToGrid w:val="0"/>
        </w:rPr>
        <w:t>.56</w:t>
      </w:r>
      <w:bookmarkEnd w:id="211"/>
      <w:bookmarkEnd w:id="212"/>
      <w:bookmarkEnd w:id="213"/>
      <w:bookmarkEnd w:id="214"/>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215" w:name="_Toc12956150"/>
      <w:bookmarkStart w:id="216" w:name="_Toc92787684"/>
      <w:bookmarkStart w:id="217" w:name="_Toc103150822"/>
      <w:bookmarkStart w:id="218" w:name="_Toc481472648"/>
      <w:r>
        <w:rPr>
          <w:rStyle w:val="CharSectno"/>
        </w:rPr>
        <w:t>35A</w:t>
      </w:r>
      <w:r>
        <w:t>.</w:t>
      </w:r>
      <w:r>
        <w:tab/>
        <w:t>Delegable functions of Minister — s. 9.66</w:t>
      </w:r>
      <w:bookmarkEnd w:id="215"/>
      <w:bookmarkEnd w:id="216"/>
      <w:bookmarkEnd w:id="217"/>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6.33(3)</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6.35(5)</w:t>
            </w:r>
          </w:p>
        </w:tc>
      </w:tr>
      <w:tr>
        <w:trPr>
          <w:jc w:val="center"/>
        </w:trPr>
        <w:tc>
          <w:tcPr>
            <w:tcW w:w="1701" w:type="dxa"/>
          </w:tcPr>
          <w:p>
            <w:pPr>
              <w:pStyle w:val="Table"/>
            </w:pPr>
            <w:r>
              <w:t>s. 5.69</w:t>
            </w:r>
          </w:p>
        </w:tc>
        <w:tc>
          <w:tcPr>
            <w:tcW w:w="1418" w:type="dxa"/>
          </w:tcPr>
          <w:p>
            <w:pPr>
              <w:pStyle w:val="Table"/>
            </w:pPr>
            <w:r>
              <w:t>s. 6.14(1)(b)</w:t>
            </w:r>
          </w:p>
        </w:tc>
        <w:tc>
          <w:tcPr>
            <w:tcW w:w="1194" w:type="dxa"/>
          </w:tcPr>
          <w:p>
            <w:pPr>
              <w:pStyle w:val="Table"/>
            </w:pPr>
            <w:r>
              <w:t>s. 6.74</w:t>
            </w:r>
          </w:p>
        </w:tc>
      </w:tr>
      <w:tr>
        <w:trPr>
          <w:jc w:val="center"/>
        </w:trPr>
        <w:tc>
          <w:tcPr>
            <w:tcW w:w="1701" w:type="dxa"/>
          </w:tcPr>
          <w:p>
            <w:pPr>
              <w:pStyle w:val="Table"/>
            </w:pPr>
            <w:r>
              <w:t>s. 5.69A</w:t>
            </w:r>
          </w:p>
        </w:tc>
        <w:tc>
          <w:tcPr>
            <w:tcW w:w="1418" w:type="dxa"/>
          </w:tcPr>
          <w:p>
            <w:pPr>
              <w:pStyle w:val="Table"/>
            </w:pPr>
            <w:r>
              <w:t>s. 6.28(1)</w:t>
            </w:r>
          </w:p>
        </w:tc>
        <w:tc>
          <w:tcPr>
            <w:tcW w:w="1194" w:type="dxa"/>
          </w:tcPr>
          <w:p>
            <w:pPr>
              <w:pStyle w:val="Table"/>
            </w:pPr>
            <w:r>
              <w:t>s. 7.5</w:t>
            </w:r>
          </w:p>
        </w:tc>
      </w:tr>
    </w:tbl>
    <w:p>
      <w:pPr>
        <w:pStyle w:val="Footnotesection"/>
      </w:pPr>
      <w:r>
        <w:tab/>
        <w:t>[Regulation 35A inserted in Gazette 28 June 2002 p.3082.]</w:t>
      </w:r>
    </w:p>
    <w:p>
      <w:pPr>
        <w:pStyle w:val="Heading5"/>
        <w:rPr>
          <w:snapToGrid w:val="0"/>
        </w:rPr>
      </w:pPr>
      <w:bookmarkStart w:id="219" w:name="_Toc12956151"/>
      <w:bookmarkStart w:id="220" w:name="_Toc92787685"/>
      <w:bookmarkStart w:id="221" w:name="_Toc103150823"/>
      <w:r>
        <w:rPr>
          <w:rStyle w:val="CharSectno"/>
        </w:rPr>
        <w:t>36</w:t>
      </w:r>
      <w:r>
        <w:rPr>
          <w:snapToGrid w:val="0"/>
        </w:rPr>
        <w:t>.</w:t>
      </w:r>
      <w:r>
        <w:rPr>
          <w:snapToGrid w:val="0"/>
        </w:rPr>
        <w:tab/>
        <w:t>Form of warrant to enter — ss.3.33(1) and 8.8(1)</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222" w:name="_Toc92787686"/>
      <w:bookmarkStart w:id="223" w:name="_Toc92787748"/>
      <w:bookmarkStart w:id="224" w:name="_Toc92964473"/>
      <w:bookmarkStart w:id="225" w:name="_Toc103150824"/>
      <w:r>
        <w:rPr>
          <w:rStyle w:val="CharPartNo"/>
        </w:rPr>
        <w:t>Part 7</w:t>
      </w:r>
      <w:r>
        <w:rPr>
          <w:rStyle w:val="CharDivNo"/>
        </w:rPr>
        <w:t> </w:t>
      </w:r>
      <w:r>
        <w:t>—</w:t>
      </w:r>
      <w:r>
        <w:rPr>
          <w:rStyle w:val="CharDivText"/>
        </w:rPr>
        <w:t> </w:t>
      </w:r>
      <w:r>
        <w:rPr>
          <w:rStyle w:val="CharPartText"/>
        </w:rPr>
        <w:t>Other transitional provisions</w:t>
      </w:r>
      <w:bookmarkEnd w:id="222"/>
      <w:bookmarkEnd w:id="223"/>
      <w:bookmarkEnd w:id="224"/>
      <w:bookmarkEnd w:id="225"/>
      <w:r>
        <w:rPr>
          <w:rStyle w:val="CharPartText"/>
        </w:rPr>
        <w:t xml:space="preserve"> </w:t>
      </w:r>
    </w:p>
    <w:p>
      <w:pPr>
        <w:pStyle w:val="Heading5"/>
        <w:rPr>
          <w:snapToGrid w:val="0"/>
        </w:rPr>
      </w:pPr>
      <w:bookmarkStart w:id="226" w:name="_Toc481472649"/>
      <w:bookmarkStart w:id="227" w:name="_Toc12956152"/>
      <w:bookmarkStart w:id="228" w:name="_Toc92787687"/>
      <w:bookmarkStart w:id="229" w:name="_Toc103150825"/>
      <w:r>
        <w:rPr>
          <w:rStyle w:val="CharSectno"/>
        </w:rPr>
        <w:t>37</w:t>
      </w:r>
      <w:r>
        <w:rPr>
          <w:snapToGrid w:val="0"/>
        </w:rPr>
        <w:t>.</w:t>
      </w:r>
      <w:r>
        <w:rPr>
          <w:snapToGrid w:val="0"/>
        </w:rPr>
        <w:tab/>
        <w:t>By</w:t>
      </w:r>
      <w:r>
        <w:rPr>
          <w:snapToGrid w:val="0"/>
        </w:rPr>
        <w:noBreakHyphen/>
        <w:t>laws resolved to be made but not published by 1 July 1996</w:t>
      </w:r>
      <w:bookmarkEnd w:id="226"/>
      <w:bookmarkEnd w:id="227"/>
      <w:bookmarkEnd w:id="228"/>
      <w:bookmarkEnd w:id="229"/>
      <w:r>
        <w:rPr>
          <w:snapToGrid w:val="0"/>
        </w:rPr>
        <w:t xml:space="preserve"> </w:t>
      </w:r>
    </w:p>
    <w:p>
      <w:pPr>
        <w:pStyle w:val="Footnotesection"/>
      </w:pPr>
      <w:r>
        <w:tab/>
        <w:t>[Omitted under the Reprints Act 1984 s.7(4)(e).]</w:t>
      </w:r>
    </w:p>
    <w:p>
      <w:pPr>
        <w:pStyle w:val="Heading5"/>
        <w:rPr>
          <w:snapToGrid w:val="0"/>
        </w:rPr>
      </w:pPr>
      <w:bookmarkStart w:id="230" w:name="_Toc481472650"/>
      <w:bookmarkStart w:id="231" w:name="_Toc12956153"/>
      <w:bookmarkStart w:id="232" w:name="_Toc92787688"/>
      <w:bookmarkStart w:id="233" w:name="_Toc103150826"/>
      <w:r>
        <w:rPr>
          <w:rStyle w:val="CharSectno"/>
        </w:rPr>
        <w:t>38</w:t>
      </w:r>
      <w:r>
        <w:rPr>
          <w:snapToGrid w:val="0"/>
        </w:rPr>
        <w:t>.</w:t>
      </w:r>
      <w:r>
        <w:rPr>
          <w:snapToGrid w:val="0"/>
        </w:rPr>
        <w:tab/>
        <w:t>Adoption of former model by</w:t>
      </w:r>
      <w:r>
        <w:rPr>
          <w:snapToGrid w:val="0"/>
        </w:rPr>
        <w:noBreakHyphen/>
        <w:t>laws as local laws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former draft model by</w:t>
      </w:r>
      <w:r>
        <w:rPr>
          <w:rStyle w:val="CharDefText"/>
        </w:rPr>
        <w:noBreakHyphen/>
        <w:t>law</w:t>
      </w:r>
      <w:r>
        <w:rPr>
          <w:b/>
        </w:rPr>
        <w:t>”</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spacing w:line="260" w:lineRule="atLeast"/>
      </w:pPr>
      <w:bookmarkStart w:id="234" w:name="_Toc92787689"/>
      <w:bookmarkStart w:id="235" w:name="_Toc103150827"/>
      <w:r>
        <w:rPr>
          <w:rStyle w:val="CharSchNo"/>
        </w:rPr>
        <w:t>Schedule 1</w:t>
      </w:r>
      <w:r>
        <w:t> — </w:t>
      </w:r>
      <w:r>
        <w:rPr>
          <w:rStyle w:val="CharSchText"/>
        </w:rPr>
        <w:t>Forms</w:t>
      </w:r>
      <w:bookmarkEnd w:id="234"/>
      <w:bookmarkEnd w:id="235"/>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Infringement Notice No. .............................. dated ......./......./....... for the alleged </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pPr>
      <w:r>
        <w:t>[Form 5 deleted in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yFootnotesection"/>
      </w:pPr>
      <w:r>
        <w:t>[Schedule 1 amended in Gazette 30 Dec 2004 p. 7016.]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36" w:name="_Toc92787690"/>
      <w:bookmarkStart w:id="237" w:name="_Toc92787752"/>
      <w:bookmarkStart w:id="238" w:name="_Toc92964477"/>
      <w:bookmarkStart w:id="239" w:name="_Toc103150828"/>
      <w:r>
        <w:t>Notes</w:t>
      </w:r>
      <w:bookmarkEnd w:id="236"/>
      <w:bookmarkEnd w:id="237"/>
      <w:bookmarkEnd w:id="238"/>
      <w:bookmarkEnd w:id="239"/>
    </w:p>
    <w:p>
      <w:pPr>
        <w:pStyle w:val="nSubsection"/>
        <w:rPr>
          <w:snapToGrid w:val="0"/>
        </w:rPr>
      </w:pPr>
      <w:r>
        <w:rPr>
          <w:snapToGrid w:val="0"/>
          <w:vertAlign w:val="superscript"/>
        </w:rPr>
        <w:t>1</w:t>
      </w:r>
      <w:r>
        <w:rPr>
          <w:snapToGrid w:val="0"/>
        </w:rPr>
        <w:tab/>
        <w:t xml:space="preserve">This is a compilation of the </w:t>
      </w:r>
      <w:r>
        <w:rPr>
          <w:i/>
          <w:snapToGrid w:val="0"/>
        </w:rPr>
        <w:t>Local Government (Functions and General) Regulations 1996</w:t>
      </w:r>
      <w:r>
        <w:rPr>
          <w:snapToGrid w:val="0"/>
        </w:rPr>
        <w:t xml:space="preserve"> and includes the amendments made by the other written laws referred to in the following table.</w:t>
      </w:r>
    </w:p>
    <w:p>
      <w:pPr>
        <w:pStyle w:val="nHeading3"/>
        <w:rPr>
          <w:snapToGrid w:val="0"/>
        </w:rPr>
      </w:pPr>
      <w:bookmarkStart w:id="240" w:name="_Toc92787691"/>
      <w:bookmarkStart w:id="241" w:name="_Toc103150829"/>
      <w:r>
        <w:rPr>
          <w:snapToGrid w:val="0"/>
        </w:rPr>
        <w:t>Compilation table</w:t>
      </w:r>
      <w:bookmarkEnd w:id="240"/>
      <w:bookmarkEnd w:id="2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Local Government (Functions and General) Regulations 1996</w:t>
            </w:r>
          </w:p>
        </w:tc>
        <w:tc>
          <w:tcPr>
            <w:tcW w:w="1276" w:type="dxa"/>
          </w:tcPr>
          <w:p>
            <w:pPr>
              <w:pStyle w:val="nTable"/>
              <w:spacing w:before="120"/>
              <w:rPr>
                <w:sz w:val="19"/>
              </w:rPr>
            </w:pPr>
            <w:r>
              <w:rPr>
                <w:sz w:val="19"/>
              </w:rPr>
              <w:t>24 Jun 1996 p. 2771</w:t>
            </w:r>
            <w:r>
              <w:rPr>
                <w:sz w:val="19"/>
              </w:rPr>
              <w:noBreakHyphen/>
              <w:t>97</w:t>
            </w:r>
          </w:p>
        </w:tc>
        <w:tc>
          <w:tcPr>
            <w:tcW w:w="2693" w:type="dxa"/>
          </w:tcPr>
          <w:p>
            <w:pPr>
              <w:pStyle w:val="nTable"/>
              <w:spacing w:before="120"/>
              <w:rPr>
                <w:sz w:val="19"/>
              </w:rPr>
            </w:pPr>
            <w:r>
              <w:rPr>
                <w:sz w:val="19"/>
              </w:rPr>
              <w:t>1 Jul 1996 (see r. 2)</w:t>
            </w:r>
          </w:p>
        </w:tc>
      </w:tr>
      <w:tr>
        <w:trPr>
          <w:cantSplit/>
        </w:trPr>
        <w:tc>
          <w:tcPr>
            <w:tcW w:w="3119" w:type="dxa"/>
          </w:tcPr>
          <w:p>
            <w:pPr>
              <w:pStyle w:val="nTable"/>
              <w:spacing w:before="120"/>
              <w:ind w:right="113"/>
              <w:rPr>
                <w:sz w:val="19"/>
              </w:rPr>
            </w:pPr>
            <w:r>
              <w:rPr>
                <w:i/>
                <w:sz w:val="19"/>
              </w:rPr>
              <w:t>Local Government (Functions and General) Amendment Regulations 1997</w:t>
            </w:r>
          </w:p>
        </w:tc>
        <w:tc>
          <w:tcPr>
            <w:tcW w:w="1276" w:type="dxa"/>
          </w:tcPr>
          <w:p>
            <w:pPr>
              <w:pStyle w:val="nTable"/>
              <w:spacing w:before="120"/>
              <w:rPr>
                <w:sz w:val="19"/>
              </w:rPr>
            </w:pPr>
            <w:r>
              <w:rPr>
                <w:sz w:val="19"/>
              </w:rPr>
              <w:t>29 Apr 1997 p. 2144</w:t>
            </w:r>
            <w:r>
              <w:rPr>
                <w:sz w:val="19"/>
              </w:rPr>
              <w:noBreakHyphen/>
              <w:t>5</w:t>
            </w:r>
          </w:p>
        </w:tc>
        <w:tc>
          <w:tcPr>
            <w:tcW w:w="2693" w:type="dxa"/>
          </w:tcPr>
          <w:p>
            <w:pPr>
              <w:pStyle w:val="nTable"/>
              <w:spacing w:before="120"/>
              <w:rPr>
                <w:sz w:val="19"/>
              </w:rPr>
            </w:pPr>
            <w:r>
              <w:rPr>
                <w:sz w:val="19"/>
              </w:rPr>
              <w:t>29 Apr 1997</w:t>
            </w:r>
          </w:p>
        </w:tc>
      </w:tr>
      <w:tr>
        <w:trPr>
          <w:cantSplit/>
        </w:trPr>
        <w:tc>
          <w:tcPr>
            <w:tcW w:w="3119" w:type="dxa"/>
          </w:tcPr>
          <w:p>
            <w:pPr>
              <w:pStyle w:val="nTable"/>
              <w:spacing w:before="120"/>
              <w:ind w:right="113"/>
              <w:rPr>
                <w:sz w:val="19"/>
              </w:rPr>
            </w:pPr>
            <w:r>
              <w:rPr>
                <w:i/>
                <w:sz w:val="19"/>
              </w:rPr>
              <w:t>Local Government (Functions and General) Amendment Regulations (No. 2) 1997</w:t>
            </w:r>
          </w:p>
        </w:tc>
        <w:tc>
          <w:tcPr>
            <w:tcW w:w="1276" w:type="dxa"/>
          </w:tcPr>
          <w:p>
            <w:pPr>
              <w:pStyle w:val="nTable"/>
              <w:spacing w:before="120"/>
              <w:rPr>
                <w:sz w:val="19"/>
              </w:rPr>
            </w:pPr>
            <w:r>
              <w:rPr>
                <w:sz w:val="19"/>
              </w:rPr>
              <w:t>29 Aug 1997 p. 4867</w:t>
            </w:r>
            <w:r>
              <w:rPr>
                <w:sz w:val="19"/>
              </w:rPr>
              <w:noBreakHyphen/>
              <w:t>8</w:t>
            </w:r>
          </w:p>
        </w:tc>
        <w:tc>
          <w:tcPr>
            <w:tcW w:w="2693" w:type="dxa"/>
          </w:tcPr>
          <w:p>
            <w:pPr>
              <w:pStyle w:val="nTable"/>
              <w:spacing w:before="120"/>
              <w:rPr>
                <w:sz w:val="19"/>
              </w:rPr>
            </w:pPr>
            <w:r>
              <w:rPr>
                <w:sz w:val="19"/>
              </w:rPr>
              <w:t>29 Aug 1997</w:t>
            </w:r>
          </w:p>
        </w:tc>
      </w:tr>
      <w:tr>
        <w:trPr>
          <w:cantSplit/>
        </w:trPr>
        <w:tc>
          <w:tcPr>
            <w:tcW w:w="3119" w:type="dxa"/>
          </w:tcPr>
          <w:p>
            <w:pPr>
              <w:pStyle w:val="nTable"/>
              <w:spacing w:before="120"/>
              <w:ind w:right="113"/>
              <w:rPr>
                <w:sz w:val="19"/>
              </w:rPr>
            </w:pPr>
            <w:r>
              <w:rPr>
                <w:i/>
                <w:sz w:val="19"/>
              </w:rPr>
              <w:t>Local Government (Functions and General) Amendment Regulations 1998</w:t>
            </w:r>
          </w:p>
        </w:tc>
        <w:tc>
          <w:tcPr>
            <w:tcW w:w="1276" w:type="dxa"/>
          </w:tcPr>
          <w:p>
            <w:pPr>
              <w:pStyle w:val="nTable"/>
              <w:spacing w:before="120"/>
              <w:rPr>
                <w:sz w:val="19"/>
              </w:rPr>
            </w:pPr>
            <w:r>
              <w:rPr>
                <w:sz w:val="19"/>
              </w:rPr>
              <w:t>26 Jun 1998 p. 3447</w:t>
            </w:r>
          </w:p>
        </w:tc>
        <w:tc>
          <w:tcPr>
            <w:tcW w:w="2693" w:type="dxa"/>
          </w:tcPr>
          <w:p>
            <w:pPr>
              <w:pStyle w:val="nTable"/>
              <w:spacing w:before="120"/>
              <w:rPr>
                <w:sz w:val="19"/>
              </w:rPr>
            </w:pPr>
            <w:r>
              <w:rPr>
                <w:sz w:val="19"/>
              </w:rPr>
              <w:t>26 Jun 1998</w:t>
            </w:r>
          </w:p>
        </w:tc>
      </w:tr>
      <w:tr>
        <w:trPr>
          <w:cantSplit/>
        </w:trPr>
        <w:tc>
          <w:tcPr>
            <w:tcW w:w="3119" w:type="dxa"/>
          </w:tcPr>
          <w:p>
            <w:pPr>
              <w:pStyle w:val="nTable"/>
              <w:spacing w:before="120"/>
              <w:ind w:right="113"/>
              <w:rPr>
                <w:i/>
                <w:sz w:val="19"/>
              </w:rPr>
            </w:pPr>
            <w:r>
              <w:rPr>
                <w:i/>
                <w:sz w:val="19"/>
              </w:rPr>
              <w:t>Local Government (Functions and General) Amendment Regulations (No. 2) 1998</w:t>
            </w:r>
          </w:p>
        </w:tc>
        <w:tc>
          <w:tcPr>
            <w:tcW w:w="1276" w:type="dxa"/>
          </w:tcPr>
          <w:p>
            <w:pPr>
              <w:pStyle w:val="nTable"/>
              <w:spacing w:before="120"/>
              <w:rPr>
                <w:sz w:val="19"/>
              </w:rPr>
            </w:pPr>
            <w:r>
              <w:rPr>
                <w:sz w:val="19"/>
              </w:rPr>
              <w:t>11 Sep 1998 p. 4926-7</w:t>
            </w:r>
          </w:p>
        </w:tc>
        <w:tc>
          <w:tcPr>
            <w:tcW w:w="2693" w:type="dxa"/>
          </w:tcPr>
          <w:p>
            <w:pPr>
              <w:pStyle w:val="nTable"/>
              <w:spacing w:before="120"/>
              <w:rPr>
                <w:sz w:val="19"/>
              </w:rPr>
            </w:pPr>
            <w:r>
              <w:rPr>
                <w:sz w:val="19"/>
              </w:rPr>
              <w:t>11 Sep 1998</w:t>
            </w:r>
          </w:p>
        </w:tc>
      </w:tr>
      <w:tr>
        <w:trPr>
          <w:cantSplit/>
        </w:trPr>
        <w:tc>
          <w:tcPr>
            <w:tcW w:w="3119" w:type="dxa"/>
          </w:tcPr>
          <w:p>
            <w:pPr>
              <w:pStyle w:val="nTable"/>
              <w:spacing w:before="120"/>
              <w:ind w:right="113"/>
              <w:rPr>
                <w:i/>
                <w:sz w:val="19"/>
              </w:rPr>
            </w:pPr>
            <w:r>
              <w:rPr>
                <w:i/>
                <w:sz w:val="19"/>
              </w:rPr>
              <w:t>Local Government (Functions and General) Amendment Regulations (No. 3) 1998</w:t>
            </w:r>
          </w:p>
        </w:tc>
        <w:tc>
          <w:tcPr>
            <w:tcW w:w="1276" w:type="dxa"/>
          </w:tcPr>
          <w:p>
            <w:pPr>
              <w:pStyle w:val="nTable"/>
              <w:spacing w:before="120"/>
              <w:rPr>
                <w:sz w:val="19"/>
              </w:rPr>
            </w:pPr>
            <w:r>
              <w:rPr>
                <w:sz w:val="19"/>
              </w:rPr>
              <w:t>4 Dec 1998 p. 6500</w:t>
            </w:r>
          </w:p>
        </w:tc>
        <w:tc>
          <w:tcPr>
            <w:tcW w:w="2693" w:type="dxa"/>
          </w:tcPr>
          <w:p>
            <w:pPr>
              <w:pStyle w:val="nTable"/>
              <w:spacing w:before="120"/>
              <w:rPr>
                <w:sz w:val="19"/>
              </w:rPr>
            </w:pPr>
            <w:r>
              <w:rPr>
                <w:sz w:val="19"/>
              </w:rPr>
              <w:t>4Dec 1998</w:t>
            </w:r>
          </w:p>
        </w:tc>
      </w:tr>
      <w:tr>
        <w:trPr>
          <w:cantSplit/>
        </w:trPr>
        <w:tc>
          <w:tcPr>
            <w:tcW w:w="3119" w:type="dxa"/>
          </w:tcPr>
          <w:p>
            <w:pPr>
              <w:pStyle w:val="nTable"/>
              <w:spacing w:before="120"/>
              <w:ind w:right="113"/>
              <w:rPr>
                <w:i/>
                <w:sz w:val="19"/>
              </w:rPr>
            </w:pPr>
            <w:r>
              <w:rPr>
                <w:i/>
                <w:sz w:val="19"/>
              </w:rPr>
              <w:t>Local Government (Functions and General) Amendment Regulations 2000</w:t>
            </w:r>
          </w:p>
        </w:tc>
        <w:tc>
          <w:tcPr>
            <w:tcW w:w="1276" w:type="dxa"/>
          </w:tcPr>
          <w:p>
            <w:pPr>
              <w:pStyle w:val="nTable"/>
              <w:spacing w:before="120"/>
              <w:rPr>
                <w:sz w:val="19"/>
              </w:rPr>
            </w:pPr>
            <w:r>
              <w:rPr>
                <w:sz w:val="19"/>
              </w:rPr>
              <w:t>25 Feb 2000 p. 970-6</w:t>
            </w:r>
          </w:p>
        </w:tc>
        <w:tc>
          <w:tcPr>
            <w:tcW w:w="2693" w:type="dxa"/>
          </w:tcPr>
          <w:p>
            <w:pPr>
              <w:pStyle w:val="nTable"/>
              <w:spacing w:before="120"/>
              <w:rPr>
                <w:sz w:val="19"/>
              </w:rPr>
            </w:pPr>
            <w:r>
              <w:rPr>
                <w:sz w:val="19"/>
              </w:rPr>
              <w:t>25 Feb 2000</w:t>
            </w:r>
          </w:p>
        </w:tc>
      </w:tr>
      <w:tr>
        <w:trPr>
          <w:cantSplit/>
        </w:trPr>
        <w:tc>
          <w:tcPr>
            <w:tcW w:w="3119" w:type="dxa"/>
          </w:tcPr>
          <w:p>
            <w:pPr>
              <w:pStyle w:val="nTable"/>
              <w:spacing w:before="120"/>
              <w:ind w:right="113"/>
              <w:rPr>
                <w:i/>
                <w:sz w:val="19"/>
              </w:rPr>
            </w:pPr>
            <w:r>
              <w:rPr>
                <w:i/>
                <w:sz w:val="19"/>
              </w:rPr>
              <w:t>Local Government (Functions and General) Amendment Regulations (No. 2) 2000</w:t>
            </w:r>
          </w:p>
        </w:tc>
        <w:tc>
          <w:tcPr>
            <w:tcW w:w="1276" w:type="dxa"/>
          </w:tcPr>
          <w:p>
            <w:pPr>
              <w:pStyle w:val="nTable"/>
              <w:spacing w:before="120"/>
              <w:rPr>
                <w:sz w:val="19"/>
              </w:rPr>
            </w:pPr>
            <w:r>
              <w:rPr>
                <w:sz w:val="19"/>
              </w:rPr>
              <w:t>28 Apr 2000 p. 2039-41</w:t>
            </w:r>
          </w:p>
        </w:tc>
        <w:tc>
          <w:tcPr>
            <w:tcW w:w="2693" w:type="dxa"/>
          </w:tcPr>
          <w:p>
            <w:pPr>
              <w:pStyle w:val="nTable"/>
              <w:spacing w:before="120"/>
              <w:rPr>
                <w:sz w:val="19"/>
              </w:rPr>
            </w:pPr>
            <w:r>
              <w:rPr>
                <w:sz w:val="19"/>
              </w:rPr>
              <w:t>28 Apr 2000</w:t>
            </w:r>
          </w:p>
        </w:tc>
      </w:tr>
      <w:tr>
        <w:trPr>
          <w:cantSplit/>
        </w:trPr>
        <w:tc>
          <w:tcPr>
            <w:tcW w:w="3119" w:type="dxa"/>
          </w:tcPr>
          <w:p>
            <w:pPr>
              <w:pStyle w:val="nTable"/>
              <w:spacing w:before="120"/>
              <w:ind w:right="113"/>
              <w:rPr>
                <w:sz w:val="19"/>
              </w:rPr>
            </w:pPr>
            <w:r>
              <w:rPr>
                <w:i/>
                <w:sz w:val="19"/>
              </w:rPr>
              <w:t>Local Government (Functions and General) Amendment Regulations 2001</w:t>
            </w:r>
            <w:r>
              <w:rPr>
                <w:sz w:val="19"/>
                <w:vertAlign w:val="superscript"/>
              </w:rPr>
              <w:t xml:space="preserve"> 2</w:t>
            </w:r>
          </w:p>
        </w:tc>
        <w:tc>
          <w:tcPr>
            <w:tcW w:w="1276" w:type="dxa"/>
          </w:tcPr>
          <w:p>
            <w:pPr>
              <w:pStyle w:val="nTable"/>
              <w:spacing w:before="120"/>
              <w:rPr>
                <w:sz w:val="19"/>
              </w:rPr>
            </w:pPr>
            <w:r>
              <w:rPr>
                <w:sz w:val="19"/>
              </w:rPr>
              <w:t>29 Jun 2001</w:t>
            </w:r>
            <w:r>
              <w:rPr>
                <w:sz w:val="19"/>
              </w:rPr>
              <w:br/>
              <w:t>p. 3129-33</w:t>
            </w:r>
          </w:p>
        </w:tc>
        <w:tc>
          <w:tcPr>
            <w:tcW w:w="2693" w:type="dxa"/>
          </w:tcPr>
          <w:p>
            <w:pPr>
              <w:pStyle w:val="nTable"/>
              <w:spacing w:before="120"/>
              <w:rPr>
                <w:sz w:val="19"/>
              </w:rPr>
            </w:pPr>
            <w:r>
              <w:rPr>
                <w:sz w:val="19"/>
              </w:rPr>
              <w:t>29 Jun 2001</w:t>
            </w:r>
          </w:p>
        </w:tc>
      </w:tr>
      <w:tr>
        <w:trPr>
          <w:cantSplit/>
        </w:trPr>
        <w:tc>
          <w:tcPr>
            <w:tcW w:w="3119" w:type="dxa"/>
          </w:tcPr>
          <w:p>
            <w:pPr>
              <w:pStyle w:val="nTable"/>
              <w:spacing w:before="120"/>
              <w:ind w:right="113"/>
              <w:rPr>
                <w:i/>
                <w:sz w:val="19"/>
              </w:rPr>
            </w:pPr>
            <w:r>
              <w:rPr>
                <w:i/>
                <w:sz w:val="19"/>
              </w:rPr>
              <w:t xml:space="preserve">Local Government (Functions and General) Amendment Regulations 2002 </w:t>
            </w:r>
          </w:p>
        </w:tc>
        <w:tc>
          <w:tcPr>
            <w:tcW w:w="1276" w:type="dxa"/>
          </w:tcPr>
          <w:p>
            <w:pPr>
              <w:pStyle w:val="nTable"/>
              <w:spacing w:before="120"/>
              <w:rPr>
                <w:sz w:val="19"/>
              </w:rPr>
            </w:pPr>
            <w:r>
              <w:rPr>
                <w:sz w:val="19"/>
              </w:rPr>
              <w:t>28 Jun 2002 p. 3081-2</w:t>
            </w:r>
          </w:p>
        </w:tc>
        <w:tc>
          <w:tcPr>
            <w:tcW w:w="2693" w:type="dxa"/>
          </w:tcPr>
          <w:p>
            <w:pPr>
              <w:pStyle w:val="nTable"/>
              <w:spacing w:before="120"/>
              <w:rPr>
                <w:sz w:val="19"/>
              </w:rPr>
            </w:pPr>
            <w:r>
              <w:rPr>
                <w:sz w:val="19"/>
              </w:rPr>
              <w:t>28 Jun 2002</w:t>
            </w:r>
          </w:p>
        </w:tc>
      </w:tr>
      <w:tr>
        <w:trPr>
          <w:cantSplit/>
        </w:trPr>
        <w:tc>
          <w:tcPr>
            <w:tcW w:w="3119" w:type="dxa"/>
          </w:tcPr>
          <w:p>
            <w:pPr>
              <w:pStyle w:val="nTable"/>
              <w:spacing w:before="120"/>
              <w:ind w:right="113"/>
              <w:rPr>
                <w:i/>
                <w:sz w:val="19"/>
              </w:rPr>
            </w:pPr>
            <w:r>
              <w:rPr>
                <w:i/>
                <w:sz w:val="19"/>
              </w:rPr>
              <w:t>Local Government (Functions and General) Amendment Regulations (No. 2) 2004</w:t>
            </w:r>
          </w:p>
        </w:tc>
        <w:tc>
          <w:tcPr>
            <w:tcW w:w="1276" w:type="dxa"/>
          </w:tcPr>
          <w:p>
            <w:pPr>
              <w:pStyle w:val="nTable"/>
              <w:spacing w:before="120"/>
              <w:rPr>
                <w:sz w:val="19"/>
              </w:rPr>
            </w:pPr>
            <w:r>
              <w:rPr>
                <w:sz w:val="19"/>
              </w:rPr>
              <w:t>30 Dec 2004 p. 7016</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Local Government (Functions and General) Amendment Regulations 2005</w:t>
            </w:r>
          </w:p>
        </w:tc>
        <w:tc>
          <w:tcPr>
            <w:tcW w:w="1276" w:type="dxa"/>
          </w:tcPr>
          <w:p>
            <w:pPr>
              <w:pStyle w:val="nTable"/>
              <w:spacing w:before="120"/>
              <w:rPr>
                <w:sz w:val="19"/>
              </w:rPr>
            </w:pPr>
            <w:r>
              <w:rPr>
                <w:sz w:val="19"/>
              </w:rPr>
              <w:t>31 Mar 2005 p. 1054-6</w:t>
            </w:r>
          </w:p>
        </w:tc>
        <w:tc>
          <w:tcPr>
            <w:tcW w:w="2693" w:type="dxa"/>
          </w:tcPr>
          <w:p>
            <w:pPr>
              <w:pStyle w:val="nTable"/>
              <w:spacing w:before="120"/>
              <w:rPr>
                <w:sz w:val="19"/>
              </w:rPr>
            </w:pPr>
            <w:r>
              <w:rPr>
                <w:sz w:val="19"/>
              </w:rPr>
              <w:t xml:space="preserve">1 Apr 2005 (see r. 2 and </w:t>
            </w:r>
            <w:r>
              <w:rPr>
                <w:i/>
                <w:iCs/>
                <w:sz w:val="19"/>
              </w:rPr>
              <w:t>Gazette</w:t>
            </w:r>
            <w:r>
              <w:rPr>
                <w:sz w:val="19"/>
              </w:rPr>
              <w:t xml:space="preserve"> 31 Mar 2005 p. 1029)</w:t>
            </w:r>
          </w:p>
        </w:tc>
      </w:tr>
      <w:tr>
        <w:trPr>
          <w:cantSplit/>
        </w:trPr>
        <w:tc>
          <w:tcPr>
            <w:tcW w:w="3119" w:type="dxa"/>
            <w:tcBorders>
              <w:bottom w:val="single" w:sz="4" w:space="0" w:color="auto"/>
            </w:tcBorders>
          </w:tcPr>
          <w:p>
            <w:pPr>
              <w:pStyle w:val="nTable"/>
              <w:spacing w:before="120"/>
              <w:ind w:right="113"/>
              <w:rPr>
                <w:i/>
                <w:sz w:val="19"/>
              </w:rPr>
            </w:pPr>
            <w:r>
              <w:rPr>
                <w:i/>
                <w:sz w:val="19"/>
              </w:rPr>
              <w:t>Local Government (Functions and General) Amendment Regulations (No. 2) 2005</w:t>
            </w:r>
          </w:p>
        </w:tc>
        <w:tc>
          <w:tcPr>
            <w:tcW w:w="1276" w:type="dxa"/>
            <w:tcBorders>
              <w:bottom w:val="single" w:sz="4" w:space="0" w:color="auto"/>
            </w:tcBorders>
          </w:tcPr>
          <w:p>
            <w:pPr>
              <w:pStyle w:val="nTable"/>
              <w:spacing w:before="120"/>
              <w:rPr>
                <w:sz w:val="19"/>
              </w:rPr>
            </w:pPr>
            <w:r>
              <w:rPr>
                <w:sz w:val="19"/>
              </w:rPr>
              <w:t>31 Mar 2005 p. 1057-8</w:t>
            </w:r>
          </w:p>
        </w:tc>
        <w:tc>
          <w:tcPr>
            <w:tcW w:w="2693" w:type="dxa"/>
            <w:tcBorders>
              <w:bottom w:val="single" w:sz="4" w:space="0" w:color="auto"/>
            </w:tcBorders>
          </w:tcPr>
          <w:p>
            <w:pPr>
              <w:pStyle w:val="nTable"/>
              <w:spacing w:before="120"/>
              <w:rPr>
                <w:sz w:val="19"/>
              </w:rPr>
            </w:pPr>
            <w:r>
              <w:rPr>
                <w:sz w:val="19"/>
              </w:rPr>
              <w:t>7 May 2005 (see r. 2)</w:t>
            </w:r>
          </w:p>
        </w:tc>
      </w:tr>
    </w:tbl>
    <w:p>
      <w:pPr>
        <w:pStyle w:val="nSubsection"/>
        <w:keepNext/>
      </w:pPr>
      <w:r>
        <w:rPr>
          <w:vertAlign w:val="superscript"/>
        </w:rPr>
        <w:t>2</w:t>
      </w:r>
      <w:r>
        <w:tab/>
        <w:t xml:space="preserve">Regulation 11 of the </w:t>
      </w:r>
      <w:r>
        <w:rPr>
          <w:i/>
        </w:rPr>
        <w:t>Local Government (Functions and General) Amendment Regulations 2001</w:t>
      </w:r>
      <w:r>
        <w:t xml:space="preserve"> reads as follows:</w:t>
      </w:r>
    </w:p>
    <w:p>
      <w:pPr>
        <w:pStyle w:val="MiscOpen"/>
      </w:pPr>
      <w:r>
        <w:t>“</w:t>
      </w:r>
    </w:p>
    <w:p>
      <w:pPr>
        <w:pStyle w:val="nzHeading5"/>
      </w:pPr>
      <w:r>
        <w:rPr>
          <w:rStyle w:val="CharSectno"/>
        </w:rPr>
        <w:t>11</w:t>
      </w:r>
      <w:r>
        <w:t>.</w:t>
      </w:r>
      <w:r>
        <w:tab/>
        <w:t>Transitional</w:t>
      </w:r>
    </w:p>
    <w:p>
      <w:pPr>
        <w:pStyle w:val="nzSubsection"/>
      </w:pPr>
      <w:r>
        <w:tab/>
      </w:r>
      <w:r>
        <w:tab/>
        <w:t xml:space="preserve">If a tender is invited under regulation 11, 12, or 13 of the </w:t>
      </w:r>
      <w:r>
        <w:rPr>
          <w:i/>
        </w:rPr>
        <w:t>Local Government (Functions and General) Regulations 1996</w:t>
      </w:r>
      <w:r>
        <w:t xml:space="preserve"> before the commencement of these regulations, tenders submitted as a result of that invitation are to be dealt with as if these regulations had not come into operation.</w:t>
      </w:r>
    </w:p>
    <w:p>
      <w:pPr>
        <w:pStyle w:val="MiscClose"/>
      </w:pPr>
      <w:r>
        <w:t>”.</w:t>
      </w:r>
    </w:p>
    <w:p>
      <w:bookmarkStart w:id="242" w:name="UpToHere"/>
      <w:bookmarkEnd w:id="242"/>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noProof/>
              </w:rPr>
              <w:cr/>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cr/>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(Functions and General)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3086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EE46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47660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AE72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490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EAB6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0C66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141C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E821F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2C70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AC032BA"/>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1B0A983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F58B1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776797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1"/>
  </w:num>
  <w:num w:numId="1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736"/>
    <w:docVar w:name="WAFER_20151207142736" w:val="RemoveTrackChanges"/>
    <w:docVar w:name="WAFER_20151207142736_GUID" w:val="0f643619-3751-4f7d-a928-d41953d6df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9507</Words>
  <Characters>52289</Characters>
  <Application>Microsoft Office Word</Application>
  <DocSecurity>0</DocSecurity>
  <Lines>1340</Lines>
  <Paragraphs>823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1996 - 01-e0-03</dc:title>
  <dc:subject/>
  <dc:creator/>
  <cp:keywords/>
  <dc:description/>
  <cp:lastModifiedBy>svcMRProcess</cp:lastModifiedBy>
  <cp:revision>4</cp:revision>
  <cp:lastPrinted>2000-09-13T05:46:00Z</cp:lastPrinted>
  <dcterms:created xsi:type="dcterms:W3CDTF">2018-09-12T15:23:00Z</dcterms:created>
  <dcterms:modified xsi:type="dcterms:W3CDTF">2018-09-12T15:23:00Z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CommencementDate">
    <vt:lpwstr>20050507</vt:lpwstr>
  </property>
  <property fmtid="{D5CDD505-2E9C-101B-9397-08002B2CF9AE}" pid="4" name="DocumentType">
    <vt:lpwstr>Reg</vt:lpwstr>
  </property>
  <property fmtid="{D5CDD505-2E9C-101B-9397-08002B2CF9AE}" pid="5" name="OwlsUID">
    <vt:i4>4578</vt:i4>
  </property>
  <property fmtid="{D5CDD505-2E9C-101B-9397-08002B2CF9AE}" pid="6" name="AsAtDate">
    <vt:lpwstr>07 May 2005</vt:lpwstr>
  </property>
  <property fmtid="{D5CDD505-2E9C-101B-9397-08002B2CF9AE}" pid="7" name="Suffix">
    <vt:lpwstr>01-e0-03</vt:lpwstr>
  </property>
</Properties>
</file>