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(Long Service Leave)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_Toc421011575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_Toc421011576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and saving provisions</w:t>
      </w:r>
      <w:r>
        <w:tab/>
      </w:r>
      <w:r>
        <w:fldChar w:fldCharType="begin"/>
      </w:r>
      <w:r>
        <w:instrText xml:space="preserve"> PAGEREF _Toc421011577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w:t>
      </w:r>
      <w:r>
        <w:tab/>
      </w:r>
      <w:r>
        <w:fldChar w:fldCharType="begin"/>
      </w:r>
      <w:r>
        <w:instrText xml:space="preserve"> PAGEREF _Toc421011578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Continuity of service</w:t>
      </w:r>
      <w:r>
        <w:tab/>
      </w:r>
      <w:r>
        <w:fldChar w:fldCharType="begin"/>
      </w:r>
      <w:r>
        <w:instrText xml:space="preserve"> PAGEREF _Toc421011579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Entitlement to leave</w:t>
      </w:r>
      <w:r>
        <w:tab/>
      </w:r>
      <w:r>
        <w:fldChar w:fldCharType="begin"/>
      </w:r>
      <w:r>
        <w:instrText xml:space="preserve"> PAGEREF _Toc421011580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Leave on half pay</w:t>
      </w:r>
      <w:r>
        <w:tab/>
      </w:r>
      <w:r>
        <w:fldChar w:fldCharType="begin"/>
      </w:r>
      <w:r>
        <w:instrText xml:space="preserve"> PAGEREF _Toc421011581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Leave on double pay</w:t>
      </w:r>
      <w:r>
        <w:tab/>
      </w:r>
      <w:r>
        <w:fldChar w:fldCharType="begin"/>
      </w:r>
      <w:r>
        <w:instrText xml:space="preserve"> PAGEREF _Toc421011582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Taking leave</w:t>
      </w:r>
      <w:r>
        <w:tab/>
      </w:r>
      <w:r>
        <w:fldChar w:fldCharType="begin"/>
      </w:r>
      <w:r>
        <w:instrText xml:space="preserve"> PAGEREF _Toc421011583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for or in lieu of leave</w:t>
      </w:r>
      <w:r>
        <w:tab/>
      </w:r>
      <w:r>
        <w:fldChar w:fldCharType="begin"/>
      </w:r>
      <w:r>
        <w:instrText xml:space="preserve"> PAGEREF _Toc421011584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Contribution towards cost of benefit</w:t>
      </w:r>
      <w:r>
        <w:tab/>
      </w:r>
      <w:r>
        <w:fldChar w:fldCharType="begin"/>
      </w:r>
      <w:r>
        <w:instrText xml:space="preserve"> PAGEREF _Toc421011585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to be employed during leave</w:t>
      </w:r>
      <w:r>
        <w:tab/>
      </w:r>
      <w:r>
        <w:fldChar w:fldCharType="begin"/>
      </w:r>
      <w:r>
        <w:instrText xml:space="preserve"> PAGEREF _Toc421011586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 by employers</w:t>
      </w:r>
      <w:r>
        <w:tab/>
      </w:r>
      <w:r>
        <w:fldChar w:fldCharType="begin"/>
      </w:r>
      <w:r>
        <w:instrText xml:space="preserve"> PAGEREF _Toc421011587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of Board of Reference</w:t>
      </w:r>
      <w:r>
        <w:tab/>
      </w:r>
      <w:r>
        <w:fldChar w:fldCharType="begin"/>
      </w:r>
      <w:r>
        <w:instrText xml:space="preserve"> PAGEREF _Toc421011588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_Toc421011589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hold inquiries</w:t>
      </w:r>
      <w:r>
        <w:tab/>
      </w:r>
      <w:r>
        <w:fldChar w:fldCharType="begin"/>
      </w:r>
      <w:r>
        <w:instrText xml:space="preserve"> PAGEREF _Toc421011590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Determination, notification and appeal</w:t>
      </w:r>
      <w:r>
        <w:tab/>
      </w:r>
      <w:r>
        <w:fldChar w:fldCharType="begin"/>
      </w:r>
      <w:r>
        <w:instrText xml:space="preserve"> PAGEREF _Toc421011591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_Toc421011592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_Toc421011594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Local Government (Long Service Leave) Regulations</w:t>
      </w:r>
    </w:p>
    <w:p>
      <w:pPr>
        <w:pStyle w:val="Heading5"/>
        <w:rPr>
          <w:snapToGrid w:val="0"/>
        </w:rPr>
      </w:pPr>
      <w:bookmarkStart w:id="3" w:name="_Toc377462701"/>
      <w:bookmarkStart w:id="4" w:name="_Toc42101157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r>
        <w:rPr>
          <w:snapToGrid w:val="0"/>
        </w:rPr>
        <w:t xml:space="preserve"> </w:t>
      </w:r>
      <w:r>
        <w:rPr>
          <w:snapToGrid w:val="0"/>
          <w:vertAlign w:val="superscript"/>
        </w:rPr>
        <w:t>1</w:t>
      </w:r>
      <w:r>
        <w:rPr>
          <w:snapToGrid w:val="0"/>
        </w:rPr>
        <w:t>.</w:t>
      </w:r>
    </w:p>
    <w:p>
      <w:pPr>
        <w:pStyle w:val="Heading5"/>
        <w:rPr>
          <w:snapToGrid w:val="0"/>
        </w:rPr>
      </w:pPr>
      <w:bookmarkStart w:id="5" w:name="_Toc377462702"/>
      <w:bookmarkStart w:id="6" w:name="_Toc421011576"/>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pPr>
      <w:r>
        <w:rPr>
          <w:b/>
        </w:rPr>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2</w:t>
      </w:r>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7" w:name="_Toc377462703"/>
      <w:bookmarkStart w:id="8" w:name="_Toc421011577"/>
      <w:r>
        <w:rPr>
          <w:rStyle w:val="CharSectno"/>
        </w:rPr>
        <w:t>3</w:t>
      </w:r>
      <w:r>
        <w:rPr>
          <w:snapToGrid w:val="0"/>
        </w:rPr>
        <w:t>.</w:t>
      </w:r>
      <w:r>
        <w:rPr>
          <w:snapToGrid w:val="0"/>
        </w:rPr>
        <w:tab/>
        <w:t>Transitional and saving provisions</w:t>
      </w:r>
      <w:bookmarkEnd w:id="7"/>
      <w:bookmarkEnd w:id="8"/>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rPr>
          <w:snapToGrid w:val="0"/>
        </w:rPr>
      </w:pPr>
      <w:r>
        <w:rPr>
          <w:snapToGrid w:val="0"/>
        </w:rPr>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9" w:name="_Toc377462704"/>
      <w:bookmarkStart w:id="10" w:name="_Toc421011578"/>
      <w:r>
        <w:rPr>
          <w:rStyle w:val="CharSectno"/>
        </w:rPr>
        <w:t>4</w:t>
      </w:r>
      <w:r>
        <w:rPr>
          <w:snapToGrid w:val="0"/>
        </w:rPr>
        <w:t>.</w:t>
      </w:r>
      <w:r>
        <w:rPr>
          <w:snapToGrid w:val="0"/>
        </w:rPr>
        <w:tab/>
        <w:t>Service</w:t>
      </w:r>
      <w:bookmarkEnd w:id="9"/>
      <w:bookmarkEnd w:id="10"/>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in the case of the worker who was in the service of an employer on 1 July 1977 — continuous service with that 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any period of absence from duty on any annual leave or long service leave;</w:t>
      </w:r>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rPr>
          <w:snapToGrid w:val="0"/>
        </w:rPr>
      </w:pPr>
      <w:r>
        <w:rPr>
          <w:snapToGrid w:val="0"/>
        </w:rPr>
        <w:tab/>
        <w:t>(e)</w:t>
      </w:r>
      <w:r>
        <w:rPr>
          <w:snapToGrid w:val="0"/>
        </w:rPr>
        <w:tab/>
        <w:t>any period during which the service of the worker was or is interrupted by national service but only if the worker as soon as reasonably practicable after the 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service in respect of which the worker has become entitled to a long service benefit before the effective date under the provisions of a superseded long service benefits scheme.</w:t>
      </w:r>
    </w:p>
    <w:p>
      <w:pPr>
        <w:pStyle w:val="Heading5"/>
        <w:rPr>
          <w:snapToGrid w:val="0"/>
        </w:rPr>
      </w:pPr>
      <w:bookmarkStart w:id="11" w:name="_Toc377462705"/>
      <w:bookmarkStart w:id="12" w:name="_Toc421011579"/>
      <w:r>
        <w:rPr>
          <w:rStyle w:val="CharSectno"/>
        </w:rPr>
        <w:t>5</w:t>
      </w:r>
      <w:r>
        <w:rPr>
          <w:snapToGrid w:val="0"/>
        </w:rPr>
        <w:t>.</w:t>
      </w:r>
      <w:r>
        <w:rPr>
          <w:snapToGrid w:val="0"/>
        </w:rPr>
        <w:tab/>
        <w:t>Continuity of service</w:t>
      </w:r>
      <w:bookmarkEnd w:id="11"/>
      <w:bookmarkEnd w:id="12"/>
      <w:r>
        <w:rPr>
          <w:snapToGrid w:val="0"/>
        </w:rPr>
        <w:t xml:space="preserve"> </w:t>
      </w:r>
    </w:p>
    <w:p>
      <w:pPr>
        <w:pStyle w:val="Subsection"/>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rPr>
          <w:snapToGrid w:val="0"/>
        </w:rPr>
      </w:pPr>
      <w:r>
        <w:rPr>
          <w:snapToGrid w:val="0"/>
        </w:rPr>
        <w:tab/>
        <w:t>(a)</w:t>
      </w:r>
      <w:r>
        <w:rPr>
          <w:snapToGrid w:val="0"/>
        </w:rPr>
        <w:tab/>
        <w:t>any absence of the worker from duty if leave of absence has been granted by his employer;</w:t>
      </w:r>
    </w:p>
    <w:p>
      <w:pPr>
        <w:pStyle w:val="Indenta"/>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13" w:name="_Toc377462706"/>
      <w:bookmarkStart w:id="14" w:name="_Toc421011580"/>
      <w:r>
        <w:rPr>
          <w:rStyle w:val="CharSectno"/>
        </w:rPr>
        <w:t>6</w:t>
      </w:r>
      <w:r>
        <w:rPr>
          <w:snapToGrid w:val="0"/>
        </w:rPr>
        <w:t>.</w:t>
      </w:r>
      <w:r>
        <w:rPr>
          <w:snapToGrid w:val="0"/>
        </w:rPr>
        <w:tab/>
        <w:t>Entitlement to leave</w:t>
      </w:r>
      <w:bookmarkEnd w:id="13"/>
      <w:bookmarkEnd w:id="14"/>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15" w:name="_Toc377462707"/>
      <w:bookmarkStart w:id="16" w:name="_Toc421011581"/>
      <w:r>
        <w:rPr>
          <w:rStyle w:val="CharSectno"/>
        </w:rPr>
        <w:t>6A</w:t>
      </w:r>
      <w:r>
        <w:rPr>
          <w:snapToGrid w:val="0"/>
        </w:rPr>
        <w:t>.</w:t>
      </w:r>
      <w:r>
        <w:rPr>
          <w:snapToGrid w:val="0"/>
        </w:rPr>
        <w:tab/>
        <w:t>Leave on half pay</w:t>
      </w:r>
      <w:bookmarkEnd w:id="15"/>
      <w:bookmarkEnd w:id="16"/>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17" w:name="_Toc377462708"/>
      <w:bookmarkStart w:id="18" w:name="_Toc421011582"/>
      <w:r>
        <w:rPr>
          <w:rStyle w:val="CharSectno"/>
        </w:rPr>
        <w:t>6B</w:t>
      </w:r>
      <w:r>
        <w:rPr>
          <w:snapToGrid w:val="0"/>
        </w:rPr>
        <w:t>.</w:t>
      </w:r>
      <w:r>
        <w:rPr>
          <w:snapToGrid w:val="0"/>
        </w:rPr>
        <w:tab/>
        <w:t>Leave on double pay</w:t>
      </w:r>
      <w:bookmarkEnd w:id="17"/>
      <w:bookmarkEnd w:id="18"/>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19" w:name="_Toc377462709"/>
      <w:bookmarkStart w:id="20" w:name="_Toc421011583"/>
      <w:r>
        <w:rPr>
          <w:rStyle w:val="CharSectno"/>
        </w:rPr>
        <w:t>7</w:t>
      </w:r>
      <w:r>
        <w:rPr>
          <w:snapToGrid w:val="0"/>
        </w:rPr>
        <w:t>.</w:t>
      </w:r>
      <w:r>
        <w:rPr>
          <w:snapToGrid w:val="0"/>
        </w:rPr>
        <w:tab/>
        <w:t>Taking leave</w:t>
      </w:r>
      <w:bookmarkEnd w:id="19"/>
      <w:bookmarkEnd w:id="20"/>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the leave may be granted and taken in one consecutive period or, if the worker and the employer so agree, in not more than 3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Heading5"/>
        <w:rPr>
          <w:snapToGrid w:val="0"/>
        </w:rPr>
      </w:pPr>
      <w:bookmarkStart w:id="21" w:name="_Toc377462710"/>
      <w:bookmarkStart w:id="22" w:name="_Toc421011584"/>
      <w:r>
        <w:rPr>
          <w:rStyle w:val="CharSectno"/>
        </w:rPr>
        <w:t>8</w:t>
      </w:r>
      <w:r>
        <w:rPr>
          <w:snapToGrid w:val="0"/>
        </w:rPr>
        <w:t>.</w:t>
      </w:r>
      <w:r>
        <w:rPr>
          <w:snapToGrid w:val="0"/>
        </w:rPr>
        <w:tab/>
        <w:t>Payment for or in lieu of leave</w:t>
      </w:r>
      <w:bookmarkEnd w:id="21"/>
      <w:bookmarkEnd w:id="22"/>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given after the commencement of the leave, it is sufficient compliance with this subregulation if the amount included by reason of that increase is paid not later than the next normal pay day after the end of the period of leave.</w:t>
      </w:r>
    </w:p>
    <w:p>
      <w:pPr>
        <w:pStyle w:val="Subsection"/>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23" w:name="_Toc377462711"/>
      <w:bookmarkStart w:id="24" w:name="_Toc421011585"/>
      <w:r>
        <w:rPr>
          <w:rStyle w:val="CharSectno"/>
        </w:rPr>
        <w:t>9</w:t>
      </w:r>
      <w:r>
        <w:rPr>
          <w:snapToGrid w:val="0"/>
        </w:rPr>
        <w:t>.</w:t>
      </w:r>
      <w:r>
        <w:rPr>
          <w:snapToGrid w:val="0"/>
        </w:rPr>
        <w:tab/>
        <w:t>Contribution towards cost of benefit</w:t>
      </w:r>
      <w:bookmarkEnd w:id="23"/>
      <w:bookmarkEnd w:id="2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mentioned municipality shall bear the cost of the benefit but may, in respect of that period of service, recover from the council of each such other municipality a contribution towards the cost determined in accordance with subregulation (3).</w:t>
      </w:r>
    </w:p>
    <w:p>
      <w:pPr>
        <w:pStyle w:val="Subsection"/>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jc w:val="center"/>
      </w:pPr>
      <w:r>
        <w:rPr>
          <w:position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75pt" o:ole="">
            <v:imagedata r:id="rId21" o:title=""/>
          </v:shape>
          <o:OLEObject Type="Embed" ProgID="Equation.3" ShapeID="_x0000_i1025" DrawAspect="Content" ObjectID="_1644151083"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rPr>
          <w:snapToGrid w:val="0"/>
        </w:rPr>
      </w:pPr>
      <w:r>
        <w:rPr>
          <w:snapToGrid w:val="0"/>
        </w:rPr>
        <w:tab/>
        <w:t>(4)</w:t>
      </w:r>
      <w:r>
        <w:rPr>
          <w:snapToGrid w:val="0"/>
        </w:rPr>
        <w:tab/>
        <w:t>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25" w:name="_Toc377462712"/>
      <w:bookmarkStart w:id="26" w:name="_Toc421011586"/>
      <w:r>
        <w:rPr>
          <w:rStyle w:val="CharSectno"/>
        </w:rPr>
        <w:t>10</w:t>
      </w:r>
      <w:r>
        <w:rPr>
          <w:snapToGrid w:val="0"/>
        </w:rPr>
        <w:t>.</w:t>
      </w:r>
      <w:r>
        <w:rPr>
          <w:snapToGrid w:val="0"/>
        </w:rPr>
        <w:tab/>
        <w:t>Worker not to be employed during leave</w:t>
      </w:r>
      <w:bookmarkEnd w:id="25"/>
      <w:bookmarkEnd w:id="26"/>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Where pursuant to subregulation (2) an employer reclaims any payments made in respect of a period of long service leave it shall make an appropriate refund to the council of any municipality that has contributed towards those payments under regulation 9.</w:t>
      </w:r>
    </w:p>
    <w:p>
      <w:pPr>
        <w:pStyle w:val="Heading5"/>
        <w:rPr>
          <w:snapToGrid w:val="0"/>
        </w:rPr>
      </w:pPr>
      <w:bookmarkStart w:id="27" w:name="_Toc377462713"/>
      <w:bookmarkStart w:id="28" w:name="_Toc421011587"/>
      <w:r>
        <w:rPr>
          <w:rStyle w:val="CharSectno"/>
        </w:rPr>
        <w:t>11</w:t>
      </w:r>
      <w:r>
        <w:rPr>
          <w:snapToGrid w:val="0"/>
        </w:rPr>
        <w:t>.</w:t>
      </w:r>
      <w:r>
        <w:rPr>
          <w:snapToGrid w:val="0"/>
        </w:rPr>
        <w:tab/>
        <w:t>Records to be kept by employers</w:t>
      </w:r>
      <w:bookmarkEnd w:id="27"/>
      <w:bookmarkEnd w:id="28"/>
      <w:r>
        <w:rPr>
          <w:snapToGrid w:val="0"/>
        </w:rPr>
        <w:t xml:space="preserve"> </w:t>
      </w:r>
    </w:p>
    <w:p>
      <w:pPr>
        <w:pStyle w:val="Subsection"/>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29" w:name="_Toc377462714"/>
      <w:bookmarkStart w:id="30" w:name="_Toc421011588"/>
      <w:r>
        <w:rPr>
          <w:rStyle w:val="CharSectno"/>
        </w:rPr>
        <w:t>12</w:t>
      </w:r>
      <w:r>
        <w:rPr>
          <w:snapToGrid w:val="0"/>
        </w:rPr>
        <w:t>.</w:t>
      </w:r>
      <w:r>
        <w:rPr>
          <w:snapToGrid w:val="0"/>
        </w:rPr>
        <w:tab/>
        <w:t>Constitution of Board of Reference</w:t>
      </w:r>
      <w:bookmarkEnd w:id="29"/>
      <w:bookmarkEnd w:id="30"/>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vertAlign w:val="superscript"/>
        </w:rPr>
        <w:t xml:space="preserve"> 1</w:t>
      </w:r>
      <w:r>
        <w:rPr>
          <w:snapToGrid w:val="0"/>
        </w:rPr>
        <w:t xml:space="preserve"> 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r>
        <w:rPr>
          <w:snapToGrid w:val="0"/>
          <w:vertAlign w:val="superscript"/>
        </w:rPr>
        <w:t> 1</w:t>
      </w:r>
      <w:r>
        <w:rPr>
          <w:snapToGrid w:val="0"/>
        </w:rPr>
        <w:t>.</w:t>
      </w:r>
    </w:p>
    <w:p>
      <w:pPr>
        <w:pStyle w:val="Subsection"/>
        <w:rPr>
          <w:snapToGrid w:val="0"/>
        </w:rPr>
      </w:pPr>
      <w:r>
        <w:rPr>
          <w:snapToGrid w:val="0"/>
        </w:rPr>
        <w:tab/>
        <w:t>(3)</w:t>
      </w:r>
      <w:r>
        <w:rPr>
          <w:snapToGrid w:val="0"/>
        </w:rPr>
        <w:tab/>
        <w:t>The person appointed pursuant to subregulation (2)(b) shall only be a member the Board for the purposes of the determination of matters relating to persons who are or, at the relevant time, were officers within the meaning of the Act and the person appointed 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spacing w:before="120"/>
        <w:rPr>
          <w:snapToGrid w:val="0"/>
        </w:rPr>
      </w:pPr>
      <w:r>
        <w:rPr>
          <w:snapToGrid w:val="0"/>
        </w:rPr>
        <w:tab/>
        <w:t>(7)</w:t>
      </w:r>
      <w:r>
        <w:rPr>
          <w:snapToGrid w:val="0"/>
        </w:rPr>
        <w:tab/>
        <w:t>A person who is or has been a member or deputy member of the Board is not personally liable for anything done or omitted in good faith in, or in connection with, the exercise or purported 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31" w:name="_Toc377462715"/>
      <w:bookmarkStart w:id="32" w:name="_Toc421011589"/>
      <w:r>
        <w:rPr>
          <w:rStyle w:val="CharSectno"/>
        </w:rPr>
        <w:t>13</w:t>
      </w:r>
      <w:r>
        <w:rPr>
          <w:snapToGrid w:val="0"/>
        </w:rPr>
        <w:t>.</w:t>
      </w:r>
      <w:r>
        <w:rPr>
          <w:snapToGrid w:val="0"/>
        </w:rPr>
        <w:tab/>
        <w:t>Functions of Board</w:t>
      </w:r>
      <w:bookmarkEnd w:id="31"/>
      <w:bookmarkEnd w:id="32"/>
      <w:r>
        <w:rPr>
          <w:snapToGrid w:val="0"/>
        </w:rPr>
        <w:t xml:space="preserve"> </w:t>
      </w:r>
    </w:p>
    <w:p>
      <w:pPr>
        <w:pStyle w:val="Subsection"/>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33" w:name="_Toc377462716"/>
      <w:bookmarkStart w:id="34" w:name="_Toc421011590"/>
      <w:r>
        <w:rPr>
          <w:rStyle w:val="CharSectno"/>
        </w:rPr>
        <w:t>14</w:t>
      </w:r>
      <w:r>
        <w:rPr>
          <w:snapToGrid w:val="0"/>
        </w:rPr>
        <w:t>.</w:t>
      </w:r>
      <w:r>
        <w:rPr>
          <w:snapToGrid w:val="0"/>
        </w:rPr>
        <w:tab/>
        <w:t>Power to hold inquiries</w:t>
      </w:r>
      <w:bookmarkEnd w:id="33"/>
      <w:bookmarkEnd w:id="34"/>
      <w:r>
        <w:rPr>
          <w:snapToGrid w:val="0"/>
        </w:rPr>
        <w:t xml:space="preserve"> </w:t>
      </w:r>
    </w:p>
    <w:p>
      <w:pPr>
        <w:pStyle w:val="Subsection"/>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rPr>
          <w:snapToGrid w:val="0"/>
        </w:rPr>
      </w:pPr>
      <w:r>
        <w:rPr>
          <w:snapToGrid w:val="0"/>
        </w:rPr>
        <w:tab/>
        <w:t>(c)</w:t>
      </w:r>
      <w:r>
        <w:rPr>
          <w:snapToGrid w:val="0"/>
        </w:rPr>
        <w:tab/>
        <w:t>refuses to produce any document or record he is lawfully required to produce,</w:t>
      </w:r>
    </w:p>
    <w:p>
      <w:pPr>
        <w:pStyle w:val="Subsection"/>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35" w:name="_Toc377462717"/>
      <w:bookmarkStart w:id="36" w:name="_Toc421011591"/>
      <w:r>
        <w:rPr>
          <w:rStyle w:val="CharSectno"/>
        </w:rPr>
        <w:t>15</w:t>
      </w:r>
      <w:r>
        <w:rPr>
          <w:snapToGrid w:val="0"/>
        </w:rPr>
        <w:t>.</w:t>
      </w:r>
      <w:r>
        <w:rPr>
          <w:snapToGrid w:val="0"/>
        </w:rPr>
        <w:tab/>
        <w:t>Determination, notification and appeal</w:t>
      </w:r>
      <w:bookmarkEnd w:id="35"/>
      <w:bookmarkEnd w:id="36"/>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37" w:name="_Toc377462718"/>
      <w:bookmarkStart w:id="38" w:name="_Toc421011592"/>
      <w:r>
        <w:rPr>
          <w:rStyle w:val="CharSectno"/>
        </w:rPr>
        <w:t>16</w:t>
      </w:r>
      <w:r>
        <w:rPr>
          <w:snapToGrid w:val="0"/>
        </w:rPr>
        <w:t>.</w:t>
      </w:r>
      <w:r>
        <w:rPr>
          <w:snapToGrid w:val="0"/>
        </w:rPr>
        <w:tab/>
        <w:t>Enforcement</w:t>
      </w:r>
      <w:bookmarkEnd w:id="37"/>
      <w:bookmarkEnd w:id="38"/>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9" w:name="_Toc377462719"/>
      <w:bookmarkStart w:id="40" w:name="_Toc421011573"/>
      <w:bookmarkStart w:id="41" w:name="_Toc421011593"/>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(Long Service Leave) Regulations</w:t>
      </w:r>
      <w:r>
        <w:rPr>
          <w:snapToGrid w:val="0"/>
        </w:rPr>
        <w:t xml:space="preserve"> and includes the amendments made by the other written laws referred to in the following table.</w:t>
      </w:r>
    </w:p>
    <w:p>
      <w:pPr>
        <w:pStyle w:val="nHeading3"/>
        <w:rPr>
          <w:snapToGrid w:val="0"/>
        </w:rPr>
      </w:pPr>
      <w:bookmarkStart w:id="42" w:name="_Toc377462720"/>
      <w:bookmarkStart w:id="43" w:name="_Toc421011594"/>
      <w:r>
        <w:rPr>
          <w:snapToGrid w:val="0"/>
        </w:rPr>
        <w:t>Compilation table</w:t>
      </w:r>
      <w:bookmarkEnd w:id="42"/>
      <w:bookmarkEnd w:id="43"/>
    </w:p>
    <w:tbl>
      <w:tblPr>
        <w:tblW w:w="0" w:type="auto"/>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i/>
              </w:rPr>
            </w:pPr>
            <w:r>
              <w:rPr>
                <w:b/>
              </w:rPr>
              <w:t>Citation</w:t>
            </w:r>
          </w:p>
        </w:tc>
        <w:tc>
          <w:tcPr>
            <w:tcW w:w="1276" w:type="dxa"/>
            <w:tcBorders>
              <w:top w:val="single" w:sz="8" w:space="0" w:color="auto"/>
              <w:bottom w:val="single" w:sz="8" w:space="0" w:color="auto"/>
            </w:tcBorders>
          </w:tcPr>
          <w:p>
            <w:pPr>
              <w:pStyle w:val="nTable"/>
              <w:spacing w:before="60" w:after="60"/>
              <w:ind w:left="113"/>
              <w:rPr>
                <w:b/>
              </w:rPr>
            </w:pPr>
            <w:r>
              <w:rPr>
                <w:b/>
              </w:rPr>
              <w:t>Gazettal</w:t>
            </w:r>
          </w:p>
        </w:tc>
        <w:tc>
          <w:tcPr>
            <w:tcW w:w="2693" w:type="dxa"/>
            <w:tcBorders>
              <w:top w:val="single" w:sz="8" w:space="0" w:color="auto"/>
              <w:bottom w:val="single" w:sz="8" w:space="0" w:color="auto"/>
            </w:tcBorders>
          </w:tcPr>
          <w:p>
            <w:pPr>
              <w:pStyle w:val="nTable"/>
              <w:spacing w:before="60" w:after="60"/>
              <w:ind w:left="113"/>
              <w:rPr>
                <w:b/>
              </w:rPr>
            </w:pPr>
            <w:r>
              <w:rPr>
                <w:b/>
              </w:rPr>
              <w:t>Commencement</w:t>
            </w:r>
          </w:p>
        </w:tc>
      </w:tr>
      <w:tr>
        <w:trPr>
          <w:cantSplit/>
        </w:trPr>
        <w:tc>
          <w:tcPr>
            <w:tcW w:w="3119" w:type="dxa"/>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rPr>
          <w:cantSplit/>
        </w:trPr>
        <w:tc>
          <w:tcPr>
            <w:tcW w:w="3119" w:type="dxa"/>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rPr>
          <w:cantSplit/>
        </w:trPr>
        <w:tc>
          <w:tcPr>
            <w:tcW w:w="3119" w:type="dxa"/>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rPr>
          <w:cantSplit/>
        </w:trPr>
        <w:tc>
          <w:tcPr>
            <w:tcW w:w="3119" w:type="dxa"/>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rPr>
          <w:cantSplit/>
        </w:trPr>
        <w:tc>
          <w:tcPr>
            <w:tcW w:w="3119" w:type="dxa"/>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rPr>
          <w:cantSplit/>
        </w:trPr>
        <w:tc>
          <w:tcPr>
            <w:tcW w:w="3119" w:type="dxa"/>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rPr>
          <w:cantSplit/>
        </w:trPr>
        <w:tc>
          <w:tcPr>
            <w:tcW w:w="7088" w:type="dxa"/>
            <w:gridSpan w:val="3"/>
            <w:tcBorders>
              <w:bottom w:val="single" w:sz="4" w:space="0" w:color="auto"/>
            </w:tcBorders>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bl>
    <w:p>
      <w:pPr>
        <w:pStyle w:val="nSubsection"/>
      </w:pPr>
      <w:r>
        <w:rPr>
          <w:vertAlign w:val="superscript"/>
        </w:rPr>
        <w:t>2</w:t>
      </w:r>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5" w:name="_Toc421011595"/>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 in Court Session</w:t>
      </w:r>
      <w:r>
        <w:tab/>
        <w:t>2</w:t>
      </w:r>
    </w:p>
    <w:p>
      <w:pPr>
        <w:pStyle w:val="DefinedTerms"/>
      </w:pPr>
      <w:r>
        <w:t>cost</w:t>
      </w:r>
      <w:r>
        <w:tab/>
        <w:t>9(1)</w:t>
      </w:r>
    </w:p>
    <w:p>
      <w:pPr>
        <w:pStyle w:val="DefinedTerms"/>
      </w:pPr>
      <w:r>
        <w:t>effective date</w:t>
      </w:r>
      <w:r>
        <w:tab/>
        <w:t>2</w:t>
      </w:r>
    </w:p>
    <w:p>
      <w:pPr>
        <w:pStyle w:val="DefinedTerms"/>
      </w:pPr>
      <w:r>
        <w:t>employer</w:t>
      </w:r>
      <w:r>
        <w:tab/>
        <w:t>2</w:t>
      </w:r>
    </w:p>
    <w:p>
      <w:pPr>
        <w:pStyle w:val="DefinedTerms"/>
      </w:pPr>
      <w:r>
        <w:t>long service benefit</w:t>
      </w:r>
      <w:r>
        <w:tab/>
        <w:t>2</w:t>
      </w:r>
    </w:p>
    <w:p>
      <w:pPr>
        <w:pStyle w:val="DefinedTerms"/>
      </w:pPr>
      <w:r>
        <w:t>Minister</w:t>
      </w:r>
      <w:r>
        <w:tab/>
        <w:t>2</w:t>
      </w:r>
    </w:p>
    <w:p>
      <w:pPr>
        <w:pStyle w:val="DefinedTerms"/>
      </w:pPr>
      <w:r>
        <w:t>municipality</w:t>
      </w:r>
      <w:r>
        <w:tab/>
        <w:t>2</w:t>
      </w:r>
    </w:p>
    <w:p>
      <w:pPr>
        <w:pStyle w:val="DefinedTerms"/>
      </w:pPr>
      <w:r>
        <w:t>national service</w:t>
      </w:r>
      <w:r>
        <w:tab/>
        <w:t>2</w:t>
      </w:r>
    </w:p>
    <w:p>
      <w:pPr>
        <w:pStyle w:val="DefinedTerms"/>
      </w:pPr>
      <w:r>
        <w:t>Registrar</w:t>
      </w:r>
      <w:r>
        <w:tab/>
        <w:t>2</w:t>
      </w:r>
    </w:p>
    <w:p>
      <w:pPr>
        <w:pStyle w:val="DefinedTerms"/>
      </w:pPr>
      <w:r>
        <w:t>superseded long service benefits scheme</w:t>
      </w:r>
      <w:r>
        <w:tab/>
        <w:t>2</w:t>
      </w:r>
    </w:p>
    <w:p>
      <w:pPr>
        <w:pStyle w:val="DefinedTerms"/>
      </w:pPr>
      <w:r>
        <w:t>the Board</w:t>
      </w:r>
      <w:r>
        <w:tab/>
        <w:t>2</w:t>
      </w:r>
    </w:p>
    <w:p>
      <w:pPr>
        <w:pStyle w:val="DefinedTerms"/>
      </w:pPr>
      <w:r>
        <w:t>worker</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2001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2001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33"/>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4644</Words>
  <Characters>22202</Characters>
  <Application>Microsoft Office Word</Application>
  <DocSecurity>0</DocSecurity>
  <Lines>584</Lines>
  <Paragraphs>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- 01-a0-15</dc:title>
  <dc:subject/>
  <dc:creator/>
  <cp:keywords/>
  <dc:description/>
  <cp:lastModifiedBy>svcMRProcess</cp:lastModifiedBy>
  <cp:revision>4</cp:revision>
  <cp:lastPrinted>2001-06-19T03:35:00Z</cp:lastPrinted>
  <dcterms:created xsi:type="dcterms:W3CDTF">2020-02-25T07:52:00Z</dcterms:created>
  <dcterms:modified xsi:type="dcterms:W3CDTF">2020-02-25T07:52:00Z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CommencementDate">
    <vt:lpwstr>20010615</vt:lpwstr>
  </property>
  <property fmtid="{D5CDD505-2E9C-101B-9397-08002B2CF9AE}" pid="4" name="DocumentType">
    <vt:lpwstr>Reg</vt:lpwstr>
  </property>
  <property fmtid="{D5CDD505-2E9C-101B-9397-08002B2CF9AE}" pid="5" name="AsAtDate">
    <vt:lpwstr>15 Jun 2001</vt:lpwstr>
  </property>
  <property fmtid="{D5CDD505-2E9C-101B-9397-08002B2CF9AE}" pid="6" name="Suffix">
    <vt:lpwstr>01-a0-15</vt:lpwstr>
  </property>
</Properties>
</file>