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Long Service Leave Act 1958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Long Service Leave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Long Service Leave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_Toc421012160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_Toc421012161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rate for cash value of board and lodging</w:t>
      </w:r>
      <w:r>
        <w:tab/>
      </w:r>
      <w:r>
        <w:fldChar w:fldCharType="begin"/>
      </w:r>
      <w:r>
        <w:instrText xml:space="preserve"> PAGEREF _Toc421012162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_Toc421012164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Long Service Leave Act 1958</w:t>
      </w:r>
    </w:p>
    <w:p>
      <w:pPr>
        <w:pStyle w:val="NameofActReg"/>
      </w:pPr>
      <w:r>
        <w:t>Long Service Leave Regulations 1997</w:t>
      </w:r>
    </w:p>
    <w:p>
      <w:pPr>
        <w:pStyle w:val="Heading5"/>
        <w:rPr>
          <w:snapToGrid w:val="0"/>
        </w:rPr>
      </w:pPr>
      <w:bookmarkStart w:id="3" w:name="_Toc379207786"/>
      <w:bookmarkStart w:id="4" w:name="_Toc421012160"/>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Long Service Leave Regulations 1997</w:t>
      </w:r>
      <w:r>
        <w:rPr>
          <w:rFonts w:ascii="Times" w:hAnsi="Times"/>
          <w:snapToGrid w:val="0"/>
          <w:vertAlign w:val="superscript"/>
        </w:rPr>
        <w:t> 1</w:t>
      </w:r>
      <w:r>
        <w:rPr>
          <w:snapToGrid w:val="0"/>
        </w:rPr>
        <w:t>.</w:t>
      </w:r>
    </w:p>
    <w:p>
      <w:pPr>
        <w:pStyle w:val="Heading5"/>
        <w:rPr>
          <w:snapToGrid w:val="0"/>
        </w:rPr>
      </w:pPr>
      <w:bookmarkStart w:id="5" w:name="_Toc379207787"/>
      <w:bookmarkStart w:id="6" w:name="_Toc42101216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21st day after the day on which they are published in the </w:t>
      </w:r>
      <w:r>
        <w:rPr>
          <w:i/>
          <w:snapToGrid w:val="0"/>
        </w:rPr>
        <w:t>Gazette</w:t>
      </w:r>
      <w:r>
        <w:rPr>
          <w:rFonts w:ascii="Times" w:hAnsi="Times"/>
          <w:snapToGrid w:val="0"/>
          <w:vertAlign w:val="superscript"/>
        </w:rPr>
        <w:t> 1</w:t>
      </w:r>
      <w:r>
        <w:rPr>
          <w:snapToGrid w:val="0"/>
        </w:rPr>
        <w:t>.</w:t>
      </w:r>
    </w:p>
    <w:p>
      <w:pPr>
        <w:pStyle w:val="Heading5"/>
        <w:rPr>
          <w:snapToGrid w:val="0"/>
        </w:rPr>
      </w:pPr>
      <w:bookmarkStart w:id="7" w:name="_Toc379207788"/>
      <w:bookmarkStart w:id="8" w:name="_Toc421012162"/>
      <w:r>
        <w:rPr>
          <w:rStyle w:val="CharSectno"/>
        </w:rPr>
        <w:t>3</w:t>
      </w:r>
      <w:r>
        <w:rPr>
          <w:snapToGrid w:val="0"/>
        </w:rPr>
        <w:t>.</w:t>
      </w:r>
      <w:r>
        <w:rPr>
          <w:snapToGrid w:val="0"/>
        </w:rPr>
        <w:tab/>
        <w:t>Prescribed rate for cash value of board and lodging</w:t>
      </w:r>
      <w:bookmarkEnd w:id="7"/>
      <w:bookmarkEnd w:id="8"/>
      <w:r>
        <w:rPr>
          <w:snapToGrid w:val="0"/>
        </w:rPr>
        <w:t xml:space="preserve"> </w:t>
      </w:r>
    </w:p>
    <w:p>
      <w:pPr>
        <w:pStyle w:val="Subsection"/>
        <w:rPr>
          <w:snapToGrid w:val="0"/>
        </w:rPr>
      </w:pPr>
      <w:r>
        <w:rPr>
          <w:snapToGrid w:val="0"/>
        </w:rPr>
        <w:tab/>
        <w:t>(1)</w:t>
      </w:r>
      <w:r>
        <w:rPr>
          <w:snapToGrid w:val="0"/>
        </w:rPr>
        <w:tab/>
        <w:t>For the purpose of section 4(2)(d) of the Act, the prescribed rate for the cash value of board provided for an employee is $77.21 per week or, if full board is not provided, an amount calculated on a pro rata basis.</w:t>
      </w:r>
    </w:p>
    <w:p>
      <w:pPr>
        <w:pStyle w:val="Subsection"/>
        <w:rPr>
          <w:snapToGrid w:val="0"/>
        </w:rPr>
      </w:pPr>
      <w:r>
        <w:rPr>
          <w:snapToGrid w:val="0"/>
        </w:rPr>
        <w:tab/>
        <w:t>(2)</w:t>
      </w:r>
      <w:r>
        <w:rPr>
          <w:snapToGrid w:val="0"/>
        </w:rPr>
        <w:tab/>
        <w:t>For the purpose of section 4(2)(d) of the Act, the prescribed rate for the cash value of lodging provided for an employee is $19.30 per week or, if full lodging is not provided, an amount calculated on a pro rata basis.</w:t>
      </w:r>
    </w:p>
    <w:p>
      <w:pPr>
        <w:pStyle w:val="Subsection"/>
        <w:keepNext/>
        <w:keepLines/>
        <w:rPr>
          <w:snapToGrid w:val="0"/>
        </w:rPr>
      </w:pPr>
      <w:r>
        <w:rPr>
          <w:snapToGrid w:val="0"/>
        </w:rPr>
        <w:tab/>
        <w:t>(3)</w:t>
      </w:r>
      <w:r>
        <w:rPr>
          <w:snapToGrid w:val="0"/>
        </w:rPr>
        <w:tab/>
        <w:t>For the purpose of section 4(2)(d) of the Act, where both board and lodging are provided for an employee the prescribed rate for the cash value of the board and lodging is the sum of the amounts provided in or calculated under subregulations (1) and (2).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 w:name="_Toc379207789"/>
      <w:bookmarkStart w:id="10" w:name="_Toc421012111"/>
      <w:bookmarkStart w:id="11" w:name="_Toc421012163"/>
      <w:r>
        <w:t>Notes</w:t>
      </w:r>
      <w:bookmarkEnd w:id="9"/>
      <w:bookmarkEnd w:id="10"/>
      <w:bookmarkEnd w:id="11"/>
    </w:p>
    <w:p>
      <w:pPr>
        <w:pStyle w:val="nSubsection"/>
        <w:rPr>
          <w:snapToGrid w:val="0"/>
        </w:rPr>
      </w:pPr>
      <w:r>
        <w:rPr>
          <w:snapToGrid w:val="0"/>
          <w:vertAlign w:val="superscript"/>
        </w:rPr>
        <w:t>1</w:t>
      </w:r>
      <w:r>
        <w:rPr>
          <w:snapToGrid w:val="0"/>
        </w:rPr>
        <w:tab/>
        <w:t xml:space="preserve">This is a reprint as at 7 May 2004 of the </w:t>
      </w:r>
      <w:r>
        <w:rPr>
          <w:i/>
          <w:noProof/>
          <w:snapToGrid w:val="0"/>
        </w:rPr>
        <w:t>Long Service Leave Regulations 1997</w:t>
      </w:r>
      <w:r>
        <w:rPr>
          <w:snapToGrid w:val="0"/>
        </w:rPr>
        <w:t xml:space="preserve">.  The following table contains information about those regulations and any reprint. </w:t>
      </w:r>
    </w:p>
    <w:p>
      <w:pPr>
        <w:pStyle w:val="nHeading3"/>
        <w:rPr>
          <w:snapToGrid w:val="0"/>
        </w:rPr>
      </w:pPr>
      <w:bookmarkStart w:id="12" w:name="_Toc379207790"/>
      <w:bookmarkStart w:id="13" w:name="_Toc421012164"/>
      <w:r>
        <w:rPr>
          <w:snapToGrid w:val="0"/>
        </w:rPr>
        <w:t>Compilation table</w:t>
      </w:r>
      <w:bookmarkEnd w:id="12"/>
      <w:bookmarkEnd w:id="1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Long Service Leave Regulations 1997</w:t>
            </w:r>
          </w:p>
        </w:tc>
        <w:tc>
          <w:tcPr>
            <w:tcW w:w="1276" w:type="dxa"/>
            <w:tcBorders>
              <w:top w:val="single" w:sz="8" w:space="0" w:color="auto"/>
            </w:tcBorders>
          </w:tcPr>
          <w:p>
            <w:pPr>
              <w:pStyle w:val="nTable"/>
              <w:spacing w:after="40"/>
            </w:pPr>
            <w:r>
              <w:t>9 Jan 1998 p. 211</w:t>
            </w:r>
            <w:r>
              <w:noBreakHyphen/>
              <w:t>12</w:t>
            </w:r>
          </w:p>
        </w:tc>
        <w:tc>
          <w:tcPr>
            <w:tcW w:w="2693" w:type="dxa"/>
            <w:tcBorders>
              <w:top w:val="single" w:sz="8" w:space="0" w:color="auto"/>
            </w:tcBorders>
          </w:tcPr>
          <w:p>
            <w:pPr>
              <w:pStyle w:val="nTable"/>
              <w:spacing w:after="40"/>
            </w:pPr>
            <w:r>
              <w:t>30 Jan 1998 (see r. 2)</w:t>
            </w:r>
          </w:p>
        </w:tc>
      </w:tr>
      <w:tr>
        <w:trPr>
          <w:cantSplit/>
        </w:trPr>
        <w:tc>
          <w:tcPr>
            <w:tcW w:w="7087" w:type="dxa"/>
            <w:gridSpan w:val="3"/>
            <w:tcBorders>
              <w:bottom w:val="single" w:sz="4" w:space="0" w:color="auto"/>
            </w:tcBorders>
          </w:tcPr>
          <w:p>
            <w:pPr>
              <w:pStyle w:val="nTable"/>
              <w:spacing w:after="40"/>
              <w:rPr>
                <w:b/>
              </w:rPr>
            </w:pPr>
            <w:r>
              <w:rPr>
                <w:b/>
              </w:rPr>
              <w:t xml:space="preserve">Reprint 1: The </w:t>
            </w:r>
            <w:r>
              <w:rPr>
                <w:b/>
                <w:i/>
              </w:rPr>
              <w:t>Long Service Leave Regulations 1997</w:t>
            </w:r>
            <w:r>
              <w:rPr>
                <w:b/>
              </w:rPr>
              <w:t xml:space="preserve"> as at 7 May 2004</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E217C4"/>
    <w:lvl w:ilvl="0">
      <w:start w:val="1"/>
      <w:numFmt w:val="decimal"/>
      <w:lvlText w:val="%1."/>
      <w:lvlJc w:val="left"/>
      <w:pPr>
        <w:tabs>
          <w:tab w:val="num" w:pos="1492"/>
        </w:tabs>
        <w:ind w:left="1492" w:hanging="360"/>
      </w:pPr>
    </w:lvl>
  </w:abstractNum>
  <w:abstractNum w:abstractNumId="1">
    <w:nsid w:val="FFFFFF7D"/>
    <w:multiLevelType w:val="singleLevel"/>
    <w:tmpl w:val="3B1C0A90"/>
    <w:lvl w:ilvl="0">
      <w:start w:val="1"/>
      <w:numFmt w:val="decimal"/>
      <w:lvlText w:val="%1."/>
      <w:lvlJc w:val="left"/>
      <w:pPr>
        <w:tabs>
          <w:tab w:val="num" w:pos="1209"/>
        </w:tabs>
        <w:ind w:left="1209" w:hanging="360"/>
      </w:pPr>
    </w:lvl>
  </w:abstractNum>
  <w:abstractNum w:abstractNumId="2">
    <w:nsid w:val="FFFFFF7E"/>
    <w:multiLevelType w:val="singleLevel"/>
    <w:tmpl w:val="176E3150"/>
    <w:lvl w:ilvl="0">
      <w:start w:val="1"/>
      <w:numFmt w:val="decimal"/>
      <w:lvlText w:val="%1."/>
      <w:lvlJc w:val="left"/>
      <w:pPr>
        <w:tabs>
          <w:tab w:val="num" w:pos="926"/>
        </w:tabs>
        <w:ind w:left="926" w:hanging="360"/>
      </w:pPr>
    </w:lvl>
  </w:abstractNum>
  <w:abstractNum w:abstractNumId="3">
    <w:nsid w:val="FFFFFF7F"/>
    <w:multiLevelType w:val="singleLevel"/>
    <w:tmpl w:val="C854BF4A"/>
    <w:lvl w:ilvl="0">
      <w:start w:val="1"/>
      <w:numFmt w:val="decimal"/>
      <w:lvlText w:val="%1."/>
      <w:lvlJc w:val="left"/>
      <w:pPr>
        <w:tabs>
          <w:tab w:val="num" w:pos="643"/>
        </w:tabs>
        <w:ind w:left="643" w:hanging="360"/>
      </w:pPr>
    </w:lvl>
  </w:abstractNum>
  <w:abstractNum w:abstractNumId="4">
    <w:nsid w:val="FFFFFF80"/>
    <w:multiLevelType w:val="singleLevel"/>
    <w:tmpl w:val="BD18E2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683C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061C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FAED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3450E4"/>
    <w:lvl w:ilvl="0">
      <w:start w:val="1"/>
      <w:numFmt w:val="decimal"/>
      <w:lvlText w:val="%1."/>
      <w:lvlJc w:val="left"/>
      <w:pPr>
        <w:tabs>
          <w:tab w:val="num" w:pos="360"/>
        </w:tabs>
        <w:ind w:left="360" w:hanging="360"/>
      </w:pPr>
    </w:lvl>
  </w:abstractNum>
  <w:abstractNum w:abstractNumId="9">
    <w:nsid w:val="FFFFFF89"/>
    <w:multiLevelType w:val="singleLevel"/>
    <w:tmpl w:val="67A80C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F64404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836"/>
    <w:docVar w:name="WAFER_20140203160836" w:val="RemoveTocBookmarks,RemoveUnusedBookmarks,RemoveLanguageTags,UsedStyles,ResetPageSize,UpdateArrangement"/>
    <w:docVar w:name="WAFER_20140203160836_GUID" w:val="02efbc06-c345-4b7e-9402-f7604f38ec23"/>
    <w:docVar w:name="WAFER_20140203161454" w:val="RemoveTocBookmarks,RunningHeaders"/>
    <w:docVar w:name="WAFER_20140203161454_GUID" w:val="50863b3b-85c3-4664-8270-8ef19faeb64e"/>
    <w:docVar w:name="WAFER_20150602111729" w:val="ResetPageSize,UpdateArrangement,UpdateNTable"/>
    <w:docVar w:name="WAFER_20150602111729_GUID" w:val="d39594a9-219b-4a74-9283-80dff629610d"/>
    <w:docVar w:name="WAFER_20151106100836" w:val="UpdateStyles,UsedStyles"/>
    <w:docVar w:name="WAFER_20151106100836_GUID" w:val="d4c45966-a065-4393-80c1-ade3087088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393</Words>
  <Characters>1853</Characters>
  <Application>Microsoft Office Word</Application>
  <DocSecurity>0</DocSecurity>
  <Lines>71</Lines>
  <Paragraphs>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2195</CharactersWithSpaces>
  <SharedDoc>false</SharedDoc>
  <HLinks>
    <vt:vector size="12" baseType="variant">
      <vt:variant>
        <vt:i4>65542</vt:i4>
      </vt:variant>
      <vt:variant>
        <vt:i4>1702</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Regulations 1997 - 01-a0-08</dc:title>
  <dc:subject/>
  <dc:creator/>
  <cp:keywords/>
  <dc:description/>
  <cp:lastModifiedBy>svcMRProcess</cp:lastModifiedBy>
  <cp:revision>4</cp:revision>
  <cp:lastPrinted>2004-04-13T07:23:00Z</cp:lastPrinted>
  <dcterms:created xsi:type="dcterms:W3CDTF">2019-01-18T02:52:00Z</dcterms:created>
  <dcterms:modified xsi:type="dcterms:W3CDTF">2019-01-18T02:52:00Z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January 1998 pp.211-12</vt:lpwstr>
  </property>
  <property fmtid="{D5CDD505-2E9C-101B-9397-08002B2CF9AE}" pid="3" name="CommencementDate">
    <vt:lpwstr>20040507</vt:lpwstr>
  </property>
  <property fmtid="{D5CDD505-2E9C-101B-9397-08002B2CF9AE}" pid="4" name="DocumentType">
    <vt:lpwstr>Reg</vt:lpwstr>
  </property>
  <property fmtid="{D5CDD505-2E9C-101B-9397-08002B2CF9AE}" pid="5" name="OwlsUID">
    <vt:i4>142</vt:i4>
  </property>
  <property fmtid="{D5CDD505-2E9C-101B-9397-08002B2CF9AE}" pid="6" name="AsAtDate">
    <vt:lpwstr>07 May 2004</vt:lpwstr>
  </property>
  <property fmtid="{D5CDD505-2E9C-101B-9397-08002B2CF9AE}" pid="7" name="Suffix">
    <vt:lpwstr>01-a0-08</vt:lpwstr>
  </property>
</Properties>
</file>