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Looma Community Inc.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Looma Community Inc.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_Toc421012021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_Toc421012022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_Toc421012023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_Toc421012025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_Toc421012026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_Toc421012027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_Toc421012029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_Toc421012030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_Toc421012031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alcohol</w:t>
      </w:r>
    </w:p>
    <w:p>
      <w:pPr>
        <w:pStyle w:val="TOC8"/>
        <w:rPr>
          <w:rFonts w:asciiTheme="minorHAnsi" w:eastAsiaTheme="minorEastAsia" w:hAnsiTheme="minorHAnsi" w:cstheme="minorBidi"/>
          <w:szCs w:val="22"/>
        </w:rPr>
      </w:pPr>
      <w:r>
        <w:t>10</w:t>
      </w:r>
      <w:r>
        <w:rPr>
          <w:snapToGrid w:val="0"/>
        </w:rPr>
        <w:t>.</w:t>
      </w:r>
      <w:r>
        <w:rPr>
          <w:snapToGrid w:val="0"/>
        </w:rPr>
        <w:tab/>
        <w:t>Prohibition of alcohol on community land</w:t>
      </w:r>
      <w:r>
        <w:tab/>
      </w:r>
      <w:r>
        <w:fldChar w:fldCharType="begin"/>
      </w:r>
      <w:r>
        <w:instrText xml:space="preserve"> PAGEREF _Toc421012033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other matters</w:t>
      </w:r>
    </w:p>
    <w:p>
      <w:pPr>
        <w:pStyle w:val="TOC8"/>
        <w:rPr>
          <w:rFonts w:asciiTheme="minorHAnsi" w:eastAsiaTheme="minorEastAsia" w:hAnsiTheme="minorHAnsi" w:cstheme="minorBidi"/>
          <w:szCs w:val="22"/>
        </w:rPr>
      </w:pPr>
      <w:r>
        <w:t>11</w:t>
      </w:r>
      <w:r>
        <w:rPr>
          <w:snapToGrid w:val="0"/>
        </w:rPr>
        <w:t>.</w:t>
      </w:r>
      <w:r>
        <w:rPr>
          <w:snapToGrid w:val="0"/>
        </w:rPr>
        <w:tab/>
        <w:t>Wilful damage</w:t>
      </w:r>
      <w:r>
        <w:tab/>
      </w:r>
      <w:r>
        <w:fldChar w:fldCharType="begin"/>
      </w:r>
      <w:r>
        <w:instrText xml:space="preserve"> PAGEREF _Toc421012035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Litter</w:t>
      </w:r>
      <w:r>
        <w:tab/>
      </w:r>
      <w:r>
        <w:fldChar w:fldCharType="begin"/>
      </w:r>
      <w:r>
        <w:instrText xml:space="preserve"> PAGEREF _Toc421012036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_Toc421012037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Disruption of meetings</w:t>
      </w:r>
      <w:r>
        <w:tab/>
      </w:r>
      <w:r>
        <w:fldChar w:fldCharType="begin"/>
      </w:r>
      <w:r>
        <w:instrText xml:space="preserve"> PAGEREF _Toc421012038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Fires</w:t>
      </w:r>
      <w:r>
        <w:tab/>
      </w:r>
      <w:r>
        <w:fldChar w:fldCharType="begin"/>
      </w:r>
      <w:r>
        <w:instrText xml:space="preserve"> PAGEREF _Toc421012039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 and wardens</w:t>
      </w:r>
      <w:r>
        <w:tab/>
      </w:r>
      <w:r>
        <w:fldChar w:fldCharType="begin"/>
      </w:r>
      <w:r>
        <w:instrText xml:space="preserve"> PAGEREF _Toc421012041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_Toc421012042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Offences</w:t>
      </w:r>
      <w:r>
        <w:tab/>
      </w:r>
      <w:r>
        <w:fldChar w:fldCharType="begin"/>
      </w:r>
      <w:r>
        <w:instrText xml:space="preserve"> PAGEREF _Toc421012043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Fine</w:t>
      </w:r>
      <w:r>
        <w:tab/>
      </w:r>
      <w:r>
        <w:fldChar w:fldCharType="begin"/>
      </w:r>
      <w:r>
        <w:instrText xml:space="preserve"> PAGEREF _Toc421012044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Restitution</w:t>
      </w:r>
      <w:r>
        <w:tab/>
      </w:r>
      <w:r>
        <w:fldChar w:fldCharType="begin"/>
      </w:r>
      <w:r>
        <w:instrText xml:space="preserve"> PAGEREF _Toc421012045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of acting under custom</w:t>
      </w:r>
      <w:r>
        <w:tab/>
      </w:r>
      <w:r>
        <w:fldChar w:fldCharType="begin"/>
      </w:r>
      <w:r>
        <w:instrText xml:space="preserve"> PAGEREF _Toc421012046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_Toc421012048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spacing w:before="360" w:after="480"/>
      </w:pPr>
      <w:r>
        <w:t>Looma Community Inc. By</w:t>
      </w:r>
      <w:r>
        <w:noBreakHyphen/>
        <w:t>laws</w:t>
      </w:r>
    </w:p>
    <w:p>
      <w:pPr>
        <w:pStyle w:val="Heading2"/>
        <w:pageBreakBefore w:val="0"/>
      </w:pPr>
      <w:bookmarkStart w:id="3" w:name="_Toc379207715"/>
      <w:bookmarkStart w:id="4" w:name="_Toc421011968"/>
      <w:bookmarkStart w:id="5" w:name="_Toc42101202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07716"/>
      <w:bookmarkStart w:id="7" w:name="_Toc42101202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Looma Community Inc. By</w:t>
      </w:r>
      <w:r>
        <w:rPr>
          <w:i/>
          <w:snapToGrid w:val="0"/>
        </w:rPr>
        <w:noBreakHyphen/>
        <w:t>laws</w:t>
      </w:r>
      <w:r>
        <w:rPr>
          <w:rFonts w:ascii="Times" w:hAnsi="Times"/>
          <w:iCs/>
          <w:snapToGrid w:val="0"/>
          <w:vertAlign w:val="superscript"/>
        </w:rPr>
        <w:t> 1</w:t>
      </w:r>
      <w:r>
        <w:rPr>
          <w:snapToGrid w:val="0"/>
        </w:rPr>
        <w:t>.</w:t>
      </w:r>
    </w:p>
    <w:p>
      <w:pPr>
        <w:pStyle w:val="Heading5"/>
        <w:rPr>
          <w:snapToGrid w:val="0"/>
        </w:rPr>
      </w:pPr>
      <w:bookmarkStart w:id="8" w:name="_Toc379207717"/>
      <w:bookmarkStart w:id="9" w:name="_Toc42101202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rFonts w:ascii="Times" w:hAnsi="Times"/>
          <w:iCs/>
          <w:snapToGrid w:val="0"/>
          <w:vertAlign w:val="superscript"/>
        </w:rPr>
        <w:t> 1</w:t>
      </w:r>
      <w:r>
        <w:rPr>
          <w:snapToGrid w:val="0"/>
        </w:rPr>
        <w:t>.</w:t>
      </w:r>
    </w:p>
    <w:p>
      <w:pPr>
        <w:pStyle w:val="Heading5"/>
        <w:spacing w:before="120"/>
        <w:rPr>
          <w:snapToGrid w:val="0"/>
        </w:rPr>
      </w:pPr>
      <w:bookmarkStart w:id="10" w:name="_Toc379207718"/>
      <w:bookmarkStart w:id="11" w:name="_Toc421012023"/>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community</w:t>
      </w:r>
      <w:r>
        <w:t xml:space="preserve"> means the Looma Community Inc.;</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Council</w:t>
      </w:r>
      <w:r>
        <w:t xml:space="preserve"> means the council of the Looma Community Inc.;</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vehicle</w:t>
      </w:r>
      <w:r>
        <w:t xml:space="preserve"> has the same meaning as it has under the </w:t>
      </w:r>
      <w:r>
        <w:rPr>
          <w:i/>
        </w:rPr>
        <w:t>Road Traffic Act 1974</w:t>
      </w:r>
      <w:r>
        <w:t>.</w:t>
      </w:r>
    </w:p>
    <w:p>
      <w:pPr>
        <w:pStyle w:val="Heading2"/>
      </w:pPr>
      <w:bookmarkStart w:id="12" w:name="_Toc379207719"/>
      <w:bookmarkStart w:id="13" w:name="_Toc421011972"/>
      <w:bookmarkStart w:id="14" w:name="_Toc421012024"/>
      <w:r>
        <w:rPr>
          <w:rStyle w:val="CharPartNo"/>
        </w:rPr>
        <w:t>Part 2</w:t>
      </w:r>
      <w:r>
        <w:rPr>
          <w:rStyle w:val="CharDivNo"/>
        </w:rPr>
        <w:t> </w:t>
      </w:r>
      <w:r>
        <w:t>—</w:t>
      </w:r>
      <w:r>
        <w:rPr>
          <w:rStyle w:val="CharDivText"/>
        </w:rPr>
        <w:t> </w:t>
      </w:r>
      <w:r>
        <w:rPr>
          <w:rStyle w:val="CharPartText"/>
        </w:rPr>
        <w:t>Community land</w:t>
      </w:r>
      <w:bookmarkEnd w:id="12"/>
      <w:bookmarkEnd w:id="13"/>
      <w:bookmarkEnd w:id="14"/>
      <w:r>
        <w:rPr>
          <w:rStyle w:val="CharPartText"/>
        </w:rPr>
        <w:t xml:space="preserve"> </w:t>
      </w:r>
    </w:p>
    <w:p>
      <w:pPr>
        <w:pStyle w:val="Heading5"/>
        <w:rPr>
          <w:snapToGrid w:val="0"/>
        </w:rPr>
      </w:pPr>
      <w:bookmarkStart w:id="15" w:name="_Toc379207720"/>
      <w:bookmarkStart w:id="16" w:name="_Toc421012025"/>
      <w:r>
        <w:rPr>
          <w:rStyle w:val="CharSectno"/>
        </w:rPr>
        <w:t>4</w:t>
      </w:r>
      <w:r>
        <w:rPr>
          <w:snapToGrid w:val="0"/>
        </w:rPr>
        <w:t>.</w:t>
      </w:r>
      <w:r>
        <w:rPr>
          <w:snapToGrid w:val="0"/>
        </w:rPr>
        <w:tab/>
        <w:t>Permission required to enter and remain on community land</w:t>
      </w:r>
      <w:bookmarkEnd w:id="15"/>
      <w:bookmarkEnd w:id="16"/>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permission of the Council.</w:t>
      </w:r>
    </w:p>
    <w:p>
      <w:pPr>
        <w:pStyle w:val="Subsection"/>
        <w:rPr>
          <w:snapToGrid w:val="0"/>
        </w:rPr>
      </w:pPr>
      <w:r>
        <w:rPr>
          <w:snapToGrid w:val="0"/>
        </w:rPr>
        <w:tab/>
        <w:t>(2)</w:t>
      </w:r>
      <w:r>
        <w:rPr>
          <w:snapToGrid w:val="0"/>
        </w:rPr>
        <w:tab/>
        <w:t xml:space="preserve">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w:t>
      </w:r>
      <w:r>
        <w:rPr>
          <w:snapToGrid w:val="0"/>
        </w:rPr>
        <w:noBreakHyphen/>
        <w:t>law to any person as the Council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 xml:space="preserve">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17" w:name="_Toc379207721"/>
      <w:bookmarkStart w:id="18" w:name="_Toc421012026"/>
      <w:r>
        <w:rPr>
          <w:rStyle w:val="CharSectno"/>
        </w:rPr>
        <w:t>5</w:t>
      </w:r>
      <w:r>
        <w:rPr>
          <w:snapToGrid w:val="0"/>
        </w:rPr>
        <w:t>.</w:t>
      </w:r>
      <w:r>
        <w:rPr>
          <w:snapToGrid w:val="0"/>
        </w:rPr>
        <w:tab/>
        <w:t>Restriction of entry into areas</w:t>
      </w:r>
      <w:bookmarkEnd w:id="17"/>
      <w:bookmarkEnd w:id="18"/>
      <w:r>
        <w:rPr>
          <w:snapToGrid w:val="0"/>
        </w:rPr>
        <w:t xml:space="preserve"> </w:t>
      </w:r>
    </w:p>
    <w:p>
      <w:pPr>
        <w:pStyle w:val="Subsection"/>
        <w:rPr>
          <w:snapToGrid w:val="0"/>
        </w:rPr>
      </w:pPr>
      <w:r>
        <w:rPr>
          <w:snapToGrid w:val="0"/>
        </w:rPr>
        <w:tab/>
        <w:t>(1)</w:t>
      </w:r>
      <w:r>
        <w:rPr>
          <w:snapToGrid w:val="0"/>
        </w:rPr>
        <w:tab/>
        <w:t>Subject to the provision of any Act or regulation to the contrary, the Council may place signs on community land for the purpose of prohibiting entry to the part of the land on which the sign is placed or to such part of the community land indicated by the inscription on the sign.</w:t>
      </w:r>
    </w:p>
    <w:p>
      <w:pPr>
        <w:pStyle w:val="Subsection"/>
        <w:rPr>
          <w:snapToGrid w:val="0"/>
        </w:rPr>
      </w:pPr>
      <w:r>
        <w:rPr>
          <w:snapToGrid w:val="0"/>
        </w:rPr>
        <w:tab/>
        <w:t>(2)</w:t>
      </w:r>
      <w:r>
        <w:rPr>
          <w:snapToGrid w:val="0"/>
        </w:rPr>
        <w:tab/>
        <w:t>An inscription on such a sign operates and has effect according to its tenor.</w:t>
      </w:r>
    </w:p>
    <w:p>
      <w:pPr>
        <w:pStyle w:val="Subsection"/>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19" w:name="_Toc379207722"/>
      <w:bookmarkStart w:id="20" w:name="_Toc421012027"/>
      <w:r>
        <w:rPr>
          <w:rStyle w:val="CharSectno"/>
        </w:rPr>
        <w:t>6</w:t>
      </w:r>
      <w:r>
        <w:rPr>
          <w:snapToGrid w:val="0"/>
        </w:rPr>
        <w:t>.</w:t>
      </w:r>
      <w:r>
        <w:rPr>
          <w:snapToGrid w:val="0"/>
        </w:rPr>
        <w:tab/>
        <w:t>Homes</w:t>
      </w:r>
      <w:bookmarkEnd w:id="19"/>
      <w:bookmarkEnd w:id="20"/>
      <w:r>
        <w:rPr>
          <w:snapToGrid w:val="0"/>
        </w:rPr>
        <w:t xml:space="preserve"> </w:t>
      </w:r>
    </w:p>
    <w:p>
      <w:pPr>
        <w:pStyle w:val="Subsection"/>
        <w:rPr>
          <w:snapToGrid w:val="0"/>
        </w:rPr>
      </w:pPr>
      <w:r>
        <w:rPr>
          <w:snapToGrid w:val="0"/>
        </w:rPr>
        <w:tab/>
        <w:t>(1)</w:t>
      </w:r>
      <w:r>
        <w:rPr>
          <w:snapToGrid w:val="0"/>
        </w:rPr>
        <w:tab/>
        <w:t>A person shall not enter the home of another person without obtaining the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21" w:name="_Toc379207723"/>
      <w:bookmarkStart w:id="22" w:name="_Toc421011976"/>
      <w:bookmarkStart w:id="23" w:name="_Toc421012028"/>
      <w:r>
        <w:rPr>
          <w:rStyle w:val="CharPartNo"/>
        </w:rPr>
        <w:t>Part 3</w:t>
      </w:r>
      <w:r>
        <w:rPr>
          <w:rStyle w:val="CharDivNo"/>
        </w:rPr>
        <w:t> </w:t>
      </w:r>
      <w:r>
        <w:t>—</w:t>
      </w:r>
      <w:r>
        <w:rPr>
          <w:rStyle w:val="CharDivText"/>
        </w:rPr>
        <w:t> </w:t>
      </w:r>
      <w:r>
        <w:rPr>
          <w:rStyle w:val="CharPartText"/>
        </w:rPr>
        <w:t>Traffic</w:t>
      </w:r>
      <w:bookmarkEnd w:id="21"/>
      <w:bookmarkEnd w:id="22"/>
      <w:bookmarkEnd w:id="23"/>
      <w:r>
        <w:rPr>
          <w:rStyle w:val="CharPartText"/>
        </w:rPr>
        <w:t xml:space="preserve"> </w:t>
      </w:r>
    </w:p>
    <w:p>
      <w:pPr>
        <w:pStyle w:val="Heading5"/>
        <w:rPr>
          <w:snapToGrid w:val="0"/>
        </w:rPr>
      </w:pPr>
      <w:bookmarkStart w:id="24" w:name="_Toc379207724"/>
      <w:bookmarkStart w:id="25" w:name="_Toc421012029"/>
      <w:r>
        <w:rPr>
          <w:rStyle w:val="CharSectno"/>
        </w:rPr>
        <w:t>7</w:t>
      </w:r>
      <w:r>
        <w:rPr>
          <w:snapToGrid w:val="0"/>
        </w:rPr>
        <w:t>.</w:t>
      </w:r>
      <w:r>
        <w:rPr>
          <w:snapToGrid w:val="0"/>
        </w:rPr>
        <w:tab/>
        <w:t>Traffic signs</w:t>
      </w:r>
      <w:bookmarkEnd w:id="24"/>
      <w:bookmarkEnd w:id="25"/>
      <w:r>
        <w:rPr>
          <w:snapToGrid w:val="0"/>
        </w:rPr>
        <w:t xml:space="preserve"> </w:t>
      </w:r>
    </w:p>
    <w:p>
      <w:pPr>
        <w:pStyle w:val="Subsection"/>
        <w:rPr>
          <w:snapToGrid w:val="0"/>
        </w:rPr>
      </w:pPr>
      <w:r>
        <w:rPr>
          <w:snapToGrid w:val="0"/>
        </w:rPr>
        <w:tab/>
        <w:t>(1)</w:t>
      </w:r>
      <w:r>
        <w:rPr>
          <w:snapToGrid w:val="0"/>
        </w:rPr>
        <w:tab/>
        <w:t xml:space="preserve">The Council may cause signs called </w:t>
      </w:r>
      <w:r>
        <w:rPr>
          <w:b/>
          <w:bCs/>
          <w:snapToGrid w:val="0"/>
        </w:rPr>
        <w:t>“traffic signs”</w:t>
      </w:r>
      <w:r>
        <w:rPr>
          <w:snapToGrid w:val="0"/>
        </w:rPr>
        <w:t xml:space="preserve">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26" w:name="_Toc379207725"/>
      <w:bookmarkStart w:id="27" w:name="_Toc421012030"/>
      <w:r>
        <w:rPr>
          <w:rStyle w:val="CharSectno"/>
        </w:rPr>
        <w:t>8</w:t>
      </w:r>
      <w:r>
        <w:rPr>
          <w:snapToGrid w:val="0"/>
        </w:rPr>
        <w:t>.</w:t>
      </w:r>
      <w:r>
        <w:rPr>
          <w:snapToGrid w:val="0"/>
        </w:rPr>
        <w:tab/>
        <w:t>Careless and dangerous driving</w:t>
      </w:r>
      <w:bookmarkEnd w:id="26"/>
      <w:bookmarkEnd w:id="27"/>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any person.</w:t>
      </w:r>
    </w:p>
    <w:p>
      <w:pPr>
        <w:pStyle w:val="Heading5"/>
        <w:rPr>
          <w:snapToGrid w:val="0"/>
        </w:rPr>
      </w:pPr>
      <w:bookmarkStart w:id="28" w:name="_Toc379207726"/>
      <w:bookmarkStart w:id="29" w:name="_Toc421012031"/>
      <w:r>
        <w:rPr>
          <w:rStyle w:val="CharSectno"/>
        </w:rPr>
        <w:t>9</w:t>
      </w:r>
      <w:r>
        <w:rPr>
          <w:snapToGrid w:val="0"/>
        </w:rPr>
        <w:t>.</w:t>
      </w:r>
      <w:r>
        <w:rPr>
          <w:snapToGrid w:val="0"/>
        </w:rPr>
        <w:tab/>
        <w:t>Areas prohibited to vehicles</w:t>
      </w:r>
      <w:bookmarkEnd w:id="28"/>
      <w:bookmarkEnd w:id="29"/>
      <w:r>
        <w:rPr>
          <w:snapToGrid w:val="0"/>
        </w:rPr>
        <w:t xml:space="preserve"> </w:t>
      </w:r>
    </w:p>
    <w:p>
      <w:pPr>
        <w:pStyle w:val="Subsection"/>
        <w:rPr>
          <w:snapToGrid w:val="0"/>
        </w:rPr>
      </w:pPr>
      <w:r>
        <w:rPr>
          <w:snapToGrid w:val="0"/>
        </w:rPr>
        <w:tab/>
        <w:t>(1)</w:t>
      </w:r>
      <w:r>
        <w:rPr>
          <w:snapToGrid w:val="0"/>
        </w:rPr>
        <w:tab/>
        <w:t>The Council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Council under this by</w:t>
      </w:r>
      <w:r>
        <w:rPr>
          <w:snapToGrid w:val="0"/>
        </w:rPr>
        <w:noBreakHyphen/>
        <w:t>law commits an offence.</w:t>
      </w:r>
    </w:p>
    <w:p>
      <w:pPr>
        <w:pStyle w:val="Heading2"/>
      </w:pPr>
      <w:bookmarkStart w:id="30" w:name="_Toc379207727"/>
      <w:bookmarkStart w:id="31" w:name="_Toc421011980"/>
      <w:bookmarkStart w:id="32" w:name="_Toc421012032"/>
      <w:r>
        <w:rPr>
          <w:rStyle w:val="CharPartNo"/>
        </w:rPr>
        <w:t>Part 4</w:t>
      </w:r>
      <w:r>
        <w:rPr>
          <w:rStyle w:val="CharDivNo"/>
        </w:rPr>
        <w:t> </w:t>
      </w:r>
      <w:r>
        <w:t>—</w:t>
      </w:r>
      <w:r>
        <w:rPr>
          <w:rStyle w:val="CharDivText"/>
        </w:rPr>
        <w:t> </w:t>
      </w:r>
      <w:r>
        <w:rPr>
          <w:rStyle w:val="CharPartText"/>
        </w:rPr>
        <w:t>Offences relating to alcohol</w:t>
      </w:r>
      <w:bookmarkEnd w:id="30"/>
      <w:bookmarkEnd w:id="31"/>
      <w:bookmarkEnd w:id="32"/>
      <w:r>
        <w:rPr>
          <w:rStyle w:val="CharPartText"/>
        </w:rPr>
        <w:t xml:space="preserve"> </w:t>
      </w:r>
    </w:p>
    <w:p>
      <w:pPr>
        <w:pStyle w:val="Heading5"/>
        <w:rPr>
          <w:snapToGrid w:val="0"/>
        </w:rPr>
      </w:pPr>
      <w:bookmarkStart w:id="33" w:name="_Toc379207728"/>
      <w:bookmarkStart w:id="34" w:name="_Toc421012033"/>
      <w:r>
        <w:rPr>
          <w:rStyle w:val="CharSectno"/>
        </w:rPr>
        <w:t>10</w:t>
      </w:r>
      <w:r>
        <w:rPr>
          <w:snapToGrid w:val="0"/>
        </w:rPr>
        <w:t>.</w:t>
      </w:r>
      <w:r>
        <w:rPr>
          <w:snapToGrid w:val="0"/>
        </w:rPr>
        <w:tab/>
        <w:t>Prohibition of alcohol on community land</w:t>
      </w:r>
      <w:bookmarkEnd w:id="33"/>
      <w:bookmarkEnd w:id="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assists another person to bring alcohol onto community land;</w:t>
      </w:r>
    </w:p>
    <w:p>
      <w:pPr>
        <w:pStyle w:val="Indenta"/>
        <w:rPr>
          <w:snapToGrid w:val="0"/>
        </w:rPr>
      </w:pPr>
      <w:r>
        <w:rPr>
          <w:snapToGrid w:val="0"/>
        </w:rPr>
        <w:tab/>
        <w:t>(3)</w:t>
      </w:r>
      <w:r>
        <w:rPr>
          <w:snapToGrid w:val="0"/>
        </w:rPr>
        <w:tab/>
        <w:t>is in possession of alcohol on community land;</w:t>
      </w:r>
    </w:p>
    <w:p>
      <w:pPr>
        <w:pStyle w:val="Indenta"/>
        <w:rPr>
          <w:snapToGrid w:val="0"/>
        </w:rPr>
      </w:pPr>
      <w:r>
        <w:rPr>
          <w:snapToGrid w:val="0"/>
        </w:rPr>
        <w:tab/>
        <w:t>(4)</w:t>
      </w:r>
      <w:r>
        <w:rPr>
          <w:snapToGrid w:val="0"/>
        </w:rPr>
        <w:tab/>
        <w:t>sells or supplies alcohol to another person on community land; or</w:t>
      </w:r>
    </w:p>
    <w:p>
      <w:pPr>
        <w:pStyle w:val="Indenta"/>
        <w:rPr>
          <w:snapToGrid w:val="0"/>
        </w:rPr>
      </w:pPr>
      <w:r>
        <w:rPr>
          <w:snapToGrid w:val="0"/>
        </w:rPr>
        <w:tab/>
        <w:t>(5)</w:t>
      </w:r>
      <w:r>
        <w:rPr>
          <w:snapToGrid w:val="0"/>
        </w:rPr>
        <w:tab/>
        <w:t>enters community land in a drunken condition;</w:t>
      </w:r>
    </w:p>
    <w:p>
      <w:pPr>
        <w:pStyle w:val="Subsection"/>
        <w:rPr>
          <w:snapToGrid w:val="0"/>
        </w:rPr>
      </w:pPr>
      <w:r>
        <w:rPr>
          <w:snapToGrid w:val="0"/>
        </w:rPr>
        <w:tab/>
      </w:r>
      <w:r>
        <w:rPr>
          <w:snapToGrid w:val="0"/>
        </w:rPr>
        <w:tab/>
        <w:t>commits an offence.</w:t>
      </w:r>
    </w:p>
    <w:p>
      <w:pPr>
        <w:pStyle w:val="Heading2"/>
      </w:pPr>
      <w:bookmarkStart w:id="35" w:name="_Toc379207729"/>
      <w:bookmarkStart w:id="36" w:name="_Toc421011982"/>
      <w:bookmarkStart w:id="37" w:name="_Toc421012034"/>
      <w:r>
        <w:rPr>
          <w:rStyle w:val="CharPartNo"/>
        </w:rPr>
        <w:t>Part 5</w:t>
      </w:r>
      <w:r>
        <w:rPr>
          <w:rStyle w:val="CharDivNo"/>
        </w:rPr>
        <w:t> </w:t>
      </w:r>
      <w:r>
        <w:t>—</w:t>
      </w:r>
      <w:r>
        <w:rPr>
          <w:rStyle w:val="CharDivText"/>
        </w:rPr>
        <w:t> </w:t>
      </w:r>
      <w:r>
        <w:rPr>
          <w:rStyle w:val="CharPartText"/>
        </w:rPr>
        <w:t>Regulation of other matters</w:t>
      </w:r>
      <w:bookmarkEnd w:id="35"/>
      <w:bookmarkEnd w:id="36"/>
      <w:bookmarkEnd w:id="37"/>
      <w:r>
        <w:rPr>
          <w:rStyle w:val="CharPartText"/>
        </w:rPr>
        <w:t xml:space="preserve"> </w:t>
      </w:r>
    </w:p>
    <w:p>
      <w:pPr>
        <w:pStyle w:val="Heading5"/>
        <w:rPr>
          <w:snapToGrid w:val="0"/>
        </w:rPr>
      </w:pPr>
      <w:bookmarkStart w:id="38" w:name="_Toc379207730"/>
      <w:bookmarkStart w:id="39" w:name="_Toc421012035"/>
      <w:r>
        <w:rPr>
          <w:rStyle w:val="CharSectno"/>
        </w:rPr>
        <w:t>11</w:t>
      </w:r>
      <w:r>
        <w:rPr>
          <w:snapToGrid w:val="0"/>
        </w:rPr>
        <w:t>.</w:t>
      </w:r>
      <w:r>
        <w:rPr>
          <w:snapToGrid w:val="0"/>
        </w:rPr>
        <w:tab/>
        <w:t>Wilful damage</w:t>
      </w:r>
      <w:bookmarkEnd w:id="38"/>
      <w:bookmarkEnd w:id="39"/>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40" w:name="_Toc379207731"/>
      <w:bookmarkStart w:id="41" w:name="_Toc421012036"/>
      <w:r>
        <w:rPr>
          <w:rStyle w:val="CharSectno"/>
        </w:rPr>
        <w:t>12</w:t>
      </w:r>
      <w:r>
        <w:rPr>
          <w:snapToGrid w:val="0"/>
        </w:rPr>
        <w:t>.</w:t>
      </w:r>
      <w:r>
        <w:rPr>
          <w:snapToGrid w:val="0"/>
        </w:rPr>
        <w:tab/>
        <w:t>Litter</w:t>
      </w:r>
      <w:bookmarkEnd w:id="40"/>
      <w:bookmarkEnd w:id="41"/>
      <w:r>
        <w:rPr>
          <w:snapToGrid w:val="0"/>
        </w:rPr>
        <w:t xml:space="preserve"> </w:t>
      </w:r>
    </w:p>
    <w:p>
      <w:pPr>
        <w:pStyle w:val="Subsection"/>
        <w:rPr>
          <w:snapToGrid w:val="0"/>
        </w:rPr>
      </w:pPr>
      <w:r>
        <w:rPr>
          <w:snapToGrid w:val="0"/>
        </w:rPr>
        <w:tab/>
      </w:r>
      <w:r>
        <w:rPr>
          <w:snapToGrid w:val="0"/>
        </w:rPr>
        <w:tab/>
        <w:t xml:space="preserve">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42" w:name="_Toc379207732"/>
      <w:bookmarkStart w:id="43" w:name="_Toc421012037"/>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44" w:name="_Toc379207733"/>
      <w:bookmarkStart w:id="45" w:name="_Toc421012038"/>
      <w:r>
        <w:rPr>
          <w:rStyle w:val="CharSectno"/>
        </w:rPr>
        <w:t>14</w:t>
      </w:r>
      <w:r>
        <w:rPr>
          <w:snapToGrid w:val="0"/>
        </w:rPr>
        <w:t>.</w:t>
      </w:r>
      <w:r>
        <w:rPr>
          <w:snapToGrid w:val="0"/>
        </w:rPr>
        <w:tab/>
        <w:t>Disruption of meetings</w:t>
      </w:r>
      <w:bookmarkEnd w:id="44"/>
      <w:bookmarkEnd w:id="45"/>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5"/>
        <w:rPr>
          <w:snapToGrid w:val="0"/>
        </w:rPr>
      </w:pPr>
      <w:bookmarkStart w:id="46" w:name="_Toc379207734"/>
      <w:bookmarkStart w:id="47" w:name="_Toc421012039"/>
      <w:r>
        <w:rPr>
          <w:rStyle w:val="CharSectno"/>
        </w:rPr>
        <w:t>15</w:t>
      </w:r>
      <w:r>
        <w:rPr>
          <w:snapToGrid w:val="0"/>
        </w:rPr>
        <w:t>.</w:t>
      </w:r>
      <w:r>
        <w:rPr>
          <w:snapToGrid w:val="0"/>
        </w:rPr>
        <w:tab/>
        <w:t>Fires</w:t>
      </w:r>
      <w:bookmarkEnd w:id="46"/>
      <w:bookmarkEnd w:id="47"/>
      <w:r>
        <w:rPr>
          <w:snapToGrid w:val="0"/>
        </w:rPr>
        <w:t xml:space="preserve"> </w:t>
      </w:r>
    </w:p>
    <w:p>
      <w:pPr>
        <w:pStyle w:val="Subsection"/>
        <w:rPr>
          <w:snapToGrid w:val="0"/>
        </w:rPr>
      </w:pPr>
      <w:r>
        <w:rPr>
          <w:snapToGrid w:val="0"/>
        </w:rPr>
        <w:tab/>
        <w:t>(1)</w:t>
      </w:r>
      <w:r>
        <w:rPr>
          <w:snapToGrid w:val="0"/>
        </w:rPr>
        <w:tab/>
        <w:t>A person shall not kindle, light, make or use a fire other than in a place set aside by the Council for that purpose without the permission of the Council.</w:t>
      </w:r>
    </w:p>
    <w:p>
      <w:pPr>
        <w:pStyle w:val="Subsection"/>
        <w:rPr>
          <w:snapToGrid w:val="0"/>
        </w:rPr>
      </w:pPr>
      <w:r>
        <w:rPr>
          <w:snapToGrid w:val="0"/>
        </w:rPr>
        <w:tab/>
        <w:t>(2)</w:t>
      </w:r>
      <w:r>
        <w:rPr>
          <w:snapToGrid w:val="0"/>
        </w:rPr>
        <w:tab/>
        <w:t>This by</w:t>
      </w:r>
      <w:r>
        <w:rPr>
          <w:snapToGrid w:val="0"/>
        </w:rPr>
        <w:noBreakHyphen/>
        <w:t>law does not apply to a fire for cooking or heating purposes in a fireplace in a home or used in conjunction with a home.</w:t>
      </w:r>
    </w:p>
    <w:p>
      <w:pPr>
        <w:pStyle w:val="Subsection"/>
        <w:rPr>
          <w:snapToGrid w:val="0"/>
        </w:rPr>
      </w:pPr>
      <w:r>
        <w:rPr>
          <w:snapToGrid w:val="0"/>
        </w:rPr>
        <w:tab/>
        <w:t>(3)</w:t>
      </w:r>
      <w:r>
        <w:rPr>
          <w:snapToGrid w:val="0"/>
        </w:rPr>
        <w:tab/>
        <w:t>This by</w:t>
      </w:r>
      <w:r>
        <w:rPr>
          <w:snapToGrid w:val="0"/>
        </w:rPr>
        <w:noBreakHyphen/>
        <w:t xml:space="preserve">law does not authorise a person to light a fire in an open fireplace in contravention of the </w:t>
      </w:r>
      <w:r>
        <w:rPr>
          <w:i/>
          <w:snapToGrid w:val="0"/>
        </w:rPr>
        <w:t>Bush Fires Act 1954</w:t>
      </w:r>
      <w:r>
        <w:rPr>
          <w:snapToGrid w:val="0"/>
        </w:rPr>
        <w:t>.</w:t>
      </w:r>
    </w:p>
    <w:p>
      <w:pPr>
        <w:pStyle w:val="Heading2"/>
      </w:pPr>
      <w:bookmarkStart w:id="48" w:name="_Toc379207735"/>
      <w:bookmarkStart w:id="49" w:name="_Toc421011988"/>
      <w:bookmarkStart w:id="50" w:name="_Toc421012040"/>
      <w:r>
        <w:rPr>
          <w:rStyle w:val="CharPartNo"/>
        </w:rPr>
        <w:t>Part 6</w:t>
      </w:r>
      <w:r>
        <w:rPr>
          <w:rStyle w:val="CharDivNo"/>
        </w:rPr>
        <w:t> </w:t>
      </w:r>
      <w:r>
        <w:t>—</w:t>
      </w:r>
      <w:r>
        <w:rPr>
          <w:rStyle w:val="CharDivText"/>
        </w:rPr>
        <w:t> </w:t>
      </w:r>
      <w:r>
        <w:rPr>
          <w:rStyle w:val="CharPartText"/>
        </w:rPr>
        <w:t>Enforcement and proceedings</w:t>
      </w:r>
      <w:bookmarkEnd w:id="48"/>
      <w:bookmarkEnd w:id="49"/>
      <w:bookmarkEnd w:id="50"/>
      <w:r>
        <w:rPr>
          <w:rStyle w:val="CharPartText"/>
        </w:rPr>
        <w:t xml:space="preserve"> </w:t>
      </w:r>
    </w:p>
    <w:p>
      <w:pPr>
        <w:pStyle w:val="Heading5"/>
        <w:rPr>
          <w:snapToGrid w:val="0"/>
        </w:rPr>
      </w:pPr>
      <w:bookmarkStart w:id="51" w:name="_Toc379207736"/>
      <w:bookmarkStart w:id="52" w:name="_Toc421012041"/>
      <w:r>
        <w:rPr>
          <w:rStyle w:val="CharSectno"/>
        </w:rPr>
        <w:t>16</w:t>
      </w:r>
      <w:r>
        <w:rPr>
          <w:snapToGrid w:val="0"/>
        </w:rPr>
        <w:t>.</w:t>
      </w:r>
      <w:r>
        <w:rPr>
          <w:snapToGrid w:val="0"/>
        </w:rPr>
        <w:tab/>
        <w:t>Powers of police and wardens</w:t>
      </w:r>
      <w:bookmarkEnd w:id="51"/>
      <w:bookmarkEnd w:id="52"/>
      <w:r>
        <w:rPr>
          <w:snapToGrid w:val="0"/>
        </w:rPr>
        <w:t xml:space="preserve"> </w:t>
      </w:r>
    </w:p>
    <w:p>
      <w:pPr>
        <w:pStyle w:val="Subsection"/>
        <w:rPr>
          <w:snapToGrid w:val="0"/>
        </w:rPr>
      </w:pPr>
      <w:r>
        <w:rPr>
          <w:snapToGrid w:val="0"/>
        </w:rPr>
        <w:tab/>
        <w:t>(1)</w:t>
      </w:r>
      <w:r>
        <w:rPr>
          <w:snapToGrid w:val="0"/>
        </w:rPr>
        <w:tab/>
        <w:t>Any alcohol brought onto community land by any person contrary to by-law 10 shall be liable to confiscation.</w:t>
      </w:r>
    </w:p>
    <w:p>
      <w:pPr>
        <w:pStyle w:val="Subsection"/>
        <w:rPr>
          <w:snapToGrid w:val="0"/>
        </w:rPr>
      </w:pPr>
      <w:r>
        <w:rPr>
          <w:snapToGrid w:val="0"/>
        </w:rPr>
        <w:tab/>
        <w:t>(2)</w:t>
      </w:r>
      <w:r>
        <w:rPr>
          <w:snapToGrid w:val="0"/>
        </w:rPr>
        <w:tab/>
        <w:t xml:space="preserve">A member of the Police Force may — </w:t>
      </w:r>
    </w:p>
    <w:p>
      <w:pPr>
        <w:pStyle w:val="Indenta"/>
        <w:rPr>
          <w:snapToGrid w:val="0"/>
        </w:rPr>
      </w:pPr>
      <w:r>
        <w:rPr>
          <w:snapToGrid w:val="0"/>
        </w:rPr>
        <w:tab/>
        <w:t>(a)</w:t>
      </w:r>
      <w:r>
        <w:rPr>
          <w:snapToGrid w:val="0"/>
        </w:rPr>
        <w:tab/>
        <w:t>seize any alcohol and any receptacle containing such alcohol that he reasonably suspects to be liable to confiscation under these by</w:t>
      </w:r>
      <w:r>
        <w:rPr>
          <w:snapToGrid w:val="0"/>
        </w:rPr>
        <w:noBreakHyphen/>
        <w:t>laws;</w:t>
      </w:r>
    </w:p>
    <w:p>
      <w:pPr>
        <w:pStyle w:val="Indenta"/>
        <w:rPr>
          <w:snapToGrid w:val="0"/>
        </w:rPr>
      </w:pPr>
      <w:r>
        <w:rPr>
          <w:snapToGrid w:val="0"/>
        </w:rPr>
        <w:tab/>
        <w:t>(b)</w:t>
      </w:r>
      <w:r>
        <w:rPr>
          <w:snapToGrid w:val="0"/>
        </w:rPr>
        <w:tab/>
        <w:t>if he reasonably suspects that alcohol is in any vehicle in breach of these by</w:t>
      </w:r>
      <w:r>
        <w:rPr>
          <w:snapToGrid w:val="0"/>
        </w:rPr>
        <w:noBreakHyphen/>
        <w:t>laws, enter and search that vehicle using such force as is reasonably necessary for the purpose;</w:t>
      </w:r>
    </w:p>
    <w:p>
      <w:pPr>
        <w:pStyle w:val="Indenta"/>
        <w:rPr>
          <w:snapToGrid w:val="0"/>
        </w:rPr>
      </w:pPr>
      <w:r>
        <w:rPr>
          <w:snapToGrid w:val="0"/>
        </w:rPr>
        <w:tab/>
        <w:t>(c)</w:t>
      </w:r>
      <w:r>
        <w:rPr>
          <w:snapToGrid w:val="0"/>
        </w:rPr>
        <w:tab/>
        <w:t>stop any vehicle for the purpose of carrying out a search in pursuance of sub</w:t>
      </w:r>
      <w:r>
        <w:rPr>
          <w:snapToGrid w:val="0"/>
        </w:rPr>
        <w:noBreakHyphen/>
        <w:t>paragraph (b);</w:t>
      </w:r>
    </w:p>
    <w:p>
      <w:pPr>
        <w:pStyle w:val="Indenta"/>
        <w:rPr>
          <w:snapToGrid w:val="0"/>
        </w:rPr>
      </w:pPr>
      <w:r>
        <w:rPr>
          <w:snapToGrid w:val="0"/>
        </w:rPr>
        <w:tab/>
        <w:t>(d)</w:t>
      </w:r>
      <w:r>
        <w:rPr>
          <w:snapToGrid w:val="0"/>
        </w:rPr>
        <w:tab/>
        <w:t>upon confiscating any alcohol, dispose of the contents of any receptacle containing such alcohol, if he is of the opinion that such action is necessary or conducive to the preservation of good order on the community land or the prevention of any offence under these by</w:t>
      </w:r>
      <w:r>
        <w:rPr>
          <w:snapToGrid w:val="0"/>
        </w:rPr>
        <w:noBreakHyphen/>
        <w:t>laws or under any law of the State of Western Australia;</w:t>
      </w:r>
    </w:p>
    <w:p>
      <w:pPr>
        <w:pStyle w:val="Indenta"/>
        <w:rPr>
          <w:snapToGrid w:val="0"/>
        </w:rPr>
      </w:pPr>
      <w:r>
        <w:rPr>
          <w:snapToGrid w:val="0"/>
        </w:rPr>
        <w:tab/>
        <w:t>(e)</w:t>
      </w:r>
      <w:r>
        <w:rPr>
          <w:snapToGrid w:val="0"/>
        </w:rPr>
        <w:tab/>
        <w:t>subject to sub</w:t>
      </w:r>
      <w:r>
        <w:rPr>
          <w:snapToGrid w:val="0"/>
        </w:rPr>
        <w:noBreakHyphen/>
        <w:t>paragraph (d) keep any confiscated alcohol in his custody or control for such period of time as is necessary in the interests of justice.</w:t>
      </w:r>
    </w:p>
    <w:p>
      <w:pPr>
        <w:pStyle w:val="Subsection"/>
        <w:rPr>
          <w:snapToGrid w:val="0"/>
        </w:rPr>
      </w:pPr>
      <w:r>
        <w:rPr>
          <w:snapToGrid w:val="0"/>
        </w:rPr>
        <w:tab/>
        <w:t>(3)</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24 hours and in any event that person shall be returned to community land if a Court is convened to deal with him according to law.</w:t>
      </w:r>
    </w:p>
    <w:p>
      <w:pPr>
        <w:pStyle w:val="Subsection"/>
        <w:rPr>
          <w:snapToGrid w:val="0"/>
        </w:rPr>
      </w:pPr>
      <w:r>
        <w:rPr>
          <w:snapToGrid w:val="0"/>
        </w:rPr>
        <w:tab/>
        <w:t>(4)</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(5)</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(6)</w:t>
      </w:r>
      <w:r>
        <w:rPr>
          <w:snapToGrid w:val="0"/>
        </w:rPr>
        <w:tab/>
        <w:t>A member of the Police Force may take proceedings against any person for any breach of a by</w:t>
      </w:r>
      <w:r>
        <w:rPr>
          <w:snapToGrid w:val="0"/>
        </w:rPr>
        <w:noBreakHyphen/>
        <w:t>law.</w:t>
      </w:r>
    </w:p>
    <w:p>
      <w:pPr>
        <w:pStyle w:val="Heading5"/>
        <w:rPr>
          <w:snapToGrid w:val="0"/>
        </w:rPr>
      </w:pPr>
      <w:bookmarkStart w:id="53" w:name="_Toc379207737"/>
      <w:bookmarkStart w:id="54" w:name="_Toc421012042"/>
      <w:r>
        <w:rPr>
          <w:rStyle w:val="CharSectno"/>
        </w:rPr>
        <w:t>17</w:t>
      </w:r>
      <w:r>
        <w:rPr>
          <w:snapToGrid w:val="0"/>
        </w:rPr>
        <w:t>.</w:t>
      </w:r>
      <w:r>
        <w:rPr>
          <w:snapToGrid w:val="0"/>
        </w:rPr>
        <w:tab/>
        <w:t>Procedure</w:t>
      </w:r>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xml:space="preserve"> proceedings for an offence against a by</w:t>
      </w:r>
      <w:r>
        <w:rPr>
          <w:snapToGrid w:val="0"/>
        </w:rPr>
        <w:noBreakHyphen/>
        <w:t>law shall be commenced by way of complaint</w:t>
      </w:r>
      <w:r>
        <w:rPr>
          <w:iCs/>
          <w:snapToGrid w:val="0"/>
          <w:vertAlign w:val="superscript"/>
        </w:rPr>
        <w:t> 2</w:t>
      </w:r>
      <w:r>
        <w:rPr>
          <w:snapToGrid w:val="0"/>
        </w:rPr>
        <w:t xml:space="preserve"> and summons under and in accordance with the </w:t>
      </w:r>
      <w:r>
        <w:rPr>
          <w:i/>
          <w:snapToGrid w:val="0"/>
        </w:rPr>
        <w:t>Justices Act 1902</w:t>
      </w:r>
      <w:r>
        <w:rPr>
          <w:iCs/>
          <w:snapToGrid w:val="0"/>
          <w:vertAlign w:val="superscript"/>
        </w:rPr>
        <w:t> 3</w:t>
      </w:r>
      <w:r>
        <w:rPr>
          <w:snapToGrid w:val="0"/>
        </w:rPr>
        <w:t xml:space="preserve"> and shall be commenced within 6 months after the offence was committed.</w:t>
      </w:r>
    </w:p>
    <w:p>
      <w:pPr>
        <w:pStyle w:val="Heading5"/>
        <w:rPr>
          <w:snapToGrid w:val="0"/>
        </w:rPr>
      </w:pPr>
      <w:bookmarkStart w:id="55" w:name="_Toc379207738"/>
      <w:bookmarkStart w:id="56" w:name="_Toc421012043"/>
      <w:r>
        <w:rPr>
          <w:rStyle w:val="CharSectno"/>
        </w:rPr>
        <w:t>18</w:t>
      </w:r>
      <w:r>
        <w:rPr>
          <w:snapToGrid w:val="0"/>
        </w:rPr>
        <w:t>.</w:t>
      </w:r>
      <w:r>
        <w:rPr>
          <w:snapToGrid w:val="0"/>
        </w:rPr>
        <w:tab/>
        <w:t>Offences</w:t>
      </w:r>
      <w:bookmarkEnd w:id="55"/>
      <w:bookmarkEnd w:id="56"/>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15 commits an offence.</w:t>
      </w:r>
    </w:p>
    <w:p>
      <w:pPr>
        <w:pStyle w:val="Heading5"/>
        <w:rPr>
          <w:snapToGrid w:val="0"/>
        </w:rPr>
      </w:pPr>
      <w:bookmarkStart w:id="57" w:name="_Toc379207739"/>
      <w:bookmarkStart w:id="58" w:name="_Toc421012044"/>
      <w:r>
        <w:rPr>
          <w:rStyle w:val="CharSectno"/>
        </w:rPr>
        <w:t>19</w:t>
      </w:r>
      <w:r>
        <w:rPr>
          <w:snapToGrid w:val="0"/>
        </w:rPr>
        <w:t>.</w:t>
      </w:r>
      <w:r>
        <w:rPr>
          <w:snapToGrid w:val="0"/>
        </w:rPr>
        <w:tab/>
        <w:t>Fine</w:t>
      </w:r>
      <w:bookmarkEnd w:id="57"/>
      <w:bookmarkEnd w:id="58"/>
    </w:p>
    <w:p>
      <w:pPr>
        <w:pStyle w:val="Subsection"/>
      </w:pPr>
      <w:r>
        <w:tab/>
      </w:r>
      <w:r>
        <w:tab/>
        <w:t>A person who is convicted of an offence against a by</w:t>
      </w:r>
      <w:r>
        <w:noBreakHyphen/>
        <w:t>law is liable to a fine of $100.</w:t>
      </w:r>
    </w:p>
    <w:p>
      <w:pPr>
        <w:pStyle w:val="Footnotesection"/>
      </w:pPr>
      <w:r>
        <w:tab/>
        <w:t>[By-law 19 inserted: Gazette 14 May 2004 p. 1455.]</w:t>
      </w:r>
    </w:p>
    <w:p>
      <w:pPr>
        <w:pStyle w:val="Heading5"/>
        <w:rPr>
          <w:snapToGrid w:val="0"/>
        </w:rPr>
      </w:pPr>
      <w:bookmarkStart w:id="59" w:name="_Toc379207740"/>
      <w:bookmarkStart w:id="60" w:name="_Toc421012045"/>
      <w:r>
        <w:rPr>
          <w:rStyle w:val="CharSectno"/>
        </w:rPr>
        <w:t>20</w:t>
      </w:r>
      <w:r>
        <w:rPr>
          <w:snapToGrid w:val="0"/>
        </w:rPr>
        <w:t>.</w:t>
      </w:r>
      <w:r>
        <w:rPr>
          <w:snapToGrid w:val="0"/>
        </w:rPr>
        <w:tab/>
        <w:t>Restitution</w:t>
      </w:r>
      <w:bookmarkEnd w:id="59"/>
      <w:bookmarkEnd w:id="60"/>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20 amended: Gazette 14 May 2004 p. 1455.]</w:t>
      </w:r>
    </w:p>
    <w:p>
      <w:pPr>
        <w:pStyle w:val="Heading5"/>
        <w:rPr>
          <w:snapToGrid w:val="0"/>
        </w:rPr>
      </w:pPr>
      <w:bookmarkStart w:id="61" w:name="_Toc379207741"/>
      <w:bookmarkStart w:id="62" w:name="_Toc421012046"/>
      <w:r>
        <w:rPr>
          <w:rStyle w:val="CharSectno"/>
        </w:rPr>
        <w:t>22</w:t>
      </w:r>
      <w:r>
        <w:rPr>
          <w:snapToGrid w:val="0"/>
        </w:rPr>
        <w:t>.</w:t>
      </w:r>
      <w:r>
        <w:rPr>
          <w:snapToGrid w:val="0"/>
        </w:rPr>
        <w:tab/>
        <w:t>Defence of acting under custom</w:t>
      </w:r>
      <w:bookmarkEnd w:id="61"/>
      <w:bookmarkEnd w:id="62"/>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9207742"/>
      <w:bookmarkStart w:id="64" w:name="_Toc421011995"/>
      <w:bookmarkStart w:id="65" w:name="_Toc421012047"/>
      <w:r>
        <w:t>Notes</w:t>
      </w:r>
      <w:bookmarkEnd w:id="63"/>
      <w:bookmarkEnd w:id="64"/>
      <w:bookmarkEnd w:id="65"/>
    </w:p>
    <w:p>
      <w:pPr>
        <w:pStyle w:val="nSubsection"/>
        <w:rPr>
          <w:snapToGrid w:val="0"/>
        </w:rPr>
      </w:pPr>
      <w:r>
        <w:rPr>
          <w:snapToGrid w:val="0"/>
          <w:vertAlign w:val="superscript"/>
        </w:rPr>
        <w:t>1</w:t>
      </w:r>
      <w:r>
        <w:rPr>
          <w:snapToGrid w:val="0"/>
        </w:rPr>
        <w:tab/>
        <w:t xml:space="preserve">This reprint is a compilation as at 8 July 2005 of the </w:t>
      </w:r>
      <w:r>
        <w:rPr>
          <w:i/>
          <w:noProof/>
          <w:snapToGrid w:val="0"/>
        </w:rPr>
        <w:t>Looma Community Inc. By</w:t>
      </w:r>
      <w:r>
        <w:rPr>
          <w:i/>
          <w:noProof/>
          <w:snapToGrid w:val="0"/>
        </w:rPr>
        <w:noBreakHyphen/>
        <w:t>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379207743"/>
      <w:bookmarkStart w:id="67" w:name="_Toc421012048"/>
      <w:r>
        <w:rPr>
          <w:snapToGrid w:val="0"/>
        </w:rPr>
        <w:t>Compilation table</w:t>
      </w:r>
      <w:bookmarkEnd w:id="66"/>
      <w:bookmarkEnd w:id="6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Looma Community Inc. By</w:t>
            </w:r>
            <w:r>
              <w:rPr>
                <w:i/>
              </w:rPr>
              <w:noBreakHyphen/>
              <w:t>laws</w:t>
            </w:r>
          </w:p>
        </w:tc>
        <w:tc>
          <w:tcPr>
            <w:tcW w:w="1276" w:type="dxa"/>
            <w:tcBorders>
              <w:top w:val="single" w:sz="8" w:space="0" w:color="auto"/>
            </w:tcBorders>
          </w:tcPr>
          <w:p>
            <w:pPr>
              <w:pStyle w:val="nTable"/>
              <w:spacing w:after="40"/>
            </w:pPr>
            <w:r>
              <w:t>10 May 1991 p. 2360</w:t>
            </w:r>
            <w:r>
              <w:noBreakHyphen/>
              <w:t>2</w:t>
            </w:r>
          </w:p>
        </w:tc>
        <w:tc>
          <w:tcPr>
            <w:tcW w:w="2693" w:type="dxa"/>
            <w:tcBorders>
              <w:top w:val="single" w:sz="8" w:space="0" w:color="auto"/>
            </w:tcBorders>
          </w:tcPr>
          <w:p>
            <w:pPr>
              <w:pStyle w:val="nTable"/>
              <w:spacing w:after="40"/>
            </w:pPr>
            <w:r>
              <w:t>10 May 1991 (see bl. 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12</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Looma Community Inc. By</w:t>
            </w:r>
            <w:r>
              <w:rPr>
                <w:b/>
                <w:bCs/>
                <w:i/>
              </w:rPr>
              <w:noBreakHyphen/>
              <w:t>laws</w:t>
            </w:r>
            <w:r>
              <w:rPr>
                <w:b/>
                <w:bCs/>
                <w:iCs/>
              </w:rPr>
              <w:t xml:space="preserve"> as at 8 Jul 2005</w:t>
            </w:r>
            <w:r>
              <w:rPr>
                <w:iCs/>
              </w:rPr>
              <w:t xml:space="preserve"> (includes amendments listed above)</w:t>
            </w:r>
          </w:p>
        </w:tc>
      </w:tr>
    </w:tbl>
    <w:p>
      <w:pPr>
        <w:pStyle w:val="nSubsection"/>
        <w:rPr>
          <w:iCs/>
          <w:snapToGrid w:val="0"/>
        </w:rPr>
      </w:pPr>
      <w:r>
        <w:rPr>
          <w:vertAlign w:val="superscript"/>
        </w:rPr>
        <w:t>2</w:t>
      </w:r>
      <w:r>
        <w:tab/>
        <w:t xml:space="preserve">Under the </w:t>
      </w:r>
      <w:r>
        <w:rPr>
          <w:i/>
          <w:iCs/>
        </w:rPr>
        <w:t>Criminal Procedure and Appeals (Consequential and Other Provisions) Act 2004</w:t>
      </w:r>
      <w:r>
        <w:t xml:space="preserve"> s. 81 a reference in a written law or book, document or writing to a complaint in the context of commencing proceedings in a court for an offence is, unless the contrary intention appears, to be taken to be a reference to a prosecution notice under the </w:t>
      </w:r>
      <w:r>
        <w:rPr>
          <w:i/>
          <w:iCs/>
        </w:rPr>
        <w:t>Criminal Procedure Act 2004</w:t>
      </w:r>
      <w:r>
        <w:t>.</w:t>
      </w:r>
    </w:p>
    <w:p>
      <w:pPr>
        <w:pStyle w:val="nSubsection"/>
        <w:rPr>
          <w:iCs/>
          <w:snapToGrid w:val="0"/>
        </w:rPr>
      </w:pPr>
      <w:r>
        <w:rPr>
          <w:vertAlign w:val="superscript"/>
        </w:rPr>
        <w:t>3</w:t>
      </w:r>
      <w:r>
        <w:tab/>
        <w:t xml:space="preserve">The short title of the </w:t>
      </w:r>
      <w:r>
        <w:rPr>
          <w:i/>
          <w:iCs/>
        </w:rPr>
        <w:t>Justices Act 1902</w:t>
      </w:r>
      <w:r>
        <w:t xml:space="preserv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w:t>
      </w:r>
    </w:p>
    <w:p>
      <w:pPr>
        <w:pStyle w:val="nSubsection"/>
        <w:rPr>
          <w:iCs/>
          <w:snapToGrid w:val="0"/>
        </w:rPr>
      </w:pPr>
      <w:r>
        <w:rPr>
          <w:iCs/>
          <w:snapToGrid w:val="0"/>
        </w:rPr>
        <w:tab/>
        <w:t xml:space="preserve">The </w:t>
      </w:r>
      <w:r>
        <w:rPr>
          <w:i/>
        </w:rPr>
        <w:t>Criminal Procedure (Summary) Act 1902</w:t>
      </w:r>
      <w:r>
        <w:rPr>
          <w:iCs/>
        </w:rPr>
        <w:t xml:space="preserve"> </w:t>
      </w:r>
      <w:r>
        <w:rPr>
          <w:iCs/>
          <w:snapToGrid w:val="0"/>
        </w:rPr>
        <w:t xml:space="preserve">was then repealed by the </w:t>
      </w:r>
      <w:r>
        <w:rPr>
          <w:i/>
          <w:snapToGrid w:val="0"/>
        </w:rPr>
        <w:t>Criminal Procedure and Appeals (Consequential and Other Provisions) Act 2004</w:t>
      </w:r>
      <w:r>
        <w:rPr>
          <w:iCs/>
          <w:snapToGrid w:val="0"/>
        </w:rPr>
        <w:t xml:space="preserve"> s. 4. Under that section, a reference in a written law or book, document or writing to the </w:t>
      </w:r>
      <w:r>
        <w:rPr>
          <w:i/>
        </w:rPr>
        <w:t>Criminal Procedure (Summary) Act 1902</w:t>
      </w:r>
      <w:r>
        <w:rPr>
          <w:iCs/>
        </w:rPr>
        <w:t xml:space="preserve"> is, unless the contrary intention appears, to be construed as if it had been amended to be a reference to the </w:t>
      </w:r>
      <w:r>
        <w:rPr>
          <w:i/>
        </w:rPr>
        <w:t>Criminal Procedure Act 2004</w:t>
      </w:r>
      <w:r>
        <w:rPr>
          <w:iCs/>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9" w:name="_Toc421012049"/>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w:t>
      </w:r>
      <w:r>
        <w:tab/>
        <w:t>3</w:t>
      </w:r>
    </w:p>
    <w:p>
      <w:pPr>
        <w:pStyle w:val="DefinedTerms"/>
      </w:pPr>
      <w:r>
        <w:t>community land</w:t>
      </w:r>
      <w:r>
        <w:tab/>
        <w:t>3</w:t>
      </w:r>
    </w:p>
    <w:p>
      <w:pPr>
        <w:pStyle w:val="DefinedTerms"/>
      </w:pPr>
      <w:r>
        <w:t>member of the community</w:t>
      </w:r>
      <w:r>
        <w:tab/>
        <w:t>3</w:t>
      </w:r>
    </w:p>
    <w:p>
      <w:pPr>
        <w:pStyle w:val="DefinedTerms"/>
      </w:pPr>
      <w:r>
        <w:t>the Act</w:t>
      </w:r>
      <w:r>
        <w:tab/>
        <w:t>3</w:t>
      </w:r>
    </w:p>
    <w:p>
      <w:pPr>
        <w:pStyle w:val="DefinedTerms"/>
      </w:pPr>
      <w:r>
        <w:t>the Council</w:t>
      </w:r>
      <w:r>
        <w:tab/>
        <w:t>3</w:t>
      </w:r>
    </w:p>
    <w:p>
      <w:pPr>
        <w:pStyle w:val="DefinedTerms"/>
      </w:pPr>
      <w:r>
        <w:t>vehicle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Looma Community Inc. By-laws</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825"/>
    <w:docVar w:name="WAFER_20140203160846" w:val="RemoveTocBookmarks,RemoveUnusedBookmarks,RemoveLanguageTags,UsedStyles,ResetPageSize,UpdateArrangement"/>
    <w:docVar w:name="WAFER_20140203160846_GUID" w:val="8bce198b-8fe3-4fad-8e91-936838c3fd3c"/>
    <w:docVar w:name="WAFER_20140203161502" w:val="RemoveTocBookmarks,RunningHeaders"/>
    <w:docVar w:name="WAFER_20140203161502_GUID" w:val="634811eb-84c1-40ba-9b5f-e7c2ff510802"/>
    <w:docVar w:name="WAFER_20150602111736" w:val="ResetPageSize,UpdateArrangement,UpdateNTable"/>
    <w:docVar w:name="WAFER_20150602111736_GUID" w:val="c1a5da35-0783-4904-b603-0ddc30b83344"/>
    <w:docVar w:name="WAFER_20151106100825" w:val="UpdateStyles,UsedStyles"/>
    <w:docVar w:name="WAFER_20151106100825_GUID" w:val="c7ecb2ee-a2b9-40b4-b964-b29eb02c2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2203</Words>
  <Characters>10289</Characters>
  <Application>Microsoft Office Word</Application>
  <DocSecurity>0</DocSecurity>
  <Lines>321</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12284</CharactersWithSpaces>
  <SharedDoc>false</SharedDoc>
  <HLinks>
    <vt:vector size="12" baseType="variant">
      <vt:variant>
        <vt:i4>65542</vt:i4>
      </vt:variant>
      <vt:variant>
        <vt:i4>2852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Looma Community Inc. By-laws - 01-a0-08</dc:title>
  <dc:subject/>
  <dc:creator/>
  <cp:keywords/>
  <dc:description/>
  <cp:lastModifiedBy>svcMRProcess</cp:lastModifiedBy>
  <cp:revision>4</cp:revision>
  <cp:lastPrinted>2005-08-01T02:21:00Z</cp:lastPrinted>
  <dcterms:created xsi:type="dcterms:W3CDTF">2019-01-18T02:52:00Z</dcterms:created>
  <dcterms:modified xsi:type="dcterms:W3CDTF">2019-01-18T02:52:00Z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May 1991 pp.2360-2</vt:lpwstr>
  </property>
  <property fmtid="{D5CDD505-2E9C-101B-9397-08002B2CF9AE}" pid="3" name="CommencementDate">
    <vt:lpwstr>20050708</vt:lpwstr>
  </property>
  <property fmtid="{D5CDD505-2E9C-101B-9397-08002B2CF9AE}" pid="4" name="ReprintNo">
    <vt:lpwstr>1</vt:lpwstr>
  </property>
  <property fmtid="{D5CDD505-2E9C-101B-9397-08002B2CF9AE}" pid="5" name="Formerly">
    <vt:lpwstr>Looma Community Inc. By-Laws</vt:lpwstr>
  </property>
  <property fmtid="{D5CDD505-2E9C-101B-9397-08002B2CF9AE}" pid="6" name="DocumentType">
    <vt:lpwstr>Reg</vt:lpwstr>
  </property>
  <property fmtid="{D5CDD505-2E9C-101B-9397-08002B2CF9AE}" pid="7" name="OwlsUID">
    <vt:i4>4603</vt:i4>
  </property>
  <property fmtid="{D5CDD505-2E9C-101B-9397-08002B2CF9AE}" pid="8" name="AsAtDate">
    <vt:lpwstr>08 Jul 2005</vt:lpwstr>
  </property>
  <property fmtid="{D5CDD505-2E9C-101B-9397-08002B2CF9AE}" pid="9" name="Suffix">
    <vt:lpwstr>01-a0-08</vt:lpwstr>
  </property>
</Properties>
</file>