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_Toc147289675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_Toc147289676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_Toc147289677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_Toc147289679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_Toc147289680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_Toc147289681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_Toc147289682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_Toc147289683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_Toc147289684 \h </w:instrText>
      </w:r>
      <w:r>
        <w:fldChar w:fldCharType="separate"/>
      </w:r>
      <w:r>
        <w:t>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_Toc147289686 \h </w:instrText>
      </w:r>
      <w:r>
        <w:fldChar w:fldCharType="separate"/>
      </w:r>
      <w:r>
        <w:t>8</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_Toc147289687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_Toc147289688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_Toc147289689 \h </w:instrText>
      </w:r>
      <w:r>
        <w:fldChar w:fldCharType="separate"/>
      </w:r>
      <w:r>
        <w:t>8</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_Toc147289691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_Toc147289692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_Toc147289693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_Toc147289694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Bonus draws and guaranteed prize pools</w:t>
      </w:r>
      <w:r>
        <w:tab/>
      </w:r>
      <w:r>
        <w:fldChar w:fldCharType="begin"/>
      </w:r>
      <w:r>
        <w:instrText xml:space="preserve"> PAGEREF _Toc147289695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Division 1 prizes</w:t>
      </w:r>
      <w:r>
        <w:tab/>
      </w:r>
      <w:r>
        <w:fldChar w:fldCharType="begin"/>
      </w:r>
      <w:r>
        <w:instrText xml:space="preserve"> PAGEREF _Toc147289696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_Toc147289697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_Toc147289698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_Toc147289699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_Toc147289700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_Toc147289701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_Toc147289703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_Toc147289704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_Toc147289705 \h </w:instrText>
      </w:r>
      <w:r>
        <w:fldChar w:fldCharType="separate"/>
      </w:r>
      <w:r>
        <w:t>17</w:t>
      </w:r>
      <w:r>
        <w:fldChar w:fldCharType="end"/>
      </w:r>
    </w:p>
    <w:p>
      <w:pPr>
        <w:pStyle w:val="TOC2"/>
        <w:tabs>
          <w:tab w:val="right" w:leader="dot" w:pos="7086"/>
        </w:tabs>
        <w:rPr>
          <w:b w:val="0"/>
          <w:sz w:val="24"/>
          <w:szCs w:val="24"/>
        </w:rPr>
      </w:pPr>
      <w:r>
        <w:rPr>
          <w:szCs w:val="30"/>
        </w:rPr>
        <w:t>Part 7 — Transitional</w:t>
      </w:r>
    </w:p>
    <w:p>
      <w:pPr>
        <w:pStyle w:val="TOC8"/>
        <w:rPr>
          <w:sz w:val="24"/>
          <w:szCs w:val="24"/>
        </w:rPr>
      </w:pPr>
      <w:r>
        <w:rPr>
          <w:szCs w:val="24"/>
        </w:rPr>
        <w:t>30</w:t>
      </w:r>
      <w:r>
        <w:rPr>
          <w:snapToGrid w:val="0"/>
          <w:szCs w:val="24"/>
        </w:rPr>
        <w:t>.</w:t>
      </w:r>
      <w:r>
        <w:rPr>
          <w:snapToGrid w:val="0"/>
          <w:szCs w:val="24"/>
        </w:rPr>
        <w:tab/>
        <w:t>Jackpot on last draw</w:t>
      </w:r>
      <w:r>
        <w:tab/>
      </w:r>
      <w:r>
        <w:fldChar w:fldCharType="begin"/>
      </w:r>
      <w:r>
        <w:instrText xml:space="preserve"> PAGEREF _Toc147289707 \h </w:instrText>
      </w:r>
      <w:r>
        <w:fldChar w:fldCharType="separate"/>
      </w:r>
      <w:r>
        <w:t>18</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_Toc147289710 \h </w:instrText>
      </w:r>
      <w:r>
        <w:fldChar w:fldCharType="separate"/>
      </w:r>
      <w:r>
        <w:t>20</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5012074"/>
      <w:bookmarkStart w:id="8" w:name="_Toc5012367"/>
      <w:bookmarkStart w:id="9" w:name="_Toc43182275"/>
      <w:bookmarkStart w:id="10" w:name="_Toc133390613"/>
      <w:bookmarkStart w:id="11" w:name="_Toc147289675"/>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2" w:name="_Toc5012075"/>
      <w:bookmarkStart w:id="13" w:name="_Toc5012368"/>
      <w:bookmarkStart w:id="14" w:name="_Toc43182276"/>
      <w:bookmarkStart w:id="15" w:name="_Toc133390614"/>
      <w:bookmarkStart w:id="16" w:name="_Toc147289676"/>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7" w:name="_Toc5012076"/>
      <w:bookmarkStart w:id="18" w:name="_Toc5012369"/>
      <w:bookmarkStart w:id="19" w:name="_Toc43182277"/>
      <w:bookmarkStart w:id="20" w:name="_Toc133390615"/>
      <w:bookmarkStart w:id="21" w:name="_Toc147289677"/>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iCs/>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2" w:name="_Toc88360465"/>
      <w:bookmarkStart w:id="23" w:name="_Toc88447813"/>
      <w:bookmarkStart w:id="24" w:name="_Toc133390616"/>
      <w:bookmarkStart w:id="25" w:name="_Toc133390762"/>
      <w:bookmarkStart w:id="26" w:name="_Toc147224495"/>
      <w:bookmarkStart w:id="27" w:name="_Toc147289678"/>
      <w:r>
        <w:rPr>
          <w:rStyle w:val="CharPartNo"/>
        </w:rPr>
        <w:t>Part 2</w:t>
      </w:r>
      <w:r>
        <w:rPr>
          <w:rStyle w:val="CharDivNo"/>
        </w:rPr>
        <w:t> </w:t>
      </w:r>
      <w:r>
        <w:t>—</w:t>
      </w:r>
      <w:r>
        <w:rPr>
          <w:rStyle w:val="CharDivText"/>
        </w:rPr>
        <w:t> </w:t>
      </w:r>
      <w:r>
        <w:rPr>
          <w:rStyle w:val="CharPartText"/>
        </w:rPr>
        <w:t>Requirements for entry</w:t>
      </w:r>
      <w:bookmarkEnd w:id="22"/>
      <w:bookmarkEnd w:id="23"/>
      <w:bookmarkEnd w:id="24"/>
      <w:bookmarkEnd w:id="25"/>
      <w:bookmarkEnd w:id="26"/>
      <w:bookmarkEnd w:id="27"/>
      <w:r>
        <w:rPr>
          <w:rStyle w:val="CharPartText"/>
        </w:rPr>
        <w:t xml:space="preserve"> </w:t>
      </w:r>
    </w:p>
    <w:p>
      <w:pPr>
        <w:pStyle w:val="Heading5"/>
        <w:rPr>
          <w:snapToGrid w:val="0"/>
        </w:rPr>
      </w:pPr>
      <w:bookmarkStart w:id="28" w:name="_Toc5012077"/>
      <w:bookmarkStart w:id="29" w:name="_Toc5012370"/>
      <w:bookmarkStart w:id="30" w:name="_Toc43182278"/>
      <w:bookmarkStart w:id="31" w:name="_Toc133390617"/>
      <w:bookmarkStart w:id="32" w:name="_Toc147289679"/>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3" w:name="_Toc5012078"/>
      <w:bookmarkStart w:id="34" w:name="_Toc5012371"/>
      <w:bookmarkStart w:id="35" w:name="_Toc43182279"/>
      <w:bookmarkStart w:id="36" w:name="_Toc133390618"/>
      <w:bookmarkStart w:id="37" w:name="_Toc147289680"/>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38" w:name="_Toc5012079"/>
      <w:bookmarkStart w:id="39" w:name="_Toc5012372"/>
      <w:bookmarkStart w:id="40" w:name="_Toc43182280"/>
      <w:bookmarkStart w:id="41" w:name="_Toc133390619"/>
      <w:bookmarkStart w:id="42" w:name="_Toc147289681"/>
      <w:r>
        <w:rPr>
          <w:rStyle w:val="CharSectno"/>
        </w:rPr>
        <w:t>6</w:t>
      </w:r>
      <w:r>
        <w:rPr>
          <w:snapToGrid w:val="0"/>
        </w:rPr>
        <w:t>.</w:t>
      </w:r>
      <w:r>
        <w:rPr>
          <w:snapToGrid w:val="0"/>
        </w:rPr>
        <w:tab/>
        <w:t>Receipted tickets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43" w:name="_Toc5012080"/>
      <w:bookmarkStart w:id="44" w:name="_Toc5012373"/>
      <w:bookmarkStart w:id="45" w:name="_Toc43182281"/>
      <w:bookmarkStart w:id="46" w:name="_Toc133390620"/>
      <w:bookmarkStart w:id="47" w:name="_Toc147289682"/>
      <w:r>
        <w:rPr>
          <w:rStyle w:val="CharSectno"/>
        </w:rPr>
        <w:t>7</w:t>
      </w:r>
      <w:r>
        <w:rPr>
          <w:snapToGrid w:val="0"/>
        </w:rPr>
        <w:t>.</w:t>
      </w:r>
      <w:r>
        <w:rPr>
          <w:snapToGrid w:val="0"/>
        </w:rPr>
        <w:tab/>
        <w:t>Surrender of receipted ticket</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48" w:name="_Toc5012081"/>
      <w:bookmarkStart w:id="49" w:name="_Toc5012374"/>
      <w:bookmarkStart w:id="50" w:name="_Toc43182282"/>
      <w:bookmarkStart w:id="51" w:name="_Toc133390621"/>
      <w:bookmarkStart w:id="52" w:name="_Toc147289683"/>
      <w:r>
        <w:rPr>
          <w:rStyle w:val="CharSectno"/>
        </w:rPr>
        <w:t>8</w:t>
      </w:r>
      <w:r>
        <w:rPr>
          <w:snapToGrid w:val="0"/>
        </w:rPr>
        <w:t>.</w:t>
      </w:r>
      <w:r>
        <w:rPr>
          <w:snapToGrid w:val="0"/>
        </w:rPr>
        <w:tab/>
        <w:t>Accuracy of receipted ticket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53" w:name="_Toc5012082"/>
      <w:bookmarkStart w:id="54" w:name="_Toc5012375"/>
      <w:bookmarkStart w:id="55" w:name="_Toc43182283"/>
      <w:bookmarkStart w:id="56" w:name="_Toc133390622"/>
      <w:bookmarkStart w:id="57" w:name="_Toc147289684"/>
      <w:r>
        <w:rPr>
          <w:rStyle w:val="CharSectno"/>
        </w:rPr>
        <w:t>9</w:t>
      </w:r>
      <w:r>
        <w:rPr>
          <w:snapToGrid w:val="0"/>
        </w:rPr>
        <w:t>.</w:t>
      </w:r>
      <w:r>
        <w:rPr>
          <w:snapToGrid w:val="0"/>
        </w:rPr>
        <w:tab/>
        <w:t>Validity of receipted ticket</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58" w:name="_Toc88360472"/>
      <w:bookmarkStart w:id="59" w:name="_Toc88447820"/>
      <w:bookmarkStart w:id="60" w:name="_Toc133390623"/>
      <w:bookmarkStart w:id="61" w:name="_Toc133390769"/>
      <w:bookmarkStart w:id="62" w:name="_Toc147224502"/>
      <w:bookmarkStart w:id="63" w:name="_Toc147289685"/>
      <w:r>
        <w:rPr>
          <w:rStyle w:val="CharPartNo"/>
        </w:rPr>
        <w:t>Part 3</w:t>
      </w:r>
      <w:r>
        <w:rPr>
          <w:rStyle w:val="CharDivNo"/>
        </w:rPr>
        <w:t> </w:t>
      </w:r>
      <w:r>
        <w:t>—</w:t>
      </w:r>
      <w:r>
        <w:rPr>
          <w:rStyle w:val="CharDivText"/>
        </w:rPr>
        <w:t> </w:t>
      </w:r>
      <w:r>
        <w:rPr>
          <w:rStyle w:val="CharPartText"/>
        </w:rPr>
        <w:t>General duties of Commission</w:t>
      </w:r>
      <w:bookmarkEnd w:id="58"/>
      <w:bookmarkEnd w:id="59"/>
      <w:bookmarkEnd w:id="60"/>
      <w:bookmarkEnd w:id="61"/>
      <w:bookmarkEnd w:id="62"/>
      <w:bookmarkEnd w:id="63"/>
      <w:r>
        <w:rPr>
          <w:rStyle w:val="CharPartText"/>
        </w:rPr>
        <w:t xml:space="preserve"> </w:t>
      </w:r>
    </w:p>
    <w:p>
      <w:pPr>
        <w:pStyle w:val="Heading5"/>
        <w:rPr>
          <w:snapToGrid w:val="0"/>
        </w:rPr>
      </w:pPr>
      <w:bookmarkStart w:id="64" w:name="_Toc5012083"/>
      <w:bookmarkStart w:id="65" w:name="_Toc5012376"/>
      <w:bookmarkStart w:id="66" w:name="_Toc43182284"/>
      <w:bookmarkStart w:id="67" w:name="_Toc133390624"/>
      <w:bookmarkStart w:id="68" w:name="_Toc147289686"/>
      <w:r>
        <w:rPr>
          <w:rStyle w:val="CharSectno"/>
        </w:rPr>
        <w:t>10</w:t>
      </w:r>
      <w:r>
        <w:rPr>
          <w:snapToGrid w:val="0"/>
        </w:rPr>
        <w:t>.</w:t>
      </w:r>
      <w:r>
        <w:rPr>
          <w:snapToGrid w:val="0"/>
        </w:rPr>
        <w:tab/>
        <w:t>Super 66 draws to be numbered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69" w:name="_Toc5012084"/>
      <w:bookmarkStart w:id="70" w:name="_Toc5012377"/>
      <w:bookmarkStart w:id="71" w:name="_Toc43182285"/>
      <w:bookmarkStart w:id="72" w:name="_Toc133390625"/>
      <w:bookmarkStart w:id="73" w:name="_Toc147289687"/>
      <w:r>
        <w:rPr>
          <w:rStyle w:val="CharSectno"/>
        </w:rPr>
        <w:t>11</w:t>
      </w:r>
      <w:r>
        <w:t>.</w:t>
      </w:r>
      <w:r>
        <w:tab/>
        <w:t>Super 66 draws to be supervised</w:t>
      </w:r>
      <w:bookmarkEnd w:id="69"/>
      <w:bookmarkEnd w:id="70"/>
      <w:bookmarkEnd w:id="71"/>
      <w:bookmarkEnd w:id="72"/>
      <w:bookmarkEnd w:id="73"/>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74" w:name="_Toc5012085"/>
      <w:bookmarkStart w:id="75" w:name="_Toc5012378"/>
      <w:bookmarkStart w:id="76" w:name="_Toc43182286"/>
      <w:bookmarkStart w:id="77" w:name="_Toc133390626"/>
      <w:bookmarkStart w:id="78" w:name="_Toc147289688"/>
      <w:r>
        <w:rPr>
          <w:rStyle w:val="CharSectno"/>
        </w:rPr>
        <w:t>12</w:t>
      </w:r>
      <w:r>
        <w:rPr>
          <w:snapToGrid w:val="0"/>
        </w:rPr>
        <w:t>.</w:t>
      </w:r>
      <w:r>
        <w:rPr>
          <w:snapToGrid w:val="0"/>
        </w:rPr>
        <w:tab/>
        <w:t>Publication of results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79" w:name="_Toc5012086"/>
      <w:bookmarkStart w:id="80" w:name="_Toc5012379"/>
      <w:bookmarkStart w:id="81" w:name="_Toc43182287"/>
      <w:bookmarkStart w:id="82" w:name="_Toc133390627"/>
      <w:bookmarkStart w:id="83" w:name="_Toc147289689"/>
      <w:r>
        <w:rPr>
          <w:rStyle w:val="CharSectno"/>
        </w:rPr>
        <w:t>13</w:t>
      </w:r>
      <w:r>
        <w:rPr>
          <w:snapToGrid w:val="0"/>
        </w:rPr>
        <w:t>.</w:t>
      </w:r>
      <w:r>
        <w:rPr>
          <w:snapToGrid w:val="0"/>
        </w:rPr>
        <w:tab/>
        <w:t>Super 66 prize pool and prize reserve fund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84" w:name="_Toc88360477"/>
      <w:bookmarkStart w:id="85" w:name="_Toc88447825"/>
      <w:bookmarkStart w:id="86" w:name="_Toc133390628"/>
      <w:bookmarkStart w:id="87" w:name="_Toc133390774"/>
      <w:bookmarkStart w:id="88" w:name="_Toc147224507"/>
      <w:bookmarkStart w:id="89" w:name="_Toc147289690"/>
      <w:r>
        <w:rPr>
          <w:rStyle w:val="CharPartNo"/>
        </w:rPr>
        <w:t>Part 4</w:t>
      </w:r>
      <w:r>
        <w:rPr>
          <w:rStyle w:val="CharDivNo"/>
        </w:rPr>
        <w:t> </w:t>
      </w:r>
      <w:r>
        <w:t>—</w:t>
      </w:r>
      <w:r>
        <w:rPr>
          <w:rStyle w:val="CharDivText"/>
        </w:rPr>
        <w:t> </w:t>
      </w:r>
      <w:r>
        <w:rPr>
          <w:rStyle w:val="CharPartText"/>
        </w:rPr>
        <w:t>Super 66 draw</w:t>
      </w:r>
      <w:bookmarkEnd w:id="84"/>
      <w:bookmarkEnd w:id="85"/>
      <w:bookmarkEnd w:id="86"/>
      <w:bookmarkEnd w:id="87"/>
      <w:bookmarkEnd w:id="88"/>
      <w:bookmarkEnd w:id="89"/>
      <w:r>
        <w:rPr>
          <w:rStyle w:val="CharPartText"/>
        </w:rPr>
        <w:t xml:space="preserve"> </w:t>
      </w:r>
    </w:p>
    <w:p>
      <w:pPr>
        <w:pStyle w:val="Heading5"/>
        <w:rPr>
          <w:snapToGrid w:val="0"/>
        </w:rPr>
      </w:pPr>
      <w:bookmarkStart w:id="90" w:name="_Toc5012087"/>
      <w:bookmarkStart w:id="91" w:name="_Toc5012380"/>
      <w:bookmarkStart w:id="92" w:name="_Toc43182288"/>
      <w:bookmarkStart w:id="93" w:name="_Toc133390629"/>
      <w:bookmarkStart w:id="94" w:name="_Toc147289691"/>
      <w:r>
        <w:rPr>
          <w:rStyle w:val="CharSectno"/>
        </w:rPr>
        <w:t>14</w:t>
      </w:r>
      <w:r>
        <w:rPr>
          <w:snapToGrid w:val="0"/>
        </w:rPr>
        <w:t>.</w:t>
      </w:r>
      <w:r>
        <w:rPr>
          <w:snapToGrid w:val="0"/>
        </w:rPr>
        <w:tab/>
        <w:t>Super 66 draw</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95" w:name="_Toc5012088"/>
      <w:bookmarkStart w:id="96" w:name="_Toc5012381"/>
      <w:bookmarkStart w:id="97" w:name="_Toc43182289"/>
      <w:bookmarkStart w:id="98" w:name="_Toc133390630"/>
      <w:bookmarkStart w:id="99" w:name="_Toc147289692"/>
      <w:r>
        <w:rPr>
          <w:rStyle w:val="CharSectno"/>
        </w:rPr>
        <w:t>15</w:t>
      </w:r>
      <w:r>
        <w:rPr>
          <w:snapToGrid w:val="0"/>
        </w:rPr>
        <w:t>.</w:t>
      </w:r>
      <w:r>
        <w:rPr>
          <w:snapToGrid w:val="0"/>
        </w:rPr>
        <w:tab/>
        <w:t>Criteria for super 66 prizes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00" w:name="_Toc5012089"/>
      <w:bookmarkStart w:id="101" w:name="_Toc5012382"/>
      <w:bookmarkStart w:id="102" w:name="_Toc43182290"/>
      <w:bookmarkStart w:id="103" w:name="_Toc133390631"/>
      <w:bookmarkStart w:id="104" w:name="_Toc147289693"/>
      <w:r>
        <w:rPr>
          <w:rStyle w:val="CharSectno"/>
        </w:rPr>
        <w:t>16</w:t>
      </w:r>
      <w:r>
        <w:rPr>
          <w:snapToGrid w:val="0"/>
        </w:rPr>
        <w:t>.</w:t>
      </w:r>
      <w:r>
        <w:rPr>
          <w:snapToGrid w:val="0"/>
        </w:rPr>
        <w:tab/>
        <w:t>Distribution of prize pool</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05" w:name="_Toc5012090"/>
      <w:bookmarkStart w:id="106" w:name="_Toc5012383"/>
      <w:bookmarkStart w:id="107" w:name="_Toc43182291"/>
      <w:bookmarkStart w:id="108" w:name="_Toc133390632"/>
      <w:bookmarkStart w:id="109" w:name="_Toc147289694"/>
      <w:r>
        <w:rPr>
          <w:rStyle w:val="CharSectno"/>
        </w:rPr>
        <w:t>17</w:t>
      </w:r>
      <w:r>
        <w:rPr>
          <w:snapToGrid w:val="0"/>
        </w:rPr>
        <w:t>.</w:t>
      </w:r>
      <w:r>
        <w:rPr>
          <w:snapToGrid w:val="0"/>
        </w:rPr>
        <w:tab/>
        <w:t>Division 1 jackpot</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110" w:name="_Toc5012091"/>
      <w:bookmarkStart w:id="111" w:name="_Toc5012384"/>
      <w:bookmarkStart w:id="112" w:name="_Toc43182292"/>
      <w:bookmarkStart w:id="113" w:name="_Toc133390633"/>
      <w:bookmarkStart w:id="114" w:name="_Toc147289695"/>
      <w:r>
        <w:rPr>
          <w:rStyle w:val="CharSectno"/>
        </w:rPr>
        <w:t>18</w:t>
      </w:r>
      <w:r>
        <w:rPr>
          <w:snapToGrid w:val="0"/>
        </w:rPr>
        <w:t>.</w:t>
      </w:r>
      <w:r>
        <w:rPr>
          <w:snapToGrid w:val="0"/>
        </w:rPr>
        <w:tab/>
        <w:t>Bonus draws and guaranteed prize pools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15" w:name="_Toc5012092"/>
      <w:bookmarkStart w:id="116" w:name="_Toc5012385"/>
      <w:bookmarkStart w:id="117" w:name="_Toc43182293"/>
      <w:bookmarkStart w:id="118" w:name="_Toc133390634"/>
      <w:bookmarkStart w:id="119" w:name="_Toc147289696"/>
      <w:r>
        <w:rPr>
          <w:rStyle w:val="CharSectno"/>
        </w:rPr>
        <w:t>19</w:t>
      </w:r>
      <w:r>
        <w:rPr>
          <w:snapToGrid w:val="0"/>
        </w:rPr>
        <w:t>.</w:t>
      </w:r>
      <w:r>
        <w:rPr>
          <w:snapToGrid w:val="0"/>
        </w:rPr>
        <w:tab/>
        <w:t>Division 1 prizes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20" w:name="_Toc5012093"/>
      <w:bookmarkStart w:id="121" w:name="_Toc5012386"/>
      <w:bookmarkStart w:id="122" w:name="_Toc43182294"/>
      <w:bookmarkStart w:id="123" w:name="_Toc133390635"/>
      <w:bookmarkStart w:id="124" w:name="_Toc147289697"/>
      <w:r>
        <w:rPr>
          <w:rStyle w:val="CharSectno"/>
        </w:rPr>
        <w:t>20</w:t>
      </w:r>
      <w:r>
        <w:rPr>
          <w:snapToGrid w:val="0"/>
        </w:rPr>
        <w:t>.</w:t>
      </w:r>
      <w:r>
        <w:rPr>
          <w:snapToGrid w:val="0"/>
        </w:rPr>
        <w:tab/>
        <w:t>Division 2 prizes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25" w:name="_Toc5012094"/>
      <w:bookmarkStart w:id="126" w:name="_Toc5012387"/>
      <w:bookmarkStart w:id="127" w:name="_Toc43182295"/>
      <w:bookmarkStart w:id="128" w:name="_Toc133390636"/>
      <w:bookmarkStart w:id="129" w:name="_Toc147289698"/>
      <w:r>
        <w:rPr>
          <w:rStyle w:val="CharSectno"/>
        </w:rPr>
        <w:t>21</w:t>
      </w:r>
      <w:r>
        <w:rPr>
          <w:snapToGrid w:val="0"/>
        </w:rPr>
        <w:t>.</w:t>
      </w:r>
      <w:r>
        <w:rPr>
          <w:snapToGrid w:val="0"/>
        </w:rPr>
        <w:tab/>
        <w:t>Division 3, 4 and 5 prizes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30" w:name="_Toc5012095"/>
      <w:bookmarkStart w:id="131" w:name="_Toc5012388"/>
      <w:bookmarkStart w:id="132" w:name="_Toc43182296"/>
      <w:bookmarkStart w:id="133" w:name="_Toc133390637"/>
      <w:bookmarkStart w:id="134" w:name="_Toc147289699"/>
      <w:r>
        <w:rPr>
          <w:rStyle w:val="CharSectno"/>
        </w:rPr>
        <w:t>22</w:t>
      </w:r>
      <w:r>
        <w:rPr>
          <w:snapToGrid w:val="0"/>
        </w:rPr>
        <w:t>.</w:t>
      </w:r>
      <w:r>
        <w:rPr>
          <w:snapToGrid w:val="0"/>
        </w:rPr>
        <w:tab/>
        <w:t>Commission may require a statutory declaration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35" w:name="_Toc5012096"/>
      <w:bookmarkStart w:id="136" w:name="_Toc5012389"/>
      <w:bookmarkStart w:id="137" w:name="_Toc43182297"/>
      <w:bookmarkStart w:id="138" w:name="_Toc133390638"/>
      <w:bookmarkStart w:id="139" w:name="_Toc147289700"/>
      <w:r>
        <w:rPr>
          <w:rStyle w:val="CharSectno"/>
        </w:rPr>
        <w:t>23</w:t>
      </w:r>
      <w:r>
        <w:rPr>
          <w:snapToGrid w:val="0"/>
        </w:rPr>
        <w:t>.</w:t>
      </w:r>
      <w:r>
        <w:rPr>
          <w:snapToGrid w:val="0"/>
        </w:rPr>
        <w:tab/>
        <w:t>Publication of names and addresses of prize winners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40" w:name="_Toc5012097"/>
      <w:bookmarkStart w:id="141" w:name="_Toc5012390"/>
      <w:bookmarkStart w:id="142" w:name="_Toc43182298"/>
      <w:bookmarkStart w:id="143" w:name="_Toc133390639"/>
      <w:bookmarkStart w:id="144" w:name="_Toc147289701"/>
      <w:r>
        <w:rPr>
          <w:rStyle w:val="CharSectno"/>
        </w:rPr>
        <w:t>24</w:t>
      </w:r>
      <w:r>
        <w:rPr>
          <w:snapToGrid w:val="0"/>
        </w:rPr>
        <w:t>.</w:t>
      </w:r>
      <w:r>
        <w:rPr>
          <w:snapToGrid w:val="0"/>
        </w:rPr>
        <w:tab/>
        <w:t>Player Registration Service</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45" w:name="_Toc88360489"/>
      <w:bookmarkStart w:id="146" w:name="_Toc88447837"/>
      <w:bookmarkStart w:id="147" w:name="_Toc133390640"/>
      <w:bookmarkStart w:id="148" w:name="_Toc133390786"/>
      <w:bookmarkStart w:id="149" w:name="_Toc147224519"/>
      <w:bookmarkStart w:id="150" w:name="_Toc147289702"/>
      <w:r>
        <w:rPr>
          <w:rStyle w:val="CharPartNo"/>
        </w:rPr>
        <w:t>Part 5</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5012098"/>
      <w:bookmarkStart w:id="152" w:name="_Toc5012391"/>
      <w:bookmarkStart w:id="153" w:name="_Toc43182299"/>
      <w:bookmarkStart w:id="154" w:name="_Toc133390641"/>
      <w:bookmarkStart w:id="155" w:name="_Toc147289703"/>
      <w:r>
        <w:rPr>
          <w:rStyle w:val="CharSectno"/>
        </w:rPr>
        <w:t>25</w:t>
      </w:r>
      <w:r>
        <w:rPr>
          <w:snapToGrid w:val="0"/>
        </w:rPr>
        <w:t>.</w:t>
      </w:r>
      <w:r>
        <w:rPr>
          <w:snapToGrid w:val="0"/>
        </w:rPr>
        <w:tab/>
        <w:t>Instructions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56" w:name="_Toc5012099"/>
      <w:bookmarkStart w:id="157" w:name="_Toc5012392"/>
      <w:bookmarkStart w:id="158" w:name="_Toc43182300"/>
      <w:bookmarkStart w:id="159" w:name="_Toc133390642"/>
      <w:bookmarkStart w:id="160" w:name="_Toc147289704"/>
      <w:r>
        <w:rPr>
          <w:rStyle w:val="CharSectno"/>
        </w:rPr>
        <w:t>26</w:t>
      </w:r>
      <w:r>
        <w:rPr>
          <w:snapToGrid w:val="0"/>
        </w:rPr>
        <w:t>.</w:t>
      </w:r>
      <w:r>
        <w:rPr>
          <w:snapToGrid w:val="0"/>
        </w:rPr>
        <w:tab/>
        <w:t>Rules to be made available</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61" w:name="_Toc5012100"/>
      <w:bookmarkStart w:id="162" w:name="_Toc5012393"/>
      <w:bookmarkStart w:id="163" w:name="_Toc43182301"/>
      <w:bookmarkStart w:id="164" w:name="_Toc133390643"/>
      <w:bookmarkStart w:id="165" w:name="_Toc147289705"/>
      <w:r>
        <w:rPr>
          <w:rStyle w:val="CharSectno"/>
        </w:rPr>
        <w:t>27</w:t>
      </w:r>
      <w:r>
        <w:rPr>
          <w:snapToGrid w:val="0"/>
        </w:rPr>
        <w:t>.</w:t>
      </w:r>
      <w:r>
        <w:rPr>
          <w:snapToGrid w:val="0"/>
        </w:rPr>
        <w:tab/>
        <w:t>Decisions of Commission final</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166" w:name="_Toc88360493"/>
      <w:bookmarkStart w:id="167" w:name="_Toc88447841"/>
      <w:bookmarkStart w:id="168" w:name="_Toc133390644"/>
      <w:bookmarkStart w:id="169" w:name="_Toc133390790"/>
      <w:bookmarkStart w:id="170" w:name="_Toc147224523"/>
      <w:bookmarkStart w:id="171" w:name="_Toc147289706"/>
      <w:r>
        <w:rPr>
          <w:rStyle w:val="CharPartNo"/>
        </w:rPr>
        <w:t>Part 7</w:t>
      </w:r>
      <w:r>
        <w:rPr>
          <w:rStyle w:val="CharDivNo"/>
        </w:rPr>
        <w:t> </w:t>
      </w:r>
      <w:r>
        <w:t>—</w:t>
      </w:r>
      <w:r>
        <w:rPr>
          <w:rStyle w:val="CharDivText"/>
        </w:rPr>
        <w:t> </w:t>
      </w:r>
      <w:r>
        <w:rPr>
          <w:rStyle w:val="CharPartText"/>
        </w:rPr>
        <w:t>Transitional</w:t>
      </w:r>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012103"/>
      <w:bookmarkStart w:id="173" w:name="_Toc5012396"/>
      <w:bookmarkStart w:id="174" w:name="_Toc43182304"/>
      <w:bookmarkStart w:id="175" w:name="_Toc133390645"/>
      <w:bookmarkStart w:id="176" w:name="_Toc147289707"/>
      <w:r>
        <w:rPr>
          <w:rStyle w:val="CharSectno"/>
        </w:rPr>
        <w:t>30</w:t>
      </w:r>
      <w:r>
        <w:rPr>
          <w:snapToGrid w:val="0"/>
        </w:rPr>
        <w:t>.</w:t>
      </w:r>
      <w:r>
        <w:rPr>
          <w:snapToGrid w:val="0"/>
        </w:rPr>
        <w:tab/>
        <w:t>Jackpot on last draw</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7" w:name="_Toc5012397"/>
      <w:bookmarkStart w:id="178" w:name="_Toc43182305"/>
      <w:bookmarkStart w:id="179" w:name="_Toc133390646"/>
      <w:bookmarkStart w:id="180" w:name="_Toc133390792"/>
      <w:bookmarkStart w:id="181" w:name="_Toc147224525"/>
      <w:bookmarkStart w:id="182" w:name="_Toc147289708"/>
      <w:r>
        <w:rPr>
          <w:rStyle w:val="CharSchNo"/>
        </w:rPr>
        <w:t>Schedule 1</w:t>
      </w:r>
      <w:r>
        <w:t> — </w:t>
      </w:r>
      <w:r>
        <w:rPr>
          <w:rStyle w:val="CharSchText"/>
        </w:rPr>
        <w:t>Summary of parameters within which Super 66 is conducted</w:t>
      </w:r>
      <w:bookmarkEnd w:id="177"/>
      <w:bookmarkEnd w:id="178"/>
      <w:bookmarkEnd w:id="179"/>
      <w:bookmarkEnd w:id="180"/>
      <w:bookmarkEnd w:id="181"/>
      <w:bookmarkEnd w:id="182"/>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3" w:name="_Toc88360496"/>
      <w:bookmarkStart w:id="184" w:name="_Toc88447844"/>
      <w:bookmarkStart w:id="185" w:name="_Toc133390647"/>
      <w:bookmarkStart w:id="186" w:name="_Toc133390793"/>
      <w:bookmarkStart w:id="187" w:name="_Toc147224526"/>
      <w:bookmarkStart w:id="188" w:name="_Toc147289709"/>
      <w:r>
        <w:t>Notes</w:t>
      </w:r>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189" w:name="_Toc43182306"/>
      <w:bookmarkStart w:id="190" w:name="_Toc133390648"/>
      <w:bookmarkStart w:id="191" w:name="_Toc147289710"/>
      <w:r>
        <w:t>Compilation table</w:t>
      </w:r>
      <w:bookmarkEnd w:id="189"/>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iCs/>
                <w:sz w:val="19"/>
              </w:rPr>
              <w:t>Gazette</w:t>
            </w:r>
            <w:r>
              <w:rPr>
                <w:sz w:val="19"/>
              </w:rPr>
              <w:t xml:space="preserve"> 21 Apr 2006 p. 1617)</w:t>
            </w:r>
          </w:p>
        </w:tc>
      </w:tr>
      <w:tr>
        <w:tc>
          <w:tcPr>
            <w:tcW w:w="3118" w:type="dxa"/>
            <w:tcBorders>
              <w:bottom w:val="single" w:sz="4" w:space="0" w:color="auto"/>
            </w:tcBorders>
          </w:tcPr>
          <w:p>
            <w:pPr>
              <w:pStyle w:val="nTable"/>
              <w:spacing w:after="60"/>
              <w:rPr>
                <w:i/>
                <w:sz w:val="19"/>
              </w:rPr>
            </w:pPr>
            <w:bookmarkStart w:id="192" w:name="UpToHere"/>
            <w:r>
              <w:rPr>
                <w:i/>
                <w:sz w:val="19"/>
              </w:rPr>
              <w:t>Lotteries Commission (Super 66) Amendment Rules (No. 2) 2006</w:t>
            </w:r>
          </w:p>
        </w:tc>
        <w:tc>
          <w:tcPr>
            <w:tcW w:w="1276" w:type="dxa"/>
            <w:tcBorders>
              <w:bottom w:val="single" w:sz="4" w:space="0" w:color="auto"/>
            </w:tcBorders>
          </w:tcPr>
          <w:p>
            <w:pPr>
              <w:pStyle w:val="nTable"/>
              <w:rPr>
                <w:sz w:val="19"/>
              </w:rPr>
            </w:pPr>
            <w:r>
              <w:rPr>
                <w:sz w:val="19"/>
              </w:rPr>
              <w:t>29 Sep 2006 p. 4269-70</w:t>
            </w:r>
          </w:p>
        </w:tc>
        <w:tc>
          <w:tcPr>
            <w:tcW w:w="2693" w:type="dxa"/>
            <w:tcBorders>
              <w:bottom w:val="single" w:sz="4" w:space="0" w:color="auto"/>
            </w:tcBorders>
          </w:tcPr>
          <w:p>
            <w:pPr>
              <w:pStyle w:val="nTable"/>
              <w:rPr>
                <w:sz w:val="19"/>
              </w:rPr>
            </w:pPr>
            <w:r>
              <w:rPr>
                <w:sz w:val="19"/>
              </w:rPr>
              <w:t>29 Sep 2006</w:t>
            </w:r>
          </w:p>
        </w:tc>
      </w:tr>
      <w:bookmarkEnd w:id="192"/>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Summary of parameters within which Super 66 is conducted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204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F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28EF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3024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124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42C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A228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FA97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7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B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70611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2E6CB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3"/>
    <w:docVar w:name="WAFER_20151208095943" w:val="RemoveTrackChanges"/>
    <w:docVar w:name="WAFER_20151208095943_GUID" w:val="2fdb4c00-55fb-47fc-8e18-5233d1dee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4837</Words>
  <Characters>21816</Characters>
  <Application>Microsoft Office Word</Application>
  <DocSecurity>0</DocSecurity>
  <Lines>681</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1996 - 01-d0-03</dc:title>
  <dc:subject/>
  <dc:creator/>
  <cp:keywords/>
  <dc:description/>
  <cp:lastModifiedBy>svcMRProcess</cp:lastModifiedBy>
  <cp:revision>4</cp:revision>
  <cp:lastPrinted>2003-06-27T07:03:00Z</cp:lastPrinted>
  <dcterms:created xsi:type="dcterms:W3CDTF">2015-12-10T08:33:00Z</dcterms:created>
  <dcterms:modified xsi:type="dcterms:W3CDTF">2015-12-10T08:33:00Z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4609</vt:i4>
  </property>
  <property fmtid="{D5CDD505-2E9C-101B-9397-08002B2CF9AE}" pid="6" name="AsAtDate">
    <vt:lpwstr>29 Sep 2006</vt:lpwstr>
  </property>
  <property fmtid="{D5CDD505-2E9C-101B-9397-08002B2CF9AE}" pid="7" name="Suffix">
    <vt:lpwstr>01-d0-03</vt:lpwstr>
  </property>
</Properties>
</file>