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Magistrates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_Toc139276698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_Toc139276699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_Toc139276700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_Toc139276701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_Toc139276702 \h </w:instrText>
      </w:r>
      <w:r>
        <w:fldChar w:fldCharType="separate"/>
      </w:r>
      <w:r>
        <w:t>5</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_Toc139276703 \h </w:instrText>
      </w:r>
      <w:r>
        <w:fldChar w:fldCharType="separate"/>
      </w:r>
      <w:r>
        <w:t>5</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_Toc139276704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Court or registrar may remit fees</w:t>
      </w:r>
      <w:r>
        <w:tab/>
      </w:r>
      <w:r>
        <w:fldChar w:fldCharType="begin"/>
      </w:r>
      <w:r>
        <w:instrText xml:space="preserve"> PAGEREF _Toc139276705 \h </w:instrText>
      </w:r>
      <w:r>
        <w:fldChar w:fldCharType="separate"/>
      </w:r>
      <w:r>
        <w:t>7</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_Toc139276706 \h </w:instrText>
      </w:r>
      <w:r>
        <w:fldChar w:fldCharType="separate"/>
      </w:r>
      <w:r>
        <w:t>9</w:t>
      </w:r>
      <w:r>
        <w:fldChar w:fldCharType="end"/>
      </w:r>
    </w:p>
    <w:p>
      <w:pPr>
        <w:pStyle w:val="TOC8"/>
        <w:rPr>
          <w:sz w:val="24"/>
          <w:szCs w:val="24"/>
        </w:rPr>
      </w:pPr>
      <w:r>
        <w:rPr>
          <w:szCs w:val="24"/>
        </w:rPr>
        <w:t>10.</w:t>
      </w:r>
      <w:r>
        <w:rPr>
          <w:szCs w:val="24"/>
        </w:rPr>
        <w:tab/>
        <w:t>Schedule 1 Division 2 item 5 fee</w:t>
      </w:r>
      <w:r>
        <w:tab/>
      </w:r>
      <w:r>
        <w:fldChar w:fldCharType="begin"/>
      </w:r>
      <w:r>
        <w:instrText xml:space="preserve"> PAGEREF _Toc139276707 \h </w:instrText>
      </w:r>
      <w:r>
        <w:fldChar w:fldCharType="separate"/>
      </w:r>
      <w:r>
        <w:t>9</w:t>
      </w:r>
      <w:r>
        <w:fldChar w:fldCharType="end"/>
      </w:r>
    </w:p>
    <w:p>
      <w:pPr>
        <w:pStyle w:val="TOC8"/>
        <w:rPr>
          <w:sz w:val="24"/>
          <w:szCs w:val="24"/>
        </w:rPr>
      </w:pPr>
      <w:r>
        <w:rPr>
          <w:szCs w:val="24"/>
        </w:rPr>
        <w:t>11.</w:t>
      </w:r>
      <w:r>
        <w:rPr>
          <w:szCs w:val="24"/>
        </w:rPr>
        <w:tab/>
        <w:t>Schedule 1 Division 2 item 6 fee</w:t>
      </w:r>
      <w:r>
        <w:tab/>
      </w:r>
      <w:r>
        <w:fldChar w:fldCharType="begin"/>
      </w:r>
      <w:r>
        <w:instrText xml:space="preserve"> PAGEREF _Toc139276708 \h </w:instrText>
      </w:r>
      <w:r>
        <w:fldChar w:fldCharType="separate"/>
      </w:r>
      <w:r>
        <w:t>10</w:t>
      </w:r>
      <w:r>
        <w:fldChar w:fldCharType="end"/>
      </w:r>
    </w:p>
    <w:p>
      <w:pPr>
        <w:pStyle w:val="TOC8"/>
        <w:rPr>
          <w:sz w:val="24"/>
          <w:szCs w:val="24"/>
        </w:rPr>
      </w:pPr>
      <w:r>
        <w:rPr>
          <w:szCs w:val="24"/>
        </w:rPr>
        <w:t>12.</w:t>
      </w:r>
      <w:r>
        <w:rPr>
          <w:szCs w:val="24"/>
        </w:rPr>
        <w:tab/>
        <w:t>Searchable information</w:t>
      </w:r>
      <w:r>
        <w:tab/>
      </w:r>
      <w:r>
        <w:fldChar w:fldCharType="begin"/>
      </w:r>
      <w:r>
        <w:instrText xml:space="preserve"> PAGEREF _Toc139276709 \h </w:instrText>
      </w:r>
      <w:r>
        <w:fldChar w:fldCharType="separate"/>
      </w:r>
      <w:r>
        <w:t>10</w:t>
      </w:r>
      <w:r>
        <w:fldChar w:fldCharType="end"/>
      </w:r>
    </w:p>
    <w:p>
      <w:pPr>
        <w:pStyle w:val="TOC8"/>
        <w:rPr>
          <w:sz w:val="24"/>
          <w:szCs w:val="24"/>
        </w:rPr>
      </w:pPr>
      <w:r>
        <w:rPr>
          <w:szCs w:val="24"/>
        </w:rPr>
        <w:t>13.</w:t>
      </w:r>
      <w:r>
        <w:rPr>
          <w:szCs w:val="24"/>
        </w:rPr>
        <w:tab/>
        <w:t>Resolution of disputes as to fees</w:t>
      </w:r>
      <w:r>
        <w:tab/>
      </w:r>
      <w:r>
        <w:fldChar w:fldCharType="begin"/>
      </w:r>
      <w:r>
        <w:instrText xml:space="preserve"> PAGEREF _Toc139276710 \h </w:instrText>
      </w:r>
      <w:r>
        <w:fldChar w:fldCharType="separate"/>
      </w:r>
      <w:r>
        <w:t>11</w:t>
      </w:r>
      <w:r>
        <w:fldChar w:fldCharType="end"/>
      </w:r>
    </w:p>
    <w:p>
      <w:pPr>
        <w:pStyle w:val="TOC8"/>
        <w:rPr>
          <w:sz w:val="24"/>
          <w:szCs w:val="24"/>
        </w:rPr>
      </w:pPr>
      <w:r>
        <w:rPr>
          <w:szCs w:val="24"/>
        </w:rPr>
        <w:t>14.</w:t>
      </w:r>
      <w:r>
        <w:rPr>
          <w:szCs w:val="24"/>
        </w:rPr>
        <w:tab/>
        <w:t>Recovery of unpaid fees</w:t>
      </w:r>
      <w:r>
        <w:tab/>
      </w:r>
      <w:r>
        <w:fldChar w:fldCharType="begin"/>
      </w:r>
      <w:r>
        <w:instrText xml:space="preserve"> PAGEREF _Toc139276711 \h </w:instrText>
      </w:r>
      <w:r>
        <w:fldChar w:fldCharType="separate"/>
      </w:r>
      <w:r>
        <w:t>11</w:t>
      </w:r>
      <w:r>
        <w:fldChar w:fldCharType="end"/>
      </w:r>
    </w:p>
    <w:p>
      <w:pPr>
        <w:pStyle w:val="TOC8"/>
        <w:rPr>
          <w:sz w:val="24"/>
          <w:szCs w:val="24"/>
        </w:rPr>
      </w:pPr>
      <w:r>
        <w:rPr>
          <w:szCs w:val="24"/>
        </w:rPr>
        <w:t>15.</w:t>
      </w:r>
      <w:r>
        <w:rPr>
          <w:szCs w:val="24"/>
        </w:rPr>
        <w:tab/>
        <w:t>Transitional</w:t>
      </w:r>
      <w:r>
        <w:tab/>
      </w:r>
      <w:r>
        <w:fldChar w:fldCharType="begin"/>
      </w:r>
      <w:r>
        <w:instrText xml:space="preserve"> PAGEREF _Toc139276712 \h </w:instrText>
      </w:r>
      <w:r>
        <w:fldChar w:fldCharType="separate"/>
      </w:r>
      <w:r>
        <w:t>11</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Declaration that a person is a small business or a non</w:t>
      </w:r>
      <w:r>
        <w:rPr>
          <w:szCs w:val="22"/>
        </w:rPr>
        <w:noBreakHyphen/>
        <w:t>profit association</w:t>
      </w:r>
      <w:r>
        <w:tab/>
      </w:r>
      <w:r>
        <w:fldChar w:fldCharType="begin"/>
      </w:r>
      <w:r>
        <w:instrText xml:space="preserve"> PAGEREF _Toc139276718 \h </w:instrText>
      </w:r>
      <w:r>
        <w:fldChar w:fldCharType="separate"/>
      </w:r>
      <w:r>
        <w:t>21</w:t>
      </w:r>
      <w:r>
        <w:fldChar w:fldCharType="end"/>
      </w:r>
    </w:p>
    <w:p>
      <w:pPr>
        <w:pStyle w:val="TOC8"/>
        <w:rPr>
          <w:sz w:val="24"/>
          <w:szCs w:val="24"/>
        </w:rPr>
      </w:pPr>
      <w:r>
        <w:rPr>
          <w:szCs w:val="22"/>
        </w:rPr>
        <w:t>2.</w:t>
      </w:r>
      <w:r>
        <w:rPr>
          <w:szCs w:val="22"/>
        </w:rPr>
        <w:tab/>
        <w:t>Application to remit fees</w:t>
      </w:r>
      <w:r>
        <w:tab/>
      </w:r>
      <w:r>
        <w:fldChar w:fldCharType="begin"/>
      </w:r>
      <w:r>
        <w:instrText xml:space="preserve"> PAGEREF _Toc139276719 \h </w:instrText>
      </w:r>
      <w:r>
        <w:fldChar w:fldCharType="separate"/>
      </w:r>
      <w:r>
        <w:t>22</w:t>
      </w:r>
      <w:r>
        <w:fldChar w:fldCharType="end"/>
      </w:r>
    </w:p>
    <w:p>
      <w:pPr>
        <w:pStyle w:val="TOC8"/>
        <w:rPr>
          <w:sz w:val="24"/>
          <w:szCs w:val="24"/>
        </w:rPr>
      </w:pPr>
      <w:r>
        <w:rPr>
          <w:szCs w:val="22"/>
        </w:rPr>
        <w:t>3.</w:t>
      </w:r>
      <w:r>
        <w:rPr>
          <w:szCs w:val="22"/>
        </w:rPr>
        <w:tab/>
        <w:t>Application for determination of dispute about fees</w:t>
      </w:r>
      <w:r>
        <w:tab/>
      </w:r>
      <w:r>
        <w:fldChar w:fldCharType="begin"/>
      </w:r>
      <w:r>
        <w:instrText xml:space="preserve"> PAGEREF _Toc139276720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_Toc139276722 \h </w:instrText>
      </w:r>
      <w:r>
        <w:fldChar w:fldCharType="separate"/>
      </w:r>
      <w:r>
        <w:t>27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139276698"/>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13927669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9" w:name="_Toc96402830"/>
      <w:bookmarkStart w:id="20" w:name="_Toc100631318"/>
      <w:bookmarkStart w:id="21" w:name="_Toc102451447"/>
      <w:bookmarkStart w:id="22" w:name="_Toc139276700"/>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t>“</w:t>
      </w:r>
      <w:r>
        <w:rPr>
          <w:rStyle w:val="CharDefText"/>
        </w:rPr>
        <w:t>case statement</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claimant</w:t>
      </w:r>
      <w:r>
        <w:rPr>
          <w:b/>
        </w:rPr>
        <w:t>”</w:t>
      </w:r>
      <w:r>
        <w:t xml:space="preserve"> means a person who commences a case as defined in the </w:t>
      </w:r>
      <w:r>
        <w:rPr>
          <w:i/>
        </w:rPr>
        <w:t>Magistrates Court (Civil Proceedings) Act 2004</w:t>
      </w:r>
      <w:r>
        <w:t xml:space="preserve"> section 3(1);</w:t>
      </w:r>
    </w:p>
    <w:p>
      <w:pPr>
        <w:pStyle w:val="Defstart"/>
      </w:pPr>
      <w:r>
        <w:tab/>
      </w:r>
      <w:r>
        <w:rPr>
          <w:b/>
        </w:rPr>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counterclaim</w:t>
      </w:r>
      <w:r>
        <w:rPr>
          <w:b/>
        </w:rPr>
        <w:t>”</w:t>
      </w:r>
      <w:r>
        <w:t xml:space="preserve"> has the meaning given to that term in the </w:t>
      </w:r>
      <w:r>
        <w:rPr>
          <w:i/>
        </w:rPr>
        <w:t>Magistrates Court (Civil Proceedings) Act 2004</w:t>
      </w:r>
      <w:r>
        <w:t xml:space="preserve"> section 9(1);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minor cases procedure</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party</w:t>
      </w:r>
      <w:r>
        <w:rPr>
          <w:b/>
        </w:rPr>
        <w:t>”</w:t>
      </w:r>
      <w:r>
        <w:t xml:space="preserve"> means a party to a case as defined in the </w:t>
      </w:r>
      <w:r>
        <w:rPr>
          <w:i/>
        </w:rPr>
        <w:t>Magistrates Court (Civil Proceedings) Act 2004</w:t>
      </w:r>
      <w:r>
        <w:t xml:space="preserve"> section 3(1);</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Defstart"/>
      </w:pPr>
      <w:r>
        <w:tab/>
      </w:r>
      <w:r>
        <w:rPr>
          <w:b/>
        </w:rPr>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b/>
        </w:rPr>
        <w:t>“</w:t>
      </w:r>
      <w:r>
        <w:rPr>
          <w:rStyle w:val="CharDefText"/>
        </w:rPr>
        <w:t>subsidiary</w:t>
      </w:r>
      <w:r>
        <w:rPr>
          <w:b/>
        </w:rPr>
        <w:t>”</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139276701"/>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139276702"/>
      <w:r>
        <w:rPr>
          <w:rStyle w:val="CharSectno"/>
        </w:rPr>
        <w:t>5</w:t>
      </w:r>
      <w:r>
        <w:t>.</w:t>
      </w:r>
      <w:r>
        <w:tab/>
      </w:r>
      <w:r>
        <w:rPr>
          <w:snapToGrid w:val="0"/>
        </w:rPr>
        <w:t>Exemptions</w:t>
      </w:r>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5" w:name="_Toc100631321"/>
      <w:bookmarkStart w:id="46" w:name="_Toc102451450"/>
      <w:bookmarkStart w:id="47" w:name="_Toc139276703"/>
      <w:r>
        <w:rPr>
          <w:rStyle w:val="CharSectno"/>
        </w:rPr>
        <w:t>6</w:t>
      </w:r>
      <w:r>
        <w:t>.</w:t>
      </w:r>
      <w:r>
        <w:tab/>
        <w:t>Fees subject to conditions or waiver</w:t>
      </w:r>
      <w:bookmarkEnd w:id="45"/>
      <w:bookmarkEnd w:id="46"/>
      <w:bookmarkEnd w:id="47"/>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139276704"/>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139276705"/>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Heading5"/>
        <w:rPr>
          <w:snapToGrid w:val="0"/>
        </w:rPr>
      </w:pPr>
      <w:bookmarkStart w:id="76" w:name="_Toc61252563"/>
      <w:bookmarkStart w:id="77" w:name="_Toc96402835"/>
      <w:bookmarkStart w:id="78" w:name="_Toc100631324"/>
      <w:bookmarkStart w:id="79" w:name="_Toc102451453"/>
      <w:bookmarkStart w:id="80" w:name="_Toc139276706"/>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139276707"/>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139276708"/>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100631327"/>
      <w:bookmarkStart w:id="94" w:name="_Toc102451456"/>
      <w:bookmarkStart w:id="95" w:name="_Toc139276709"/>
      <w:r>
        <w:rPr>
          <w:rStyle w:val="CharSectno"/>
        </w:rPr>
        <w:t>12</w:t>
      </w:r>
      <w:r>
        <w:t>.</w:t>
      </w:r>
      <w:r>
        <w:tab/>
        <w:t>Searchable information</w:t>
      </w:r>
      <w:bookmarkEnd w:id="93"/>
      <w:bookmarkEnd w:id="94"/>
      <w:bookmarkEnd w:id="95"/>
    </w:p>
    <w:p>
      <w:pPr>
        <w:pStyle w:val="Subsection"/>
      </w:pPr>
      <w:r>
        <w:tab/>
        <w:t>(1)</w:t>
      </w:r>
      <w:r>
        <w:tab/>
        <w:t xml:space="preserve">In this regulation and Schedule 1 Division 1 items 4 and 5 — </w:t>
      </w:r>
    </w:p>
    <w:p>
      <w:pPr>
        <w:pStyle w:val="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Defstart"/>
      </w:pPr>
      <w:r>
        <w:rPr>
          <w:b/>
        </w:rPr>
        <w:tab/>
        <w:t>“</w:t>
      </w:r>
      <w:r>
        <w:rPr>
          <w:rStyle w:val="CharDefText"/>
        </w:rPr>
        <w:t>searchable information</w:t>
      </w:r>
      <w:r>
        <w:rPr>
          <w:b/>
        </w:rPr>
        <w:t>”</w:t>
      </w:r>
      <w:r>
        <w:t xml:space="preserve">, in relation to a case in the Court’s civil jurisdiction, means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 and</w:t>
      </w:r>
    </w:p>
    <w:p>
      <w:pPr>
        <w:pStyle w:val="Defpara"/>
      </w:pPr>
      <w:r>
        <w:tab/>
        <w:t>(d)</w:t>
      </w:r>
      <w:r>
        <w:tab/>
        <w:t>whether the case has been discontinued.</w:t>
      </w:r>
    </w:p>
    <w:p>
      <w:pPr>
        <w:pStyle w:val="Subsection"/>
      </w:pPr>
      <w:r>
        <w:tab/>
        <w:t>(2)</w:t>
      </w:r>
      <w:r>
        <w:tab/>
        <w:t>Except as provided in subregulation (4), a registrar must on each working day provide an approved recipient with such searchable information that has not already been provided to the recipient in relation to each case in the Court’s civil jurisdiction.</w:t>
      </w:r>
    </w:p>
    <w:p>
      <w:pPr>
        <w:pStyle w:val="Subsection"/>
      </w:pPr>
      <w:r>
        <w:tab/>
        <w:t>(3)</w:t>
      </w:r>
      <w:r>
        <w:tab/>
        <w:t>An approved recipient to whom information has been provided under subregulation (2) is liable to a fee in the amount referred to in Schedule 1 Division 1 item 5(a) for each case specified in the information.</w:t>
      </w:r>
    </w:p>
    <w:p>
      <w:pPr>
        <w:pStyle w:val="Subsection"/>
      </w:pPr>
      <w:r>
        <w:tab/>
        <w:t>(4)</w:t>
      </w:r>
      <w:r>
        <w:tab/>
        <w:t>If suitable facilities exist at the Court to enable searchable information to be provided by email, then the information must not be provided except by email to an approved recipient who has paid the annual fee referred to in Schedule 1 Division 1 item 5(b).</w:t>
      </w:r>
    </w:p>
    <w:p>
      <w:pPr>
        <w:pStyle w:val="Subsection"/>
      </w:pPr>
      <w:r>
        <w:tab/>
        <w:t>(5)</w:t>
      </w:r>
      <w:r>
        <w:tab/>
        <w: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t>
      </w:r>
    </w:p>
    <w:p>
      <w:pPr>
        <w:pStyle w:val="Heading5"/>
      </w:pPr>
      <w:bookmarkStart w:id="96" w:name="_Toc96398500"/>
      <w:bookmarkStart w:id="97" w:name="_Toc100631328"/>
      <w:bookmarkStart w:id="98" w:name="_Toc102451457"/>
      <w:bookmarkStart w:id="99" w:name="_Toc139276710"/>
      <w:r>
        <w:rPr>
          <w:rStyle w:val="CharSectno"/>
        </w:rPr>
        <w:t>13</w:t>
      </w:r>
      <w:r>
        <w:t>.</w:t>
      </w:r>
      <w:r>
        <w:tab/>
        <w:t>Resolution of disputes as to fees</w:t>
      </w:r>
      <w:bookmarkEnd w:id="96"/>
      <w:bookmarkEnd w:id="97"/>
      <w:bookmarkEnd w:id="98"/>
      <w:bookmarkEnd w:id="9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00" w:name="_Toc100631329"/>
      <w:bookmarkStart w:id="101" w:name="_Toc102451458"/>
      <w:bookmarkStart w:id="102" w:name="_Toc139276711"/>
      <w:r>
        <w:rPr>
          <w:rStyle w:val="CharSectno"/>
        </w:rPr>
        <w:t>14</w:t>
      </w:r>
      <w:r>
        <w:t>.</w:t>
      </w:r>
      <w:r>
        <w:tab/>
        <w:t>Recovery of unpaid fees</w:t>
      </w:r>
      <w:bookmarkEnd w:id="100"/>
      <w:bookmarkEnd w:id="101"/>
      <w:bookmarkEnd w:id="102"/>
    </w:p>
    <w:p>
      <w:pPr>
        <w:pStyle w:val="Subsection"/>
      </w:pPr>
      <w:r>
        <w:tab/>
      </w:r>
      <w:r>
        <w:tab/>
        <w:t>Any unpaid fee is a debt due to the State and may be recovered by action in a court of competent jurisdiction.</w:t>
      </w:r>
    </w:p>
    <w:p>
      <w:pPr>
        <w:pStyle w:val="Heading5"/>
      </w:pPr>
      <w:bookmarkStart w:id="103" w:name="_Toc533482764"/>
      <w:bookmarkStart w:id="104" w:name="_Toc61252567"/>
      <w:bookmarkStart w:id="105" w:name="_Toc96402839"/>
      <w:bookmarkStart w:id="106" w:name="_Toc100631330"/>
      <w:bookmarkStart w:id="107" w:name="_Toc102451459"/>
      <w:bookmarkStart w:id="108" w:name="_Toc139276712"/>
      <w:r>
        <w:rPr>
          <w:rStyle w:val="CharSectno"/>
        </w:rPr>
        <w:t>15</w:t>
      </w:r>
      <w:r>
        <w:t>.</w:t>
      </w:r>
      <w:r>
        <w:tab/>
        <w:t>Transitional</w:t>
      </w:r>
      <w:bookmarkEnd w:id="103"/>
      <w:bookmarkEnd w:id="104"/>
      <w:bookmarkEnd w:id="105"/>
      <w:bookmarkEnd w:id="106"/>
      <w:bookmarkEnd w:id="107"/>
      <w:bookmarkEnd w:id="10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9" w:name="_Toc100631331"/>
      <w:bookmarkStart w:id="110" w:name="_Toc102451460"/>
    </w:p>
    <w:p>
      <w:pPr>
        <w:pStyle w:val="yScheduleHeading"/>
      </w:pPr>
      <w:bookmarkStart w:id="111" w:name="_Toc139104715"/>
      <w:bookmarkStart w:id="112" w:name="_Toc139276713"/>
      <w:r>
        <w:rPr>
          <w:rStyle w:val="CharSchNo"/>
        </w:rPr>
        <w:t>Schedule 1</w:t>
      </w:r>
      <w:r>
        <w:t xml:space="preserve"> — </w:t>
      </w:r>
      <w:r>
        <w:rPr>
          <w:rStyle w:val="CharSchText"/>
        </w:rPr>
        <w:t>Fees</w:t>
      </w:r>
      <w:bookmarkEnd w:id="109"/>
      <w:bookmarkEnd w:id="110"/>
      <w:bookmarkEnd w:id="111"/>
      <w:bookmarkEnd w:id="112"/>
    </w:p>
    <w:p>
      <w:pPr>
        <w:pStyle w:val="yShoulderClause"/>
        <w:spacing w:after="360"/>
      </w:pPr>
      <w:r>
        <w:t>[r. 4]</w:t>
      </w:r>
    </w:p>
    <w:p>
      <w:pPr>
        <w:pStyle w:val="yHeading3"/>
        <w:spacing w:before="120" w:after="120"/>
      </w:pPr>
      <w:bookmarkStart w:id="113" w:name="_Toc100631332"/>
      <w:bookmarkStart w:id="114" w:name="_Toc102451461"/>
      <w:bookmarkStart w:id="115" w:name="_Toc139104716"/>
      <w:bookmarkStart w:id="116" w:name="_Toc139276714"/>
      <w:r>
        <w:rPr>
          <w:rStyle w:val="CharSDivNo"/>
        </w:rPr>
        <w:t>Division 1</w:t>
      </w:r>
      <w:r>
        <w:rPr>
          <w:b w:val="0"/>
        </w:rPr>
        <w:t> — </w:t>
      </w:r>
      <w:r>
        <w:rPr>
          <w:rStyle w:val="CharSDivText"/>
        </w:rPr>
        <w:t>General</w:t>
      </w:r>
      <w:bookmarkEnd w:id="113"/>
      <w:bookmarkEnd w:id="114"/>
      <w:bookmarkEnd w:id="115"/>
      <w:bookmarkEnd w:id="116"/>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39.50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1.00</w:t>
            </w:r>
          </w:p>
          <w:p>
            <w:pPr>
              <w:pStyle w:val="yTable"/>
              <w:spacing w:before="0"/>
              <w:ind w:right="601"/>
              <w:jc w:val="right"/>
              <w:rPr>
                <w:sz w:val="20"/>
              </w:rPr>
            </w:pPr>
            <w:r>
              <w:rPr>
                <w:sz w:val="20"/>
              </w:rPr>
              <w:br/>
              <w:t>1.10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23.00</w:t>
            </w:r>
          </w:p>
          <w:p>
            <w:pPr>
              <w:pStyle w:val="yTable"/>
              <w:ind w:right="601"/>
              <w:jc w:val="right"/>
              <w:rPr>
                <w:sz w:val="20"/>
              </w:rPr>
            </w:pPr>
            <w:r>
              <w:rPr>
                <w:sz w:val="20"/>
              </w:rPr>
              <w:br/>
            </w:r>
            <w:r>
              <w:rPr>
                <w:sz w:val="20"/>
              </w:rPr>
              <w:br/>
            </w:r>
            <w:r>
              <w:rPr>
                <w:sz w:val="20"/>
              </w:rPr>
              <w:br/>
              <w:t>23.00</w:t>
            </w:r>
          </w:p>
          <w:p>
            <w:pPr>
              <w:pStyle w:val="yTable"/>
              <w:spacing w:before="0"/>
              <w:ind w:right="601"/>
              <w:jc w:val="right"/>
              <w:rPr>
                <w:sz w:val="20"/>
              </w:rPr>
            </w:pPr>
            <w:r>
              <w:rPr>
                <w:sz w:val="20"/>
              </w:rPr>
              <w:br/>
              <w:t>57.00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No fee is payable under item 4(a) for a search made by an approved recipient of searchable information provided to it under regulation 12.</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34" w:hanging="34"/>
              <w:rPr>
                <w:sz w:val="20"/>
              </w:rPr>
            </w:pPr>
            <w:r>
              <w:rPr>
                <w:sz w:val="20"/>
              </w:rPr>
              <w:t>For provision of searchable information to approved recipients under regulation </w:t>
            </w:r>
            <w:r>
              <w:t xml:space="preserve">12 — </w:t>
            </w:r>
          </w:p>
          <w:p>
            <w:pPr>
              <w:pStyle w:val="yTable"/>
              <w:tabs>
                <w:tab w:val="left" w:pos="176"/>
                <w:tab w:val="left" w:pos="601"/>
              </w:tabs>
              <w:ind w:left="601" w:hanging="601"/>
              <w:rPr>
                <w:sz w:val="20"/>
              </w:rPr>
            </w:pPr>
            <w:r>
              <w:rPr>
                <w:sz w:val="20"/>
              </w:rPr>
              <w:tab/>
              <w:t>(a)</w:t>
            </w:r>
            <w:r>
              <w:rPr>
                <w:sz w:val="20"/>
              </w:rPr>
              <w:tab/>
              <w:t>fee per civil case provided to approved recipient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t>1.00</w:t>
            </w:r>
          </w:p>
          <w:p>
            <w:pPr>
              <w:pStyle w:val="yTable"/>
              <w:ind w:right="601"/>
              <w:jc w:val="right"/>
              <w:rPr>
                <w:sz w:val="20"/>
              </w:rPr>
            </w:pPr>
            <w:r>
              <w:rPr>
                <w:sz w:val="20"/>
              </w:rPr>
              <w:br/>
              <w:t>33 075.00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34.00</w:t>
            </w:r>
          </w:p>
          <w:p>
            <w:pPr>
              <w:pStyle w:val="yTable"/>
              <w:ind w:right="601"/>
              <w:jc w:val="right"/>
              <w:rPr>
                <w:sz w:val="20"/>
              </w:rPr>
            </w:pPr>
            <w:r>
              <w:rPr>
                <w:sz w:val="20"/>
              </w:rPr>
              <w:br/>
            </w:r>
            <w:r>
              <w:rPr>
                <w:sz w:val="20"/>
              </w:rPr>
              <w:br/>
            </w:r>
            <w:r>
              <w:rPr>
                <w:sz w:val="20"/>
              </w:rPr>
              <w:br/>
            </w:r>
            <w:r>
              <w:rPr>
                <w:sz w:val="20"/>
              </w:rPr>
              <w:br/>
            </w:r>
            <w:r>
              <w:rPr>
                <w:sz w:val="20"/>
              </w:rPr>
              <w:br/>
            </w:r>
            <w:r>
              <w:rPr>
                <w:sz w:val="20"/>
              </w:rPr>
              <w:br/>
              <w:t>57.00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8.00</w:t>
            </w:r>
          </w:p>
          <w:p>
            <w:pPr>
              <w:pStyle w:val="yTable"/>
              <w:ind w:right="601"/>
              <w:jc w:val="right"/>
              <w:rPr>
                <w:sz w:val="20"/>
              </w:rPr>
            </w:pPr>
            <w:r>
              <w:rPr>
                <w:sz w:val="20"/>
              </w:rPr>
              <w:br/>
            </w:r>
            <w:r>
              <w:rPr>
                <w:sz w:val="20"/>
              </w:rPr>
              <w:br/>
              <w:t>1.00</w:t>
            </w:r>
          </w:p>
          <w:p>
            <w:pPr>
              <w:pStyle w:val="yTable"/>
              <w:ind w:right="601"/>
              <w:jc w:val="right"/>
              <w:rPr>
                <w:sz w:val="20"/>
              </w:rPr>
            </w:pPr>
            <w:r>
              <w:rPr>
                <w:sz w:val="20"/>
              </w:rPr>
              <w:br/>
              <w:t>11.00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4.50</w:t>
            </w:r>
          </w:p>
          <w:p>
            <w:pPr>
              <w:pStyle w:val="yTable"/>
              <w:ind w:right="601"/>
              <w:jc w:val="right"/>
              <w:rPr>
                <w:sz w:val="20"/>
              </w:rPr>
            </w:pPr>
            <w:r>
              <w:rPr>
                <w:sz w:val="20"/>
              </w:rPr>
              <w:br/>
            </w:r>
            <w:r>
              <w:rPr>
                <w:sz w:val="20"/>
              </w:rPr>
              <w:br/>
            </w:r>
            <w:r>
              <w:rPr>
                <w:sz w:val="20"/>
              </w:rPr>
              <w:br/>
            </w:r>
            <w:r>
              <w:rPr>
                <w:sz w:val="20"/>
              </w:rPr>
              <w:br/>
              <w:t>11.00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$16.00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w:t>
      </w:r>
    </w:p>
    <w:p>
      <w:pPr>
        <w:pStyle w:val="yHeading3"/>
        <w:spacing w:after="240"/>
      </w:pPr>
      <w:bookmarkStart w:id="117" w:name="_Toc100631333"/>
      <w:bookmarkStart w:id="118" w:name="_Toc102451462"/>
      <w:bookmarkStart w:id="119" w:name="_Toc139104717"/>
      <w:bookmarkStart w:id="120" w:name="_Toc139276715"/>
      <w:r>
        <w:rPr>
          <w:rStyle w:val="CharSDivNo"/>
        </w:rPr>
        <w:t>Division 2</w:t>
      </w:r>
      <w:r>
        <w:rPr>
          <w:b w:val="0"/>
        </w:rPr>
        <w:t> — </w:t>
      </w:r>
      <w:r>
        <w:rPr>
          <w:rStyle w:val="CharSDivText"/>
        </w:rPr>
        <w:t>Civil jurisdiction</w:t>
      </w:r>
      <w:bookmarkEnd w:id="117"/>
      <w:bookmarkEnd w:id="118"/>
      <w:bookmarkEnd w:id="119"/>
      <w:bookmarkEnd w:id="120"/>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18"/>
              </w:rPr>
            </w:pPr>
            <w:r>
              <w:rPr>
                <w:sz w:val="18"/>
              </w:rPr>
              <w:br/>
            </w:r>
            <w:r>
              <w:rPr>
                <w:sz w:val="18"/>
              </w:rPr>
              <w:br/>
            </w:r>
            <w:r>
              <w:rPr>
                <w:sz w:val="18"/>
              </w:rPr>
              <w:br/>
            </w:r>
            <w:r>
              <w:rPr>
                <w:sz w:val="18"/>
              </w:rPr>
              <w:br/>
            </w:r>
            <w:r>
              <w:rPr>
                <w:sz w:val="18"/>
              </w:rPr>
              <w:br/>
              <w:t>66.00</w:t>
            </w:r>
          </w:p>
        </w:tc>
        <w:tc>
          <w:tcPr>
            <w:tcW w:w="770" w:type="dxa"/>
          </w:tcPr>
          <w:p>
            <w:pPr>
              <w:pStyle w:val="yTable"/>
              <w:jc w:val="center"/>
              <w:rPr>
                <w:sz w:val="18"/>
              </w:rPr>
            </w:pPr>
            <w:r>
              <w:rPr>
                <w:sz w:val="18"/>
              </w:rPr>
              <w:br/>
            </w:r>
            <w:r>
              <w:rPr>
                <w:sz w:val="18"/>
              </w:rPr>
              <w:br/>
            </w:r>
            <w:r>
              <w:rPr>
                <w:sz w:val="18"/>
              </w:rPr>
              <w:br/>
            </w:r>
            <w:r>
              <w:rPr>
                <w:sz w:val="18"/>
              </w:rPr>
              <w:br/>
            </w:r>
            <w:r>
              <w:rPr>
                <w:sz w:val="18"/>
              </w:rPr>
              <w:br/>
              <w:t>100.00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t>169.00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t>254.00</w:t>
            </w:r>
          </w:p>
        </w:tc>
        <w:tc>
          <w:tcPr>
            <w:tcW w:w="783" w:type="dxa"/>
          </w:tcPr>
          <w:p>
            <w:pPr>
              <w:pStyle w:val="yTable"/>
              <w:jc w:val="center"/>
              <w:rPr>
                <w:sz w:val="18"/>
              </w:rPr>
            </w:pPr>
            <w:r>
              <w:rPr>
                <w:sz w:val="18"/>
              </w:rPr>
              <w:br/>
            </w:r>
            <w:r>
              <w:rPr>
                <w:sz w:val="18"/>
              </w:rPr>
              <w:br/>
            </w:r>
            <w:r>
              <w:rPr>
                <w:sz w:val="18"/>
              </w:rPr>
              <w:br/>
            </w:r>
            <w:r>
              <w:rPr>
                <w:sz w:val="18"/>
              </w:rPr>
              <w:br/>
            </w:r>
            <w:r>
              <w:rPr>
                <w:sz w:val="18"/>
              </w:rPr>
              <w:br/>
              <w:t>270.00</w:t>
            </w:r>
          </w:p>
        </w:tc>
        <w:tc>
          <w:tcPr>
            <w:tcW w:w="798" w:type="dxa"/>
          </w:tcPr>
          <w:p>
            <w:pPr>
              <w:pStyle w:val="yTable"/>
              <w:jc w:val="center"/>
              <w:rPr>
                <w:sz w:val="18"/>
              </w:rPr>
            </w:pPr>
            <w:r>
              <w:rPr>
                <w:sz w:val="18"/>
              </w:rPr>
              <w:br/>
            </w:r>
            <w:r>
              <w:rPr>
                <w:sz w:val="18"/>
              </w:rPr>
              <w:br/>
            </w:r>
            <w:r>
              <w:rPr>
                <w:sz w:val="18"/>
              </w:rPr>
              <w:br/>
            </w:r>
            <w:r>
              <w:rPr>
                <w:sz w:val="18"/>
              </w:rPr>
              <w:br/>
            </w:r>
            <w:r>
              <w:rPr>
                <w:sz w:val="18"/>
              </w:rPr>
              <w:br/>
              <w:t>405.00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43.00</w:t>
            </w:r>
          </w:p>
        </w:tc>
        <w:tc>
          <w:tcPr>
            <w:tcW w:w="770"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64.50</w:t>
            </w:r>
          </w:p>
        </w:tc>
        <w:tc>
          <w:tcPr>
            <w:tcW w:w="854"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78.50</w:t>
            </w:r>
          </w:p>
        </w:tc>
        <w:tc>
          <w:tcPr>
            <w:tcW w:w="857"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102.00</w:t>
            </w:r>
          </w:p>
        </w:tc>
        <w:tc>
          <w:tcPr>
            <w:tcW w:w="783"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125.00</w:t>
            </w:r>
          </w:p>
        </w:tc>
        <w:tc>
          <w:tcPr>
            <w:tcW w:w="798"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161.50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18"/>
              </w:rPr>
            </w:pPr>
            <w:r>
              <w:rPr>
                <w:sz w:val="18"/>
              </w:rPr>
              <w:br/>
              <w:t>22.00</w:t>
            </w:r>
          </w:p>
        </w:tc>
        <w:tc>
          <w:tcPr>
            <w:tcW w:w="770" w:type="dxa"/>
          </w:tcPr>
          <w:p>
            <w:pPr>
              <w:pStyle w:val="yTable"/>
              <w:jc w:val="center"/>
              <w:rPr>
                <w:sz w:val="18"/>
              </w:rPr>
            </w:pPr>
            <w:r>
              <w:rPr>
                <w:sz w:val="18"/>
              </w:rPr>
              <w:br/>
              <w:t>44.00</w:t>
            </w:r>
          </w:p>
        </w:tc>
        <w:tc>
          <w:tcPr>
            <w:tcW w:w="854" w:type="dxa"/>
            <w:gridSpan w:val="2"/>
          </w:tcPr>
          <w:p>
            <w:pPr>
              <w:pStyle w:val="yTable"/>
              <w:jc w:val="center"/>
              <w:rPr>
                <w:sz w:val="18"/>
              </w:rPr>
            </w:pPr>
            <w:r>
              <w:rPr>
                <w:sz w:val="18"/>
              </w:rPr>
              <w:br/>
              <w:t>33.50</w:t>
            </w:r>
          </w:p>
        </w:tc>
        <w:tc>
          <w:tcPr>
            <w:tcW w:w="857" w:type="dxa"/>
            <w:gridSpan w:val="2"/>
          </w:tcPr>
          <w:p>
            <w:pPr>
              <w:pStyle w:val="yTable"/>
              <w:jc w:val="center"/>
              <w:rPr>
                <w:sz w:val="18"/>
              </w:rPr>
            </w:pPr>
            <w:r>
              <w:rPr>
                <w:sz w:val="18"/>
              </w:rPr>
              <w:br/>
              <w:t>67.00</w:t>
            </w:r>
          </w:p>
        </w:tc>
        <w:tc>
          <w:tcPr>
            <w:tcW w:w="783" w:type="dxa"/>
          </w:tcPr>
          <w:p>
            <w:pPr>
              <w:pStyle w:val="yTable"/>
              <w:jc w:val="center"/>
              <w:rPr>
                <w:sz w:val="18"/>
              </w:rPr>
            </w:pPr>
            <w:r>
              <w:rPr>
                <w:sz w:val="18"/>
              </w:rPr>
              <w:br/>
              <w:t>45.00</w:t>
            </w:r>
          </w:p>
        </w:tc>
        <w:tc>
          <w:tcPr>
            <w:tcW w:w="798" w:type="dxa"/>
          </w:tcPr>
          <w:p>
            <w:pPr>
              <w:pStyle w:val="yTable"/>
              <w:jc w:val="center"/>
              <w:rPr>
                <w:sz w:val="18"/>
              </w:rPr>
            </w:pPr>
            <w:r>
              <w:rPr>
                <w:sz w:val="18"/>
              </w:rPr>
              <w:br/>
              <w:t>90.00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18"/>
              </w:rPr>
            </w:pPr>
            <w:r>
              <w:rPr>
                <w:sz w:val="18"/>
              </w:rPr>
              <w:br/>
              <w:t>105.00</w:t>
            </w:r>
          </w:p>
        </w:tc>
        <w:tc>
          <w:tcPr>
            <w:tcW w:w="770" w:type="dxa"/>
          </w:tcPr>
          <w:p>
            <w:pPr>
              <w:pStyle w:val="yTable"/>
              <w:jc w:val="center"/>
              <w:rPr>
                <w:sz w:val="18"/>
              </w:rPr>
            </w:pPr>
            <w:r>
              <w:rPr>
                <w:sz w:val="18"/>
              </w:rPr>
              <w:br/>
              <w:t>157.50</w:t>
            </w:r>
          </w:p>
        </w:tc>
        <w:tc>
          <w:tcPr>
            <w:tcW w:w="854" w:type="dxa"/>
            <w:gridSpan w:val="2"/>
          </w:tcPr>
          <w:p>
            <w:pPr>
              <w:pStyle w:val="yTable"/>
              <w:jc w:val="center"/>
              <w:rPr>
                <w:sz w:val="18"/>
              </w:rPr>
            </w:pPr>
            <w:r>
              <w:rPr>
                <w:sz w:val="18"/>
              </w:rPr>
              <w:br/>
              <w:t>190.00</w:t>
            </w:r>
          </w:p>
        </w:tc>
        <w:tc>
          <w:tcPr>
            <w:tcW w:w="857" w:type="dxa"/>
            <w:gridSpan w:val="2"/>
          </w:tcPr>
          <w:p>
            <w:pPr>
              <w:pStyle w:val="yTable"/>
              <w:jc w:val="center"/>
              <w:rPr>
                <w:sz w:val="18"/>
              </w:rPr>
            </w:pPr>
            <w:r>
              <w:rPr>
                <w:sz w:val="18"/>
              </w:rPr>
              <w:br/>
              <w:t>285.00</w:t>
            </w:r>
          </w:p>
        </w:tc>
        <w:tc>
          <w:tcPr>
            <w:tcW w:w="783" w:type="dxa"/>
          </w:tcPr>
          <w:p>
            <w:pPr>
              <w:pStyle w:val="yTable"/>
              <w:jc w:val="center"/>
              <w:rPr>
                <w:sz w:val="18"/>
              </w:rPr>
            </w:pPr>
            <w:r>
              <w:rPr>
                <w:sz w:val="18"/>
              </w:rPr>
              <w:br/>
              <w:t>212.00</w:t>
            </w:r>
          </w:p>
        </w:tc>
        <w:tc>
          <w:tcPr>
            <w:tcW w:w="798" w:type="dxa"/>
          </w:tcPr>
          <w:p>
            <w:pPr>
              <w:pStyle w:val="yTable"/>
              <w:jc w:val="center"/>
              <w:rPr>
                <w:sz w:val="18"/>
              </w:rPr>
            </w:pPr>
            <w:r>
              <w:rPr>
                <w:sz w:val="18"/>
              </w:rPr>
              <w:br/>
              <w:t>318.00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rPr>
                <w:sz w:val="18"/>
              </w:rPr>
            </w:pPr>
            <w:r>
              <w:rPr>
                <w:sz w:val="18"/>
              </w:rPr>
              <w:t>5.</w:t>
            </w:r>
          </w:p>
        </w:tc>
        <w:tc>
          <w:tcPr>
            <w:tcW w:w="1554" w:type="dxa"/>
          </w:tcPr>
          <w:p>
            <w:pPr>
              <w:pStyle w:val="yTable"/>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t>61.00</w:t>
            </w:r>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t>122.00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t>106.00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t>212.00</w:t>
            </w:r>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t>152.00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t>304.00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rPr>
                <w:sz w:val="18"/>
              </w:rPr>
            </w:pPr>
            <w:r>
              <w:rPr>
                <w:sz w:val="18"/>
              </w:rPr>
              <w:t>6.</w:t>
            </w:r>
          </w:p>
        </w:tc>
        <w:tc>
          <w:tcPr>
            <w:tcW w:w="1554" w:type="dxa"/>
          </w:tcPr>
          <w:p>
            <w:pPr>
              <w:pStyle w:val="yTable"/>
              <w:ind w:left="-29" w:right="-68" w:hanging="11"/>
              <w:rPr>
                <w:sz w:val="18"/>
              </w:rPr>
            </w:pPr>
            <w:r>
              <w:rPr>
                <w:sz w:val="18"/>
              </w:rPr>
              <w:t>Half Daily hearing fee before the Court constituted by a magistrate</w:t>
            </w:r>
          </w:p>
        </w:tc>
        <w:tc>
          <w:tcPr>
            <w:tcW w:w="966" w:type="dxa"/>
          </w:tcPr>
          <w:p>
            <w:pPr>
              <w:pStyle w:val="yTable"/>
              <w:jc w:val="center"/>
              <w:rPr>
                <w:sz w:val="18"/>
              </w:rPr>
            </w:pPr>
            <w:r>
              <w:rPr>
                <w:sz w:val="18"/>
              </w:rPr>
              <w:br/>
            </w:r>
            <w:r>
              <w:rPr>
                <w:sz w:val="18"/>
              </w:rPr>
              <w:br/>
            </w:r>
            <w:r>
              <w:rPr>
                <w:sz w:val="18"/>
              </w:rPr>
              <w:br/>
              <w:t>61.00</w:t>
            </w:r>
          </w:p>
        </w:tc>
        <w:tc>
          <w:tcPr>
            <w:tcW w:w="770" w:type="dxa"/>
          </w:tcPr>
          <w:p>
            <w:pPr>
              <w:pStyle w:val="yTable"/>
              <w:jc w:val="center"/>
              <w:rPr>
                <w:sz w:val="18"/>
              </w:rPr>
            </w:pPr>
            <w:r>
              <w:rPr>
                <w:sz w:val="18"/>
              </w:rPr>
              <w:br/>
            </w:r>
            <w:r>
              <w:rPr>
                <w:sz w:val="18"/>
              </w:rPr>
              <w:br/>
            </w:r>
            <w:r>
              <w:rPr>
                <w:sz w:val="18"/>
              </w:rPr>
              <w:br/>
              <w:t>122.00</w:t>
            </w:r>
          </w:p>
        </w:tc>
        <w:tc>
          <w:tcPr>
            <w:tcW w:w="854" w:type="dxa"/>
            <w:gridSpan w:val="2"/>
          </w:tcPr>
          <w:p>
            <w:pPr>
              <w:pStyle w:val="yTable"/>
              <w:jc w:val="center"/>
              <w:rPr>
                <w:sz w:val="18"/>
              </w:rPr>
            </w:pPr>
            <w:r>
              <w:rPr>
                <w:sz w:val="18"/>
              </w:rPr>
              <w:br/>
            </w:r>
            <w:r>
              <w:rPr>
                <w:sz w:val="18"/>
              </w:rPr>
              <w:br/>
            </w:r>
            <w:r>
              <w:rPr>
                <w:sz w:val="18"/>
              </w:rPr>
              <w:br/>
              <w:t>106.00</w:t>
            </w:r>
          </w:p>
        </w:tc>
        <w:tc>
          <w:tcPr>
            <w:tcW w:w="857" w:type="dxa"/>
            <w:gridSpan w:val="2"/>
          </w:tcPr>
          <w:p>
            <w:pPr>
              <w:pStyle w:val="yTable"/>
              <w:jc w:val="center"/>
              <w:rPr>
                <w:sz w:val="18"/>
              </w:rPr>
            </w:pPr>
            <w:r>
              <w:rPr>
                <w:sz w:val="18"/>
              </w:rPr>
              <w:br/>
            </w:r>
            <w:r>
              <w:rPr>
                <w:sz w:val="18"/>
              </w:rPr>
              <w:br/>
            </w:r>
            <w:r>
              <w:rPr>
                <w:sz w:val="18"/>
              </w:rPr>
              <w:br/>
              <w:t>212.00</w:t>
            </w:r>
          </w:p>
        </w:tc>
        <w:tc>
          <w:tcPr>
            <w:tcW w:w="783" w:type="dxa"/>
          </w:tcPr>
          <w:p>
            <w:pPr>
              <w:pStyle w:val="yTable"/>
              <w:jc w:val="center"/>
              <w:rPr>
                <w:sz w:val="18"/>
              </w:rPr>
            </w:pPr>
            <w:r>
              <w:rPr>
                <w:sz w:val="18"/>
              </w:rPr>
              <w:br/>
            </w:r>
            <w:r>
              <w:rPr>
                <w:sz w:val="18"/>
              </w:rPr>
              <w:br/>
            </w:r>
            <w:r>
              <w:rPr>
                <w:sz w:val="18"/>
              </w:rPr>
              <w:br/>
              <w:t>152.00</w:t>
            </w:r>
          </w:p>
        </w:tc>
        <w:tc>
          <w:tcPr>
            <w:tcW w:w="798" w:type="dxa"/>
          </w:tcPr>
          <w:p>
            <w:pPr>
              <w:pStyle w:val="yTable"/>
              <w:jc w:val="center"/>
              <w:rPr>
                <w:sz w:val="18"/>
              </w:rPr>
            </w:pPr>
            <w:r>
              <w:rPr>
                <w:sz w:val="18"/>
              </w:rPr>
              <w:br/>
            </w:r>
            <w:r>
              <w:rPr>
                <w:sz w:val="18"/>
              </w:rPr>
              <w:br/>
            </w:r>
            <w:r>
              <w:rPr>
                <w:sz w:val="18"/>
              </w:rPr>
              <w:br/>
              <w:t>304.00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55.50</w:t>
            </w:r>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83.00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67.00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100.50</w:t>
            </w:r>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90.50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136.00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18"/>
              </w:rPr>
            </w:pPr>
            <w:r>
              <w:rPr>
                <w:sz w:val="18"/>
              </w:rPr>
              <w:br/>
            </w:r>
            <w:r>
              <w:rPr>
                <w:sz w:val="18"/>
              </w:rPr>
              <w:br/>
            </w:r>
            <w:r>
              <w:rPr>
                <w:sz w:val="18"/>
              </w:rPr>
              <w:br/>
              <w:t>55.50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70" w:type="dxa"/>
          </w:tcPr>
          <w:p>
            <w:pPr>
              <w:pStyle w:val="yTable"/>
              <w:jc w:val="center"/>
              <w:rPr>
                <w:sz w:val="18"/>
              </w:rPr>
            </w:pPr>
            <w:r>
              <w:rPr>
                <w:sz w:val="18"/>
              </w:rPr>
              <w:br/>
            </w:r>
            <w:r>
              <w:rPr>
                <w:sz w:val="18"/>
              </w:rPr>
              <w:br/>
            </w:r>
            <w:r>
              <w:rPr>
                <w:sz w:val="18"/>
              </w:rPr>
              <w:br/>
              <w:t>83.00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854" w:type="dxa"/>
            <w:gridSpan w:val="2"/>
          </w:tcPr>
          <w:p>
            <w:pPr>
              <w:pStyle w:val="yTable"/>
              <w:jc w:val="center"/>
              <w:rPr>
                <w:sz w:val="18"/>
              </w:rPr>
            </w:pPr>
            <w:r>
              <w:rPr>
                <w:sz w:val="18"/>
              </w:rPr>
              <w:br/>
            </w:r>
            <w:r>
              <w:rPr>
                <w:sz w:val="18"/>
              </w:rPr>
              <w:br/>
            </w:r>
            <w:r>
              <w:rPr>
                <w:sz w:val="18"/>
              </w:rPr>
              <w:br/>
              <w:t>67.00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857" w:type="dxa"/>
            <w:gridSpan w:val="2"/>
          </w:tcPr>
          <w:p>
            <w:pPr>
              <w:pStyle w:val="yTable"/>
              <w:jc w:val="center"/>
              <w:rPr>
                <w:sz w:val="18"/>
              </w:rPr>
            </w:pPr>
            <w:r>
              <w:rPr>
                <w:sz w:val="18"/>
              </w:rPr>
              <w:br/>
            </w:r>
            <w:r>
              <w:rPr>
                <w:sz w:val="18"/>
              </w:rPr>
              <w:br/>
            </w:r>
            <w:r>
              <w:rPr>
                <w:sz w:val="18"/>
              </w:rPr>
              <w:br/>
              <w:t>100.50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83" w:type="dxa"/>
          </w:tcPr>
          <w:p>
            <w:pPr>
              <w:pStyle w:val="yTable"/>
              <w:jc w:val="center"/>
              <w:rPr>
                <w:sz w:val="18"/>
              </w:rPr>
            </w:pPr>
            <w:r>
              <w:rPr>
                <w:sz w:val="18"/>
              </w:rPr>
              <w:br/>
            </w:r>
            <w:r>
              <w:rPr>
                <w:sz w:val="18"/>
              </w:rPr>
              <w:br/>
            </w:r>
            <w:r>
              <w:rPr>
                <w:sz w:val="18"/>
              </w:rPr>
              <w:br/>
              <w:t>90.50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98" w:type="dxa"/>
          </w:tcPr>
          <w:p>
            <w:pPr>
              <w:pStyle w:val="yTable"/>
              <w:jc w:val="center"/>
              <w:rPr>
                <w:sz w:val="18"/>
              </w:rPr>
            </w:pPr>
            <w:r>
              <w:rPr>
                <w:sz w:val="18"/>
              </w:rPr>
              <w:br/>
            </w:r>
            <w:r>
              <w:rPr>
                <w:sz w:val="18"/>
              </w:rPr>
              <w:br/>
            </w:r>
            <w:r>
              <w:rPr>
                <w:sz w:val="18"/>
              </w:rPr>
              <w:br/>
              <w:t>136.00</w:t>
            </w:r>
          </w:p>
          <w:p>
            <w:pPr>
              <w:pStyle w:val="yTable"/>
              <w:spacing w:before="0"/>
              <w:jc w:val="center"/>
              <w:rPr>
                <w:sz w:val="18"/>
              </w:rPr>
            </w:pPr>
            <w:r>
              <w:rPr>
                <w:sz w:val="18"/>
              </w:rPr>
              <w:br/>
            </w:r>
            <w:r>
              <w:rPr>
                <w:sz w:val="18"/>
              </w:rPr>
              <w:br/>
            </w:r>
            <w:r>
              <w:rPr>
                <w:sz w:val="18"/>
              </w:rPr>
              <w:br/>
            </w:r>
            <w:r>
              <w:rPr>
                <w:sz w:val="18"/>
              </w:rPr>
              <w:br/>
            </w:r>
            <w:r>
              <w:rPr>
                <w:sz w:val="18"/>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18"/>
              </w:rPr>
            </w:pPr>
            <w:r>
              <w:rPr>
                <w:sz w:val="18"/>
              </w:rPr>
              <w:t>72.50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18"/>
              </w:rPr>
            </w:pPr>
            <w:r>
              <w:rPr>
                <w:sz w:val="18"/>
              </w:rPr>
              <w:br/>
              <w:t>72.50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18"/>
              </w:rPr>
            </w:pPr>
            <w:r>
              <w:rPr>
                <w:sz w:val="18"/>
              </w:rPr>
              <w:br/>
            </w:r>
            <w:r>
              <w:rPr>
                <w:sz w:val="18"/>
              </w:rPr>
              <w:br/>
            </w:r>
            <w:r>
              <w:rPr>
                <w:sz w:val="18"/>
              </w:rPr>
              <w:br/>
              <w:t>19.25</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18"/>
              </w:rPr>
            </w:pPr>
            <w:r>
              <w:rPr>
                <w:sz w:val="18"/>
              </w:rPr>
              <w:br/>
              <w:t>169.00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66.00</w:t>
            </w:r>
          </w:p>
        </w:tc>
      </w:tr>
    </w:tbl>
    <w:p>
      <w:pPr>
        <w:pStyle w:val="yFootnotesection"/>
      </w:pPr>
      <w:bookmarkStart w:id="121" w:name="_Toc100631334"/>
      <w:bookmarkStart w:id="122" w:name="_Toc102451463"/>
      <w:r>
        <w:tab/>
        <w:t>[Division 2 amended in Gazette 23 Jun 2006 p. 2179</w:t>
      </w:r>
      <w:r>
        <w:noBreakHyphen/>
        <w:t>81.]</w:t>
      </w:r>
    </w:p>
    <w:p>
      <w:pPr>
        <w:pStyle w:val="yHeading3"/>
        <w:spacing w:after="240"/>
      </w:pPr>
      <w:bookmarkStart w:id="123" w:name="_Toc139104718"/>
      <w:bookmarkStart w:id="124" w:name="_Toc139276716"/>
      <w:r>
        <w:rPr>
          <w:rStyle w:val="CharSDivNo"/>
        </w:rPr>
        <w:t>Division 3</w:t>
      </w:r>
      <w:r>
        <w:rPr>
          <w:b w:val="0"/>
        </w:rPr>
        <w:t> — </w:t>
      </w:r>
      <w:r>
        <w:rPr>
          <w:rStyle w:val="CharSDivText"/>
        </w:rPr>
        <w:t>Criminal jurisdiction</w:t>
      </w:r>
      <w:bookmarkEnd w:id="121"/>
      <w:bookmarkEnd w:id="122"/>
      <w:bookmarkEnd w:id="123"/>
      <w:bookmarkEnd w:id="124"/>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55.50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10.50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55.50</w:t>
            </w:r>
          </w:p>
          <w:p>
            <w:pPr>
              <w:pStyle w:val="yTable"/>
              <w:jc w:val="center"/>
              <w:rPr>
                <w:sz w:val="20"/>
              </w:rPr>
            </w:pPr>
            <w:r>
              <w:rPr>
                <w:sz w:val="20"/>
              </w:rPr>
              <w:t>72.50</w:t>
            </w:r>
          </w:p>
        </w:tc>
      </w:tr>
    </w:tbl>
    <w:p>
      <w:pPr>
        <w:pStyle w:val="yFootnotesection"/>
      </w:pPr>
      <w:bookmarkStart w:id="125" w:name="_Toc100631335"/>
      <w:r>
        <w:tab/>
        <w:t>[Division 3 amended in Gazette 23 Jun 2006 p. 2181.]</w:t>
      </w:r>
    </w:p>
    <w:p>
      <w:pPr>
        <w:pStyle w:val="yScheduleHeading"/>
      </w:pPr>
      <w:bookmarkStart w:id="126" w:name="_Toc102451464"/>
      <w:bookmarkStart w:id="127" w:name="_Toc139104719"/>
      <w:bookmarkStart w:id="128" w:name="_Toc139276717"/>
      <w:r>
        <w:rPr>
          <w:rStyle w:val="CharSchNo"/>
        </w:rPr>
        <w:t>Schedule 2</w:t>
      </w:r>
      <w:r>
        <w:rPr>
          <w:rStyle w:val="CharSDivNo"/>
        </w:rPr>
        <w:t> </w:t>
      </w:r>
      <w:r>
        <w:t>—</w:t>
      </w:r>
      <w:r>
        <w:rPr>
          <w:rStyle w:val="CharSDivText"/>
        </w:rPr>
        <w:t> </w:t>
      </w:r>
      <w:r>
        <w:rPr>
          <w:rStyle w:val="CharSchText"/>
        </w:rPr>
        <w:t>Forms</w:t>
      </w:r>
      <w:bookmarkEnd w:id="125"/>
      <w:bookmarkEnd w:id="126"/>
      <w:bookmarkEnd w:id="127"/>
      <w:bookmarkEnd w:id="128"/>
    </w:p>
    <w:p>
      <w:pPr>
        <w:pStyle w:val="yShoulderClause"/>
      </w:pPr>
      <w:r>
        <w:t>[r. 4(6), 8(6), 13(2)]</w:t>
      </w:r>
    </w:p>
    <w:p>
      <w:pPr>
        <w:pStyle w:val="yHeading5"/>
      </w:pPr>
      <w:bookmarkStart w:id="129" w:name="_Toc96398510"/>
      <w:bookmarkStart w:id="130" w:name="_Toc96417044"/>
      <w:bookmarkStart w:id="131" w:name="_Toc100631336"/>
      <w:bookmarkStart w:id="132" w:name="_Toc102451465"/>
      <w:bookmarkStart w:id="133" w:name="_Toc139276718"/>
      <w:r>
        <w:rPr>
          <w:rStyle w:val="CharSClsNo"/>
        </w:rPr>
        <w:t>1</w:t>
      </w:r>
      <w:r>
        <w:t>.</w:t>
      </w:r>
      <w:r>
        <w:tab/>
        <w:t>Declaration that a person is a small business or a non</w:t>
      </w:r>
      <w:r>
        <w:noBreakHyphen/>
        <w:t>profit association</w:t>
      </w:r>
      <w:bookmarkEnd w:id="129"/>
      <w:bookmarkEnd w:id="130"/>
      <w:bookmarkEnd w:id="131"/>
      <w:bookmarkEnd w:id="132"/>
      <w:bookmarkEnd w:id="133"/>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134" w:name="_Toc96398511"/>
      <w:bookmarkStart w:id="135" w:name="_Toc96417045"/>
      <w:bookmarkStart w:id="136" w:name="_Toc100631337"/>
      <w:bookmarkStart w:id="137" w:name="_Toc102451466"/>
      <w:bookmarkStart w:id="138" w:name="_Toc139276719"/>
      <w:r>
        <w:rPr>
          <w:rStyle w:val="CharSClsNo"/>
        </w:rPr>
        <w:t>2</w:t>
      </w:r>
      <w:r>
        <w:t>.</w:t>
      </w:r>
      <w:r>
        <w:tab/>
        <w:t>Application to remit fees</w:t>
      </w:r>
      <w:bookmarkEnd w:id="134"/>
      <w:bookmarkEnd w:id="135"/>
      <w:bookmarkEnd w:id="136"/>
      <w:bookmarkEnd w:id="137"/>
      <w:bookmarkEnd w:id="13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39" w:name="_Toc100631338"/>
      <w:bookmarkStart w:id="140" w:name="_Toc102451467"/>
      <w:bookmarkStart w:id="141" w:name="_Toc139276720"/>
      <w:r>
        <w:rPr>
          <w:rStyle w:val="CharSClsNo"/>
        </w:rPr>
        <w:t>3</w:t>
      </w:r>
      <w:r>
        <w:t>.</w:t>
      </w:r>
      <w:r>
        <w:tab/>
        <w:t>Application for determination of dispute about fees</w:t>
      </w:r>
      <w:bookmarkEnd w:id="139"/>
      <w:bookmarkEnd w:id="140"/>
      <w:bookmarkEnd w:id="14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42" w:name="_Toc102451468"/>
      <w:bookmarkStart w:id="143" w:name="_Toc139104723"/>
      <w:bookmarkStart w:id="144" w:name="_Toc139276721"/>
      <w:r>
        <w:t>Notes</w:t>
      </w:r>
      <w:bookmarkEnd w:id="142"/>
      <w:bookmarkEnd w:id="143"/>
      <w:bookmarkEnd w:id="144"/>
    </w:p>
    <w:p>
      <w:pPr>
        <w:pStyle w:val="nSubsection"/>
        <w:rPr>
          <w:snapToGrid w:val="0"/>
        </w:rPr>
      </w:pPr>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  </w:t>
      </w:r>
    </w:p>
    <w:p>
      <w:pPr>
        <w:pStyle w:val="nHeading3"/>
      </w:pPr>
      <w:bookmarkStart w:id="145" w:name="_Toc70311430"/>
      <w:bookmarkStart w:id="146" w:name="_Toc102451469"/>
      <w:bookmarkStart w:id="147" w:name="_Toc139276722"/>
      <w:r>
        <w:t>Compilation table</w:t>
      </w:r>
      <w:bookmarkEnd w:id="145"/>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Borders>
              <w:bottom w:val="single" w:sz="4" w:space="0" w:color="auto"/>
            </w:tcBorders>
          </w:tcPr>
          <w:p>
            <w:pPr>
              <w:pStyle w:val="nTable"/>
              <w:rPr>
                <w:i/>
                <w:sz w:val="19"/>
              </w:rPr>
            </w:pPr>
            <w:r>
              <w:rPr>
                <w:i/>
                <w:sz w:val="19"/>
              </w:rPr>
              <w:t>Magistrates Court (Fees) Amendment Regulations 2006</w:t>
            </w:r>
          </w:p>
        </w:tc>
        <w:tc>
          <w:tcPr>
            <w:tcW w:w="1276" w:type="dxa"/>
            <w:tcBorders>
              <w:bottom w:val="single" w:sz="4" w:space="0" w:color="auto"/>
            </w:tcBorders>
          </w:tcPr>
          <w:p>
            <w:pPr>
              <w:pStyle w:val="nTable"/>
              <w:rPr>
                <w:sz w:val="19"/>
              </w:rPr>
            </w:pPr>
            <w:r>
              <w:rPr>
                <w:sz w:val="19"/>
              </w:rPr>
              <w:t>23 Jun 2006 p. 2178</w:t>
            </w:r>
            <w:r>
              <w:rPr>
                <w:sz w:val="19"/>
              </w:rPr>
              <w:noBreakHyphen/>
              <w:t>81</w:t>
            </w:r>
          </w:p>
        </w:tc>
        <w:tc>
          <w:tcPr>
            <w:tcW w:w="2693" w:type="dxa"/>
            <w:tcBorders>
              <w:bottom w:val="single" w:sz="4" w:space="0" w:color="auto"/>
            </w:tcBorders>
          </w:tcPr>
          <w:p>
            <w:pPr>
              <w:pStyle w:val="nTable"/>
              <w:rPr>
                <w:sz w:val="19"/>
              </w:rPr>
            </w:pPr>
            <w:r>
              <w:rPr>
                <w:sz w:val="19"/>
              </w:rPr>
              <w:t>1 Jul 2006 (see r. 2)</w:t>
            </w:r>
          </w:p>
        </w:tc>
      </w:tr>
    </w:tbl>
    <w:p>
      <w:bookmarkStart w:id="148" w:name="UpToHere"/>
      <w:bookmarkEnd w:id="148"/>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6291</Words>
  <Characters>32593</Characters>
  <Application>Microsoft Office Word</Application>
  <DocSecurity>0</DocSecurity>
  <Lines>1552</Lines>
  <Paragraphs>793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38091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2005 - 00-b0-02</dc:title>
  <dc:subject/>
  <dc:creator/>
  <cp:keywords/>
  <dc:description/>
  <cp:lastModifiedBy>svcMRProcess</cp:lastModifiedBy>
  <cp:revision>4</cp:revision>
  <cp:lastPrinted>2005-04-06T23:51:00Z</cp:lastPrinted>
  <dcterms:created xsi:type="dcterms:W3CDTF">2018-09-12T15:33:00Z</dcterms:created>
  <dcterms:modified xsi:type="dcterms:W3CDTF">2018-09-12T15:33:00Z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37120</vt:i4>
  </property>
  <property fmtid="{D5CDD505-2E9C-101B-9397-08002B2CF9AE}" pid="6" name="AsAtDate">
    <vt:lpwstr>01 Jul 2006</vt:lpwstr>
  </property>
  <property fmtid="{D5CDD505-2E9C-101B-9397-08002B2CF9AE}" pid="7" name="Suffix">
    <vt:lpwstr>00-b0-02</vt:lpwstr>
  </property>
</Properties>
</file>