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iCs/>
        </w:rPr>
      </w:pPr>
      <w:r>
        <w:rPr>
          <w:snapToGrid w:val="0"/>
        </w:rPr>
        <w:t>Metropolitan Water Supply, Sewerage, and Drainage Act 1909</w:t>
      </w:r>
    </w:p>
    <w:p>
      <w:pPr>
        <w:pStyle w:val="NameofActReg"/>
        <w:spacing w:before="3760" w:after="4200"/>
      </w:pPr>
      <w:r>
        <w:rPr>
          <w:noProof/>
        </w:rPr>
        <w:t>Metropolitan Water Authority (Miscellaneous) By-laws 1982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 December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Metropolitan Water Authority (Miscellaneous) By-laws 1982</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_Toc154210764 \h </w:instrText>
      </w:r>
      <w:r>
        <w:fldChar w:fldCharType="separate"/>
      </w:r>
      <w:r>
        <w:t>1</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_Toc154210765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_Toc154210766 \h </w:instrText>
      </w:r>
      <w:r>
        <w:fldChar w:fldCharType="separate"/>
      </w:r>
      <w:r>
        <w:t>1</w:t>
      </w:r>
      <w:r>
        <w:fldChar w:fldCharType="end"/>
      </w:r>
    </w:p>
    <w:p>
      <w:pPr>
        <w:pStyle w:val="TOC8"/>
        <w:rPr>
          <w:sz w:val="24"/>
          <w:szCs w:val="24"/>
        </w:rPr>
      </w:pPr>
      <w:r>
        <w:rPr>
          <w:szCs w:val="24"/>
        </w:rPr>
        <w:t>9.</w:t>
      </w:r>
      <w:r>
        <w:rPr>
          <w:szCs w:val="24"/>
        </w:rPr>
        <w:tab/>
        <w:t>Fixing, removing or replacing meters and fittings</w:t>
      </w:r>
      <w:r>
        <w:tab/>
      </w:r>
      <w:r>
        <w:fldChar w:fldCharType="begin"/>
      </w:r>
      <w:r>
        <w:instrText xml:space="preserve"> PAGEREF _Toc154210767 \h </w:instrText>
      </w:r>
      <w:r>
        <w:fldChar w:fldCharType="separate"/>
      </w:r>
      <w:r>
        <w:t>2</w:t>
      </w:r>
      <w:r>
        <w:fldChar w:fldCharType="end"/>
      </w:r>
    </w:p>
    <w:p>
      <w:pPr>
        <w:pStyle w:val="TOC8"/>
        <w:rPr>
          <w:sz w:val="24"/>
          <w:szCs w:val="24"/>
        </w:rPr>
      </w:pPr>
      <w:r>
        <w:rPr>
          <w:szCs w:val="24"/>
        </w:rPr>
        <w:t>11</w:t>
      </w:r>
      <w:r>
        <w:rPr>
          <w:snapToGrid w:val="0"/>
          <w:szCs w:val="24"/>
        </w:rPr>
        <w:t>.</w:t>
      </w:r>
      <w:r>
        <w:rPr>
          <w:snapToGrid w:val="0"/>
          <w:szCs w:val="24"/>
        </w:rPr>
        <w:tab/>
        <w:t>Testing of meters</w:t>
      </w:r>
      <w:r>
        <w:tab/>
      </w:r>
      <w:r>
        <w:fldChar w:fldCharType="begin"/>
      </w:r>
      <w:r>
        <w:instrText xml:space="preserve"> PAGEREF _Toc154210768 \h </w:instrText>
      </w:r>
      <w:r>
        <w:fldChar w:fldCharType="separate"/>
      </w:r>
      <w:r>
        <w:t>3</w:t>
      </w:r>
      <w:r>
        <w:fldChar w:fldCharType="end"/>
      </w:r>
    </w:p>
    <w:p>
      <w:pPr>
        <w:pStyle w:val="TOC8"/>
        <w:rPr>
          <w:sz w:val="24"/>
          <w:szCs w:val="24"/>
        </w:rPr>
      </w:pPr>
      <w:r>
        <w:rPr>
          <w:szCs w:val="24"/>
        </w:rPr>
        <w:t>17</w:t>
      </w:r>
      <w:r>
        <w:rPr>
          <w:snapToGrid w:val="0"/>
          <w:szCs w:val="24"/>
        </w:rPr>
        <w:t>.</w:t>
      </w:r>
      <w:r>
        <w:rPr>
          <w:snapToGrid w:val="0"/>
          <w:szCs w:val="24"/>
        </w:rPr>
        <w:tab/>
        <w:t>Notice of intention to build</w:t>
      </w:r>
      <w:r>
        <w:tab/>
      </w:r>
      <w:r>
        <w:fldChar w:fldCharType="begin"/>
      </w:r>
      <w:r>
        <w:instrText xml:space="preserve"> PAGEREF _Toc154210769 \h </w:instrText>
      </w:r>
      <w:r>
        <w:fldChar w:fldCharType="separate"/>
      </w:r>
      <w:r>
        <w:t>4</w:t>
      </w:r>
      <w:r>
        <w:fldChar w:fldCharType="end"/>
      </w:r>
    </w:p>
    <w:p>
      <w:pPr>
        <w:pStyle w:val="TOC8"/>
        <w:rPr>
          <w:sz w:val="24"/>
          <w:szCs w:val="24"/>
        </w:rPr>
      </w:pPr>
      <w:r>
        <w:rPr>
          <w:szCs w:val="24"/>
        </w:rPr>
        <w:t>18</w:t>
      </w:r>
      <w:r>
        <w:rPr>
          <w:snapToGrid w:val="0"/>
          <w:szCs w:val="24"/>
        </w:rPr>
        <w:t>.</w:t>
      </w:r>
      <w:r>
        <w:rPr>
          <w:snapToGrid w:val="0"/>
          <w:szCs w:val="24"/>
        </w:rPr>
        <w:tab/>
        <w:t>Water for shipping</w:t>
      </w:r>
      <w:r>
        <w:tab/>
      </w:r>
      <w:r>
        <w:fldChar w:fldCharType="begin"/>
      </w:r>
      <w:r>
        <w:instrText xml:space="preserve"> PAGEREF _Toc154210770 \h </w:instrText>
      </w:r>
      <w:r>
        <w:fldChar w:fldCharType="separate"/>
      </w:r>
      <w:r>
        <w:t>4</w:t>
      </w:r>
      <w:r>
        <w:fldChar w:fldCharType="end"/>
      </w:r>
    </w:p>
    <w:p>
      <w:pPr>
        <w:pStyle w:val="TOC8"/>
        <w:rPr>
          <w:sz w:val="24"/>
          <w:szCs w:val="24"/>
        </w:rPr>
      </w:pPr>
      <w:r>
        <w:rPr>
          <w:szCs w:val="24"/>
        </w:rPr>
        <w:t>20</w:t>
      </w:r>
      <w:r>
        <w:rPr>
          <w:snapToGrid w:val="0"/>
          <w:szCs w:val="24"/>
        </w:rPr>
        <w:t>.</w:t>
      </w:r>
      <w:r>
        <w:rPr>
          <w:snapToGrid w:val="0"/>
          <w:szCs w:val="24"/>
        </w:rPr>
        <w:tab/>
        <w:t>Notice of arrears of rates</w:t>
      </w:r>
      <w:r>
        <w:tab/>
      </w:r>
      <w:r>
        <w:fldChar w:fldCharType="begin"/>
      </w:r>
      <w:r>
        <w:instrText xml:space="preserve"> PAGEREF _Toc154210771 \h </w:instrText>
      </w:r>
      <w:r>
        <w:fldChar w:fldCharType="separate"/>
      </w:r>
      <w:r>
        <w:t>5</w:t>
      </w:r>
      <w:r>
        <w:fldChar w:fldCharType="end"/>
      </w:r>
    </w:p>
    <w:p>
      <w:pPr>
        <w:pStyle w:val="TOC8"/>
        <w:rPr>
          <w:sz w:val="24"/>
          <w:szCs w:val="24"/>
        </w:rPr>
      </w:pPr>
      <w:r>
        <w:rPr>
          <w:szCs w:val="24"/>
        </w:rPr>
        <w:t>21</w:t>
      </w:r>
      <w:r>
        <w:rPr>
          <w:snapToGrid w:val="0"/>
          <w:szCs w:val="24"/>
        </w:rPr>
        <w:t>.</w:t>
      </w:r>
      <w:r>
        <w:rPr>
          <w:snapToGrid w:val="0"/>
          <w:szCs w:val="24"/>
        </w:rPr>
        <w:tab/>
        <w:t>Fees — statements</w:t>
      </w:r>
      <w:r>
        <w:tab/>
      </w:r>
      <w:r>
        <w:fldChar w:fldCharType="begin"/>
      </w:r>
      <w:r>
        <w:instrText xml:space="preserve"> PAGEREF _Toc154210772 \h </w:instrText>
      </w:r>
      <w:r>
        <w:fldChar w:fldCharType="separate"/>
      </w:r>
      <w:r>
        <w:t>5</w:t>
      </w:r>
      <w:r>
        <w:fldChar w:fldCharType="end"/>
      </w:r>
    </w:p>
    <w:p>
      <w:pPr>
        <w:pStyle w:val="TOC8"/>
        <w:rPr>
          <w:sz w:val="24"/>
          <w:szCs w:val="24"/>
        </w:rPr>
      </w:pPr>
      <w:r>
        <w:rPr>
          <w:szCs w:val="24"/>
        </w:rPr>
        <w:t>22</w:t>
      </w:r>
      <w:r>
        <w:rPr>
          <w:snapToGrid w:val="0"/>
          <w:szCs w:val="24"/>
        </w:rPr>
        <w:t>.</w:t>
      </w:r>
      <w:r>
        <w:rPr>
          <w:snapToGrid w:val="0"/>
          <w:szCs w:val="24"/>
        </w:rPr>
        <w:tab/>
        <w:t>Fees for records, plans and diagrams</w:t>
      </w:r>
      <w:r>
        <w:tab/>
      </w:r>
      <w:r>
        <w:fldChar w:fldCharType="begin"/>
      </w:r>
      <w:r>
        <w:instrText xml:space="preserve"> PAGEREF _Toc154210773 \h </w:instrText>
      </w:r>
      <w:r>
        <w:fldChar w:fldCharType="separate"/>
      </w:r>
      <w:r>
        <w:t>5</w:t>
      </w:r>
      <w:r>
        <w:fldChar w:fldCharType="end"/>
      </w:r>
    </w:p>
    <w:p>
      <w:pPr>
        <w:pStyle w:val="TOC8"/>
        <w:rPr>
          <w:sz w:val="24"/>
          <w:szCs w:val="24"/>
        </w:rPr>
      </w:pPr>
      <w:r>
        <w:rPr>
          <w:szCs w:val="24"/>
        </w:rPr>
        <w:t>24</w:t>
      </w:r>
      <w:r>
        <w:rPr>
          <w:snapToGrid w:val="0"/>
          <w:szCs w:val="24"/>
        </w:rPr>
        <w:t>.</w:t>
      </w:r>
      <w:r>
        <w:rPr>
          <w:snapToGrid w:val="0"/>
          <w:szCs w:val="24"/>
        </w:rPr>
        <w:tab/>
        <w:t>Fees for standpipes</w:t>
      </w:r>
      <w:r>
        <w:tab/>
      </w:r>
      <w:r>
        <w:fldChar w:fldCharType="begin"/>
      </w:r>
      <w:r>
        <w:instrText xml:space="preserve"> PAGEREF _Toc154210774 \h </w:instrText>
      </w:r>
      <w:r>
        <w:fldChar w:fldCharType="separate"/>
      </w:r>
      <w:r>
        <w:t>6</w:t>
      </w:r>
      <w:r>
        <w:fldChar w:fldCharType="end"/>
      </w:r>
    </w:p>
    <w:p>
      <w:pPr>
        <w:pStyle w:val="TOC8"/>
        <w:rPr>
          <w:sz w:val="24"/>
          <w:szCs w:val="24"/>
        </w:rPr>
      </w:pPr>
      <w:r>
        <w:rPr>
          <w:szCs w:val="24"/>
        </w:rPr>
        <w:t>25</w:t>
      </w:r>
      <w:r>
        <w:rPr>
          <w:snapToGrid w:val="0"/>
          <w:szCs w:val="24"/>
        </w:rPr>
        <w:t>.</w:t>
      </w:r>
      <w:r>
        <w:rPr>
          <w:snapToGrid w:val="0"/>
          <w:szCs w:val="24"/>
        </w:rPr>
        <w:tab/>
        <w:t>Amounts rounded</w:t>
      </w:r>
      <w:r>
        <w:tab/>
      </w:r>
      <w:r>
        <w:fldChar w:fldCharType="begin"/>
      </w:r>
      <w:r>
        <w:instrText xml:space="preserve"> PAGEREF _Toc154210775 \h </w:instrText>
      </w:r>
      <w:r>
        <w:fldChar w:fldCharType="separate"/>
      </w:r>
      <w:r>
        <w:t>6</w:t>
      </w:r>
      <w:r>
        <w:fldChar w:fldCharType="end"/>
      </w:r>
    </w:p>
    <w:p>
      <w:pPr>
        <w:pStyle w:val="TOC2"/>
        <w:tabs>
          <w:tab w:val="right" w:leader="dot" w:pos="7086"/>
        </w:tabs>
        <w:rPr>
          <w:b w:val="0"/>
          <w:sz w:val="24"/>
          <w:szCs w:val="24"/>
        </w:rPr>
      </w:pPr>
      <w:r>
        <w:rPr>
          <w:szCs w:val="28"/>
        </w:rPr>
        <w:lastRenderedPageBreak/>
        <w:t>Schedule 1</w:t>
      </w:r>
    </w:p>
    <w:p>
      <w:pPr>
        <w:pStyle w:val="TOC2"/>
        <w:tabs>
          <w:tab w:val="right" w:leader="dot" w:pos="7086"/>
        </w:tabs>
        <w:rPr>
          <w:b w:val="0"/>
          <w:sz w:val="24"/>
          <w:szCs w:val="24"/>
        </w:rPr>
      </w:pPr>
      <w:r>
        <w:rPr>
          <w:szCs w:val="28"/>
        </w:rPr>
        <w:t>Schedule 2 — Charges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_Toc154210782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December 2006</w:t>
            </w:r>
          </w:p>
        </w:tc>
      </w:tr>
    </w:tbl>
    <w:p>
      <w:pPr>
        <w:pStyle w:val="WA"/>
        <w:spacing w:before="120"/>
      </w:pPr>
      <w:r>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2" w:name="_Toc2675612"/>
      <w:bookmarkStart w:id="3" w:name="_Toc7929790"/>
      <w:bookmarkStart w:id="4" w:name="_Toc139696379"/>
      <w:bookmarkStart w:id="5" w:name="_Toc154210764"/>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6" w:name="_Toc2675613"/>
      <w:bookmarkStart w:id="7" w:name="_Toc7929791"/>
      <w:bookmarkStart w:id="8" w:name="_Toc139696380"/>
      <w:bookmarkStart w:id="9" w:name="_Toc154210765"/>
      <w:r>
        <w:rPr>
          <w:snapToGrid w:val="0"/>
        </w:rPr>
        <w:t>2.</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0" w:name="_Toc2675614"/>
      <w:bookmarkStart w:id="11" w:name="_Toc7929792"/>
      <w:bookmarkStart w:id="12" w:name="_Toc139696381"/>
      <w:bookmarkStart w:id="13" w:name="_Toc15421076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land</w:t>
      </w:r>
      <w:r>
        <w:rPr>
          <w:b/>
        </w:rPr>
        <w:t>”</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r>
        <w:rPr>
          <w:b/>
        </w:rPr>
        <w:t>“</w:t>
      </w:r>
      <w:bookmarkStart w:id="14" w:name="endcomma"/>
      <w:bookmarkEnd w:id="14"/>
      <w:r>
        <w:rPr>
          <w:rStyle w:val="CharDefText"/>
        </w:rPr>
        <w:t>service</w:t>
      </w:r>
      <w:r>
        <w:rPr>
          <w:b/>
        </w:rPr>
        <w:t>”</w:t>
      </w:r>
      <w:r>
        <w:t xml:space="preserve"> </w:t>
      </w:r>
      <w:bookmarkStart w:id="15" w:name="comma"/>
      <w:bookmarkEnd w:id="15"/>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t>Repealed in Gazette 27 Jun 1986 p. 2129.]</w:t>
      </w:r>
    </w:p>
    <w:p>
      <w:pPr>
        <w:pStyle w:val="Ednotesection"/>
      </w:pPr>
      <w:r>
        <w:t>[</w:t>
      </w:r>
      <w:r>
        <w:rPr>
          <w:b/>
        </w:rPr>
        <w:t>5</w:t>
      </w:r>
      <w:r>
        <w:rPr>
          <w:b/>
        </w:rPr>
        <w:noBreakHyphen/>
        <w:t>7.</w:t>
      </w:r>
      <w:r>
        <w:tab/>
        <w:t>Repealed in Gazette 14 Jul 1987 p. 2658.]</w:t>
      </w:r>
    </w:p>
    <w:p>
      <w:pPr>
        <w:pStyle w:val="Ednotesection"/>
      </w:pPr>
      <w:r>
        <w:t>[</w:t>
      </w:r>
      <w:r>
        <w:rPr>
          <w:b/>
        </w:rPr>
        <w:t>8.</w:t>
      </w:r>
      <w:r>
        <w:tab/>
        <w:t>Repealed in Gazette 27 Jun 1986 p. 2130.]</w:t>
      </w:r>
    </w:p>
    <w:p>
      <w:pPr>
        <w:pStyle w:val="Heading5"/>
      </w:pPr>
      <w:bookmarkStart w:id="16" w:name="_Toc2675615"/>
      <w:bookmarkStart w:id="17" w:name="_Toc7929793"/>
      <w:bookmarkStart w:id="18" w:name="_Toc139696382"/>
      <w:bookmarkStart w:id="19" w:name="_Toc154210767"/>
      <w:r>
        <w:rPr>
          <w:rStyle w:val="CharSectno"/>
        </w:rPr>
        <w:t>9</w:t>
      </w:r>
      <w:r>
        <w:t>.</w:t>
      </w:r>
      <w:r>
        <w:tab/>
        <w:t>Fixing, removing or replacing meters and fittings</w:t>
      </w:r>
      <w:bookmarkEnd w:id="16"/>
      <w:bookmarkEnd w:id="17"/>
      <w:bookmarkEnd w:id="18"/>
      <w:bookmarkEnd w:id="19"/>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t>Repealed in Gazette 14 Jul 1987 p. 2658.]</w:t>
      </w:r>
    </w:p>
    <w:p>
      <w:pPr>
        <w:pStyle w:val="Heading5"/>
        <w:rPr>
          <w:snapToGrid w:val="0"/>
        </w:rPr>
      </w:pPr>
      <w:bookmarkStart w:id="20" w:name="_Toc2675616"/>
      <w:bookmarkStart w:id="21" w:name="_Toc7929794"/>
      <w:bookmarkStart w:id="22" w:name="_Toc139696383"/>
      <w:bookmarkStart w:id="23" w:name="_Toc154210768"/>
      <w:r>
        <w:rPr>
          <w:rStyle w:val="CharSectno"/>
        </w:rPr>
        <w:t>11</w:t>
      </w:r>
      <w:r>
        <w:rPr>
          <w:snapToGrid w:val="0"/>
        </w:rPr>
        <w:t>.</w:t>
      </w:r>
      <w:r>
        <w:rPr>
          <w:snapToGrid w:val="0"/>
        </w:rPr>
        <w:tab/>
        <w:t>Testing of meters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Repealed in Gazette 14 Jul 1987 p. 2658.] </w:t>
      </w:r>
    </w:p>
    <w:p>
      <w:pPr>
        <w:pStyle w:val="Heading5"/>
        <w:rPr>
          <w:snapToGrid w:val="0"/>
        </w:rPr>
      </w:pPr>
      <w:bookmarkStart w:id="24" w:name="_Toc2675617"/>
      <w:bookmarkStart w:id="25" w:name="_Toc7929795"/>
      <w:bookmarkStart w:id="26" w:name="_Toc139696384"/>
      <w:bookmarkStart w:id="27" w:name="_Toc154210769"/>
      <w:r>
        <w:rPr>
          <w:rStyle w:val="CharSectno"/>
        </w:rPr>
        <w:t>17</w:t>
      </w:r>
      <w:r>
        <w:rPr>
          <w:snapToGrid w:val="0"/>
        </w:rPr>
        <w:t>.</w:t>
      </w:r>
      <w:r>
        <w:rPr>
          <w:snapToGrid w:val="0"/>
        </w:rPr>
        <w:tab/>
        <w:t>Notice of intention to build</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28" w:name="_Toc2675618"/>
      <w:bookmarkStart w:id="29" w:name="_Toc7929796"/>
      <w:bookmarkStart w:id="30" w:name="_Toc139696385"/>
      <w:bookmarkStart w:id="31" w:name="_Toc154210770"/>
      <w:r>
        <w:rPr>
          <w:rStyle w:val="CharSectno"/>
        </w:rPr>
        <w:t>18</w:t>
      </w:r>
      <w:r>
        <w:rPr>
          <w:snapToGrid w:val="0"/>
        </w:rPr>
        <w:t>.</w:t>
      </w:r>
      <w:r>
        <w:rPr>
          <w:snapToGrid w:val="0"/>
        </w:rPr>
        <w:tab/>
        <w:t>Water for shipping</w:t>
      </w:r>
      <w:bookmarkEnd w:id="28"/>
      <w:bookmarkEnd w:id="29"/>
      <w:bookmarkEnd w:id="30"/>
      <w:bookmarkEnd w:id="31"/>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Repealed in Gazette 14 Jul 1987 p. 2658.] </w:t>
      </w:r>
    </w:p>
    <w:p>
      <w:pPr>
        <w:pStyle w:val="Heading5"/>
        <w:spacing w:before="180"/>
        <w:rPr>
          <w:snapToGrid w:val="0"/>
        </w:rPr>
      </w:pPr>
      <w:bookmarkStart w:id="32" w:name="_Toc2675619"/>
      <w:bookmarkStart w:id="33" w:name="_Toc7929797"/>
      <w:bookmarkStart w:id="34" w:name="_Toc139696386"/>
      <w:bookmarkStart w:id="35" w:name="_Toc154210771"/>
      <w:r>
        <w:rPr>
          <w:rStyle w:val="CharSectno"/>
        </w:rPr>
        <w:t>20</w:t>
      </w:r>
      <w:r>
        <w:rPr>
          <w:snapToGrid w:val="0"/>
        </w:rPr>
        <w:t>.</w:t>
      </w:r>
      <w:r>
        <w:rPr>
          <w:snapToGrid w:val="0"/>
        </w:rPr>
        <w:tab/>
        <w:t>Notice of arrears of rates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36" w:name="_Toc2675620"/>
      <w:bookmarkStart w:id="37" w:name="_Toc7929798"/>
      <w:bookmarkStart w:id="38" w:name="_Toc139696387"/>
      <w:bookmarkStart w:id="39" w:name="_Toc154210772"/>
      <w:r>
        <w:rPr>
          <w:rStyle w:val="CharSectno"/>
        </w:rPr>
        <w:t>21</w:t>
      </w:r>
      <w:r>
        <w:rPr>
          <w:snapToGrid w:val="0"/>
        </w:rPr>
        <w:t>.</w:t>
      </w:r>
      <w:r>
        <w:rPr>
          <w:snapToGrid w:val="0"/>
        </w:rPr>
        <w:tab/>
        <w:t>Fees — statements</w:t>
      </w:r>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40" w:name="_Toc2675621"/>
      <w:bookmarkStart w:id="41" w:name="_Toc7929799"/>
      <w:bookmarkStart w:id="42" w:name="_Toc139696388"/>
      <w:bookmarkStart w:id="43" w:name="_Toc154210773"/>
      <w:r>
        <w:rPr>
          <w:rStyle w:val="CharSectno"/>
        </w:rPr>
        <w:t>22</w:t>
      </w:r>
      <w:r>
        <w:rPr>
          <w:snapToGrid w:val="0"/>
        </w:rPr>
        <w:t>.</w:t>
      </w:r>
      <w:r>
        <w:rPr>
          <w:snapToGrid w:val="0"/>
        </w:rPr>
        <w:tab/>
        <w:t>Fees for records, plans and diagrams</w:t>
      </w:r>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t xml:space="preserve">Repealed in Gazette 29 Jun 1989 p. 1886.] </w:t>
      </w:r>
    </w:p>
    <w:p>
      <w:pPr>
        <w:pStyle w:val="Heading5"/>
        <w:spacing w:before="180"/>
        <w:rPr>
          <w:snapToGrid w:val="0"/>
        </w:rPr>
      </w:pPr>
      <w:bookmarkStart w:id="44" w:name="_Toc2675622"/>
      <w:bookmarkStart w:id="45" w:name="_Toc7929800"/>
      <w:bookmarkStart w:id="46" w:name="_Toc139696389"/>
      <w:bookmarkStart w:id="47" w:name="_Toc154210774"/>
      <w:r>
        <w:rPr>
          <w:rStyle w:val="CharSectno"/>
        </w:rPr>
        <w:t>24</w:t>
      </w:r>
      <w:r>
        <w:rPr>
          <w:snapToGrid w:val="0"/>
        </w:rPr>
        <w:t>.</w:t>
      </w:r>
      <w:r>
        <w:rPr>
          <w:snapToGrid w:val="0"/>
        </w:rPr>
        <w:tab/>
        <w:t>Fees for standpipes</w:t>
      </w:r>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48" w:name="_Toc2675623"/>
      <w:bookmarkStart w:id="49" w:name="_Toc7929801"/>
      <w:bookmarkStart w:id="50" w:name="_Toc139696390"/>
      <w:bookmarkStart w:id="51" w:name="_Toc154210775"/>
      <w:r>
        <w:rPr>
          <w:rStyle w:val="CharSectno"/>
        </w:rPr>
        <w:t>25</w:t>
      </w:r>
      <w:r>
        <w:rPr>
          <w:snapToGrid w:val="0"/>
        </w:rPr>
        <w:t>.</w:t>
      </w:r>
      <w:r>
        <w:rPr>
          <w:snapToGrid w:val="0"/>
        </w:rPr>
        <w:tab/>
        <w:t>Amounts rounded</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2" w:name="_Toc139696391"/>
      <w:bookmarkStart w:id="53" w:name="_Toc148856858"/>
      <w:bookmarkStart w:id="54" w:name="_Toc150235542"/>
      <w:bookmarkStart w:id="55" w:name="_Toc150244809"/>
      <w:bookmarkStart w:id="56" w:name="_Toc151802094"/>
      <w:bookmarkStart w:id="57" w:name="_Toc154210776"/>
      <w:r>
        <w:rPr>
          <w:rStyle w:val="CharSchNo"/>
        </w:rPr>
        <w:t>Schedule 1</w:t>
      </w:r>
      <w:bookmarkEnd w:id="52"/>
      <w:bookmarkEnd w:id="53"/>
      <w:bookmarkEnd w:id="54"/>
      <w:bookmarkEnd w:id="55"/>
      <w:bookmarkEnd w:id="56"/>
      <w:bookmarkEnd w:id="57"/>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repealed in Gazette 14 Jul 1987 p. 2658.] </w:t>
      </w:r>
    </w:p>
    <w:p>
      <w:pPr>
        <w:pStyle w:val="yScheduleHeading"/>
      </w:pPr>
      <w:bookmarkStart w:id="58" w:name="_Toc139696392"/>
      <w:bookmarkStart w:id="59" w:name="_Toc148856859"/>
      <w:bookmarkStart w:id="60" w:name="_Toc150235543"/>
      <w:bookmarkStart w:id="61" w:name="_Toc150244810"/>
      <w:bookmarkStart w:id="62" w:name="_Toc151802095"/>
      <w:bookmarkStart w:id="63" w:name="_Toc154210777"/>
      <w:r>
        <w:rPr>
          <w:rStyle w:val="CharSchNo"/>
        </w:rPr>
        <w:t>Schedule 2</w:t>
      </w:r>
      <w:r>
        <w:t xml:space="preserve"> — </w:t>
      </w:r>
      <w:r>
        <w:rPr>
          <w:rStyle w:val="CharSchText"/>
        </w:rPr>
        <w:t>Charges</w:t>
      </w:r>
      <w:bookmarkEnd w:id="58"/>
      <w:bookmarkEnd w:id="59"/>
      <w:bookmarkEnd w:id="60"/>
      <w:bookmarkEnd w:id="61"/>
      <w:bookmarkEnd w:id="62"/>
      <w:bookmarkEnd w:id="63"/>
    </w:p>
    <w:p>
      <w:pPr>
        <w:pStyle w:val="yShoulderClause"/>
      </w:pPr>
      <w:r>
        <w:t>[bl. 9(1), (2) and (6) and 11(2)]</w:t>
      </w:r>
    </w:p>
    <w:p>
      <w:pPr>
        <w:pStyle w:val="yFootnoteheading"/>
      </w:pPr>
      <w:r>
        <w:tab/>
        <w:t xml:space="preserve">[Heading inserted in Gazette 30 Jun 2006 p. 2408.] </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jc w:val="center"/>
            </w:pPr>
          </w:p>
        </w:tc>
        <w:tc>
          <w:tcPr>
            <w:tcW w:w="5103" w:type="dxa"/>
          </w:tcPr>
          <w:p>
            <w:pPr>
              <w:pStyle w:val="yTable"/>
            </w:pPr>
          </w:p>
        </w:tc>
        <w:tc>
          <w:tcPr>
            <w:tcW w:w="1134" w:type="dxa"/>
          </w:tcPr>
          <w:p>
            <w:pPr>
              <w:pStyle w:val="yTable"/>
              <w:jc w:val="center"/>
              <w:rPr>
                <w:b/>
              </w:rPr>
            </w:pPr>
            <w:r>
              <w:rPr>
                <w:b/>
              </w:rPr>
              <w:t>$</w:t>
            </w:r>
          </w:p>
        </w:tc>
      </w:tr>
      <w:tr>
        <w:trPr>
          <w:cantSplit/>
        </w:trPr>
        <w:tc>
          <w:tcPr>
            <w:tcW w:w="567" w:type="dxa"/>
          </w:tcPr>
          <w:p>
            <w:pPr>
              <w:pStyle w:val="yTable"/>
            </w:pPr>
            <w:r>
              <w:t>1.</w:t>
            </w:r>
          </w:p>
        </w:tc>
        <w:tc>
          <w:tcPr>
            <w:tcW w:w="5103" w:type="dxa"/>
          </w:tcPr>
          <w:p>
            <w:pPr>
              <w:pStyle w:val="yTable"/>
            </w:pPr>
            <w:r>
              <w:t>Meter testing deposit —</w:t>
            </w:r>
          </w:p>
        </w:tc>
        <w:tc>
          <w:tcPr>
            <w:tcW w:w="1134" w:type="dxa"/>
          </w:tcPr>
          <w:p>
            <w:pPr>
              <w:pStyle w:val="yTable"/>
              <w:jc w:val="right"/>
            </w:pP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(a)</w:t>
            </w:r>
            <w:r>
              <w:tab/>
              <w:t>where the meter size is 20</w:t>
            </w:r>
            <w:r>
              <w:noBreakHyphen/>
              <w:t>25 mm .....................</w:t>
            </w:r>
          </w:p>
        </w:tc>
        <w:tc>
          <w:tcPr>
            <w:tcW w:w="1134" w:type="dxa"/>
          </w:tcPr>
          <w:p>
            <w:pPr>
              <w:pStyle w:val="yTable"/>
              <w:keepNext/>
              <w:keepLines/>
              <w:ind w:right="121"/>
              <w:jc w:val="right"/>
            </w:pPr>
            <w:r>
              <w:t>81.00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where the meter is any greater size, an amount equal to the actual cost of testing the meter</w:t>
            </w:r>
          </w:p>
        </w:tc>
        <w:tc>
          <w:tcPr>
            <w:tcW w:w="1134" w:type="dxa"/>
          </w:tcPr>
          <w:p>
            <w:pPr>
              <w:pStyle w:val="yTable"/>
              <w:jc w:val="right"/>
            </w:pPr>
          </w:p>
        </w:tc>
      </w:tr>
      <w:tr>
        <w:trPr>
          <w:cantSplit/>
        </w:trPr>
        <w:tc>
          <w:tcPr>
            <w:tcW w:w="567" w:type="dxa"/>
          </w:tcPr>
          <w:p>
            <w:pPr>
              <w:pStyle w:val="yTable"/>
            </w:pPr>
            <w:r>
              <w:t>2.</w:t>
            </w:r>
          </w:p>
        </w:tc>
        <w:tc>
          <w:tcPr>
            <w:tcW w:w="5103" w:type="dxa"/>
          </w:tcPr>
          <w:p>
            <w:pPr>
              <w:pStyle w:val="yTable"/>
              <w:tabs>
                <w:tab w:val="left" w:pos="265"/>
                <w:tab w:val="right" w:leader="dot" w:pos="5103"/>
              </w:tabs>
            </w:pPr>
            <w:r>
              <w:t>Charges for fixing water supply and fire fighting connections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ind w:left="709" w:hanging="709"/>
            </w:pPr>
            <w:r>
              <w:tab/>
              <w:t>(a)</w:t>
            </w:r>
            <w:r>
              <w:tab/>
              <w:t>within a central business district as described in Schedule 3 where the connection size is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8"/>
                <w:tab w:val="right" w:leader="dot" w:pos="5103"/>
              </w:tabs>
            </w:pPr>
            <w:r>
              <w:tab/>
            </w:r>
            <w:r>
              <w:tab/>
              <w:t>20 mm ................................................................</w:t>
            </w:r>
          </w:p>
        </w:tc>
        <w:tc>
          <w:tcPr>
            <w:tcW w:w="1134" w:type="dxa"/>
          </w:tcPr>
          <w:p>
            <w:pPr>
              <w:pStyle w:val="yTable"/>
              <w:keepNext/>
              <w:keepLines/>
              <w:ind w:right="121"/>
              <w:jc w:val="right"/>
            </w:pPr>
            <w:r>
              <w:t>645.00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25 mm ................................................................</w:t>
            </w:r>
          </w:p>
        </w:tc>
        <w:tc>
          <w:tcPr>
            <w:tcW w:w="1134" w:type="dxa"/>
          </w:tcPr>
          <w:p>
            <w:pPr>
              <w:pStyle w:val="yTable"/>
              <w:ind w:right="98"/>
              <w:jc w:val="right"/>
            </w:pPr>
            <w:r>
              <w:t>944.00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40 mm ................................................................</w:t>
            </w:r>
          </w:p>
        </w:tc>
        <w:tc>
          <w:tcPr>
            <w:tcW w:w="1134" w:type="dxa"/>
          </w:tcPr>
          <w:p>
            <w:pPr>
              <w:pStyle w:val="yTable"/>
              <w:ind w:right="98"/>
              <w:jc w:val="right"/>
            </w:pPr>
            <w:r>
              <w:t>1 440.00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50 mm ................................................................</w:t>
            </w:r>
          </w:p>
        </w:tc>
        <w:tc>
          <w:tcPr>
            <w:tcW w:w="1134" w:type="dxa"/>
          </w:tcPr>
          <w:p>
            <w:pPr>
              <w:pStyle w:val="yTable"/>
              <w:ind w:right="98"/>
              <w:jc w:val="right"/>
            </w:pPr>
            <w:r>
              <w:t>1 755.00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ind w:left="1168" w:hanging="1168"/>
            </w:pPr>
            <w:r>
              <w:tab/>
            </w:r>
            <w:r>
              <w:tab/>
              <w:t>100 mm ..............................................................</w:t>
            </w:r>
          </w:p>
        </w:tc>
        <w:tc>
          <w:tcPr>
            <w:tcW w:w="1134" w:type="dxa"/>
          </w:tcPr>
          <w:p>
            <w:pPr>
              <w:pStyle w:val="yTable"/>
              <w:ind w:right="98"/>
              <w:jc w:val="right"/>
            </w:pPr>
            <w:r>
              <w:t>3 305.00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ind w:left="1168" w:hanging="1168"/>
            </w:pPr>
            <w:r>
              <w:tab/>
            </w:r>
            <w:r>
              <w:tab/>
              <w:t>150 mm ..............................................................</w:t>
            </w:r>
          </w:p>
        </w:tc>
        <w:tc>
          <w:tcPr>
            <w:tcW w:w="1134" w:type="dxa"/>
          </w:tcPr>
          <w:p>
            <w:pPr>
              <w:pStyle w:val="yTable"/>
              <w:ind w:right="98"/>
              <w:jc w:val="right"/>
            </w:pPr>
            <w:r>
              <w:t>3 925.00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otherwise, an amount equal to the actual cost of fixing the connection</w:t>
            </w:r>
          </w:p>
        </w:tc>
        <w:tc>
          <w:tcPr>
            <w:tcW w:w="1134" w:type="dxa"/>
          </w:tcPr>
          <w:p>
            <w:pPr>
              <w:pStyle w:val="yTable"/>
              <w:ind w:right="34"/>
              <w:jc w:val="right"/>
            </w:pPr>
          </w:p>
        </w:tc>
      </w:tr>
      <w:tr>
        <w:trPr>
          <w:cantSplit/>
        </w:trPr>
        <w:tc>
          <w:tcPr>
            <w:tcW w:w="567" w:type="dxa"/>
          </w:tcPr>
          <w:p>
            <w:pPr>
              <w:pStyle w:val="yTable"/>
            </w:pPr>
            <w:r>
              <w:t>3.</w:t>
            </w:r>
          </w:p>
        </w:tc>
        <w:tc>
          <w:tcPr>
            <w:tcW w:w="5103" w:type="dxa"/>
          </w:tcPr>
          <w:p>
            <w:pPr>
              <w:pStyle w:val="yTable"/>
              <w:tabs>
                <w:tab w:val="left" w:pos="265"/>
                <w:tab w:val="left" w:pos="1026"/>
                <w:tab w:val="left" w:pos="1168"/>
                <w:tab w:val="right" w:leader="dot" w:pos="5103"/>
              </w:tabs>
              <w:ind w:left="709" w:hanging="709"/>
            </w:pPr>
            <w:r>
              <w:t>Charge for —</w:t>
            </w:r>
          </w:p>
        </w:tc>
        <w:tc>
          <w:tcPr>
            <w:tcW w:w="1134" w:type="dxa"/>
          </w:tcPr>
          <w:p>
            <w:pPr>
              <w:pStyle w:val="yTable"/>
              <w:ind w:right="34"/>
              <w:jc w:val="right"/>
            </w:pP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disconnection .....................................................</w:t>
            </w:r>
          </w:p>
        </w:tc>
        <w:tc>
          <w:tcPr>
            <w:tcW w:w="1134" w:type="dxa"/>
          </w:tcPr>
          <w:p>
            <w:pPr>
              <w:pStyle w:val="yTable"/>
              <w:ind w:right="98"/>
              <w:jc w:val="right"/>
            </w:pPr>
            <w:r>
              <w:t>119.00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reconnection ......................................................</w:t>
            </w:r>
          </w:p>
        </w:tc>
        <w:tc>
          <w:tcPr>
            <w:tcW w:w="1134" w:type="dxa"/>
          </w:tcPr>
          <w:p>
            <w:pPr>
              <w:pStyle w:val="yTable"/>
              <w:ind w:right="98"/>
              <w:jc w:val="right"/>
            </w:pPr>
            <w:r>
              <w:t>119.00</w:t>
            </w:r>
          </w:p>
        </w:tc>
      </w:tr>
      <w:tr>
        <w:trPr>
          <w:cantSplit/>
        </w:trPr>
        <w:tc>
          <w:tcPr>
            <w:tcW w:w="567" w:type="dxa"/>
          </w:tcPr>
          <w:p>
            <w:pPr>
              <w:pStyle w:val="yTable"/>
            </w:pPr>
            <w:r>
              <w:t>4.</w:t>
            </w:r>
          </w:p>
        </w:tc>
        <w:tc>
          <w:tcPr>
            <w:tcW w:w="5103" w:type="dxa"/>
          </w:tcPr>
          <w:p>
            <w:pPr>
              <w:pStyle w:val="yTable"/>
              <w:keepNext/>
              <w:keepLines/>
              <w:tabs>
                <w:tab w:val="left" w:pos="265"/>
                <w:tab w:val="left" w:pos="1026"/>
                <w:tab w:val="left" w:pos="1168"/>
                <w:tab w:val="right" w:leader="dot" w:pos="5103"/>
              </w:tabs>
            </w:pPr>
            <w:r>
              <w:t>Charge for relocation of water supply connection (less than 500 mm)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ind w:left="709" w:hanging="709"/>
            </w:pPr>
            <w:r>
              <w:tab/>
              <w:t>(a)</w:t>
            </w:r>
            <w:r>
              <w:tab/>
              <w:t>where the connection size is </w:t>
            </w:r>
            <w:r>
              <w:rPr>
                <w:snapToGrid w:val="0"/>
              </w:rPr>
              <w:t>—</w:t>
            </w:r>
            <w:r>
              <w:t>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7"/>
                <w:tab w:val="right" w:leader="dot" w:pos="5103"/>
              </w:tabs>
            </w:pPr>
            <w:r>
              <w:tab/>
            </w:r>
            <w:r>
              <w:tab/>
              <w:t>20 mm ................................................................</w:t>
            </w:r>
          </w:p>
        </w:tc>
        <w:tc>
          <w:tcPr>
            <w:tcW w:w="1134" w:type="dxa"/>
          </w:tcPr>
          <w:p>
            <w:pPr>
              <w:pStyle w:val="yTable"/>
              <w:ind w:right="98"/>
              <w:jc w:val="right"/>
            </w:pPr>
            <w:r>
              <w:t>140.50</w:t>
            </w:r>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pPr>
            <w:r>
              <w:tab/>
            </w:r>
            <w:r>
              <w:tab/>
              <w:t>25 mm ................................................................</w:t>
            </w:r>
          </w:p>
        </w:tc>
        <w:tc>
          <w:tcPr>
            <w:tcW w:w="1134" w:type="dxa"/>
          </w:tcPr>
          <w:p>
            <w:pPr>
              <w:pStyle w:val="yTable"/>
              <w:ind w:right="98"/>
              <w:jc w:val="right"/>
            </w:pPr>
            <w:r>
              <w:t>166.00</w:t>
            </w:r>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pPr>
            <w:r>
              <w:tab/>
            </w:r>
            <w:r>
              <w:tab/>
              <w:t>40 mm ................................................................</w:t>
            </w:r>
          </w:p>
        </w:tc>
        <w:tc>
          <w:tcPr>
            <w:tcW w:w="1134" w:type="dxa"/>
          </w:tcPr>
          <w:p>
            <w:pPr>
              <w:pStyle w:val="yTable"/>
              <w:ind w:right="98"/>
              <w:jc w:val="right"/>
            </w:pPr>
            <w:r>
              <w:t>217.50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r>
            <w:r>
              <w:tab/>
              <w:t>50 mm ................................................................</w:t>
            </w:r>
          </w:p>
        </w:tc>
        <w:tc>
          <w:tcPr>
            <w:tcW w:w="1134" w:type="dxa"/>
          </w:tcPr>
          <w:p>
            <w:pPr>
              <w:pStyle w:val="yTable"/>
              <w:ind w:right="98"/>
              <w:jc w:val="right"/>
            </w:pPr>
            <w:r>
              <w:t>282.50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other sizes, an amount equal to the actual cost of relocation</w:t>
            </w:r>
          </w:p>
        </w:tc>
        <w:tc>
          <w:tcPr>
            <w:tcW w:w="1134" w:type="dxa"/>
          </w:tcPr>
          <w:p>
            <w:pPr>
              <w:pStyle w:val="yTable"/>
              <w:jc w:val="center"/>
            </w:pPr>
          </w:p>
        </w:tc>
      </w:tr>
    </w:tbl>
    <w:p>
      <w:pPr>
        <w:pStyle w:val="yFootnotesection"/>
      </w:pPr>
      <w:r>
        <w:tab/>
        <w:t xml:space="preserve">[Schedule 2 inserted in Gazette 30 Jun 2006 p. 2408-9.] </w:t>
      </w:r>
    </w:p>
    <w:p>
      <w:pPr>
        <w:pStyle w:val="yScheduleHeading"/>
      </w:pPr>
      <w:bookmarkStart w:id="64" w:name="_Toc139696393"/>
      <w:bookmarkStart w:id="65" w:name="_Toc148856860"/>
      <w:bookmarkStart w:id="66" w:name="_Toc150235544"/>
      <w:bookmarkStart w:id="67" w:name="_Toc150244811"/>
      <w:bookmarkStart w:id="68" w:name="_Toc151802096"/>
      <w:bookmarkStart w:id="69" w:name="_Toc154210778"/>
      <w:r>
        <w:rPr>
          <w:rStyle w:val="CharSchNo"/>
        </w:rPr>
        <w:t>Schedule 3</w:t>
      </w:r>
      <w:bookmarkEnd w:id="64"/>
      <w:bookmarkEnd w:id="65"/>
      <w:bookmarkEnd w:id="66"/>
      <w:bookmarkEnd w:id="67"/>
      <w:bookmarkEnd w:id="68"/>
      <w:bookmarkEnd w:id="69"/>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repealed in Gazette 14 Jul 1987 p. 2658.] </w:t>
      </w:r>
    </w:p>
    <w:p>
      <w:pPr>
        <w:pStyle w:val="yScheduleHeading"/>
      </w:pPr>
      <w:bookmarkStart w:id="70" w:name="_Toc139696394"/>
      <w:bookmarkStart w:id="71" w:name="_Toc148856861"/>
      <w:bookmarkStart w:id="72" w:name="_Toc150235545"/>
      <w:bookmarkStart w:id="73" w:name="_Toc150244812"/>
      <w:bookmarkStart w:id="74" w:name="_Toc151802097"/>
      <w:bookmarkStart w:id="75" w:name="_Toc154210779"/>
      <w:r>
        <w:rPr>
          <w:rStyle w:val="CharSchNo"/>
        </w:rPr>
        <w:t>Schedule 5</w:t>
      </w:r>
      <w:bookmarkEnd w:id="70"/>
      <w:bookmarkEnd w:id="71"/>
      <w:bookmarkEnd w:id="72"/>
      <w:bookmarkEnd w:id="73"/>
      <w:bookmarkEnd w:id="74"/>
      <w:bookmarkEnd w:id="75"/>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76" w:name="_Toc9760060"/>
      <w:bookmarkStart w:id="77" w:name="_Toc139696395"/>
      <w:bookmarkStart w:id="78" w:name="_Toc148856862"/>
      <w:bookmarkStart w:id="79" w:name="_Toc150235546"/>
      <w:bookmarkStart w:id="80" w:name="_Toc150244813"/>
      <w:bookmarkStart w:id="81" w:name="_Toc151802098"/>
      <w:bookmarkStart w:id="82" w:name="_Toc154210780"/>
      <w:r>
        <w:rPr>
          <w:rStyle w:val="CharSchNo"/>
        </w:rPr>
        <w:t>Schedule 6</w:t>
      </w:r>
      <w:r>
        <w:t xml:space="preserve"> — </w:t>
      </w:r>
      <w:r>
        <w:rPr>
          <w:rStyle w:val="CharSchText"/>
        </w:rPr>
        <w:t>Fees</w:t>
      </w:r>
      <w:bookmarkEnd w:id="76"/>
      <w:bookmarkEnd w:id="77"/>
      <w:bookmarkEnd w:id="78"/>
      <w:bookmarkEnd w:id="79"/>
      <w:bookmarkEnd w:id="80"/>
      <w:bookmarkEnd w:id="81"/>
      <w:bookmarkEnd w:id="82"/>
    </w:p>
    <w:p>
      <w:pPr>
        <w:pStyle w:val="yShoulderClause"/>
      </w:pPr>
      <w:r>
        <w:t>[bl. 9(5) and (5a), 17(2), 21, 22 and 24(1) and (2)]</w:t>
      </w:r>
    </w:p>
    <w:tbl>
      <w:tblPr>
        <w:tblW w:w="0" w:type="auto"/>
        <w:tblInd w:w="108" w:type="dxa"/>
        <w:tblLayout w:type="fixed"/>
        <w:tblLook w:val="0000" w:firstRow="0" w:lastRow="0" w:firstColumn="0" w:lastColumn="0" w:noHBand="0" w:noVBand="0"/>
      </w:tblPr>
      <w:tblGrid>
        <w:gridCol w:w="709"/>
        <w:gridCol w:w="5103"/>
        <w:gridCol w:w="1276"/>
      </w:tblGrid>
      <w:tr>
        <w:trPr>
          <w:cantSplit/>
          <w:tblHeader/>
        </w:trPr>
        <w:tc>
          <w:tcPr>
            <w:tcW w:w="709" w:type="dxa"/>
          </w:tcPr>
          <w:p>
            <w:pPr>
              <w:pStyle w:val="yTable"/>
              <w:keepNext/>
              <w:keepLines/>
              <w:spacing w:before="0"/>
            </w:pPr>
          </w:p>
        </w:tc>
        <w:tc>
          <w:tcPr>
            <w:tcW w:w="5103" w:type="dxa"/>
          </w:tcPr>
          <w:p>
            <w:pPr>
              <w:pStyle w:val="yTable"/>
              <w:keepNext/>
              <w:keepLines/>
              <w:spacing w:before="0"/>
            </w:pPr>
          </w:p>
        </w:tc>
        <w:tc>
          <w:tcPr>
            <w:tcW w:w="1276" w:type="dxa"/>
          </w:tcPr>
          <w:p>
            <w:pPr>
              <w:pStyle w:val="yTable"/>
              <w:keepNext/>
              <w:keepLines/>
              <w:spacing w:before="0"/>
              <w:ind w:left="200"/>
              <w:jc w:val="center"/>
              <w:rPr>
                <w:b/>
              </w:rPr>
            </w:pPr>
            <w:r>
              <w:rPr>
                <w:b/>
              </w:rPr>
              <w:t>$</w:t>
            </w:r>
          </w:p>
        </w:tc>
      </w:tr>
      <w:tr>
        <w:trPr>
          <w:cantSplit/>
        </w:trPr>
        <w:tc>
          <w:tcPr>
            <w:tcW w:w="709" w:type="dxa"/>
          </w:tcPr>
          <w:p>
            <w:pPr>
              <w:pStyle w:val="yTable"/>
            </w:pPr>
            <w:r>
              <w:t>1.</w:t>
            </w:r>
          </w:p>
        </w:tc>
        <w:tc>
          <w:tcPr>
            <w:tcW w:w="5103" w:type="dxa"/>
          </w:tcPr>
          <w:p>
            <w:pPr>
              <w:pStyle w:val="yTable"/>
              <w:keepNext/>
              <w:keepLines/>
              <w:tabs>
                <w:tab w:val="left" w:pos="265"/>
                <w:tab w:val="left" w:pos="690"/>
                <w:tab w:val="right" w:leader="dot" w:pos="5103"/>
              </w:tabs>
              <w:ind w:left="709" w:hanging="709"/>
            </w:pPr>
            <w:r>
              <w:tab/>
              <w:t>(a)</w:t>
            </w:r>
            <w:r>
              <w:tab/>
              <w:t>Reading of meter ...............................................</w:t>
            </w:r>
          </w:p>
        </w:tc>
        <w:tc>
          <w:tcPr>
            <w:tcW w:w="1276" w:type="dxa"/>
          </w:tcPr>
          <w:p>
            <w:pPr>
              <w:pStyle w:val="yTable"/>
              <w:keepNext/>
              <w:keepLines/>
              <w:ind w:right="20"/>
              <w:jc w:val="right"/>
            </w:pPr>
            <w:r>
              <w:t>12.65</w:t>
            </w:r>
          </w:p>
        </w:tc>
      </w:tr>
      <w:tr>
        <w:trPr>
          <w:cantSplit/>
        </w:trPr>
        <w:tc>
          <w:tcPr>
            <w:tcW w:w="709" w:type="dxa"/>
          </w:tcPr>
          <w:p>
            <w:pPr>
              <w:pStyle w:val="yTable"/>
              <w:rPr>
                <w:bCs/>
              </w:rPr>
            </w:pPr>
          </w:p>
        </w:tc>
        <w:tc>
          <w:tcPr>
            <w:tcW w:w="5103" w:type="dxa"/>
          </w:tcPr>
          <w:p>
            <w:pPr>
              <w:pStyle w:val="yTable"/>
              <w:tabs>
                <w:tab w:val="left" w:pos="265"/>
                <w:tab w:val="left" w:pos="690"/>
                <w:tab w:val="right" w:leader="dot" w:pos="5103"/>
              </w:tabs>
              <w:ind w:left="709" w:hanging="709"/>
              <w:rPr>
                <w:b/>
              </w:rPr>
            </w:pPr>
            <w:r>
              <w:tab/>
              <w:t>(b)</w:t>
            </w:r>
            <w:r>
              <w:tab/>
              <w:t>Urgent reading of meter ....................................</w:t>
            </w:r>
          </w:p>
        </w:tc>
        <w:tc>
          <w:tcPr>
            <w:tcW w:w="1276" w:type="dxa"/>
          </w:tcPr>
          <w:p>
            <w:pPr>
              <w:pStyle w:val="yTable"/>
              <w:keepNext/>
              <w:keepLines/>
              <w:ind w:right="20"/>
              <w:jc w:val="right"/>
            </w:pPr>
            <w:r>
              <w:t>42.60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Electronic lodgment of a combined request for a single statement, reading of meter and orders and requisitions .................................................</w:t>
            </w:r>
          </w:p>
        </w:tc>
        <w:tc>
          <w:tcPr>
            <w:tcW w:w="1276" w:type="dxa"/>
          </w:tcPr>
          <w:p>
            <w:pPr>
              <w:pStyle w:val="yTable"/>
              <w:keepNext/>
              <w:keepLines/>
              <w:ind w:right="20"/>
              <w:jc w:val="right"/>
            </w:pPr>
            <w:r>
              <w:br/>
            </w:r>
            <w:r>
              <w:br/>
              <w:t>33.60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(d)</w:t>
            </w:r>
            <w:r>
              <w:tab/>
              <w:t>Electronic lodgment of a combined request for a single statement, urgent reading of meter and orders and requisitions ......................................</w:t>
            </w:r>
          </w:p>
        </w:tc>
        <w:tc>
          <w:tcPr>
            <w:tcW w:w="1276" w:type="dxa"/>
          </w:tcPr>
          <w:p>
            <w:pPr>
              <w:pStyle w:val="yTable"/>
              <w:keepNext/>
              <w:keepLines/>
              <w:ind w:right="20"/>
              <w:jc w:val="right"/>
            </w:pPr>
            <w:r>
              <w:br/>
            </w:r>
            <w:r>
              <w:br/>
              <w:t>63.50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(e)</w:t>
            </w:r>
            <w:r>
              <w:tab/>
              <w:t>Lodgment other than under paragraph (c) of a combined request for a single statement, reading of meter and orders and requisitions ....</w:t>
            </w:r>
          </w:p>
        </w:tc>
        <w:tc>
          <w:tcPr>
            <w:tcW w:w="1276" w:type="dxa"/>
          </w:tcPr>
          <w:p>
            <w:pPr>
              <w:pStyle w:val="yTable"/>
              <w:keepNext/>
              <w:keepLines/>
              <w:ind w:right="20"/>
              <w:jc w:val="right"/>
            </w:pPr>
            <w:r>
              <w:br/>
            </w:r>
            <w:r>
              <w:br/>
              <w:t>57.50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(f)</w:t>
            </w:r>
            <w:r>
              <w:tab/>
              <w:t>Lodgment other than under paragraph (d) of a combined request for a single statement, urgent reading of meter and orders and requisitions ....</w:t>
            </w:r>
          </w:p>
        </w:tc>
        <w:tc>
          <w:tcPr>
            <w:tcW w:w="1276" w:type="dxa"/>
          </w:tcPr>
          <w:p>
            <w:pPr>
              <w:pStyle w:val="yTable"/>
              <w:keepNext/>
              <w:keepLines/>
              <w:ind w:right="20"/>
              <w:jc w:val="right"/>
            </w:pPr>
            <w:r>
              <w:br/>
            </w:r>
            <w:r>
              <w:br/>
              <w:t>87.50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(g)</w:t>
            </w:r>
            <w:r>
              <w:tab/>
              <w:t>Provision of information other than under paragraphs (a) to (f) involving research or investigation of 15 minutes or more — per hour or part of an hour ......................................</w:t>
            </w:r>
          </w:p>
        </w:tc>
        <w:tc>
          <w:tcPr>
            <w:tcW w:w="1276" w:type="dxa"/>
          </w:tcPr>
          <w:p>
            <w:pPr>
              <w:pStyle w:val="yTable"/>
              <w:keepNext/>
              <w:keepLines/>
              <w:ind w:right="20"/>
              <w:jc w:val="right"/>
            </w:pPr>
            <w:r>
              <w:br/>
            </w:r>
            <w:r>
              <w:br/>
            </w:r>
            <w:r>
              <w:br/>
              <w:t>69.00</w:t>
            </w:r>
          </w:p>
        </w:tc>
      </w:tr>
      <w:tr>
        <w:trPr>
          <w:cantSplit/>
        </w:trPr>
        <w:tc>
          <w:tcPr>
            <w:tcW w:w="709" w:type="dxa"/>
          </w:tcPr>
          <w:p>
            <w:pPr>
              <w:pStyle w:val="yTable"/>
            </w:pPr>
            <w:r>
              <w:t>2.</w:t>
            </w:r>
          </w:p>
        </w:tc>
        <w:tc>
          <w:tcPr>
            <w:tcW w:w="5103" w:type="dxa"/>
          </w:tcPr>
          <w:p>
            <w:pPr>
              <w:pStyle w:val="yTable"/>
              <w:tabs>
                <w:tab w:val="left" w:pos="265"/>
                <w:tab w:val="left" w:pos="690"/>
                <w:tab w:val="right" w:leader="dot" w:pos="5103"/>
              </w:tabs>
              <w:ind w:left="709" w:hanging="709"/>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276" w:type="dxa"/>
          </w:tcPr>
          <w:p>
            <w:pPr>
              <w:pStyle w:val="yTable"/>
              <w:keepNext/>
              <w:keepLines/>
              <w:ind w:right="20"/>
              <w:jc w:val="right"/>
            </w:pPr>
            <w:r>
              <w:br/>
            </w:r>
            <w:r>
              <w:br/>
            </w:r>
            <w:r>
              <w:br/>
              <w:t>11.00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(b)</w:t>
            </w:r>
            <w:r>
              <w:tab/>
              <w:t>Property sewer diagram (per A4 copy) .............</w:t>
            </w:r>
          </w:p>
        </w:tc>
        <w:tc>
          <w:tcPr>
            <w:tcW w:w="1276" w:type="dxa"/>
          </w:tcPr>
          <w:p>
            <w:pPr>
              <w:pStyle w:val="yTable"/>
              <w:keepNext/>
              <w:keepLines/>
              <w:ind w:right="20"/>
              <w:jc w:val="right"/>
            </w:pPr>
            <w:r>
              <w:t>11.00</w:t>
            </w:r>
          </w:p>
        </w:tc>
      </w:tr>
      <w:tr>
        <w:trPr>
          <w:cantSplit/>
        </w:trPr>
        <w:tc>
          <w:tcPr>
            <w:tcW w:w="709" w:type="dxa"/>
          </w:tcPr>
          <w:p>
            <w:pPr>
              <w:pStyle w:val="yTable"/>
            </w:pPr>
            <w:r>
              <w:t>3.</w:t>
            </w:r>
          </w:p>
        </w:tc>
        <w:tc>
          <w:tcPr>
            <w:tcW w:w="5103" w:type="dxa"/>
          </w:tcPr>
          <w:p>
            <w:pPr>
              <w:pStyle w:val="yTable"/>
              <w:tabs>
                <w:tab w:val="left" w:pos="265"/>
                <w:tab w:val="left" w:pos="690"/>
                <w:tab w:val="right" w:leader="dot" w:pos="5103"/>
              </w:tabs>
              <w:ind w:left="709" w:hanging="709"/>
            </w:pPr>
            <w:r>
              <w:t>Hydrant standpipes —</w:t>
            </w:r>
          </w:p>
        </w:tc>
        <w:tc>
          <w:tcPr>
            <w:tcW w:w="1276" w:type="dxa"/>
          </w:tcPr>
          <w:p>
            <w:pPr>
              <w:pStyle w:val="yTable"/>
              <w:keepNext/>
              <w:keepLines/>
              <w:ind w:right="20"/>
              <w:jc w:val="right"/>
            </w:pP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(a)</w:t>
            </w:r>
            <w:r>
              <w:tab/>
              <w:t>application fee ...................................................</w:t>
            </w:r>
          </w:p>
        </w:tc>
        <w:tc>
          <w:tcPr>
            <w:tcW w:w="1276" w:type="dxa"/>
          </w:tcPr>
          <w:p>
            <w:pPr>
              <w:pStyle w:val="yTable"/>
              <w:keepNext/>
              <w:keepLines/>
              <w:ind w:right="20"/>
              <w:jc w:val="right"/>
            </w:pPr>
            <w:r>
              <w:t>85.00</w:t>
            </w: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t>(b)</w:t>
            </w:r>
            <w:r>
              <w:tab/>
              <w:t>hire fee for a month —</w:t>
            </w:r>
          </w:p>
        </w:tc>
        <w:tc>
          <w:tcPr>
            <w:tcW w:w="1276" w:type="dxa"/>
          </w:tcPr>
          <w:p>
            <w:pPr>
              <w:pStyle w:val="yTable"/>
              <w:ind w:right="20"/>
              <w:jc w:val="right"/>
            </w:pP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r>
            <w:r>
              <w:tab/>
              <w:t>small metered standpipe ....................................</w:t>
            </w:r>
          </w:p>
        </w:tc>
        <w:tc>
          <w:tcPr>
            <w:tcW w:w="1276" w:type="dxa"/>
          </w:tcPr>
          <w:p>
            <w:pPr>
              <w:pStyle w:val="yTable"/>
              <w:keepNext/>
              <w:keepLines/>
              <w:ind w:right="20"/>
              <w:jc w:val="right"/>
            </w:pPr>
            <w:r>
              <w:t>145.00</w:t>
            </w: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r>
            <w:r>
              <w:tab/>
              <w:t>large metered standpipe .....................................</w:t>
            </w:r>
          </w:p>
        </w:tc>
        <w:tc>
          <w:tcPr>
            <w:tcW w:w="1276" w:type="dxa"/>
          </w:tcPr>
          <w:p>
            <w:pPr>
              <w:pStyle w:val="yTable"/>
              <w:keepNext/>
              <w:keepLines/>
              <w:ind w:right="20"/>
              <w:jc w:val="right"/>
            </w:pPr>
            <w:r>
              <w:t>264.50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hire fee for part of a month is as for a month apportioned to reflect the number of days hiring</w:t>
            </w:r>
          </w:p>
        </w:tc>
        <w:tc>
          <w:tcPr>
            <w:tcW w:w="1276" w:type="dxa"/>
          </w:tcPr>
          <w:p>
            <w:pPr>
              <w:pStyle w:val="yTable"/>
              <w:keepNext/>
              <w:keepLines/>
              <w:ind w:right="20"/>
              <w:jc w:val="right"/>
            </w:pPr>
          </w:p>
        </w:tc>
      </w:tr>
      <w:tr>
        <w:trPr>
          <w:cantSplit/>
        </w:trPr>
        <w:tc>
          <w:tcPr>
            <w:tcW w:w="709" w:type="dxa"/>
          </w:tcPr>
          <w:p>
            <w:pPr>
              <w:pStyle w:val="yTable"/>
            </w:pPr>
            <w:r>
              <w:t>4.</w:t>
            </w:r>
          </w:p>
        </w:tc>
        <w:tc>
          <w:tcPr>
            <w:tcW w:w="5103" w:type="dxa"/>
          </w:tcPr>
          <w:p>
            <w:pPr>
              <w:pStyle w:val="yTable"/>
              <w:keepNext/>
              <w:tabs>
                <w:tab w:val="left" w:pos="265"/>
                <w:tab w:val="left" w:pos="690"/>
                <w:tab w:val="right" w:leader="dot" w:pos="5103"/>
              </w:tabs>
              <w:ind w:left="709" w:hanging="709"/>
            </w:pPr>
            <w:r>
              <w:tab/>
              <w:t>(a)</w:t>
            </w:r>
            <w:r>
              <w:tab/>
              <w:t>Reconnection .....................................................</w:t>
            </w:r>
          </w:p>
        </w:tc>
        <w:tc>
          <w:tcPr>
            <w:tcW w:w="1276" w:type="dxa"/>
          </w:tcPr>
          <w:p>
            <w:pPr>
              <w:pStyle w:val="yTable"/>
              <w:keepNext/>
              <w:keepLines/>
              <w:ind w:right="20"/>
              <w:jc w:val="right"/>
            </w:pPr>
            <w:r>
              <w:t>109.00</w:t>
            </w:r>
          </w:p>
        </w:tc>
      </w:tr>
      <w:tr>
        <w:trPr>
          <w:cantSplit/>
        </w:trPr>
        <w:tc>
          <w:tcPr>
            <w:tcW w:w="709" w:type="dxa"/>
          </w:tcPr>
          <w:p>
            <w:pPr>
              <w:pStyle w:val="yTable"/>
              <w:keepNext/>
            </w:pPr>
          </w:p>
        </w:tc>
        <w:tc>
          <w:tcPr>
            <w:tcW w:w="5103" w:type="dxa"/>
          </w:tcPr>
          <w:p>
            <w:pPr>
              <w:pStyle w:val="yTable"/>
              <w:keepNext/>
              <w:tabs>
                <w:tab w:val="left" w:pos="265"/>
                <w:tab w:val="left" w:pos="690"/>
                <w:tab w:val="right" w:leader="dot" w:pos="5103"/>
              </w:tabs>
              <w:ind w:left="709" w:hanging="709"/>
            </w:pPr>
            <w:r>
              <w:tab/>
              <w:t>(b)</w:t>
            </w:r>
            <w:r>
              <w:tab/>
              <w:t>Restoration —</w:t>
            </w:r>
          </w:p>
        </w:tc>
        <w:tc>
          <w:tcPr>
            <w:tcW w:w="1276" w:type="dxa"/>
          </w:tcPr>
          <w:p>
            <w:pPr>
              <w:pStyle w:val="yTable"/>
              <w:keepNext/>
              <w:ind w:right="20"/>
              <w:jc w:val="right"/>
            </w:pPr>
          </w:p>
        </w:tc>
      </w:tr>
      <w:tr>
        <w:trPr>
          <w:cantSplit/>
        </w:trPr>
        <w:tc>
          <w:tcPr>
            <w:tcW w:w="709" w:type="dxa"/>
          </w:tcPr>
          <w:p>
            <w:pPr>
              <w:pStyle w:val="yTable"/>
            </w:pPr>
          </w:p>
        </w:tc>
        <w:tc>
          <w:tcPr>
            <w:tcW w:w="5103" w:type="dxa"/>
          </w:tcPr>
          <w:p>
            <w:pPr>
              <w:pStyle w:val="yTable"/>
              <w:tabs>
                <w:tab w:val="left" w:pos="176"/>
                <w:tab w:val="left" w:pos="601"/>
                <w:tab w:val="left" w:pos="1026"/>
              </w:tabs>
              <w:ind w:left="1026" w:hanging="425"/>
            </w:pPr>
            <w:r>
              <w:t>(i)</w:t>
            </w:r>
            <w:r>
              <w:tab/>
              <w:t>between 7.00 a.m. and 4.00 p.m. any day except Saturdays, Sundays and public holidays .......................................................</w:t>
            </w:r>
          </w:p>
        </w:tc>
        <w:tc>
          <w:tcPr>
            <w:tcW w:w="1276" w:type="dxa"/>
          </w:tcPr>
          <w:p>
            <w:pPr>
              <w:pStyle w:val="yTable"/>
              <w:keepNext/>
              <w:keepLines/>
              <w:ind w:right="20"/>
              <w:jc w:val="right"/>
            </w:pPr>
            <w:r>
              <w:br/>
            </w:r>
            <w:r>
              <w:br/>
              <w:t>109.00</w:t>
            </w:r>
          </w:p>
        </w:tc>
      </w:tr>
      <w:tr>
        <w:trPr>
          <w:cantSplit/>
        </w:trPr>
        <w:tc>
          <w:tcPr>
            <w:tcW w:w="709" w:type="dxa"/>
          </w:tcPr>
          <w:p>
            <w:pPr>
              <w:pStyle w:val="yTable"/>
            </w:pPr>
          </w:p>
        </w:tc>
        <w:tc>
          <w:tcPr>
            <w:tcW w:w="5103" w:type="dxa"/>
          </w:tcPr>
          <w:p>
            <w:pPr>
              <w:pStyle w:val="yTable"/>
              <w:tabs>
                <w:tab w:val="left" w:pos="176"/>
                <w:tab w:val="left" w:pos="601"/>
                <w:tab w:val="left" w:pos="1026"/>
              </w:tabs>
              <w:ind w:left="1026" w:hanging="425"/>
            </w:pPr>
            <w:r>
              <w:t>(ii)</w:t>
            </w:r>
            <w:r>
              <w:tab/>
              <w:t>at any other time ..........................................</w:t>
            </w:r>
          </w:p>
        </w:tc>
        <w:tc>
          <w:tcPr>
            <w:tcW w:w="1276" w:type="dxa"/>
          </w:tcPr>
          <w:p>
            <w:pPr>
              <w:pStyle w:val="yTable"/>
              <w:keepNext/>
              <w:keepLines/>
              <w:ind w:right="20"/>
              <w:jc w:val="right"/>
            </w:pPr>
            <w:r>
              <w:t>172.50</w:t>
            </w:r>
          </w:p>
        </w:tc>
      </w:tr>
      <w:tr>
        <w:trPr>
          <w:cantSplit/>
        </w:trPr>
        <w:tc>
          <w:tcPr>
            <w:tcW w:w="709" w:type="dxa"/>
          </w:tcPr>
          <w:p>
            <w:pPr>
              <w:pStyle w:val="yTable"/>
            </w:pPr>
            <w:r>
              <w:t>5.</w:t>
            </w:r>
          </w:p>
        </w:tc>
        <w:tc>
          <w:tcPr>
            <w:tcW w:w="5103" w:type="dxa"/>
          </w:tcPr>
          <w:p>
            <w:pPr>
              <w:pStyle w:val="yTable"/>
              <w:tabs>
                <w:tab w:val="left" w:pos="265"/>
                <w:tab w:val="left" w:pos="690"/>
                <w:tab w:val="right" w:leader="dot" w:pos="5103"/>
              </w:tabs>
            </w:pPr>
            <w:r>
              <w:t xml:space="preserve">Fee under section 148 of </w:t>
            </w:r>
            <w:r>
              <w:rPr>
                <w:i/>
              </w:rPr>
              <w:t>Metropolitan Water Supply, Sewerage, and Drainage Act 1909</w:t>
            </w:r>
            <w:r>
              <w:t xml:space="preserve"> in respect of land on which it is proposed to —</w:t>
            </w:r>
          </w:p>
        </w:tc>
        <w:tc>
          <w:tcPr>
            <w:tcW w:w="1276" w:type="dxa"/>
          </w:tcPr>
          <w:p>
            <w:pPr>
              <w:pStyle w:val="yTable"/>
              <w:ind w:right="20"/>
              <w:jc w:val="right"/>
            </w:pPr>
          </w:p>
        </w:tc>
      </w:tr>
      <w:tr>
        <w:trPr>
          <w:cantSplit/>
        </w:trPr>
        <w:tc>
          <w:tcPr>
            <w:tcW w:w="709" w:type="dxa"/>
          </w:tcPr>
          <w:p>
            <w:pPr>
              <w:pStyle w:val="yTable"/>
            </w:pPr>
          </w:p>
        </w:tc>
        <w:tc>
          <w:tcPr>
            <w:tcW w:w="5103" w:type="dxa"/>
          </w:tcPr>
          <w:p>
            <w:pPr>
              <w:pStyle w:val="yTable"/>
              <w:tabs>
                <w:tab w:val="left" w:pos="265"/>
                <w:tab w:val="left" w:pos="690"/>
              </w:tabs>
              <w:ind w:left="709" w:hanging="709"/>
            </w:pPr>
            <w:r>
              <w:tab/>
              <w:t>(a)</w:t>
            </w:r>
            <w:r>
              <w:tab/>
            </w:r>
            <w:r>
              <w:rPr>
                <w:spacing w:val="-4"/>
              </w:rPr>
              <w:t xml:space="preserve">construct a new single residential building or </w:t>
            </w:r>
            <w:r>
              <w:t>alter an existing single residential building ......</w:t>
            </w:r>
          </w:p>
        </w:tc>
        <w:tc>
          <w:tcPr>
            <w:tcW w:w="1276" w:type="dxa"/>
          </w:tcPr>
          <w:p>
            <w:pPr>
              <w:pStyle w:val="yTable"/>
              <w:keepNext/>
              <w:keepLines/>
              <w:ind w:left="-40" w:right="20"/>
              <w:jc w:val="right"/>
              <w:rPr>
                <w:spacing w:val="-1"/>
              </w:rPr>
            </w:pPr>
            <w:r>
              <w:rPr>
                <w:spacing w:val="-1"/>
              </w:rPr>
              <w:br/>
            </w:r>
            <w:r>
              <w:t>106</w:t>
            </w:r>
            <w:r>
              <w:rPr>
                <w:spacing w:val="-1"/>
              </w:rPr>
              <w:t>.00</w:t>
            </w:r>
            <w:r>
              <w:rPr>
                <w:spacing w:val="-1"/>
              </w:rPr>
              <w:br/>
            </w:r>
            <w:r>
              <w:rPr>
                <w:i/>
                <w:iCs/>
                <w:spacing w:val="-4"/>
              </w:rPr>
              <w:t>(</w:t>
            </w:r>
            <w:r>
              <w:rPr>
                <w:i/>
                <w:iCs/>
                <w:spacing w:val="-4"/>
                <w:sz w:val="18"/>
              </w:rPr>
              <w:t>per residential unit)</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(b)</w:t>
            </w:r>
            <w:r>
              <w:tab/>
            </w:r>
            <w:r>
              <w:rPr>
                <w:spacing w:val="-4"/>
              </w:rPr>
              <w:t>construct an outbuilding to a single residential building located in a sewered area (including a pool, garage or pergola)</w:t>
            </w:r>
            <w:r>
              <w:t xml:space="preserve"> ......................................</w:t>
            </w:r>
          </w:p>
        </w:tc>
        <w:tc>
          <w:tcPr>
            <w:tcW w:w="1276" w:type="dxa"/>
          </w:tcPr>
          <w:p>
            <w:pPr>
              <w:pStyle w:val="yTable"/>
              <w:keepNext/>
              <w:keepLines/>
              <w:ind w:right="20"/>
              <w:jc w:val="right"/>
              <w:rPr>
                <w:spacing w:val="-1"/>
              </w:rPr>
            </w:pPr>
            <w:r>
              <w:rPr>
                <w:spacing w:val="-1"/>
              </w:rPr>
              <w:br/>
            </w:r>
            <w:r>
              <w:rPr>
                <w:spacing w:val="-1"/>
              </w:rPr>
              <w:br/>
              <w:t>31.00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construct or alter a building other than a residential building — an amount based on the cost of the construction or alteration as assessed by the Corporation, of —</w:t>
            </w:r>
          </w:p>
        </w:tc>
        <w:tc>
          <w:tcPr>
            <w:tcW w:w="1276"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41" w:right="20"/>
              <w:jc w:val="right"/>
              <w:rPr>
                <w:spacing w:val="-1"/>
              </w:rPr>
            </w:pPr>
          </w:p>
        </w:tc>
      </w:tr>
      <w:tr>
        <w:trPr>
          <w:cantSplit/>
        </w:trPr>
        <w:tc>
          <w:tcPr>
            <w:tcW w:w="709" w:type="dxa"/>
          </w:tcPr>
          <w:p>
            <w:pPr>
              <w:pStyle w:val="yTable"/>
            </w:pPr>
          </w:p>
        </w:tc>
        <w:tc>
          <w:tcPr>
            <w:tcW w:w="5103" w:type="dxa"/>
          </w:tcPr>
          <w:p>
            <w:pPr>
              <w:pStyle w:val="yTable"/>
              <w:tabs>
                <w:tab w:val="left" w:pos="690"/>
                <w:tab w:val="left" w:pos="1116"/>
                <w:tab w:val="right" w:leader="dot" w:pos="5103"/>
              </w:tabs>
            </w:pPr>
            <w:r>
              <w:tab/>
              <w:t>up to $22 500 (in a sewered area) .....................</w:t>
            </w:r>
          </w:p>
        </w:tc>
        <w:tc>
          <w:tcPr>
            <w:tcW w:w="1276" w:type="dxa"/>
          </w:tcPr>
          <w:p>
            <w:pPr>
              <w:pStyle w:val="yTable"/>
              <w:keepNext/>
              <w:keepLines/>
              <w:ind w:right="20"/>
              <w:jc w:val="right"/>
              <w:rPr>
                <w:spacing w:val="-1"/>
              </w:rPr>
            </w:pPr>
            <w:r>
              <w:rPr>
                <w:spacing w:val="-1"/>
              </w:rPr>
              <w:t>31.</w:t>
            </w:r>
            <w:r>
              <w:t>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over $22 500 but not over $200 000 .....................</w:t>
            </w:r>
          </w:p>
        </w:tc>
        <w:tc>
          <w:tcPr>
            <w:tcW w:w="1276" w:type="dxa"/>
          </w:tcPr>
          <w:p>
            <w:pPr>
              <w:pStyle w:val="yTable"/>
              <w:keepNext/>
              <w:keepLines/>
              <w:spacing w:before="0"/>
              <w:ind w:right="20"/>
              <w:jc w:val="right"/>
              <w:rPr>
                <w:spacing w:val="-1"/>
              </w:rPr>
            </w:pPr>
            <w:r>
              <w:rPr>
                <w:spacing w:val="-1"/>
              </w:rPr>
              <w:t>106.00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over $200 000 but not over $500 000 ...................</w:t>
            </w:r>
          </w:p>
        </w:tc>
        <w:tc>
          <w:tcPr>
            <w:tcW w:w="1276" w:type="dxa"/>
          </w:tcPr>
          <w:p>
            <w:pPr>
              <w:pStyle w:val="yTable"/>
              <w:keepNext/>
              <w:keepLines/>
              <w:spacing w:before="0"/>
              <w:ind w:right="20"/>
              <w:jc w:val="right"/>
              <w:rPr>
                <w:spacing w:val="-1"/>
              </w:rPr>
            </w:pPr>
            <w:r>
              <w:rPr>
                <w:spacing w:val="-1"/>
              </w:rPr>
              <w:t>420.00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over $500 000 but not over $1 000 000 ................</w:t>
            </w:r>
          </w:p>
        </w:tc>
        <w:tc>
          <w:tcPr>
            <w:tcW w:w="1276" w:type="dxa"/>
          </w:tcPr>
          <w:p>
            <w:pPr>
              <w:pStyle w:val="yTable"/>
              <w:keepNext/>
              <w:keepLines/>
              <w:spacing w:before="0"/>
              <w:ind w:right="20"/>
              <w:jc w:val="right"/>
              <w:rPr>
                <w:spacing w:val="-1"/>
              </w:rPr>
            </w:pPr>
            <w:r>
              <w:rPr>
                <w:spacing w:val="-1"/>
              </w:rPr>
              <w:t>680.00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over $1 000 000 but not over $10 000 000 ...........</w:t>
            </w:r>
          </w:p>
        </w:tc>
        <w:tc>
          <w:tcPr>
            <w:tcW w:w="1276" w:type="dxa"/>
          </w:tcPr>
          <w:p>
            <w:pPr>
              <w:pStyle w:val="yTable"/>
              <w:keepNext/>
              <w:keepLines/>
              <w:spacing w:before="0"/>
              <w:ind w:right="20"/>
              <w:jc w:val="right"/>
              <w:rPr>
                <w:spacing w:val="-1"/>
              </w:rPr>
            </w:pPr>
            <w:r>
              <w:rPr>
                <w:spacing w:val="-1"/>
              </w:rPr>
              <w:t>1.10</w:t>
            </w:r>
            <w:r>
              <w:rPr>
                <w:spacing w:val="-1"/>
              </w:rPr>
              <w:br/>
            </w:r>
            <w:r>
              <w:rPr>
                <w:i/>
                <w:iCs/>
                <w:spacing w:val="-4"/>
              </w:rPr>
              <w:t>(</w:t>
            </w:r>
            <w:r>
              <w:rPr>
                <w:i/>
                <w:iCs/>
                <w:spacing w:val="-4"/>
                <w:sz w:val="18"/>
              </w:rPr>
              <w:t>per $1 000 of construction)</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pPr>
            <w:r>
              <w:tab/>
              <w:t>over $10 000 000 ...............................................</w:t>
            </w:r>
          </w:p>
        </w:tc>
        <w:tc>
          <w:tcPr>
            <w:tcW w:w="1276" w:type="dxa"/>
          </w:tcPr>
          <w:p>
            <w:pPr>
              <w:pStyle w:val="yTable"/>
              <w:keepNext/>
              <w:keepLines/>
              <w:spacing w:before="0"/>
              <w:ind w:right="20"/>
              <w:jc w:val="right"/>
              <w:rPr>
                <w:spacing w:val="-1"/>
              </w:rPr>
            </w:pPr>
            <w:r>
              <w:rPr>
                <w:spacing w:val="-1"/>
              </w:rPr>
              <w:t>0.</w:t>
            </w:r>
            <w:r>
              <w:t>30</w:t>
            </w:r>
            <w:r>
              <w:rPr>
                <w:spacing w:val="-1"/>
              </w:rPr>
              <w:br/>
            </w:r>
            <w:r>
              <w:rPr>
                <w:i/>
                <w:iCs/>
                <w:spacing w:val="-4"/>
              </w:rPr>
              <w:t>(</w:t>
            </w:r>
            <w:r>
              <w:rPr>
                <w:i/>
                <w:iCs/>
                <w:spacing w:val="-4"/>
                <w:sz w:val="18"/>
              </w:rPr>
              <w:t>per $1 000 of construction)</w:t>
            </w:r>
          </w:p>
        </w:tc>
      </w:tr>
      <w:tr>
        <w:trPr>
          <w:cantSplit/>
        </w:trPr>
        <w:tc>
          <w:tcPr>
            <w:tcW w:w="709" w:type="dxa"/>
          </w:tcPr>
          <w:p>
            <w:pPr>
              <w:pStyle w:val="yTable"/>
            </w:pPr>
            <w:r>
              <w:t>6.</w:t>
            </w:r>
          </w:p>
        </w:tc>
        <w:tc>
          <w:tcPr>
            <w:tcW w:w="5103" w:type="dxa"/>
          </w:tcPr>
          <w:p>
            <w:pPr>
              <w:pStyle w:val="yTable"/>
              <w:tabs>
                <w:tab w:val="left" w:pos="265"/>
                <w:tab w:val="left" w:pos="690"/>
                <w:tab w:val="right" w:leader="dot" w:pos="5103"/>
              </w:tabs>
            </w:pPr>
            <w:r>
              <w:t>Fee for application for disconnection or reconnection of water supply under by</w:t>
            </w:r>
            <w:r>
              <w:noBreakHyphen/>
              <w:t>law 9(5a) — on redevelopment or subdivision ........................................</w:t>
            </w:r>
          </w:p>
        </w:tc>
        <w:tc>
          <w:tcPr>
            <w:tcW w:w="1276" w:type="dxa"/>
          </w:tcPr>
          <w:p>
            <w:pPr>
              <w:pStyle w:val="yTable"/>
              <w:keepNext/>
              <w:keepLines/>
              <w:ind w:right="20"/>
              <w:jc w:val="right"/>
            </w:pPr>
            <w:r>
              <w:br/>
            </w:r>
            <w:r>
              <w:br/>
              <w:t>169.00</w:t>
            </w:r>
          </w:p>
        </w:tc>
      </w:tr>
    </w:tbl>
    <w:p>
      <w:pPr>
        <w:pStyle w:val="yFootnotesection"/>
        <w:keepLines w:val="0"/>
        <w:spacing w:before="80"/>
        <w:ind w:right="98"/>
      </w:pPr>
      <w:r>
        <w:tab/>
        <w:t>[Schedule 6 inserted in Gazette 27 Jun 2003 p. 2429-30; amended in Gazette 29 Jun 2004 p. 2502; 1 Jul 2005 p. 3015-16; 30 Jun 2006 p. 2409-10.]</w:t>
      </w:r>
    </w:p>
    <w:p>
      <w:pPr>
        <w:pStyle w:val="yFootnotesection"/>
        <w:keepLines w:val="0"/>
        <w:spacing w:before="80"/>
        <w:ind w:right="98"/>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3" w:name="_Toc73408355"/>
      <w:bookmarkStart w:id="84" w:name="_Toc76870269"/>
      <w:bookmarkStart w:id="85" w:name="_Toc107976563"/>
      <w:bookmarkStart w:id="86" w:name="_Toc122422642"/>
      <w:bookmarkStart w:id="87" w:name="_Toc139696396"/>
      <w:bookmarkStart w:id="88" w:name="_Toc148856863"/>
      <w:bookmarkStart w:id="89" w:name="_Toc150235547"/>
      <w:bookmarkStart w:id="90" w:name="_Toc150244814"/>
      <w:bookmarkStart w:id="91" w:name="_Toc151802099"/>
      <w:bookmarkStart w:id="92" w:name="_Toc154210781"/>
      <w:r>
        <w:t>Notes</w:t>
      </w:r>
      <w:bookmarkEnd w:id="83"/>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reprint is a compilation as at 1 December 2006 of the </w:t>
      </w:r>
      <w:r>
        <w:rPr>
          <w:i/>
          <w:noProof/>
          <w:snapToGrid w:val="0"/>
        </w:rPr>
        <w:t>Metropolitan Water Authority (Miscellaneous) By-laws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154210782"/>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tcBorders>
              <w:top w:val="single" w:sz="8" w:space="0" w:color="auto"/>
            </w:tcBorders>
          </w:tcPr>
          <w:p>
            <w:pPr>
              <w:pStyle w:val="nTable"/>
              <w:spacing w:after="40"/>
              <w:rPr>
                <w:sz w:val="19"/>
              </w:rPr>
            </w:pPr>
            <w:r>
              <w:rPr>
                <w:sz w:val="19"/>
              </w:rPr>
              <w:t>18 Jun 1982 p. 2025</w:t>
            </w:r>
            <w:r>
              <w:rPr>
                <w:sz w:val="19"/>
              </w:rPr>
              <w:noBreakHyphen/>
              <w:t>9</w:t>
            </w:r>
          </w:p>
        </w:tc>
        <w:tc>
          <w:tcPr>
            <w:tcW w:w="2693" w:type="dxa"/>
            <w:tcBorders>
              <w:top w:val="single" w:sz="8" w:space="0" w:color="auto"/>
            </w:tcBorders>
          </w:tcPr>
          <w:p>
            <w:pPr>
              <w:pStyle w:val="nTable"/>
              <w:spacing w:after="40"/>
              <w:rPr>
                <w:sz w:val="19"/>
              </w:rPr>
            </w:pPr>
            <w:r>
              <w:rPr>
                <w:sz w:val="19"/>
              </w:rPr>
              <w:t>1 Jul 1982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tcPr>
          <w:p>
            <w:pPr>
              <w:pStyle w:val="nTable"/>
              <w:spacing w:after="40"/>
              <w:rPr>
                <w:sz w:val="19"/>
              </w:rPr>
            </w:pPr>
            <w:r>
              <w:rPr>
                <w:sz w:val="19"/>
              </w:rPr>
              <w:t>24 Dec 1982 p. 4923</w:t>
            </w:r>
            <w:r>
              <w:rPr>
                <w:sz w:val="19"/>
              </w:rPr>
              <w:noBreakHyphen/>
              <w:t>4</w:t>
            </w:r>
            <w:r>
              <w:rPr>
                <w:sz w:val="19"/>
              </w:rPr>
              <w:br/>
              <w:t>(as amended 24 Jun 1983 p. 2005)</w:t>
            </w:r>
          </w:p>
        </w:tc>
        <w:tc>
          <w:tcPr>
            <w:tcW w:w="2693" w:type="dxa"/>
          </w:tcPr>
          <w:p>
            <w:pPr>
              <w:pStyle w:val="nTable"/>
              <w:spacing w:after="40"/>
              <w:rPr>
                <w:sz w:val="19"/>
              </w:rPr>
            </w:pPr>
            <w:r>
              <w:rPr>
                <w:sz w:val="19"/>
              </w:rPr>
              <w:t>1 Jul 1983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tcPr>
          <w:p>
            <w:pPr>
              <w:pStyle w:val="nTable"/>
              <w:spacing w:after="40"/>
              <w:rPr>
                <w:sz w:val="19"/>
              </w:rPr>
            </w:pPr>
            <w:r>
              <w:rPr>
                <w:sz w:val="19"/>
              </w:rPr>
              <w:t>24 Jun 1983 p. 2005</w:t>
            </w:r>
            <w:r>
              <w:rPr>
                <w:sz w:val="19"/>
              </w:rPr>
              <w:noBreakHyphen/>
              <w:t>7</w:t>
            </w:r>
          </w:p>
        </w:tc>
        <w:tc>
          <w:tcPr>
            <w:tcW w:w="2693" w:type="dxa"/>
          </w:tcPr>
          <w:p>
            <w:pPr>
              <w:pStyle w:val="nTable"/>
              <w:spacing w:after="40"/>
              <w:rPr>
                <w:sz w:val="19"/>
              </w:rPr>
            </w:pPr>
            <w:r>
              <w:rPr>
                <w:sz w:val="19"/>
              </w:rPr>
              <w:t>1 Jul 1983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tcPr>
          <w:p>
            <w:pPr>
              <w:pStyle w:val="nTable"/>
              <w:spacing w:after="40"/>
              <w:rPr>
                <w:sz w:val="19"/>
              </w:rPr>
            </w:pPr>
            <w:r>
              <w:rPr>
                <w:sz w:val="19"/>
              </w:rPr>
              <w:t>12 Aug 1983 p. 2943</w:t>
            </w:r>
            <w:r>
              <w:rPr>
                <w:sz w:val="19"/>
              </w:rPr>
              <w:noBreakHyphen/>
              <w:t>4</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tcPr>
          <w:p>
            <w:pPr>
              <w:pStyle w:val="nTable"/>
              <w:spacing w:after="40"/>
              <w:rPr>
                <w:sz w:val="19"/>
              </w:rPr>
            </w:pPr>
            <w:r>
              <w:rPr>
                <w:sz w:val="19"/>
              </w:rPr>
              <w:t>23 Dec 1983 p. 4951</w:t>
            </w:r>
          </w:p>
        </w:tc>
        <w:tc>
          <w:tcPr>
            <w:tcW w:w="2693" w:type="dxa"/>
          </w:tcPr>
          <w:p>
            <w:pPr>
              <w:pStyle w:val="nTable"/>
              <w:spacing w:after="40"/>
              <w:rPr>
                <w:sz w:val="19"/>
              </w:rPr>
            </w:pPr>
            <w:r>
              <w:rPr>
                <w:sz w:val="19"/>
              </w:rPr>
              <w:t>15 Jan 1984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tcPr>
          <w:p>
            <w:pPr>
              <w:pStyle w:val="nTable"/>
              <w:spacing w:after="40"/>
              <w:rPr>
                <w:sz w:val="19"/>
              </w:rPr>
            </w:pPr>
            <w:r>
              <w:rPr>
                <w:sz w:val="19"/>
              </w:rPr>
              <w:t>29 Jun 1984 p. 1811</w:t>
            </w:r>
          </w:p>
        </w:tc>
        <w:tc>
          <w:tcPr>
            <w:tcW w:w="2693" w:type="dxa"/>
          </w:tcPr>
          <w:p>
            <w:pPr>
              <w:pStyle w:val="nTable"/>
              <w:spacing w:after="40"/>
              <w:rPr>
                <w:sz w:val="19"/>
              </w:rPr>
            </w:pPr>
            <w:r>
              <w:rPr>
                <w:sz w:val="19"/>
              </w:rPr>
              <w:t>1 Jul 1984 (see bl. 2)</w:t>
            </w:r>
          </w:p>
        </w:tc>
      </w:tr>
      <w:tr>
        <w:trPr>
          <w:cantSplit/>
        </w:trPr>
        <w:tc>
          <w:tcPr>
            <w:tcW w:w="3119"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tcPr>
          <w:p>
            <w:pPr>
              <w:pStyle w:val="nTable"/>
              <w:spacing w:after="40"/>
              <w:rPr>
                <w:sz w:val="19"/>
              </w:rPr>
            </w:pPr>
            <w:r>
              <w:rPr>
                <w:sz w:val="19"/>
              </w:rPr>
              <w:t>21 Dec 1984 p. 4183</w:t>
            </w:r>
            <w:r>
              <w:rPr>
                <w:sz w:val="19"/>
              </w:rPr>
              <w:noBreakHyphen/>
              <w:t>4</w:t>
            </w:r>
          </w:p>
        </w:tc>
        <w:tc>
          <w:tcPr>
            <w:tcW w:w="2693" w:type="dxa"/>
          </w:tcPr>
          <w:p>
            <w:pPr>
              <w:pStyle w:val="nTable"/>
              <w:spacing w:after="40"/>
              <w:rPr>
                <w:sz w:val="19"/>
              </w:rPr>
            </w:pPr>
            <w:r>
              <w:rPr>
                <w:sz w:val="19"/>
              </w:rPr>
              <w:t>15 Jan 1985 (see bl. 2)</w:t>
            </w:r>
          </w:p>
        </w:tc>
      </w:tr>
      <w:tr>
        <w:trPr>
          <w:cantSplit/>
        </w:trPr>
        <w:tc>
          <w:tcPr>
            <w:tcW w:w="3119"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tcPr>
          <w:p>
            <w:pPr>
              <w:pStyle w:val="nTable"/>
              <w:keepNext/>
              <w:keepLines/>
              <w:spacing w:after="40"/>
              <w:rPr>
                <w:sz w:val="19"/>
              </w:rPr>
            </w:pPr>
            <w:r>
              <w:rPr>
                <w:sz w:val="19"/>
              </w:rPr>
              <w:t>28 Jun 1985 p. 2345</w:t>
            </w:r>
            <w:r>
              <w:rPr>
                <w:sz w:val="19"/>
              </w:rPr>
              <w:noBreakHyphen/>
              <w:t>8</w:t>
            </w:r>
          </w:p>
        </w:tc>
        <w:tc>
          <w:tcPr>
            <w:tcW w:w="2693" w:type="dxa"/>
          </w:tcPr>
          <w:p>
            <w:pPr>
              <w:pStyle w:val="nTable"/>
              <w:keepNext/>
              <w:keepLines/>
              <w:spacing w:after="40"/>
              <w:rPr>
                <w:sz w:val="19"/>
              </w:rPr>
            </w:pPr>
            <w:r>
              <w:rPr>
                <w:sz w:val="19"/>
              </w:rPr>
              <w:t>1 Jul 1985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tcPr>
          <w:p>
            <w:pPr>
              <w:pStyle w:val="nTable"/>
              <w:spacing w:after="40"/>
              <w:rPr>
                <w:sz w:val="19"/>
              </w:rPr>
            </w:pPr>
            <w:r>
              <w:rPr>
                <w:sz w:val="19"/>
              </w:rPr>
              <w:t>27 Jun 1986 p. 2129</w:t>
            </w:r>
            <w:r>
              <w:rPr>
                <w:sz w:val="19"/>
              </w:rPr>
              <w:noBreakHyphen/>
              <w:t>31</w:t>
            </w:r>
          </w:p>
        </w:tc>
        <w:tc>
          <w:tcPr>
            <w:tcW w:w="2693" w:type="dxa"/>
          </w:tcPr>
          <w:p>
            <w:pPr>
              <w:pStyle w:val="nTable"/>
              <w:spacing w:after="40"/>
              <w:rPr>
                <w:sz w:val="19"/>
              </w:rPr>
            </w:pPr>
            <w:r>
              <w:rPr>
                <w:sz w:val="19"/>
              </w:rPr>
              <w:t>27 Jun 1986</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tcPr>
          <w:p>
            <w:pPr>
              <w:pStyle w:val="nTable"/>
              <w:spacing w:after="40"/>
              <w:rPr>
                <w:sz w:val="19"/>
              </w:rPr>
            </w:pPr>
            <w:r>
              <w:rPr>
                <w:sz w:val="19"/>
              </w:rPr>
              <w:t>19 Sep 1986 p. 3425</w:t>
            </w:r>
          </w:p>
        </w:tc>
        <w:tc>
          <w:tcPr>
            <w:tcW w:w="2693" w:type="dxa"/>
          </w:tcPr>
          <w:p>
            <w:pPr>
              <w:pStyle w:val="nTable"/>
              <w:spacing w:after="40"/>
              <w:rPr>
                <w:sz w:val="19"/>
              </w:rPr>
            </w:pPr>
            <w:r>
              <w:rPr>
                <w:sz w:val="19"/>
              </w:rPr>
              <w:t>19 Sep 1986</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tcPr>
          <w:p>
            <w:pPr>
              <w:pStyle w:val="nTable"/>
              <w:spacing w:after="40"/>
              <w:rPr>
                <w:sz w:val="19"/>
              </w:rPr>
            </w:pPr>
            <w:r>
              <w:rPr>
                <w:sz w:val="19"/>
              </w:rPr>
              <w:t>14 Jul 1987 p. 2649</w:t>
            </w:r>
            <w:r>
              <w:rPr>
                <w:sz w:val="19"/>
              </w:rPr>
              <w:noBreakHyphen/>
              <w:t>58</w:t>
            </w:r>
            <w:r>
              <w:rPr>
                <w:sz w:val="19"/>
              </w:rPr>
              <w:br/>
              <w:t>(errata 24 Jul 1987 p. 2841)</w:t>
            </w:r>
          </w:p>
        </w:tc>
        <w:tc>
          <w:tcPr>
            <w:tcW w:w="2693" w:type="dxa"/>
          </w:tcPr>
          <w:p>
            <w:pPr>
              <w:pStyle w:val="nTable"/>
              <w:spacing w:after="40"/>
              <w:rPr>
                <w:sz w:val="19"/>
              </w:rPr>
            </w:pPr>
            <w:r>
              <w:rPr>
                <w:sz w:val="19"/>
              </w:rPr>
              <w:t>14 Jul 1987</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tcPr>
          <w:p>
            <w:pPr>
              <w:pStyle w:val="nTable"/>
              <w:spacing w:after="40"/>
              <w:rPr>
                <w:sz w:val="19"/>
              </w:rPr>
            </w:pPr>
            <w:r>
              <w:rPr>
                <w:sz w:val="19"/>
              </w:rPr>
              <w:t>29 Jun 1988 p. 2122</w:t>
            </w:r>
            <w:r>
              <w:rPr>
                <w:sz w:val="19"/>
              </w:rPr>
              <w:noBreakHyphen/>
              <w:t>6</w:t>
            </w:r>
          </w:p>
        </w:tc>
        <w:tc>
          <w:tcPr>
            <w:tcW w:w="2693" w:type="dxa"/>
          </w:tcPr>
          <w:p>
            <w:pPr>
              <w:pStyle w:val="nTable"/>
              <w:spacing w:after="40"/>
              <w:rPr>
                <w:sz w:val="19"/>
              </w:rPr>
            </w:pPr>
            <w:r>
              <w:rPr>
                <w:sz w:val="19"/>
              </w:rPr>
              <w:t>1 Jul 1988 (see bl. 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tcPr>
          <w:p>
            <w:pPr>
              <w:pStyle w:val="nTable"/>
              <w:spacing w:after="40"/>
              <w:rPr>
                <w:sz w:val="19"/>
              </w:rPr>
            </w:pPr>
            <w:r>
              <w:rPr>
                <w:sz w:val="19"/>
              </w:rPr>
              <w:t>29 Jun 1989 p. 1883</w:t>
            </w:r>
            <w:r>
              <w:rPr>
                <w:sz w:val="19"/>
              </w:rPr>
              <w:noBreakHyphen/>
              <w:t>91</w:t>
            </w:r>
          </w:p>
        </w:tc>
        <w:tc>
          <w:tcPr>
            <w:tcW w:w="2693" w:type="dxa"/>
          </w:tcPr>
          <w:p>
            <w:pPr>
              <w:pStyle w:val="nTable"/>
              <w:spacing w:after="40"/>
              <w:rPr>
                <w:sz w:val="19"/>
              </w:rPr>
            </w:pPr>
            <w:r>
              <w:rPr>
                <w:sz w:val="19"/>
              </w:rPr>
              <w:t>1 Jul 1989 (see bl. 3)</w:t>
            </w:r>
          </w:p>
        </w:tc>
      </w:tr>
      <w:tr>
        <w:trPr>
          <w:cantSplit/>
        </w:trPr>
        <w:tc>
          <w:tcPr>
            <w:tcW w:w="3119"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tcPr>
          <w:p>
            <w:pPr>
              <w:pStyle w:val="nTable"/>
              <w:spacing w:after="40"/>
              <w:rPr>
                <w:sz w:val="19"/>
              </w:rPr>
            </w:pPr>
            <w:r>
              <w:rPr>
                <w:sz w:val="19"/>
              </w:rPr>
              <w:t>29 Jun 1990 p. 3240</w:t>
            </w:r>
            <w:r>
              <w:rPr>
                <w:sz w:val="19"/>
              </w:rPr>
              <w:noBreakHyphen/>
              <w:t>8</w:t>
            </w:r>
            <w:r>
              <w:rPr>
                <w:sz w:val="19"/>
              </w:rPr>
              <w:br/>
              <w:t>(errata 6 Jul 1990 p. 3318)</w:t>
            </w:r>
          </w:p>
        </w:tc>
        <w:tc>
          <w:tcPr>
            <w:tcW w:w="2693" w:type="dxa"/>
          </w:tcPr>
          <w:p>
            <w:pPr>
              <w:pStyle w:val="nTable"/>
              <w:spacing w:after="40"/>
              <w:rPr>
                <w:sz w:val="19"/>
              </w:rPr>
            </w:pPr>
            <w:r>
              <w:rPr>
                <w:sz w:val="19"/>
              </w:rPr>
              <w:t>1 Jul 1990 (see bl. 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tcPr>
          <w:p>
            <w:pPr>
              <w:pStyle w:val="nTable"/>
              <w:spacing w:after="40"/>
              <w:rPr>
                <w:sz w:val="19"/>
              </w:rPr>
            </w:pPr>
            <w:r>
              <w:rPr>
                <w:sz w:val="19"/>
              </w:rPr>
              <w:t>28 Jun 1991 p. 3281</w:t>
            </w:r>
            <w:r>
              <w:rPr>
                <w:sz w:val="19"/>
              </w:rPr>
              <w:noBreakHyphen/>
              <w:t>9</w:t>
            </w:r>
            <w:r>
              <w:rPr>
                <w:sz w:val="19"/>
              </w:rPr>
              <w:br/>
              <w:t>(erratum 19 Jul 1991 p. 3692)</w:t>
            </w:r>
          </w:p>
        </w:tc>
        <w:tc>
          <w:tcPr>
            <w:tcW w:w="2693" w:type="dxa"/>
          </w:tcPr>
          <w:p>
            <w:pPr>
              <w:pStyle w:val="nTable"/>
              <w:spacing w:after="40"/>
              <w:rPr>
                <w:sz w:val="19"/>
              </w:rPr>
            </w:pPr>
            <w:r>
              <w:rPr>
                <w:sz w:val="19"/>
              </w:rPr>
              <w:t>1 Jul 1991 (see bl. 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tcPr>
          <w:p>
            <w:pPr>
              <w:pStyle w:val="nTable"/>
              <w:spacing w:after="40"/>
              <w:rPr>
                <w:sz w:val="19"/>
              </w:rPr>
            </w:pPr>
            <w:r>
              <w:rPr>
                <w:sz w:val="19"/>
              </w:rPr>
              <w:t>26 Jun 1992 p. 2832</w:t>
            </w:r>
            <w:r>
              <w:rPr>
                <w:sz w:val="19"/>
              </w:rPr>
              <w:noBreakHyphen/>
              <w:t>44</w:t>
            </w:r>
          </w:p>
        </w:tc>
        <w:tc>
          <w:tcPr>
            <w:tcW w:w="2693" w:type="dxa"/>
          </w:tcPr>
          <w:p>
            <w:pPr>
              <w:pStyle w:val="nTable"/>
              <w:spacing w:after="40"/>
              <w:rPr>
                <w:sz w:val="19"/>
              </w:rPr>
            </w:pPr>
            <w:r>
              <w:rPr>
                <w:sz w:val="19"/>
              </w:rPr>
              <w:t>1 Jul 1992 (see bl. 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tcPr>
          <w:p>
            <w:pPr>
              <w:pStyle w:val="nTable"/>
              <w:spacing w:after="40"/>
              <w:rPr>
                <w:sz w:val="19"/>
              </w:rPr>
            </w:pPr>
            <w:r>
              <w:rPr>
                <w:sz w:val="19"/>
              </w:rPr>
              <w:t>1 Jul 1993 p. 3238</w:t>
            </w:r>
            <w:r>
              <w:rPr>
                <w:sz w:val="19"/>
              </w:rPr>
              <w:noBreakHyphen/>
              <w:t>50</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tcPr>
          <w:p>
            <w:pPr>
              <w:pStyle w:val="nTable"/>
              <w:spacing w:after="40"/>
              <w:rPr>
                <w:sz w:val="19"/>
              </w:rPr>
            </w:pPr>
            <w:r>
              <w:rPr>
                <w:sz w:val="19"/>
              </w:rPr>
              <w:t>29 Jun 1994 p. 3159</w:t>
            </w:r>
            <w:r>
              <w:rPr>
                <w:sz w:val="19"/>
              </w:rPr>
              <w:noBreakHyphen/>
              <w:t>70</w:t>
            </w:r>
          </w:p>
        </w:tc>
        <w:tc>
          <w:tcPr>
            <w:tcW w:w="2693" w:type="dxa"/>
          </w:tcPr>
          <w:p>
            <w:pPr>
              <w:pStyle w:val="nTable"/>
              <w:spacing w:after="40"/>
              <w:rPr>
                <w:sz w:val="19"/>
              </w:rPr>
            </w:pPr>
            <w:r>
              <w:rPr>
                <w:sz w:val="19"/>
              </w:rPr>
              <w:t>1 Jul 1994 (see bl. 2)</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tcPr>
          <w:p>
            <w:pPr>
              <w:pStyle w:val="nTable"/>
              <w:spacing w:after="40"/>
              <w:rPr>
                <w:sz w:val="19"/>
              </w:rPr>
            </w:pPr>
            <w:r>
              <w:rPr>
                <w:sz w:val="19"/>
              </w:rPr>
              <w:t>30 Jun 1995 p. 2767</w:t>
            </w:r>
            <w:r>
              <w:rPr>
                <w:sz w:val="19"/>
              </w:rPr>
              <w:noBreakHyphen/>
              <w:t>76</w:t>
            </w:r>
          </w:p>
        </w:tc>
        <w:tc>
          <w:tcPr>
            <w:tcW w:w="2693" w:type="dxa"/>
          </w:tcPr>
          <w:p>
            <w:pPr>
              <w:pStyle w:val="nTable"/>
              <w:spacing w:after="40"/>
              <w:rPr>
                <w:sz w:val="19"/>
              </w:rPr>
            </w:pPr>
            <w:r>
              <w:rPr>
                <w:sz w:val="19"/>
              </w:rPr>
              <w:t>1 Jul 1995 (see bl. 2)</w:t>
            </w:r>
          </w:p>
        </w:tc>
      </w:tr>
      <w:tr>
        <w:trPr>
          <w:cantSplit/>
        </w:trPr>
        <w:tc>
          <w:tcPr>
            <w:tcW w:w="3119"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tcPr>
          <w:p>
            <w:pPr>
              <w:pStyle w:val="nTable"/>
              <w:spacing w:after="40"/>
              <w:rPr>
                <w:sz w:val="19"/>
              </w:rPr>
            </w:pPr>
            <w:r>
              <w:rPr>
                <w:sz w:val="19"/>
              </w:rPr>
              <w:t>29 Dec 1995 p. 6305</w:t>
            </w:r>
            <w:r>
              <w:rPr>
                <w:sz w:val="19"/>
              </w:rPr>
              <w:noBreakHyphen/>
              <w:t>32</w:t>
            </w:r>
          </w:p>
        </w:tc>
        <w:tc>
          <w:tcPr>
            <w:tcW w:w="2693" w:type="dxa"/>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088" w:type="dxa"/>
            <w:gridSpan w:val="3"/>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cantSplit/>
        </w:trPr>
        <w:tc>
          <w:tcPr>
            <w:tcW w:w="3119"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tcPr>
          <w:p>
            <w:pPr>
              <w:pStyle w:val="nTable"/>
              <w:spacing w:after="40"/>
              <w:rPr>
                <w:sz w:val="19"/>
              </w:rPr>
            </w:pPr>
            <w:r>
              <w:rPr>
                <w:sz w:val="19"/>
              </w:rPr>
              <w:t>27 Jun 1997 p. 3204-20</w:t>
            </w:r>
          </w:p>
        </w:tc>
        <w:tc>
          <w:tcPr>
            <w:tcW w:w="2693" w:type="dxa"/>
          </w:tcPr>
          <w:p>
            <w:pPr>
              <w:pStyle w:val="nTable"/>
              <w:spacing w:after="40"/>
              <w:rPr>
                <w:sz w:val="19"/>
              </w:rPr>
            </w:pPr>
            <w:r>
              <w:rPr>
                <w:sz w:val="19"/>
              </w:rPr>
              <w:t>1 Jul 1997 (see bl. 2)</w:t>
            </w:r>
          </w:p>
        </w:tc>
      </w:tr>
      <w:tr>
        <w:trPr>
          <w:cantSplit/>
        </w:trPr>
        <w:tc>
          <w:tcPr>
            <w:tcW w:w="3119"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tcPr>
          <w:p>
            <w:pPr>
              <w:pStyle w:val="nTable"/>
              <w:spacing w:after="40"/>
              <w:rPr>
                <w:sz w:val="19"/>
              </w:rPr>
            </w:pPr>
            <w:r>
              <w:rPr>
                <w:sz w:val="19"/>
              </w:rPr>
              <w:t>26 Jun 1998 p. 3417</w:t>
            </w:r>
            <w:r>
              <w:rPr>
                <w:sz w:val="19"/>
              </w:rPr>
              <w:noBreakHyphen/>
              <w:t>21</w:t>
            </w:r>
          </w:p>
        </w:tc>
        <w:tc>
          <w:tcPr>
            <w:tcW w:w="2693" w:type="dxa"/>
          </w:tcPr>
          <w:p>
            <w:pPr>
              <w:pStyle w:val="nTable"/>
              <w:spacing w:after="40"/>
              <w:rPr>
                <w:sz w:val="19"/>
              </w:rPr>
            </w:pPr>
            <w:r>
              <w:rPr>
                <w:sz w:val="19"/>
              </w:rPr>
              <w:t>1 Jul 1998 (see bl. 2)</w:t>
            </w:r>
          </w:p>
        </w:tc>
      </w:tr>
      <w:tr>
        <w:trPr>
          <w:cantSplit/>
        </w:trPr>
        <w:tc>
          <w:tcPr>
            <w:tcW w:w="3119"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tcPr>
          <w:p>
            <w:pPr>
              <w:pStyle w:val="nTable"/>
              <w:spacing w:after="40"/>
              <w:rPr>
                <w:sz w:val="19"/>
              </w:rPr>
            </w:pPr>
            <w:r>
              <w:rPr>
                <w:sz w:val="19"/>
              </w:rPr>
              <w:t>29 Jun 1999 p. 2775</w:t>
            </w:r>
            <w:r>
              <w:rPr>
                <w:sz w:val="19"/>
              </w:rPr>
              <w:noBreakHyphen/>
              <w:t>87</w:t>
            </w:r>
          </w:p>
        </w:tc>
        <w:tc>
          <w:tcPr>
            <w:tcW w:w="2693" w:type="dxa"/>
          </w:tcPr>
          <w:p>
            <w:pPr>
              <w:pStyle w:val="nTable"/>
              <w:spacing w:after="40"/>
              <w:rPr>
                <w:sz w:val="19"/>
              </w:rPr>
            </w:pPr>
            <w:r>
              <w:rPr>
                <w:sz w:val="19"/>
              </w:rPr>
              <w:t>1 Jul 1999 (see bl. 2)</w:t>
            </w:r>
          </w:p>
        </w:tc>
      </w:tr>
      <w:tr>
        <w:trPr>
          <w:cantSplit/>
        </w:trPr>
        <w:tc>
          <w:tcPr>
            <w:tcW w:w="3119"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tcPr>
          <w:p>
            <w:pPr>
              <w:pStyle w:val="nTable"/>
              <w:spacing w:after="40"/>
              <w:rPr>
                <w:sz w:val="19"/>
              </w:rPr>
            </w:pPr>
            <w:r>
              <w:rPr>
                <w:sz w:val="19"/>
              </w:rPr>
              <w:t>29 Jun 2000 p. 3365</w:t>
            </w:r>
            <w:r>
              <w:rPr>
                <w:sz w:val="19"/>
              </w:rPr>
              <w:noBreakHyphen/>
              <w:t>79</w:t>
            </w:r>
          </w:p>
        </w:tc>
        <w:tc>
          <w:tcPr>
            <w:tcW w:w="2693" w:type="dxa"/>
          </w:tcPr>
          <w:p>
            <w:pPr>
              <w:pStyle w:val="nTable"/>
              <w:spacing w:after="40"/>
              <w:rPr>
                <w:sz w:val="19"/>
              </w:rPr>
            </w:pPr>
            <w:r>
              <w:rPr>
                <w:sz w:val="19"/>
              </w:rPr>
              <w:t>1 Jul 2000 (see bl. 2)</w:t>
            </w:r>
          </w:p>
        </w:tc>
      </w:tr>
      <w:tr>
        <w:trPr>
          <w:cantSplit/>
        </w:trPr>
        <w:tc>
          <w:tcPr>
            <w:tcW w:w="3119"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tcPr>
          <w:p>
            <w:pPr>
              <w:pStyle w:val="nTable"/>
              <w:spacing w:after="40"/>
              <w:rPr>
                <w:sz w:val="19"/>
              </w:rPr>
            </w:pPr>
            <w:r>
              <w:rPr>
                <w:sz w:val="19"/>
              </w:rPr>
              <w:t>29 Jun 2001 p. 3230</w:t>
            </w:r>
            <w:r>
              <w:rPr>
                <w:sz w:val="19"/>
              </w:rPr>
              <w:noBreakHyphen/>
              <w:t>42</w:t>
            </w:r>
          </w:p>
        </w:tc>
        <w:tc>
          <w:tcPr>
            <w:tcW w:w="2693" w:type="dxa"/>
          </w:tcPr>
          <w:p>
            <w:pPr>
              <w:pStyle w:val="nTable"/>
              <w:spacing w:after="40"/>
              <w:rPr>
                <w:sz w:val="19"/>
              </w:rPr>
            </w:pPr>
            <w:r>
              <w:rPr>
                <w:sz w:val="19"/>
              </w:rPr>
              <w:t>1 Jul 2001 (see bl. 2)</w:t>
            </w:r>
          </w:p>
        </w:tc>
      </w:tr>
      <w:tr>
        <w:trPr>
          <w:cantSplit/>
        </w:trPr>
        <w:tc>
          <w:tcPr>
            <w:tcW w:w="3119"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tcPr>
          <w:p>
            <w:pPr>
              <w:pStyle w:val="nTable"/>
              <w:spacing w:after="40"/>
              <w:rPr>
                <w:sz w:val="19"/>
              </w:rPr>
            </w:pPr>
            <w:r>
              <w:rPr>
                <w:sz w:val="19"/>
              </w:rPr>
              <w:t xml:space="preserve">1 Mar 2002 </w:t>
            </w:r>
            <w:r>
              <w:rPr>
                <w:sz w:val="19"/>
              </w:rPr>
              <w:br/>
              <w:t>p. 871</w:t>
            </w:r>
          </w:p>
        </w:tc>
        <w:tc>
          <w:tcPr>
            <w:tcW w:w="2693" w:type="dxa"/>
          </w:tcPr>
          <w:p>
            <w:pPr>
              <w:pStyle w:val="nTable"/>
              <w:spacing w:after="40"/>
              <w:rPr>
                <w:sz w:val="19"/>
              </w:rPr>
            </w:pPr>
            <w:r>
              <w:rPr>
                <w:sz w:val="19"/>
              </w:rPr>
              <w:t>1 Mar 2002</w:t>
            </w:r>
          </w:p>
        </w:tc>
      </w:tr>
      <w:tr>
        <w:trPr>
          <w:cantSplit/>
        </w:trPr>
        <w:tc>
          <w:tcPr>
            <w:tcW w:w="7088" w:type="dxa"/>
            <w:gridSpan w:val="3"/>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cantSplit/>
        </w:trPr>
        <w:tc>
          <w:tcPr>
            <w:tcW w:w="3119"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tcPr>
          <w:p>
            <w:pPr>
              <w:pStyle w:val="nTable"/>
              <w:spacing w:after="40"/>
              <w:ind w:right="113"/>
              <w:rPr>
                <w:sz w:val="19"/>
              </w:rPr>
            </w:pPr>
            <w:r>
              <w:rPr>
                <w:sz w:val="19"/>
              </w:rPr>
              <w:t>1 Jul 2002 p. 3137</w:t>
            </w:r>
            <w:r>
              <w:rPr>
                <w:sz w:val="19"/>
              </w:rPr>
              <w:noBreakHyphen/>
              <w:t>53</w:t>
            </w:r>
          </w:p>
        </w:tc>
        <w:tc>
          <w:tcPr>
            <w:tcW w:w="2693" w:type="dxa"/>
          </w:tcPr>
          <w:p>
            <w:pPr>
              <w:pStyle w:val="nTable"/>
              <w:spacing w:after="40"/>
              <w:ind w:right="113"/>
              <w:rPr>
                <w:sz w:val="19"/>
              </w:rPr>
            </w:pPr>
            <w:r>
              <w:rPr>
                <w:sz w:val="19"/>
              </w:rPr>
              <w:t>1 Jul 2002</w:t>
            </w:r>
          </w:p>
        </w:tc>
      </w:tr>
      <w:tr>
        <w:trPr>
          <w:cantSplit/>
        </w:trPr>
        <w:tc>
          <w:tcPr>
            <w:tcW w:w="311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tcPr>
          <w:p>
            <w:pPr>
              <w:pStyle w:val="nTable"/>
              <w:spacing w:after="40"/>
              <w:ind w:right="113"/>
              <w:rPr>
                <w:sz w:val="19"/>
              </w:rPr>
            </w:pPr>
            <w:r>
              <w:rPr>
                <w:sz w:val="19"/>
              </w:rPr>
              <w:t>27 Jun 2003 p. 2422</w:t>
            </w:r>
            <w:r>
              <w:rPr>
                <w:sz w:val="19"/>
              </w:rPr>
              <w:noBreakHyphen/>
              <w:t>32</w:t>
            </w:r>
          </w:p>
        </w:tc>
        <w:tc>
          <w:tcPr>
            <w:tcW w:w="2693" w:type="dxa"/>
          </w:tcPr>
          <w:p>
            <w:pPr>
              <w:pStyle w:val="nTable"/>
              <w:spacing w:after="40"/>
              <w:ind w:right="113"/>
              <w:rPr>
                <w:sz w:val="19"/>
                <w:u w:val="single"/>
              </w:rPr>
            </w:pPr>
            <w:r>
              <w:rPr>
                <w:sz w:val="19"/>
              </w:rPr>
              <w:t>1 Jul 2003 (see bl. 2)</w:t>
            </w:r>
          </w:p>
        </w:tc>
      </w:tr>
      <w:tr>
        <w:trPr>
          <w:cantSplit/>
        </w:trPr>
        <w:tc>
          <w:tcPr>
            <w:tcW w:w="3119"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tcPr>
          <w:p>
            <w:pPr>
              <w:pStyle w:val="nTable"/>
              <w:spacing w:after="40"/>
              <w:ind w:right="113"/>
              <w:rPr>
                <w:sz w:val="19"/>
              </w:rPr>
            </w:pPr>
            <w:r>
              <w:rPr>
                <w:sz w:val="19"/>
              </w:rPr>
              <w:t>29 Jun 2004 p. 2497-503</w:t>
            </w:r>
          </w:p>
        </w:tc>
        <w:tc>
          <w:tcPr>
            <w:tcW w:w="2693" w:type="dxa"/>
          </w:tcPr>
          <w:p>
            <w:pPr>
              <w:pStyle w:val="nTable"/>
              <w:spacing w:after="40"/>
              <w:ind w:right="113"/>
              <w:rPr>
                <w:sz w:val="19"/>
              </w:rPr>
            </w:pPr>
            <w:r>
              <w:rPr>
                <w:sz w:val="19"/>
              </w:rPr>
              <w:t>1 Jul 2004 (see bl. 2)</w:t>
            </w:r>
          </w:p>
        </w:tc>
      </w:tr>
      <w:tr>
        <w:trPr>
          <w:cantSplit/>
        </w:trPr>
        <w:tc>
          <w:tcPr>
            <w:tcW w:w="311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tcPr>
          <w:p>
            <w:pPr>
              <w:pStyle w:val="nTable"/>
              <w:spacing w:after="40"/>
              <w:ind w:right="113"/>
              <w:rPr>
                <w:sz w:val="19"/>
              </w:rPr>
            </w:pPr>
            <w:r>
              <w:rPr>
                <w:bCs/>
                <w:sz w:val="19"/>
              </w:rPr>
              <w:t>1 Jul 2005 p. 3009-17</w:t>
            </w:r>
          </w:p>
        </w:tc>
        <w:tc>
          <w:tcPr>
            <w:tcW w:w="2693" w:type="dxa"/>
          </w:tcPr>
          <w:p>
            <w:pPr>
              <w:pStyle w:val="nTable"/>
              <w:spacing w:after="40"/>
              <w:ind w:right="113"/>
              <w:rPr>
                <w:sz w:val="19"/>
              </w:rPr>
            </w:pPr>
            <w:r>
              <w:rPr>
                <w:bCs/>
                <w:sz w:val="19"/>
              </w:rPr>
              <w:t>1 Jul 2005 (see bl. 2)</w:t>
            </w:r>
          </w:p>
        </w:tc>
      </w:tr>
      <w:tr>
        <w:trPr>
          <w:cantSplit/>
        </w:trPr>
        <w:tc>
          <w:tcPr>
            <w:tcW w:w="3119"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8</w:t>
            </w:r>
          </w:p>
        </w:tc>
        <w:tc>
          <w:tcPr>
            <w:tcW w:w="1276" w:type="dxa"/>
          </w:tcPr>
          <w:p>
            <w:pPr>
              <w:pStyle w:val="nTable"/>
              <w:spacing w:after="40"/>
              <w:ind w:right="113"/>
              <w:rPr>
                <w:bCs/>
                <w:sz w:val="19"/>
              </w:rPr>
            </w:pPr>
            <w:r>
              <w:rPr>
                <w:bCs/>
                <w:sz w:val="19"/>
              </w:rPr>
              <w:t>30 Jun 2006 p. 2399-412</w:t>
            </w:r>
          </w:p>
        </w:tc>
        <w:tc>
          <w:tcPr>
            <w:tcW w:w="2693" w:type="dxa"/>
          </w:tcPr>
          <w:p>
            <w:pPr>
              <w:pStyle w:val="nTable"/>
              <w:spacing w:after="40"/>
              <w:ind w:right="113"/>
              <w:rPr>
                <w:bCs/>
                <w:sz w:val="19"/>
              </w:rPr>
            </w:pPr>
            <w:r>
              <w:rPr>
                <w:bCs/>
                <w:sz w:val="19"/>
              </w:rPr>
              <w:t>1 Jul 2006 (see bl. 2)</w:t>
            </w:r>
          </w:p>
        </w:tc>
      </w:tr>
      <w:tr>
        <w:trPr>
          <w:cantSplit/>
        </w:trPr>
        <w:tc>
          <w:tcPr>
            <w:tcW w:w="7088" w:type="dxa"/>
            <w:gridSpan w:val="3"/>
            <w:tcBorders>
              <w:bottom w:val="single" w:sz="8" w:space="0" w:color="auto"/>
            </w:tcBorders>
          </w:tcPr>
          <w:p>
            <w:pPr>
              <w:pStyle w:val="nTable"/>
              <w:spacing w:after="40"/>
              <w:ind w:right="113"/>
              <w:rPr>
                <w:bCs/>
                <w:sz w:val="19"/>
              </w:rPr>
            </w:pPr>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by-laws contain an application provision concerning the period before the by-laws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643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D2F6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361A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E4FE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F439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B681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104C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3AB0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BE73BC"/>
    <w:lvl w:ilvl="0">
      <w:start w:val="1"/>
      <w:numFmt w:val="decimal"/>
      <w:pStyle w:val="ListNumber"/>
      <w:lvlText w:val="%1."/>
      <w:lvlJc w:val="left"/>
      <w:pPr>
        <w:tabs>
          <w:tab w:val="num" w:pos="360"/>
        </w:tabs>
        <w:ind w:left="360" w:hanging="360"/>
      </w:pPr>
    </w:lvl>
  </w:abstractNum>
  <w:abstractNum w:abstractNumId="9">
    <w:nsid w:val="FFFFFF89"/>
    <w:multiLevelType w:val="singleLevel"/>
    <w:tmpl w:val="76D40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46EC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52425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2219"/>
    <w:docVar w:name="WAFER_20151208132219" w:val="RemoveTrackChanges"/>
    <w:docVar w:name="WAFER_20151208132219_GUID" w:val="9e6fd3ca-53cb-4b0d-aadf-51853e582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4001</Words>
  <Characters>21086</Characters>
  <Application>Microsoft Office Word</Application>
  <DocSecurity>0</DocSecurity>
  <Lines>811</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24623</CharactersWithSpaces>
  <SharedDoc>false</SharedDoc>
  <HLinks>
    <vt:vector size="12" baseType="variant">
      <vt:variant>
        <vt:i4>3014716</vt:i4>
      </vt:variant>
      <vt:variant>
        <vt:i4>2525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1982 - 03-a0-05</dc:title>
  <dc:subject/>
  <dc:creator/>
  <cp:keywords/>
  <dc:description/>
  <cp:lastModifiedBy>svcMRProcess</cp:lastModifiedBy>
  <cp:revision>4</cp:revision>
  <cp:lastPrinted>2006-11-21T02:04:00Z</cp:lastPrinted>
  <dcterms:created xsi:type="dcterms:W3CDTF">2015-12-10T12:13:00Z</dcterms:created>
  <dcterms:modified xsi:type="dcterms:W3CDTF">2015-12-10T12:13:00Z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AsAtDate">
    <vt:lpwstr>01 Dec 2006</vt:lpwstr>
  </property>
  <property fmtid="{D5CDD505-2E9C-101B-9397-08002B2CF9AE}" pid="8" name="Suffix">
    <vt:lpwstr>03-a0-05</vt:lpwstr>
  </property>
</Properties>
</file>