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 and commencement</w:t>
      </w:r>
      <w:r>
        <w:rPr>
          <w:noProof/>
        </w:rPr>
        <w:tab/>
      </w:r>
      <w:r>
        <w:rPr>
          <w:noProof/>
        </w:rPr>
        <w:fldChar w:fldCharType="begin"/>
      </w:r>
      <w:r>
        <w:rPr>
          <w:noProof/>
        </w:rPr>
        <w:instrText xml:space="preserve"> PAGEREF _Toc127087203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_Toc127087204 \h </w:instrText>
      </w:r>
      <w:r>
        <w:rPr>
          <w:noProof/>
        </w:rPr>
      </w:r>
      <w:r>
        <w:rPr>
          <w:noProof/>
        </w:rPr>
        <w:fldChar w:fldCharType="separate"/>
      </w:r>
      <w:r>
        <w:rPr>
          <w:noProof/>
        </w:rPr>
        <w:t>1</w:t>
      </w:r>
      <w:r>
        <w:rPr>
          <w:noProof/>
        </w:rPr>
        <w:fldChar w:fldCharType="end"/>
      </w:r>
    </w:p>
    <w:p>
      <w:pPr>
        <w:pStyle w:val="TOC2"/>
        <w:tabs>
          <w:tab w:val="right" w:leader="dot" w:pos="7088"/>
        </w:tabs>
        <w:rPr>
          <w:b w:val="0"/>
          <w:noProof/>
          <w:sz w:val="24"/>
          <w:szCs w:val="24"/>
        </w:rPr>
      </w:pPr>
      <w:r>
        <w:rPr>
          <w:noProof/>
          <w:szCs w:val="30"/>
        </w:rPr>
        <w:t>Part II — Miner’s Rights</w:t>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Form of Miner’s Rights</w:t>
      </w:r>
      <w:r>
        <w:rPr>
          <w:noProof/>
        </w:rPr>
        <w:tab/>
      </w:r>
      <w:r>
        <w:rPr>
          <w:noProof/>
        </w:rPr>
        <w:fldChar w:fldCharType="begin"/>
      </w:r>
      <w:r>
        <w:rPr>
          <w:noProof/>
        </w:rPr>
        <w:instrText xml:space="preserve"> PAGEREF _Toc127087206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Quantity of samples or specimens</w:t>
      </w:r>
      <w:r>
        <w:rPr>
          <w:noProof/>
        </w:rPr>
        <w:tab/>
      </w:r>
      <w:r>
        <w:rPr>
          <w:noProof/>
        </w:rPr>
        <w:fldChar w:fldCharType="begin"/>
      </w:r>
      <w:r>
        <w:rPr>
          <w:noProof/>
        </w:rPr>
        <w:instrText xml:space="preserve"> PAGEREF _Toc127087207 \h </w:instrText>
      </w:r>
      <w:r>
        <w:rPr>
          <w:noProof/>
        </w:rPr>
      </w:r>
      <w:r>
        <w:rPr>
          <w:noProof/>
        </w:rPr>
        <w:fldChar w:fldCharType="separate"/>
      </w:r>
      <w:r>
        <w:rPr>
          <w:noProof/>
        </w:rPr>
        <w:t>3</w:t>
      </w:r>
      <w:r>
        <w:rPr>
          <w:noProof/>
        </w:rPr>
        <w:fldChar w:fldCharType="end"/>
      </w:r>
    </w:p>
    <w:p>
      <w:pPr>
        <w:pStyle w:val="TOC2"/>
        <w:tabs>
          <w:tab w:val="right" w:leader="dot" w:pos="7088"/>
        </w:tabs>
        <w:rPr>
          <w:b w:val="0"/>
          <w:noProof/>
          <w:sz w:val="24"/>
          <w:szCs w:val="24"/>
        </w:rPr>
      </w:pPr>
      <w:r>
        <w:rPr>
          <w:noProof/>
          <w:szCs w:val="30"/>
        </w:rPr>
        <w:t>Part IIA — Permits under section 20A</w:t>
      </w:r>
    </w:p>
    <w:p>
      <w:pPr>
        <w:pStyle w:val="TOC4"/>
        <w:tabs>
          <w:tab w:val="left" w:pos="1701"/>
        </w:tabs>
        <w:rPr>
          <w:noProof/>
          <w:sz w:val="24"/>
          <w:szCs w:val="24"/>
        </w:rPr>
      </w:pPr>
      <w:r>
        <w:rPr>
          <w:noProof/>
          <w:szCs w:val="24"/>
        </w:rPr>
        <w:t>4A.</w:t>
      </w:r>
      <w:r>
        <w:rPr>
          <w:noProof/>
          <w:sz w:val="24"/>
          <w:szCs w:val="24"/>
        </w:rPr>
        <w:tab/>
      </w:r>
      <w:r>
        <w:rPr>
          <w:noProof/>
          <w:szCs w:val="24"/>
        </w:rPr>
        <w:t>Interpretation</w:t>
      </w:r>
      <w:r>
        <w:rPr>
          <w:noProof/>
        </w:rPr>
        <w:tab/>
      </w:r>
      <w:r>
        <w:rPr>
          <w:noProof/>
        </w:rPr>
        <w:fldChar w:fldCharType="begin"/>
      </w:r>
      <w:r>
        <w:rPr>
          <w:noProof/>
        </w:rPr>
        <w:instrText xml:space="preserve"> PAGEREF _Toc127087209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4B.</w:t>
      </w:r>
      <w:r>
        <w:rPr>
          <w:noProof/>
          <w:sz w:val="24"/>
          <w:szCs w:val="24"/>
        </w:rPr>
        <w:tab/>
      </w:r>
      <w:r>
        <w:rPr>
          <w:noProof/>
          <w:szCs w:val="24"/>
        </w:rPr>
        <w:t>Prescribed office — section 20A(1)</w:t>
      </w:r>
      <w:r>
        <w:rPr>
          <w:noProof/>
        </w:rPr>
        <w:tab/>
      </w:r>
      <w:r>
        <w:rPr>
          <w:noProof/>
        </w:rPr>
        <w:fldChar w:fldCharType="begin"/>
      </w:r>
      <w:r>
        <w:rPr>
          <w:noProof/>
        </w:rPr>
        <w:instrText xml:space="preserve"> PAGEREF _Toc127087210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4C.</w:t>
      </w:r>
      <w:r>
        <w:rPr>
          <w:noProof/>
          <w:sz w:val="24"/>
          <w:szCs w:val="24"/>
        </w:rPr>
        <w:tab/>
      </w:r>
      <w:r>
        <w:rPr>
          <w:noProof/>
          <w:szCs w:val="24"/>
        </w:rPr>
        <w:t>Prescribed depth — section 20A(6)(b)</w:t>
      </w:r>
      <w:r>
        <w:rPr>
          <w:noProof/>
        </w:rPr>
        <w:tab/>
      </w:r>
      <w:r>
        <w:rPr>
          <w:noProof/>
        </w:rPr>
        <w:fldChar w:fldCharType="begin"/>
      </w:r>
      <w:r>
        <w:rPr>
          <w:noProof/>
        </w:rPr>
        <w:instrText xml:space="preserve"> PAGEREF _Toc127087211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4D.</w:t>
      </w:r>
      <w:r>
        <w:rPr>
          <w:noProof/>
          <w:sz w:val="24"/>
          <w:szCs w:val="24"/>
        </w:rPr>
        <w:tab/>
      </w:r>
      <w:r>
        <w:rPr>
          <w:noProof/>
          <w:szCs w:val="24"/>
        </w:rPr>
        <w:t>Application for permit</w:t>
      </w:r>
      <w:r>
        <w:rPr>
          <w:noProof/>
        </w:rPr>
        <w:tab/>
      </w:r>
      <w:r>
        <w:rPr>
          <w:noProof/>
        </w:rPr>
        <w:fldChar w:fldCharType="begin"/>
      </w:r>
      <w:r>
        <w:rPr>
          <w:noProof/>
        </w:rPr>
        <w:instrText xml:space="preserve"> PAGEREF _Toc127087212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4E.</w:t>
      </w:r>
      <w:r>
        <w:rPr>
          <w:noProof/>
          <w:sz w:val="24"/>
          <w:szCs w:val="24"/>
        </w:rPr>
        <w:tab/>
      </w:r>
      <w:r>
        <w:rPr>
          <w:noProof/>
          <w:szCs w:val="24"/>
        </w:rPr>
        <w:t>Area of land to which permit applies</w:t>
      </w:r>
      <w:r>
        <w:rPr>
          <w:noProof/>
        </w:rPr>
        <w:tab/>
      </w:r>
      <w:r>
        <w:rPr>
          <w:noProof/>
        </w:rPr>
        <w:fldChar w:fldCharType="begin"/>
      </w:r>
      <w:r>
        <w:rPr>
          <w:noProof/>
        </w:rPr>
        <w:instrText xml:space="preserve"> PAGEREF _Toc127087213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4F.</w:t>
      </w:r>
      <w:r>
        <w:rPr>
          <w:noProof/>
          <w:sz w:val="24"/>
          <w:szCs w:val="24"/>
        </w:rPr>
        <w:tab/>
      </w:r>
      <w:r>
        <w:rPr>
          <w:noProof/>
          <w:szCs w:val="24"/>
        </w:rPr>
        <w:t>Permit conditions</w:t>
      </w:r>
      <w:r>
        <w:rPr>
          <w:noProof/>
        </w:rPr>
        <w:tab/>
      </w:r>
      <w:r>
        <w:rPr>
          <w:noProof/>
        </w:rPr>
        <w:fldChar w:fldCharType="begin"/>
      </w:r>
      <w:r>
        <w:rPr>
          <w:noProof/>
        </w:rPr>
        <w:instrText xml:space="preserve"> PAGEREF _Toc127087214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4G.</w:t>
      </w:r>
      <w:r>
        <w:rPr>
          <w:noProof/>
          <w:sz w:val="24"/>
          <w:szCs w:val="24"/>
        </w:rPr>
        <w:tab/>
      </w:r>
      <w:r>
        <w:rPr>
          <w:noProof/>
          <w:szCs w:val="24"/>
        </w:rPr>
        <w:t>Notice of issue of permit</w:t>
      </w:r>
      <w:r>
        <w:rPr>
          <w:noProof/>
        </w:rPr>
        <w:tab/>
      </w:r>
      <w:r>
        <w:rPr>
          <w:noProof/>
        </w:rPr>
        <w:fldChar w:fldCharType="begin"/>
      </w:r>
      <w:r>
        <w:rPr>
          <w:noProof/>
        </w:rPr>
        <w:instrText xml:space="preserve"> PAGEREF _Toc127087215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4H.</w:t>
      </w:r>
      <w:r>
        <w:rPr>
          <w:noProof/>
          <w:sz w:val="24"/>
          <w:szCs w:val="24"/>
        </w:rPr>
        <w:tab/>
      </w:r>
      <w:r>
        <w:rPr>
          <w:noProof/>
          <w:szCs w:val="24"/>
        </w:rPr>
        <w:t>Statement by holder of exploration licence</w:t>
      </w:r>
      <w:r>
        <w:rPr>
          <w:noProof/>
        </w:rPr>
        <w:tab/>
      </w:r>
      <w:r>
        <w:rPr>
          <w:noProof/>
        </w:rPr>
        <w:fldChar w:fldCharType="begin"/>
      </w:r>
      <w:r>
        <w:rPr>
          <w:noProof/>
        </w:rPr>
        <w:instrText xml:space="preserve"> PAGEREF _Toc127087216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4I.</w:t>
      </w:r>
      <w:r>
        <w:rPr>
          <w:noProof/>
          <w:sz w:val="24"/>
          <w:szCs w:val="24"/>
        </w:rPr>
        <w:tab/>
      </w:r>
      <w:r>
        <w:rPr>
          <w:noProof/>
          <w:szCs w:val="24"/>
        </w:rPr>
        <w:t>Commencement of operation of permit</w:t>
      </w:r>
      <w:r>
        <w:rPr>
          <w:noProof/>
        </w:rPr>
        <w:tab/>
      </w:r>
      <w:r>
        <w:rPr>
          <w:noProof/>
        </w:rPr>
        <w:fldChar w:fldCharType="begin"/>
      </w:r>
      <w:r>
        <w:rPr>
          <w:noProof/>
        </w:rPr>
        <w:instrText xml:space="preserve"> PAGEREF _Toc127087217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4J.</w:t>
      </w:r>
      <w:r>
        <w:rPr>
          <w:noProof/>
          <w:sz w:val="24"/>
          <w:szCs w:val="24"/>
        </w:rPr>
        <w:tab/>
      </w:r>
      <w:r>
        <w:rPr>
          <w:noProof/>
          <w:szCs w:val="24"/>
        </w:rPr>
        <w:t>Expiry of permit</w:t>
      </w:r>
      <w:r>
        <w:rPr>
          <w:noProof/>
        </w:rPr>
        <w:tab/>
      </w:r>
      <w:r>
        <w:rPr>
          <w:noProof/>
        </w:rPr>
        <w:fldChar w:fldCharType="begin"/>
      </w:r>
      <w:r>
        <w:rPr>
          <w:noProof/>
        </w:rPr>
        <w:instrText xml:space="preserve"> PAGEREF _Toc127087218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4K.</w:t>
      </w:r>
      <w:r>
        <w:rPr>
          <w:noProof/>
          <w:sz w:val="24"/>
          <w:szCs w:val="24"/>
        </w:rPr>
        <w:tab/>
      </w:r>
      <w:r>
        <w:rPr>
          <w:noProof/>
          <w:szCs w:val="24"/>
        </w:rPr>
        <w:t>Surrender of permit</w:t>
      </w:r>
      <w:r>
        <w:rPr>
          <w:noProof/>
        </w:rPr>
        <w:tab/>
      </w:r>
      <w:r>
        <w:rPr>
          <w:noProof/>
        </w:rPr>
        <w:fldChar w:fldCharType="begin"/>
      </w:r>
      <w:r>
        <w:rPr>
          <w:noProof/>
        </w:rPr>
        <w:instrText xml:space="preserve"> PAGEREF _Toc127087219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4L.</w:t>
      </w:r>
      <w:r>
        <w:rPr>
          <w:noProof/>
          <w:sz w:val="24"/>
          <w:szCs w:val="24"/>
        </w:rPr>
        <w:tab/>
      </w:r>
      <w:r>
        <w:rPr>
          <w:noProof/>
          <w:szCs w:val="24"/>
        </w:rPr>
        <w:t>Powers available to Minister where breach of condition, etc.</w:t>
      </w:r>
      <w:r>
        <w:rPr>
          <w:noProof/>
        </w:rPr>
        <w:tab/>
      </w:r>
      <w:r>
        <w:rPr>
          <w:noProof/>
        </w:rPr>
        <w:fldChar w:fldCharType="begin"/>
      </w:r>
      <w:r>
        <w:rPr>
          <w:noProof/>
        </w:rPr>
        <w:instrText xml:space="preserve"> PAGEREF _Toc127087220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4M.</w:t>
      </w:r>
      <w:r>
        <w:rPr>
          <w:noProof/>
          <w:sz w:val="24"/>
          <w:szCs w:val="24"/>
        </w:rPr>
        <w:tab/>
      </w:r>
      <w:r>
        <w:rPr>
          <w:noProof/>
          <w:szCs w:val="24"/>
        </w:rPr>
        <w:t>Right of permit holder to make submissions</w:t>
      </w:r>
      <w:r>
        <w:rPr>
          <w:noProof/>
        </w:rPr>
        <w:tab/>
      </w:r>
      <w:r>
        <w:rPr>
          <w:noProof/>
        </w:rPr>
        <w:fldChar w:fldCharType="begin"/>
      </w:r>
      <w:r>
        <w:rPr>
          <w:noProof/>
        </w:rPr>
        <w:instrText xml:space="preserve"> PAGEREF _Toc127087221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4N.</w:t>
      </w:r>
      <w:r>
        <w:rPr>
          <w:noProof/>
          <w:sz w:val="24"/>
          <w:szCs w:val="24"/>
        </w:rPr>
        <w:tab/>
      </w:r>
      <w:r>
        <w:rPr>
          <w:noProof/>
          <w:szCs w:val="24"/>
        </w:rPr>
        <w:t>Prospecting report on recovered minerals</w:t>
      </w:r>
      <w:r>
        <w:rPr>
          <w:noProof/>
        </w:rPr>
        <w:tab/>
      </w:r>
      <w:r>
        <w:rPr>
          <w:noProof/>
        </w:rPr>
        <w:fldChar w:fldCharType="begin"/>
      </w:r>
      <w:r>
        <w:rPr>
          <w:noProof/>
        </w:rPr>
        <w:instrText xml:space="preserve"> PAGEREF _Toc127087222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4O.</w:t>
      </w:r>
      <w:r>
        <w:rPr>
          <w:noProof/>
          <w:sz w:val="24"/>
          <w:szCs w:val="24"/>
        </w:rPr>
        <w:tab/>
      </w:r>
      <w:r>
        <w:rPr>
          <w:noProof/>
          <w:szCs w:val="24"/>
        </w:rPr>
        <w:t>Prohibition of use of certain hand tools</w:t>
      </w:r>
      <w:r>
        <w:rPr>
          <w:noProof/>
        </w:rPr>
        <w:tab/>
      </w:r>
      <w:r>
        <w:rPr>
          <w:noProof/>
        </w:rPr>
        <w:fldChar w:fldCharType="begin"/>
      </w:r>
      <w:r>
        <w:rPr>
          <w:noProof/>
        </w:rPr>
        <w:instrText xml:space="preserve"> PAGEREF _Toc127087223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4P.</w:t>
      </w:r>
      <w:r>
        <w:rPr>
          <w:noProof/>
          <w:sz w:val="24"/>
          <w:szCs w:val="24"/>
        </w:rPr>
        <w:tab/>
      </w:r>
      <w:r>
        <w:rPr>
          <w:noProof/>
          <w:szCs w:val="24"/>
        </w:rPr>
        <w:t>Application of regulations 98 and 99</w:t>
      </w:r>
      <w:r>
        <w:rPr>
          <w:noProof/>
        </w:rPr>
        <w:tab/>
      </w:r>
      <w:r>
        <w:rPr>
          <w:noProof/>
        </w:rPr>
        <w:fldChar w:fldCharType="begin"/>
      </w:r>
      <w:r>
        <w:rPr>
          <w:noProof/>
        </w:rPr>
        <w:instrText xml:space="preserve"> PAGEREF _Toc127087224 \h </w:instrText>
      </w:r>
      <w:r>
        <w:rPr>
          <w:noProof/>
        </w:rPr>
      </w:r>
      <w:r>
        <w:rPr>
          <w:noProof/>
        </w:rPr>
        <w:fldChar w:fldCharType="separate"/>
      </w:r>
      <w:r>
        <w:rPr>
          <w:noProof/>
        </w:rPr>
        <w:t>10</w:t>
      </w:r>
      <w:r>
        <w:rPr>
          <w:noProof/>
        </w:rPr>
        <w:fldChar w:fldCharType="end"/>
      </w:r>
    </w:p>
    <w:p>
      <w:pPr>
        <w:pStyle w:val="TOC2"/>
        <w:tabs>
          <w:tab w:val="right" w:leader="dot" w:pos="7088"/>
        </w:tabs>
        <w:rPr>
          <w:b w:val="0"/>
          <w:noProof/>
          <w:sz w:val="24"/>
          <w:szCs w:val="24"/>
        </w:rPr>
      </w:pPr>
      <w:r>
        <w:rPr>
          <w:noProof/>
          <w:szCs w:val="30"/>
        </w:rPr>
        <w:t>Part III — Mining on private land</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Application for permit to enter private land</w:t>
      </w:r>
      <w:r>
        <w:rPr>
          <w:noProof/>
        </w:rPr>
        <w:tab/>
      </w:r>
      <w:r>
        <w:rPr>
          <w:noProof/>
        </w:rPr>
        <w:fldChar w:fldCharType="begin"/>
      </w:r>
      <w:r>
        <w:rPr>
          <w:noProof/>
        </w:rPr>
        <w:instrText xml:space="preserve"> PAGEREF _Toc127087226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Form of permit to enter</w:t>
      </w:r>
      <w:r>
        <w:rPr>
          <w:noProof/>
        </w:rPr>
        <w:tab/>
      </w:r>
      <w:r>
        <w:rPr>
          <w:noProof/>
        </w:rPr>
        <w:fldChar w:fldCharType="begin"/>
      </w:r>
      <w:r>
        <w:rPr>
          <w:noProof/>
        </w:rPr>
        <w:instrText xml:space="preserve"> PAGEREF _Toc127087227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Notice of application relating to private land</w:t>
      </w:r>
      <w:r>
        <w:rPr>
          <w:noProof/>
        </w:rPr>
        <w:tab/>
      </w:r>
      <w:r>
        <w:rPr>
          <w:noProof/>
        </w:rPr>
        <w:fldChar w:fldCharType="begin"/>
      </w:r>
      <w:r>
        <w:rPr>
          <w:noProof/>
        </w:rPr>
        <w:instrText xml:space="preserve"> PAGEREF _Toc127087228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Application to bring private land under the Act</w:t>
      </w:r>
      <w:r>
        <w:rPr>
          <w:noProof/>
        </w:rPr>
        <w:tab/>
      </w:r>
      <w:r>
        <w:rPr>
          <w:noProof/>
        </w:rPr>
        <w:fldChar w:fldCharType="begin"/>
      </w:r>
      <w:r>
        <w:rPr>
          <w:noProof/>
        </w:rPr>
        <w:instrText xml:space="preserve"> PAGEREF _Toc127087229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Right of way on private land</w:t>
      </w:r>
      <w:r>
        <w:rPr>
          <w:noProof/>
        </w:rPr>
        <w:tab/>
      </w:r>
      <w:r>
        <w:rPr>
          <w:noProof/>
        </w:rPr>
        <w:fldChar w:fldCharType="begin"/>
      </w:r>
      <w:r>
        <w:rPr>
          <w:noProof/>
        </w:rPr>
        <w:instrText xml:space="preserve"> PAGEREF _Toc127087230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Consents under section 29</w:t>
      </w:r>
      <w:r>
        <w:rPr>
          <w:noProof/>
        </w:rPr>
        <w:tab/>
      </w:r>
      <w:r>
        <w:rPr>
          <w:noProof/>
        </w:rPr>
        <w:fldChar w:fldCharType="begin"/>
      </w:r>
      <w:r>
        <w:rPr>
          <w:noProof/>
        </w:rPr>
        <w:instrText xml:space="preserve"> PAGEREF _Toc127087231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10A</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_Toc127087232 \h </w:instrText>
      </w:r>
      <w:r>
        <w:rPr>
          <w:noProof/>
        </w:rPr>
      </w:r>
      <w:r>
        <w:rPr>
          <w:noProof/>
        </w:rPr>
        <w:fldChar w:fldCharType="separate"/>
      </w:r>
      <w:r>
        <w:rPr>
          <w:noProof/>
        </w:rPr>
        <w:t>12</w:t>
      </w:r>
      <w:r>
        <w:rPr>
          <w:noProof/>
        </w:rPr>
        <w:fldChar w:fldCharType="end"/>
      </w:r>
    </w:p>
    <w:p>
      <w:pPr>
        <w:pStyle w:val="TOC2"/>
        <w:tabs>
          <w:tab w:val="right" w:leader="dot" w:pos="7088"/>
        </w:tabs>
        <w:rPr>
          <w:b w:val="0"/>
          <w:noProof/>
          <w:sz w:val="24"/>
          <w:szCs w:val="24"/>
        </w:rPr>
      </w:pPr>
      <w:r>
        <w:rPr>
          <w:noProof/>
          <w:szCs w:val="30"/>
        </w:rPr>
        <w:t>Part IV — Mining tenements</w:t>
      </w:r>
    </w:p>
    <w:p>
      <w:pPr>
        <w:pStyle w:val="TOC3"/>
        <w:rPr>
          <w:b w:val="0"/>
          <w:noProof/>
          <w:sz w:val="24"/>
          <w:szCs w:val="24"/>
        </w:rPr>
      </w:pPr>
      <w:r>
        <w:rPr>
          <w:noProof/>
          <w:szCs w:val="26"/>
        </w:rPr>
        <w:t>Division 1</w:t>
      </w:r>
      <w:r>
        <w:rPr>
          <w:noProof/>
          <w:snapToGrid w:val="0"/>
          <w:szCs w:val="26"/>
        </w:rPr>
        <w:t> — </w:t>
      </w:r>
      <w:r>
        <w:rPr>
          <w:noProof/>
          <w:szCs w:val="26"/>
        </w:rPr>
        <w:t>Prospecting licences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_Toc127087235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_Toc127087236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Limit on amount of earth, etc., that may be removed</w:t>
      </w:r>
      <w:r>
        <w:rPr>
          <w:noProof/>
        </w:rPr>
        <w:tab/>
      </w:r>
      <w:r>
        <w:rPr>
          <w:noProof/>
        </w:rPr>
        <w:fldChar w:fldCharType="begin"/>
      </w:r>
      <w:r>
        <w:rPr>
          <w:noProof/>
        </w:rPr>
        <w:instrText xml:space="preserve"> PAGEREF _Toc127087237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Expenditure condition</w:t>
      </w:r>
      <w:r>
        <w:rPr>
          <w:noProof/>
        </w:rPr>
        <w:tab/>
      </w:r>
      <w:r>
        <w:rPr>
          <w:noProof/>
        </w:rPr>
        <w:fldChar w:fldCharType="begin"/>
      </w:r>
      <w:r>
        <w:rPr>
          <w:noProof/>
        </w:rPr>
        <w:instrText xml:space="preserve"> PAGEREF _Toc127087238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Reports to be filed</w:t>
      </w:r>
      <w:r>
        <w:rPr>
          <w:noProof/>
        </w:rPr>
        <w:tab/>
      </w:r>
      <w:r>
        <w:rPr>
          <w:noProof/>
        </w:rPr>
        <w:fldChar w:fldCharType="begin"/>
      </w:r>
      <w:r>
        <w:rPr>
          <w:noProof/>
        </w:rPr>
        <w:instrText xml:space="preserve"> PAGEREF _Toc127087239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16A</w:t>
      </w:r>
      <w:r>
        <w:rPr>
          <w:noProof/>
          <w:snapToGrid w:val="0"/>
          <w:szCs w:val="24"/>
        </w:rPr>
        <w:t>.</w:t>
      </w:r>
      <w:r>
        <w:rPr>
          <w:noProof/>
          <w:sz w:val="24"/>
          <w:szCs w:val="24"/>
        </w:rPr>
        <w:tab/>
      </w:r>
      <w:r>
        <w:rPr>
          <w:noProof/>
          <w:snapToGrid w:val="0"/>
          <w:szCs w:val="24"/>
        </w:rPr>
        <w:t>Extension of prospecting licence</w:t>
      </w:r>
      <w:r>
        <w:rPr>
          <w:noProof/>
        </w:rPr>
        <w:tab/>
      </w:r>
      <w:r>
        <w:rPr>
          <w:noProof/>
        </w:rPr>
        <w:fldChar w:fldCharType="begin"/>
      </w:r>
      <w:r>
        <w:rPr>
          <w:noProof/>
        </w:rPr>
        <w:instrText xml:space="preserve"> PAGEREF _Toc127087240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Exploration licences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_Toc127087242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18A</w:t>
      </w:r>
      <w:r>
        <w:rPr>
          <w:noProof/>
          <w:snapToGrid w:val="0"/>
          <w:szCs w:val="24"/>
        </w:rPr>
        <w:t>.</w:t>
      </w:r>
      <w:r>
        <w:rPr>
          <w:noProof/>
          <w:sz w:val="24"/>
          <w:szCs w:val="24"/>
        </w:rPr>
        <w:tab/>
      </w:r>
      <w:r>
        <w:rPr>
          <w:noProof/>
          <w:snapToGrid w:val="0"/>
          <w:szCs w:val="24"/>
        </w:rPr>
        <w:t>Prescribed procedure for certain applications</w:t>
      </w:r>
      <w:r>
        <w:rPr>
          <w:noProof/>
        </w:rPr>
        <w:tab/>
      </w:r>
      <w:r>
        <w:rPr>
          <w:noProof/>
        </w:rPr>
        <w:fldChar w:fldCharType="begin"/>
      </w:r>
      <w:r>
        <w:rPr>
          <w:noProof/>
        </w:rPr>
        <w:instrText xml:space="preserve"> PAGEREF _Toc127087243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_Toc127087244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Limit on amount of earth, etc., that may be removed</w:t>
      </w:r>
      <w:r>
        <w:rPr>
          <w:noProof/>
        </w:rPr>
        <w:tab/>
      </w:r>
      <w:r>
        <w:rPr>
          <w:noProof/>
        </w:rPr>
        <w:fldChar w:fldCharType="begin"/>
      </w:r>
      <w:r>
        <w:rPr>
          <w:noProof/>
        </w:rPr>
        <w:instrText xml:space="preserve"> PAGEREF _Toc127087245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Expenditure condition</w:t>
      </w:r>
      <w:r>
        <w:rPr>
          <w:noProof/>
        </w:rPr>
        <w:tab/>
      </w:r>
      <w:r>
        <w:rPr>
          <w:noProof/>
        </w:rPr>
        <w:fldChar w:fldCharType="begin"/>
      </w:r>
      <w:r>
        <w:rPr>
          <w:noProof/>
        </w:rPr>
        <w:instrText xml:space="preserve"> PAGEREF _Toc127087246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Reports to be filed</w:t>
      </w:r>
      <w:r>
        <w:rPr>
          <w:noProof/>
        </w:rPr>
        <w:tab/>
      </w:r>
      <w:r>
        <w:rPr>
          <w:noProof/>
        </w:rPr>
        <w:fldChar w:fldCharType="begin"/>
      </w:r>
      <w:r>
        <w:rPr>
          <w:noProof/>
        </w:rPr>
        <w:instrText xml:space="preserve"> PAGEREF _Toc127087247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Endorsement of plans upon surrender</w:t>
      </w:r>
      <w:r>
        <w:rPr>
          <w:noProof/>
        </w:rPr>
        <w:tab/>
      </w:r>
      <w:r>
        <w:rPr>
          <w:noProof/>
        </w:rPr>
        <w:fldChar w:fldCharType="begin"/>
      </w:r>
      <w:r>
        <w:rPr>
          <w:noProof/>
        </w:rPr>
        <w:instrText xml:space="preserve"> PAGEREF _Toc127087248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23AA</w:t>
      </w:r>
      <w:r>
        <w:rPr>
          <w:noProof/>
          <w:snapToGrid w:val="0"/>
          <w:szCs w:val="24"/>
        </w:rPr>
        <w:t>.</w:t>
      </w:r>
      <w:r>
        <w:rPr>
          <w:noProof/>
          <w:sz w:val="24"/>
          <w:szCs w:val="24"/>
        </w:rPr>
        <w:tab/>
      </w:r>
      <w:r>
        <w:rPr>
          <w:noProof/>
          <w:snapToGrid w:val="0"/>
          <w:szCs w:val="24"/>
        </w:rPr>
        <w:t>Refund of rent following unsuccessful application under section 65(1a)</w:t>
      </w:r>
      <w:r>
        <w:rPr>
          <w:noProof/>
        </w:rPr>
        <w:tab/>
      </w:r>
      <w:r>
        <w:rPr>
          <w:noProof/>
        </w:rPr>
        <w:fldChar w:fldCharType="begin"/>
      </w:r>
      <w:r>
        <w:rPr>
          <w:noProof/>
        </w:rPr>
        <w:instrText xml:space="preserve"> PAGEREF _Toc127087249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23AB</w:t>
      </w:r>
      <w:r>
        <w:rPr>
          <w:noProof/>
          <w:snapToGrid w:val="0"/>
          <w:szCs w:val="24"/>
        </w:rPr>
        <w:t>.</w:t>
      </w:r>
      <w:r>
        <w:rPr>
          <w:noProof/>
          <w:sz w:val="24"/>
          <w:szCs w:val="24"/>
        </w:rPr>
        <w:tab/>
      </w:r>
      <w:r>
        <w:rPr>
          <w:noProof/>
          <w:snapToGrid w:val="0"/>
          <w:szCs w:val="24"/>
        </w:rPr>
        <w:t>Prescribed circumstances under section 61(2)(a)</w:t>
      </w:r>
      <w:r>
        <w:rPr>
          <w:noProof/>
        </w:rPr>
        <w:tab/>
      </w:r>
      <w:r>
        <w:rPr>
          <w:noProof/>
        </w:rPr>
        <w:fldChar w:fldCharType="begin"/>
      </w:r>
      <w:r>
        <w:rPr>
          <w:noProof/>
        </w:rPr>
        <w:instrText xml:space="preserve"> PAGEREF _Toc127087250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23A</w:t>
      </w:r>
      <w:r>
        <w:rPr>
          <w:noProof/>
          <w:snapToGrid w:val="0"/>
          <w:szCs w:val="24"/>
        </w:rPr>
        <w:t>.</w:t>
      </w:r>
      <w:r>
        <w:rPr>
          <w:noProof/>
          <w:sz w:val="24"/>
          <w:szCs w:val="24"/>
        </w:rPr>
        <w:tab/>
      </w:r>
      <w:r>
        <w:rPr>
          <w:noProof/>
          <w:snapToGrid w:val="0"/>
          <w:szCs w:val="24"/>
        </w:rPr>
        <w:t>Extension of exploration licence</w:t>
      </w:r>
      <w:r>
        <w:rPr>
          <w:noProof/>
        </w:rPr>
        <w:tab/>
      </w:r>
      <w:r>
        <w:rPr>
          <w:noProof/>
        </w:rPr>
        <w:fldChar w:fldCharType="begin"/>
      </w:r>
      <w:r>
        <w:rPr>
          <w:noProof/>
        </w:rPr>
        <w:instrText xml:space="preserve"> PAGEREF _Toc127087251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2A</w:t>
      </w:r>
      <w:r>
        <w:rPr>
          <w:noProof/>
          <w:snapToGrid w:val="0"/>
          <w:szCs w:val="26"/>
        </w:rPr>
        <w:t> — </w:t>
      </w:r>
      <w:r>
        <w:rPr>
          <w:noProof/>
          <w:szCs w:val="26"/>
        </w:rPr>
        <w:t>Retention licences</w:t>
      </w:r>
    </w:p>
    <w:p>
      <w:pPr>
        <w:pStyle w:val="TOC4"/>
        <w:tabs>
          <w:tab w:val="left" w:pos="1701"/>
        </w:tabs>
        <w:rPr>
          <w:noProof/>
          <w:sz w:val="24"/>
          <w:szCs w:val="24"/>
        </w:rPr>
      </w:pPr>
      <w:r>
        <w:rPr>
          <w:noProof/>
          <w:szCs w:val="24"/>
        </w:rPr>
        <w:t>23B</w:t>
      </w:r>
      <w:r>
        <w:rPr>
          <w:noProof/>
          <w:snapToGrid w:val="0"/>
          <w:szCs w:val="24"/>
        </w:rPr>
        <w:t>.</w:t>
      </w:r>
      <w:r>
        <w:rPr>
          <w:noProof/>
          <w:sz w:val="24"/>
          <w:szCs w:val="24"/>
        </w:rPr>
        <w:tab/>
      </w:r>
      <w:r>
        <w:rPr>
          <w:noProof/>
          <w:snapToGrid w:val="0"/>
          <w:szCs w:val="24"/>
        </w:rPr>
        <w:t>Application and marking out</w:t>
      </w:r>
      <w:r>
        <w:rPr>
          <w:noProof/>
        </w:rPr>
        <w:tab/>
      </w:r>
      <w:r>
        <w:rPr>
          <w:noProof/>
        </w:rPr>
        <w:fldChar w:fldCharType="begin"/>
      </w:r>
      <w:r>
        <w:rPr>
          <w:noProof/>
        </w:rPr>
        <w:instrText xml:space="preserve"> PAGEREF _Toc127087253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23D</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_Toc127087254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23E</w:t>
      </w:r>
      <w:r>
        <w:rPr>
          <w:noProof/>
          <w:snapToGrid w:val="0"/>
          <w:szCs w:val="24"/>
        </w:rPr>
        <w:t>.</w:t>
      </w:r>
      <w:r>
        <w:rPr>
          <w:noProof/>
          <w:sz w:val="24"/>
          <w:szCs w:val="24"/>
        </w:rPr>
        <w:tab/>
      </w:r>
      <w:r>
        <w:rPr>
          <w:noProof/>
          <w:snapToGrid w:val="0"/>
          <w:szCs w:val="24"/>
        </w:rPr>
        <w:t>Reports to be lodged</w:t>
      </w:r>
      <w:r>
        <w:rPr>
          <w:noProof/>
        </w:rPr>
        <w:tab/>
      </w:r>
      <w:r>
        <w:rPr>
          <w:noProof/>
        </w:rPr>
        <w:fldChar w:fldCharType="begin"/>
      </w:r>
      <w:r>
        <w:rPr>
          <w:noProof/>
        </w:rPr>
        <w:instrText xml:space="preserve"> PAGEREF _Toc127087255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23F</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_Toc127087256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23G</w:t>
      </w:r>
      <w:r>
        <w:rPr>
          <w:noProof/>
          <w:snapToGrid w:val="0"/>
          <w:szCs w:val="24"/>
        </w:rPr>
        <w:t>.</w:t>
      </w:r>
      <w:r>
        <w:rPr>
          <w:noProof/>
          <w:sz w:val="24"/>
          <w:szCs w:val="24"/>
        </w:rPr>
        <w:tab/>
      </w:r>
      <w:r>
        <w:rPr>
          <w:noProof/>
          <w:snapToGrid w:val="0"/>
          <w:szCs w:val="24"/>
        </w:rPr>
        <w:t>Limit on amount of earth, etc., that may be removed</w:t>
      </w:r>
      <w:r>
        <w:rPr>
          <w:noProof/>
        </w:rPr>
        <w:tab/>
      </w:r>
      <w:r>
        <w:rPr>
          <w:noProof/>
        </w:rPr>
        <w:fldChar w:fldCharType="begin"/>
      </w:r>
      <w:r>
        <w:rPr>
          <w:noProof/>
        </w:rPr>
        <w:instrText xml:space="preserve"> PAGEREF _Toc127087257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23H</w:t>
      </w:r>
      <w:r>
        <w:rPr>
          <w:noProof/>
          <w:snapToGrid w:val="0"/>
          <w:szCs w:val="24"/>
        </w:rPr>
        <w:t>.</w:t>
      </w:r>
      <w:r>
        <w:rPr>
          <w:noProof/>
          <w:sz w:val="24"/>
          <w:szCs w:val="24"/>
        </w:rPr>
        <w:tab/>
      </w:r>
      <w:r>
        <w:rPr>
          <w:noProof/>
          <w:snapToGrid w:val="0"/>
          <w:szCs w:val="24"/>
        </w:rPr>
        <w:t>Manner of identifying mineral resource</w:t>
      </w:r>
      <w:r>
        <w:rPr>
          <w:noProof/>
        </w:rPr>
        <w:tab/>
      </w:r>
      <w:r>
        <w:rPr>
          <w:noProof/>
        </w:rPr>
        <w:fldChar w:fldCharType="begin"/>
      </w:r>
      <w:r>
        <w:rPr>
          <w:noProof/>
        </w:rPr>
        <w:instrText xml:space="preserve"> PAGEREF _Toc127087258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Mining leases</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_Toc127087260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Instrument of lease</w:t>
      </w:r>
      <w:r>
        <w:rPr>
          <w:noProof/>
        </w:rPr>
        <w:tab/>
      </w:r>
      <w:r>
        <w:rPr>
          <w:noProof/>
        </w:rPr>
        <w:fldChar w:fldCharType="begin"/>
      </w:r>
      <w:r>
        <w:rPr>
          <w:noProof/>
        </w:rPr>
        <w:instrText xml:space="preserve"> PAGEREF _Toc127087261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Covenants</w:t>
      </w:r>
      <w:r>
        <w:rPr>
          <w:noProof/>
        </w:rPr>
        <w:tab/>
      </w:r>
      <w:r>
        <w:rPr>
          <w:noProof/>
        </w:rPr>
        <w:fldChar w:fldCharType="begin"/>
      </w:r>
      <w:r>
        <w:rPr>
          <w:noProof/>
        </w:rPr>
        <w:instrText xml:space="preserve"> PAGEREF _Toc127087262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Additional condition</w:t>
      </w:r>
      <w:r>
        <w:rPr>
          <w:noProof/>
        </w:rPr>
        <w:tab/>
      </w:r>
      <w:r>
        <w:rPr>
          <w:noProof/>
        </w:rPr>
        <w:fldChar w:fldCharType="begin"/>
      </w:r>
      <w:r>
        <w:rPr>
          <w:noProof/>
        </w:rPr>
        <w:instrText xml:space="preserve"> PAGEREF _Toc127087263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28A</w:t>
      </w:r>
      <w:r>
        <w:rPr>
          <w:noProof/>
          <w:snapToGrid w:val="0"/>
          <w:szCs w:val="24"/>
        </w:rPr>
        <w:t>.</w:t>
      </w:r>
      <w:r>
        <w:rPr>
          <w:noProof/>
          <w:sz w:val="24"/>
          <w:szCs w:val="24"/>
        </w:rPr>
        <w:tab/>
      </w:r>
      <w:r>
        <w:rPr>
          <w:noProof/>
          <w:snapToGrid w:val="0"/>
          <w:szCs w:val="24"/>
        </w:rPr>
        <w:t>Additional rent for mining lease producing iron ore</w:t>
      </w:r>
      <w:r>
        <w:rPr>
          <w:noProof/>
        </w:rPr>
        <w:tab/>
      </w:r>
      <w:r>
        <w:rPr>
          <w:noProof/>
        </w:rPr>
        <w:fldChar w:fldCharType="begin"/>
      </w:r>
      <w:r>
        <w:rPr>
          <w:noProof/>
        </w:rPr>
        <w:instrText xml:space="preserve"> PAGEREF _Toc127087264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_Toc127087265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Notice required by section 56A(8), 70(6) or 85B(3)</w:t>
      </w:r>
      <w:r>
        <w:rPr>
          <w:noProof/>
        </w:rPr>
        <w:tab/>
      </w:r>
      <w:r>
        <w:rPr>
          <w:noProof/>
        </w:rPr>
        <w:fldChar w:fldCharType="begin"/>
      </w:r>
      <w:r>
        <w:rPr>
          <w:noProof/>
        </w:rPr>
        <w:instrText xml:space="preserve"> PAGEREF _Toc127087266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Expenditure condition</w:t>
      </w:r>
      <w:r>
        <w:rPr>
          <w:noProof/>
        </w:rPr>
        <w:tab/>
      </w:r>
      <w:r>
        <w:rPr>
          <w:noProof/>
        </w:rPr>
        <w:fldChar w:fldCharType="begin"/>
      </w:r>
      <w:r>
        <w:rPr>
          <w:noProof/>
        </w:rPr>
        <w:instrText xml:space="preserve"> PAGEREF _Toc127087267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Reports to be filed</w:t>
      </w:r>
      <w:r>
        <w:rPr>
          <w:noProof/>
        </w:rPr>
        <w:tab/>
      </w:r>
      <w:r>
        <w:rPr>
          <w:noProof/>
        </w:rPr>
        <w:fldChar w:fldCharType="begin"/>
      </w:r>
      <w:r>
        <w:rPr>
          <w:noProof/>
        </w:rPr>
        <w:instrText xml:space="preserve"> PAGEREF _Toc127087268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General purpose leases</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_Toc127087270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Instrument of lease</w:t>
      </w:r>
      <w:r>
        <w:rPr>
          <w:noProof/>
        </w:rPr>
        <w:tab/>
      </w:r>
      <w:r>
        <w:rPr>
          <w:noProof/>
        </w:rPr>
        <w:fldChar w:fldCharType="begin"/>
      </w:r>
      <w:r>
        <w:rPr>
          <w:noProof/>
        </w:rPr>
        <w:instrText xml:space="preserve"> PAGEREF _Toc127087271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Covenants and conditions</w:t>
      </w:r>
      <w:r>
        <w:rPr>
          <w:noProof/>
        </w:rPr>
        <w:tab/>
      </w:r>
      <w:r>
        <w:rPr>
          <w:noProof/>
        </w:rPr>
        <w:fldChar w:fldCharType="begin"/>
      </w:r>
      <w:r>
        <w:rPr>
          <w:noProof/>
        </w:rPr>
        <w:instrText xml:space="preserve"> PAGEREF _Toc127087272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36A</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_Toc127087273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Miscellaneous licences</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_Toc127087275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Shape of licence</w:t>
      </w:r>
      <w:r>
        <w:rPr>
          <w:noProof/>
        </w:rPr>
        <w:tab/>
      </w:r>
      <w:r>
        <w:rPr>
          <w:noProof/>
        </w:rPr>
        <w:fldChar w:fldCharType="begin"/>
      </w:r>
      <w:r>
        <w:rPr>
          <w:noProof/>
        </w:rPr>
        <w:instrText xml:space="preserve"> PAGEREF _Toc127087276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Covenants and conditions</w:t>
      </w:r>
      <w:r>
        <w:rPr>
          <w:noProof/>
        </w:rPr>
        <w:tab/>
      </w:r>
      <w:r>
        <w:rPr>
          <w:noProof/>
        </w:rPr>
        <w:fldChar w:fldCharType="begin"/>
      </w:r>
      <w:r>
        <w:rPr>
          <w:noProof/>
        </w:rPr>
        <w:instrText xml:space="preserve"> PAGEREF _Toc127087277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_Toc127087278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42A</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_Toc127087279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42B</w:t>
      </w:r>
      <w:r>
        <w:rPr>
          <w:noProof/>
          <w:snapToGrid w:val="0"/>
          <w:szCs w:val="24"/>
        </w:rPr>
        <w:t>.</w:t>
      </w:r>
      <w:r>
        <w:rPr>
          <w:noProof/>
          <w:sz w:val="24"/>
          <w:szCs w:val="24"/>
        </w:rPr>
        <w:tab/>
      </w:r>
      <w:r>
        <w:rPr>
          <w:noProof/>
          <w:snapToGrid w:val="0"/>
          <w:szCs w:val="24"/>
        </w:rPr>
        <w:t>Prescribed purposes for grant of miscellaneous licence</w:t>
      </w:r>
      <w:r>
        <w:rPr>
          <w:noProof/>
        </w:rPr>
        <w:tab/>
      </w:r>
      <w:r>
        <w:rPr>
          <w:noProof/>
        </w:rPr>
        <w:fldChar w:fldCharType="begin"/>
      </w:r>
      <w:r>
        <w:rPr>
          <w:noProof/>
        </w:rPr>
        <w:instrText xml:space="preserve"> PAGEREF _Toc127087280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Surrenders and forfeitures</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Surrender of tenement</w:t>
      </w:r>
      <w:r>
        <w:rPr>
          <w:noProof/>
        </w:rPr>
        <w:tab/>
      </w:r>
      <w:r>
        <w:rPr>
          <w:noProof/>
        </w:rPr>
        <w:fldChar w:fldCharType="begin"/>
      </w:r>
      <w:r>
        <w:rPr>
          <w:noProof/>
        </w:rPr>
        <w:instrText xml:space="preserve"> PAGEREF _Toc127087282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Shape of tenement after partial surrender</w:t>
      </w:r>
      <w:r>
        <w:rPr>
          <w:noProof/>
        </w:rPr>
        <w:tab/>
      </w:r>
      <w:r>
        <w:rPr>
          <w:noProof/>
        </w:rPr>
        <w:fldChar w:fldCharType="begin"/>
      </w:r>
      <w:r>
        <w:rPr>
          <w:noProof/>
        </w:rPr>
        <w:instrText xml:space="preserve"> PAGEREF _Toc127087283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Marking out etc., required for partial surrender</w:t>
      </w:r>
      <w:r>
        <w:rPr>
          <w:noProof/>
        </w:rPr>
        <w:tab/>
      </w:r>
      <w:r>
        <w:rPr>
          <w:noProof/>
        </w:rPr>
        <w:fldChar w:fldCharType="begin"/>
      </w:r>
      <w:r>
        <w:rPr>
          <w:noProof/>
        </w:rPr>
        <w:instrText xml:space="preserve"> PAGEREF _Toc127087284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Partial surrender to be endorsed on instrument of lease/licence</w:t>
      </w:r>
      <w:r>
        <w:rPr>
          <w:noProof/>
        </w:rPr>
        <w:tab/>
      </w:r>
      <w:r>
        <w:rPr>
          <w:noProof/>
        </w:rPr>
        <w:fldChar w:fldCharType="begin"/>
      </w:r>
      <w:r>
        <w:rPr>
          <w:noProof/>
        </w:rPr>
        <w:instrText xml:space="preserve"> PAGEREF _Toc127087285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Consent of mortgagee to surrender</w:t>
      </w:r>
      <w:r>
        <w:rPr>
          <w:noProof/>
        </w:rPr>
        <w:tab/>
      </w:r>
      <w:r>
        <w:rPr>
          <w:noProof/>
        </w:rPr>
        <w:fldChar w:fldCharType="begin"/>
      </w:r>
      <w:r>
        <w:rPr>
          <w:noProof/>
        </w:rPr>
        <w:instrText xml:space="preserve"> PAGEREF _Toc127087286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47A</w:t>
      </w:r>
      <w:r>
        <w:rPr>
          <w:noProof/>
          <w:snapToGrid w:val="0"/>
          <w:szCs w:val="24"/>
        </w:rPr>
        <w:t>.</w:t>
      </w:r>
      <w:r>
        <w:rPr>
          <w:noProof/>
          <w:sz w:val="24"/>
          <w:szCs w:val="24"/>
        </w:rPr>
        <w:tab/>
      </w:r>
      <w:r>
        <w:rPr>
          <w:noProof/>
          <w:snapToGrid w:val="0"/>
          <w:szCs w:val="24"/>
        </w:rPr>
        <w:t>Refund where conditional surrender of mining lease or general purpose lease</w:t>
      </w:r>
      <w:r>
        <w:rPr>
          <w:noProof/>
        </w:rPr>
        <w:tab/>
      </w:r>
      <w:r>
        <w:rPr>
          <w:noProof/>
        </w:rPr>
        <w:fldChar w:fldCharType="begin"/>
      </w:r>
      <w:r>
        <w:rPr>
          <w:noProof/>
        </w:rPr>
        <w:instrText xml:space="preserve"> PAGEREF _Toc127087287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Plaint for forfeiture</w:t>
      </w:r>
      <w:r>
        <w:rPr>
          <w:noProof/>
        </w:rPr>
        <w:tab/>
      </w:r>
      <w:r>
        <w:rPr>
          <w:noProof/>
        </w:rPr>
        <w:fldChar w:fldCharType="begin"/>
      </w:r>
      <w:r>
        <w:rPr>
          <w:noProof/>
        </w:rPr>
        <w:instrText xml:space="preserve"> PAGEREF _Toc127087288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Forfeiture for non</w:t>
      </w:r>
      <w:r>
        <w:rPr>
          <w:noProof/>
          <w:snapToGrid w:val="0"/>
          <w:szCs w:val="24"/>
        </w:rPr>
        <w:noBreakHyphen/>
        <w:t>payment of rent, etc.</w:t>
      </w:r>
      <w:r>
        <w:rPr>
          <w:noProof/>
        </w:rPr>
        <w:tab/>
      </w:r>
      <w:r>
        <w:rPr>
          <w:noProof/>
        </w:rPr>
        <w:fldChar w:fldCharType="begin"/>
      </w:r>
      <w:r>
        <w:rPr>
          <w:noProof/>
        </w:rPr>
        <w:instrText xml:space="preserve"> PAGEREF _Toc127087289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Notice to holder of mining tenement of intended forfeiture</w:t>
      </w:r>
      <w:r>
        <w:rPr>
          <w:noProof/>
        </w:rPr>
        <w:tab/>
      </w:r>
      <w:r>
        <w:rPr>
          <w:noProof/>
        </w:rPr>
        <w:fldChar w:fldCharType="begin"/>
      </w:r>
      <w:r>
        <w:rPr>
          <w:noProof/>
        </w:rPr>
        <w:instrText xml:space="preserve"> PAGEREF _Toc127087290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Application for restoration of tenement</w:t>
      </w:r>
      <w:r>
        <w:rPr>
          <w:noProof/>
        </w:rPr>
        <w:tab/>
      </w:r>
      <w:r>
        <w:rPr>
          <w:noProof/>
        </w:rPr>
        <w:fldChar w:fldCharType="begin"/>
      </w:r>
      <w:r>
        <w:rPr>
          <w:noProof/>
        </w:rPr>
        <w:instrText xml:space="preserve"> PAGEREF _Toc127087291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51A</w:t>
      </w:r>
      <w:r>
        <w:rPr>
          <w:noProof/>
          <w:snapToGrid w:val="0"/>
          <w:szCs w:val="24"/>
        </w:rPr>
        <w:t>.</w:t>
      </w:r>
      <w:r>
        <w:rPr>
          <w:noProof/>
          <w:sz w:val="24"/>
          <w:szCs w:val="24"/>
        </w:rPr>
        <w:tab/>
      </w:r>
      <w:r>
        <w:rPr>
          <w:noProof/>
          <w:snapToGrid w:val="0"/>
          <w:szCs w:val="24"/>
        </w:rPr>
        <w:t>Notice of application for restoration</w:t>
      </w:r>
      <w:r>
        <w:rPr>
          <w:noProof/>
        </w:rPr>
        <w:tab/>
      </w:r>
      <w:r>
        <w:rPr>
          <w:noProof/>
        </w:rPr>
        <w:fldChar w:fldCharType="begin"/>
      </w:r>
      <w:r>
        <w:rPr>
          <w:noProof/>
        </w:rPr>
        <w:instrText xml:space="preserve"> PAGEREF _Toc127087292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51B</w:t>
      </w:r>
      <w:r>
        <w:rPr>
          <w:noProof/>
          <w:snapToGrid w:val="0"/>
          <w:szCs w:val="24"/>
        </w:rPr>
        <w:t>.</w:t>
      </w:r>
      <w:r>
        <w:rPr>
          <w:noProof/>
          <w:sz w:val="24"/>
          <w:szCs w:val="24"/>
        </w:rPr>
        <w:tab/>
      </w:r>
      <w:r>
        <w:rPr>
          <w:noProof/>
          <w:snapToGrid w:val="0"/>
          <w:szCs w:val="24"/>
        </w:rPr>
        <w:t>Objection to application</w:t>
      </w:r>
      <w:r>
        <w:rPr>
          <w:noProof/>
        </w:rPr>
        <w:tab/>
      </w:r>
      <w:r>
        <w:rPr>
          <w:noProof/>
        </w:rPr>
        <w:fldChar w:fldCharType="begin"/>
      </w:r>
      <w:r>
        <w:rPr>
          <w:noProof/>
        </w:rPr>
        <w:instrText xml:space="preserve"> PAGEREF _Toc127087293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Reduced expenditure where forfeiture plaint lodged</w:t>
      </w:r>
      <w:r>
        <w:rPr>
          <w:noProof/>
        </w:rPr>
        <w:tab/>
      </w:r>
      <w:r>
        <w:rPr>
          <w:noProof/>
        </w:rPr>
        <w:fldChar w:fldCharType="begin"/>
      </w:r>
      <w:r>
        <w:rPr>
          <w:noProof/>
        </w:rPr>
        <w:instrText xml:space="preserve"> PAGEREF _Toc127087294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Notice to mortgagee</w:t>
      </w:r>
      <w:r>
        <w:rPr>
          <w:noProof/>
        </w:rPr>
        <w:tab/>
      </w:r>
      <w:r>
        <w:rPr>
          <w:noProof/>
        </w:rPr>
        <w:fldChar w:fldCharType="begin"/>
      </w:r>
      <w:r>
        <w:rPr>
          <w:noProof/>
        </w:rPr>
        <w:instrText xml:space="preserve"> PAGEREF _Toc127087295 \h </w:instrText>
      </w:r>
      <w:r>
        <w:rPr>
          <w:noProof/>
        </w:rPr>
      </w:r>
      <w:r>
        <w:rPr>
          <w:noProof/>
        </w:rPr>
        <w:fldChar w:fldCharType="separate"/>
      </w:r>
      <w:r>
        <w:rPr>
          <w:noProof/>
        </w:rPr>
        <w:t>42</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Exemptions</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Application for certificate of exemption</w:t>
      </w:r>
      <w:r>
        <w:rPr>
          <w:noProof/>
        </w:rPr>
        <w:tab/>
      </w:r>
      <w:r>
        <w:rPr>
          <w:noProof/>
        </w:rPr>
        <w:fldChar w:fldCharType="begin"/>
      </w:r>
      <w:r>
        <w:rPr>
          <w:noProof/>
        </w:rPr>
        <w:instrText xml:space="preserve"> PAGEREF _Toc127087297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Objection to application for exemption</w:t>
      </w:r>
      <w:r>
        <w:rPr>
          <w:noProof/>
        </w:rPr>
        <w:tab/>
      </w:r>
      <w:r>
        <w:rPr>
          <w:noProof/>
        </w:rPr>
        <w:fldChar w:fldCharType="begin"/>
      </w:r>
      <w:r>
        <w:rPr>
          <w:noProof/>
        </w:rPr>
        <w:instrText xml:space="preserve"> PAGEREF _Toc127087298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Evidence in support of application and objection</w:t>
      </w:r>
      <w:r>
        <w:rPr>
          <w:noProof/>
        </w:rPr>
        <w:tab/>
      </w:r>
      <w:r>
        <w:rPr>
          <w:noProof/>
        </w:rPr>
        <w:fldChar w:fldCharType="begin"/>
      </w:r>
      <w:r>
        <w:rPr>
          <w:noProof/>
        </w:rPr>
        <w:instrText xml:space="preserve"> PAGEREF _Toc127087299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Certificate of exemption</w:t>
      </w:r>
      <w:r>
        <w:rPr>
          <w:noProof/>
        </w:rPr>
        <w:tab/>
      </w:r>
      <w:r>
        <w:rPr>
          <w:noProof/>
        </w:rPr>
        <w:fldChar w:fldCharType="begin"/>
      </w:r>
      <w:r>
        <w:rPr>
          <w:noProof/>
        </w:rPr>
        <w:instrText xml:space="preserve"> PAGEREF _Toc127087300 \h </w:instrText>
      </w:r>
      <w:r>
        <w:rPr>
          <w:noProof/>
        </w:rPr>
      </w:r>
      <w:r>
        <w:rPr>
          <w:noProof/>
        </w:rPr>
        <w:fldChar w:fldCharType="separate"/>
      </w:r>
      <w:r>
        <w:rPr>
          <w:noProof/>
        </w:rPr>
        <w:t>43</w:t>
      </w:r>
      <w:r>
        <w:rPr>
          <w:noProof/>
        </w:rPr>
        <w:fldChar w:fldCharType="end"/>
      </w:r>
    </w:p>
    <w:p>
      <w:pPr>
        <w:pStyle w:val="TOC2"/>
        <w:tabs>
          <w:tab w:val="right" w:leader="dot" w:pos="7088"/>
        </w:tabs>
        <w:rPr>
          <w:b w:val="0"/>
          <w:noProof/>
          <w:sz w:val="24"/>
          <w:szCs w:val="24"/>
        </w:rPr>
      </w:pPr>
      <w:r>
        <w:rPr>
          <w:noProof/>
          <w:szCs w:val="30"/>
        </w:rPr>
        <w:t>Part V — General regulations</w:t>
      </w:r>
    </w:p>
    <w:p>
      <w:pPr>
        <w:pStyle w:val="TOC3"/>
        <w:rPr>
          <w:b w:val="0"/>
          <w:noProof/>
          <w:sz w:val="24"/>
          <w:szCs w:val="24"/>
        </w:rPr>
      </w:pPr>
      <w:r>
        <w:rPr>
          <w:noProof/>
          <w:szCs w:val="26"/>
        </w:rPr>
        <w:t>Division 1</w:t>
      </w:r>
      <w:r>
        <w:rPr>
          <w:noProof/>
          <w:snapToGrid w:val="0"/>
          <w:szCs w:val="26"/>
        </w:rPr>
        <w:t> — </w:t>
      </w:r>
      <w:r>
        <w:rPr>
          <w:noProof/>
          <w:szCs w:val="26"/>
        </w:rPr>
        <w:t>Marking out mining tenements</w:t>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Manner of marking out a tenement</w:t>
      </w:r>
      <w:r>
        <w:rPr>
          <w:noProof/>
        </w:rPr>
        <w:tab/>
      </w:r>
      <w:r>
        <w:rPr>
          <w:noProof/>
        </w:rPr>
        <w:fldChar w:fldCharType="begin"/>
      </w:r>
      <w:r>
        <w:rPr>
          <w:noProof/>
        </w:rPr>
        <w:instrText xml:space="preserve"> PAGEREF _Toc127087303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Stones used to support posts</w:t>
      </w:r>
      <w:r>
        <w:rPr>
          <w:noProof/>
        </w:rPr>
        <w:tab/>
      </w:r>
      <w:r>
        <w:rPr>
          <w:noProof/>
        </w:rPr>
        <w:fldChar w:fldCharType="begin"/>
      </w:r>
      <w:r>
        <w:rPr>
          <w:noProof/>
        </w:rPr>
        <w:instrText xml:space="preserve"> PAGEREF _Toc127087304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Marking out surveyed land</w:t>
      </w:r>
      <w:r>
        <w:rPr>
          <w:noProof/>
        </w:rPr>
        <w:tab/>
      </w:r>
      <w:r>
        <w:rPr>
          <w:noProof/>
        </w:rPr>
        <w:fldChar w:fldCharType="begin"/>
      </w:r>
      <w:r>
        <w:rPr>
          <w:noProof/>
        </w:rPr>
        <w:instrText xml:space="preserve"> PAGEREF _Toc127087305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Surplus land may be applied for by others</w:t>
      </w:r>
      <w:r>
        <w:rPr>
          <w:noProof/>
        </w:rPr>
        <w:tab/>
      </w:r>
      <w:r>
        <w:rPr>
          <w:noProof/>
        </w:rPr>
        <w:fldChar w:fldCharType="begin"/>
      </w:r>
      <w:r>
        <w:rPr>
          <w:noProof/>
        </w:rPr>
        <w:instrText xml:space="preserve"> PAGEREF _Toc127087306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Land marked out but not applied for</w:t>
      </w:r>
      <w:r>
        <w:rPr>
          <w:noProof/>
        </w:rPr>
        <w:tab/>
      </w:r>
      <w:r>
        <w:rPr>
          <w:noProof/>
        </w:rPr>
        <w:fldChar w:fldCharType="begin"/>
      </w:r>
      <w:r>
        <w:rPr>
          <w:noProof/>
        </w:rPr>
        <w:instrText xml:space="preserve"> PAGEREF _Toc127087307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Applications and objections</w:t>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Application for mining tenement</w:t>
      </w:r>
      <w:r>
        <w:rPr>
          <w:noProof/>
        </w:rPr>
        <w:tab/>
      </w:r>
      <w:r>
        <w:rPr>
          <w:noProof/>
        </w:rPr>
        <w:fldChar w:fldCharType="begin"/>
      </w:r>
      <w:r>
        <w:rPr>
          <w:noProof/>
        </w:rPr>
        <w:instrText xml:space="preserve"> PAGEREF _Toc127087309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64A</w:t>
      </w:r>
      <w:r>
        <w:rPr>
          <w:noProof/>
          <w:snapToGrid w:val="0"/>
          <w:szCs w:val="24"/>
        </w:rPr>
        <w:t>.</w:t>
      </w:r>
      <w:r>
        <w:rPr>
          <w:noProof/>
          <w:sz w:val="24"/>
          <w:szCs w:val="24"/>
        </w:rPr>
        <w:tab/>
      </w:r>
      <w:r>
        <w:rPr>
          <w:noProof/>
          <w:snapToGrid w:val="0"/>
          <w:szCs w:val="24"/>
        </w:rPr>
        <w:t>Notice of application for prospecting licence, exploration licence, retention licence or mining lease</w:t>
      </w:r>
      <w:r>
        <w:rPr>
          <w:noProof/>
        </w:rPr>
        <w:tab/>
      </w:r>
      <w:r>
        <w:rPr>
          <w:noProof/>
        </w:rPr>
        <w:fldChar w:fldCharType="begin"/>
      </w:r>
      <w:r>
        <w:rPr>
          <w:noProof/>
        </w:rPr>
        <w:instrText xml:space="preserve"> PAGEREF _Toc127087310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64B</w:t>
      </w:r>
      <w:r>
        <w:rPr>
          <w:noProof/>
          <w:snapToGrid w:val="0"/>
          <w:szCs w:val="24"/>
        </w:rPr>
        <w:t>.</w:t>
      </w:r>
      <w:r>
        <w:rPr>
          <w:noProof/>
          <w:sz w:val="24"/>
          <w:szCs w:val="24"/>
        </w:rPr>
        <w:tab/>
      </w:r>
      <w:r>
        <w:rPr>
          <w:noProof/>
          <w:snapToGrid w:val="0"/>
          <w:szCs w:val="24"/>
        </w:rPr>
        <w:t>Notice of application for mining tenement — pastoral lessee or other leaseholder</w:t>
      </w:r>
      <w:r>
        <w:rPr>
          <w:noProof/>
        </w:rPr>
        <w:tab/>
      </w:r>
      <w:r>
        <w:rPr>
          <w:noProof/>
        </w:rPr>
        <w:fldChar w:fldCharType="begin"/>
      </w:r>
      <w:r>
        <w:rPr>
          <w:noProof/>
        </w:rPr>
        <w:instrText xml:space="preserve"> PAGEREF _Toc127087311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64C.</w:t>
      </w:r>
      <w:r>
        <w:rPr>
          <w:noProof/>
          <w:sz w:val="24"/>
          <w:szCs w:val="24"/>
        </w:rPr>
        <w:tab/>
      </w:r>
      <w:r>
        <w:rPr>
          <w:noProof/>
          <w:szCs w:val="24"/>
        </w:rPr>
        <w:t>Copy of application for miscellaneous licence</w:t>
      </w:r>
      <w:r>
        <w:rPr>
          <w:noProof/>
        </w:rPr>
        <w:tab/>
      </w:r>
      <w:r>
        <w:rPr>
          <w:noProof/>
        </w:rPr>
        <w:fldChar w:fldCharType="begin"/>
      </w:r>
      <w:r>
        <w:rPr>
          <w:noProof/>
        </w:rPr>
        <w:instrText xml:space="preserve"> PAGEREF _Toc127087312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Number of shares to be stated on application</w:t>
      </w:r>
      <w:r>
        <w:rPr>
          <w:noProof/>
        </w:rPr>
        <w:tab/>
      </w:r>
      <w:r>
        <w:rPr>
          <w:noProof/>
        </w:rPr>
        <w:fldChar w:fldCharType="begin"/>
      </w:r>
      <w:r>
        <w:rPr>
          <w:noProof/>
        </w:rPr>
        <w:instrText xml:space="preserve"> PAGEREF _Toc127087313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Description of boundaries</w:t>
      </w:r>
      <w:r>
        <w:rPr>
          <w:noProof/>
        </w:rPr>
        <w:tab/>
      </w:r>
      <w:r>
        <w:rPr>
          <w:noProof/>
        </w:rPr>
        <w:fldChar w:fldCharType="begin"/>
      </w:r>
      <w:r>
        <w:rPr>
          <w:noProof/>
        </w:rPr>
        <w:instrText xml:space="preserve"> PAGEREF _Toc127087314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Objection against application</w:t>
      </w:r>
      <w:r>
        <w:rPr>
          <w:noProof/>
        </w:rPr>
        <w:tab/>
      </w:r>
      <w:r>
        <w:rPr>
          <w:noProof/>
        </w:rPr>
        <w:fldChar w:fldCharType="begin"/>
      </w:r>
      <w:r>
        <w:rPr>
          <w:noProof/>
        </w:rPr>
        <w:instrText xml:space="preserve"> PAGEREF _Toc127087315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Warden may obtain report</w:t>
      </w:r>
      <w:r>
        <w:rPr>
          <w:noProof/>
        </w:rPr>
        <w:tab/>
      </w:r>
      <w:r>
        <w:rPr>
          <w:noProof/>
        </w:rPr>
        <w:fldChar w:fldCharType="begin"/>
      </w:r>
      <w:r>
        <w:rPr>
          <w:noProof/>
        </w:rPr>
        <w:instrText xml:space="preserve"> PAGEREF _Toc127087316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Withdrawal of applications</w:t>
      </w:r>
      <w:r>
        <w:rPr>
          <w:noProof/>
        </w:rPr>
        <w:tab/>
      </w:r>
      <w:r>
        <w:rPr>
          <w:noProof/>
        </w:rPr>
        <w:fldChar w:fldCharType="begin"/>
      </w:r>
      <w:r>
        <w:rPr>
          <w:noProof/>
        </w:rPr>
        <w:instrText xml:space="preserve"> PAGEREF _Toc127087317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69A.</w:t>
      </w:r>
      <w:r>
        <w:rPr>
          <w:noProof/>
          <w:sz w:val="24"/>
          <w:szCs w:val="24"/>
        </w:rPr>
        <w:tab/>
      </w:r>
      <w:r>
        <w:rPr>
          <w:noProof/>
          <w:szCs w:val="24"/>
        </w:rPr>
        <w:t>GST to be paid at time of grant of application</w:t>
      </w:r>
      <w:r>
        <w:rPr>
          <w:noProof/>
        </w:rPr>
        <w:tab/>
      </w:r>
      <w:r>
        <w:rPr>
          <w:noProof/>
        </w:rPr>
        <w:fldChar w:fldCharType="begin"/>
      </w:r>
      <w:r>
        <w:rPr>
          <w:noProof/>
        </w:rPr>
        <w:instrText xml:space="preserve"> PAGEREF _Toc127087318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Refund of rent on withdrawal or refusal of application</w:t>
      </w:r>
      <w:r>
        <w:rPr>
          <w:noProof/>
        </w:rPr>
        <w:tab/>
      </w:r>
      <w:r>
        <w:rPr>
          <w:noProof/>
        </w:rPr>
        <w:fldChar w:fldCharType="begin"/>
      </w:r>
      <w:r>
        <w:rPr>
          <w:noProof/>
        </w:rPr>
        <w:instrText xml:space="preserve"> PAGEREF _Toc127087319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70A</w:t>
      </w:r>
      <w:r>
        <w:rPr>
          <w:noProof/>
          <w:snapToGrid w:val="0"/>
          <w:szCs w:val="24"/>
        </w:rPr>
        <w:t>.</w:t>
      </w:r>
      <w:r>
        <w:rPr>
          <w:noProof/>
          <w:sz w:val="24"/>
          <w:szCs w:val="24"/>
        </w:rPr>
        <w:tab/>
      </w:r>
      <w:r>
        <w:rPr>
          <w:noProof/>
          <w:snapToGrid w:val="0"/>
          <w:szCs w:val="24"/>
        </w:rPr>
        <w:t>Amalgamation of secondary tenement</w:t>
      </w:r>
      <w:r>
        <w:rPr>
          <w:noProof/>
        </w:rPr>
        <w:tab/>
      </w:r>
      <w:r>
        <w:rPr>
          <w:noProof/>
        </w:rPr>
        <w:fldChar w:fldCharType="begin"/>
      </w:r>
      <w:r>
        <w:rPr>
          <w:noProof/>
        </w:rPr>
        <w:instrText xml:space="preserve"> PAGEREF _Toc127087320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70B</w:t>
      </w:r>
      <w:r>
        <w:rPr>
          <w:noProof/>
          <w:snapToGrid w:val="0"/>
          <w:szCs w:val="24"/>
        </w:rPr>
        <w:t>.</w:t>
      </w:r>
      <w:r>
        <w:rPr>
          <w:noProof/>
          <w:sz w:val="24"/>
          <w:szCs w:val="24"/>
        </w:rPr>
        <w:tab/>
      </w:r>
      <w:r>
        <w:rPr>
          <w:noProof/>
          <w:snapToGrid w:val="0"/>
          <w:szCs w:val="24"/>
        </w:rPr>
        <w:t>Agreement as to priority</w:t>
      </w:r>
      <w:r>
        <w:rPr>
          <w:noProof/>
        </w:rPr>
        <w:tab/>
      </w:r>
      <w:r>
        <w:rPr>
          <w:noProof/>
        </w:rPr>
        <w:fldChar w:fldCharType="begin"/>
      </w:r>
      <w:r>
        <w:rPr>
          <w:noProof/>
        </w:rPr>
        <w:instrText xml:space="preserve"> PAGEREF _Toc127087321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70C</w:t>
      </w:r>
      <w:r>
        <w:rPr>
          <w:noProof/>
          <w:snapToGrid w:val="0"/>
          <w:szCs w:val="24"/>
        </w:rPr>
        <w:t>.</w:t>
      </w:r>
      <w:r>
        <w:rPr>
          <w:noProof/>
          <w:sz w:val="24"/>
          <w:szCs w:val="24"/>
        </w:rPr>
        <w:tab/>
      </w:r>
      <w:r>
        <w:rPr>
          <w:noProof/>
          <w:snapToGrid w:val="0"/>
          <w:szCs w:val="24"/>
        </w:rPr>
        <w:t>Refund where licence substituted or lease refused</w:t>
      </w:r>
      <w:r>
        <w:rPr>
          <w:noProof/>
        </w:rPr>
        <w:tab/>
      </w:r>
      <w:r>
        <w:rPr>
          <w:noProof/>
        </w:rPr>
        <w:fldChar w:fldCharType="begin"/>
      </w:r>
      <w:r>
        <w:rPr>
          <w:noProof/>
        </w:rPr>
        <w:instrText xml:space="preserve"> PAGEREF _Toc127087322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70D</w:t>
      </w:r>
      <w:r>
        <w:rPr>
          <w:noProof/>
          <w:snapToGrid w:val="0"/>
          <w:szCs w:val="24"/>
        </w:rPr>
        <w:t>.</w:t>
      </w:r>
      <w:r>
        <w:rPr>
          <w:noProof/>
          <w:sz w:val="24"/>
          <w:szCs w:val="24"/>
        </w:rPr>
        <w:tab/>
      </w:r>
      <w:r>
        <w:rPr>
          <w:noProof/>
          <w:snapToGrid w:val="0"/>
          <w:szCs w:val="24"/>
        </w:rPr>
        <w:t>Refund when retention licence granted or refused</w:t>
      </w:r>
      <w:r>
        <w:rPr>
          <w:noProof/>
        </w:rPr>
        <w:tab/>
      </w:r>
      <w:r>
        <w:rPr>
          <w:noProof/>
        </w:rPr>
        <w:fldChar w:fldCharType="begin"/>
      </w:r>
      <w:r>
        <w:rPr>
          <w:noProof/>
        </w:rPr>
        <w:instrText xml:space="preserve"> PAGEREF _Toc127087323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70E.</w:t>
      </w:r>
      <w:r>
        <w:rPr>
          <w:noProof/>
          <w:sz w:val="24"/>
          <w:szCs w:val="24"/>
        </w:rPr>
        <w:tab/>
      </w:r>
      <w:r>
        <w:rPr>
          <w:noProof/>
          <w:szCs w:val="24"/>
        </w:rPr>
        <w:t>Partial refund of application fee in certain circumstances</w:t>
      </w:r>
      <w:r>
        <w:rPr>
          <w:noProof/>
        </w:rPr>
        <w:tab/>
      </w:r>
      <w:r>
        <w:rPr>
          <w:noProof/>
        </w:rPr>
        <w:fldChar w:fldCharType="begin"/>
      </w:r>
      <w:r>
        <w:rPr>
          <w:noProof/>
        </w:rPr>
        <w:instrText xml:space="preserve"> PAGEREF _Toc127087324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Boundary marks</w:t>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Boundary marks to be maintained</w:t>
      </w:r>
      <w:r>
        <w:rPr>
          <w:noProof/>
        </w:rPr>
        <w:tab/>
      </w:r>
      <w:r>
        <w:rPr>
          <w:noProof/>
        </w:rPr>
        <w:fldChar w:fldCharType="begin"/>
      </w:r>
      <w:r>
        <w:rPr>
          <w:noProof/>
        </w:rPr>
        <w:instrText xml:space="preserve"> PAGEREF _Toc127087326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No liability for mining if boundary marks not maintained</w:t>
      </w:r>
      <w:r>
        <w:rPr>
          <w:noProof/>
        </w:rPr>
        <w:tab/>
      </w:r>
      <w:r>
        <w:rPr>
          <w:noProof/>
        </w:rPr>
        <w:fldChar w:fldCharType="begin"/>
      </w:r>
      <w:r>
        <w:rPr>
          <w:noProof/>
        </w:rPr>
        <w:instrText xml:space="preserve"> PAGEREF _Toc127087327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Holder to identify boundaries</w:t>
      </w:r>
      <w:r>
        <w:rPr>
          <w:noProof/>
        </w:rPr>
        <w:tab/>
      </w:r>
      <w:r>
        <w:rPr>
          <w:noProof/>
        </w:rPr>
        <w:fldChar w:fldCharType="begin"/>
      </w:r>
      <w:r>
        <w:rPr>
          <w:noProof/>
        </w:rPr>
        <w:instrText xml:space="preserve"> PAGEREF _Toc127087328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False documents/notices not to be posted</w:t>
      </w:r>
      <w:r>
        <w:rPr>
          <w:noProof/>
        </w:rPr>
        <w:tab/>
      </w:r>
      <w:r>
        <w:rPr>
          <w:noProof/>
        </w:rPr>
        <w:fldChar w:fldCharType="begin"/>
      </w:r>
      <w:r>
        <w:rPr>
          <w:noProof/>
        </w:rPr>
        <w:instrText xml:space="preserve"> PAGEREF _Toc127087329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3A</w:t>
      </w:r>
      <w:r>
        <w:rPr>
          <w:noProof/>
          <w:snapToGrid w:val="0"/>
          <w:szCs w:val="26"/>
        </w:rPr>
        <w:t> — </w:t>
      </w:r>
      <w:r>
        <w:rPr>
          <w:noProof/>
          <w:szCs w:val="26"/>
        </w:rPr>
        <w:t>Fossicking</w:t>
      </w:r>
    </w:p>
    <w:p>
      <w:pPr>
        <w:pStyle w:val="TOC4"/>
        <w:tabs>
          <w:tab w:val="left" w:pos="1701"/>
        </w:tabs>
        <w:rPr>
          <w:noProof/>
          <w:sz w:val="24"/>
          <w:szCs w:val="24"/>
        </w:rPr>
      </w:pPr>
      <w:r>
        <w:rPr>
          <w:noProof/>
          <w:szCs w:val="24"/>
        </w:rPr>
        <w:t>74A</w:t>
      </w:r>
      <w:r>
        <w:rPr>
          <w:noProof/>
          <w:snapToGrid w:val="0"/>
          <w:szCs w:val="24"/>
        </w:rPr>
        <w:t>.</w:t>
      </w:r>
      <w:r>
        <w:rPr>
          <w:noProof/>
          <w:sz w:val="24"/>
          <w:szCs w:val="24"/>
        </w:rPr>
        <w:tab/>
      </w:r>
      <w:r>
        <w:rPr>
          <w:noProof/>
          <w:snapToGrid w:val="0"/>
          <w:szCs w:val="24"/>
        </w:rPr>
        <w:t>Means of fossicking</w:t>
      </w:r>
      <w:r>
        <w:rPr>
          <w:noProof/>
        </w:rPr>
        <w:tab/>
      </w:r>
      <w:r>
        <w:rPr>
          <w:noProof/>
        </w:rPr>
        <w:fldChar w:fldCharType="begin"/>
      </w:r>
      <w:r>
        <w:rPr>
          <w:noProof/>
        </w:rPr>
        <w:instrText xml:space="preserve"> PAGEREF _Toc127087331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Transfers, caveats, mortgages</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Transfer of tenement</w:t>
      </w:r>
      <w:r>
        <w:rPr>
          <w:noProof/>
        </w:rPr>
        <w:tab/>
      </w:r>
      <w:r>
        <w:rPr>
          <w:noProof/>
        </w:rPr>
        <w:fldChar w:fldCharType="begin"/>
      </w:r>
      <w:r>
        <w:rPr>
          <w:noProof/>
        </w:rPr>
        <w:instrText xml:space="preserve"> PAGEREF _Toc127087333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Separate caveat for each tenement</w:t>
      </w:r>
      <w:r>
        <w:rPr>
          <w:noProof/>
        </w:rPr>
        <w:tab/>
      </w:r>
      <w:r>
        <w:rPr>
          <w:noProof/>
        </w:rPr>
        <w:fldChar w:fldCharType="begin"/>
      </w:r>
      <w:r>
        <w:rPr>
          <w:noProof/>
        </w:rPr>
        <w:instrText xml:space="preserve"> PAGEREF _Toc127087334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76A</w:t>
      </w:r>
      <w:r>
        <w:rPr>
          <w:noProof/>
          <w:snapToGrid w:val="0"/>
          <w:szCs w:val="24"/>
        </w:rPr>
        <w:t>.</w:t>
      </w:r>
      <w:r>
        <w:rPr>
          <w:noProof/>
          <w:sz w:val="24"/>
          <w:szCs w:val="24"/>
        </w:rPr>
        <w:tab/>
      </w:r>
      <w:r>
        <w:rPr>
          <w:noProof/>
          <w:snapToGrid w:val="0"/>
          <w:szCs w:val="24"/>
        </w:rPr>
        <w:t>Withdrawal of caveats</w:t>
      </w:r>
      <w:r>
        <w:rPr>
          <w:noProof/>
        </w:rPr>
        <w:tab/>
      </w:r>
      <w:r>
        <w:rPr>
          <w:noProof/>
        </w:rPr>
        <w:fldChar w:fldCharType="begin"/>
      </w:r>
      <w:r>
        <w:rPr>
          <w:noProof/>
        </w:rPr>
        <w:instrText xml:space="preserve"> PAGEREF _Toc127087335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76B</w:t>
      </w:r>
      <w:r>
        <w:rPr>
          <w:noProof/>
          <w:snapToGrid w:val="0"/>
          <w:szCs w:val="24"/>
        </w:rPr>
        <w:t>.</w:t>
      </w:r>
      <w:r>
        <w:rPr>
          <w:noProof/>
          <w:sz w:val="24"/>
          <w:szCs w:val="24"/>
        </w:rPr>
        <w:tab/>
      </w:r>
      <w:r>
        <w:rPr>
          <w:noProof/>
          <w:snapToGrid w:val="0"/>
          <w:szCs w:val="24"/>
        </w:rPr>
        <w:t>Notification of registration of surrender</w:t>
      </w:r>
      <w:r>
        <w:rPr>
          <w:noProof/>
        </w:rPr>
        <w:tab/>
      </w:r>
      <w:r>
        <w:rPr>
          <w:noProof/>
        </w:rPr>
        <w:fldChar w:fldCharType="begin"/>
      </w:r>
      <w:r>
        <w:rPr>
          <w:noProof/>
        </w:rPr>
        <w:instrText xml:space="preserve"> PAGEREF _Toc127087336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Mortgage and priority of mortgages</w:t>
      </w:r>
      <w:r>
        <w:rPr>
          <w:noProof/>
        </w:rPr>
        <w:tab/>
      </w:r>
      <w:r>
        <w:rPr>
          <w:noProof/>
        </w:rPr>
        <w:fldChar w:fldCharType="begin"/>
      </w:r>
      <w:r>
        <w:rPr>
          <w:noProof/>
        </w:rPr>
        <w:instrText xml:space="preserve"> PAGEREF _Toc127087337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Effect of mortgage</w:t>
      </w:r>
      <w:r>
        <w:rPr>
          <w:noProof/>
        </w:rPr>
        <w:tab/>
      </w:r>
      <w:r>
        <w:rPr>
          <w:noProof/>
        </w:rPr>
        <w:fldChar w:fldCharType="begin"/>
      </w:r>
      <w:r>
        <w:rPr>
          <w:noProof/>
        </w:rPr>
        <w:instrText xml:space="preserve"> PAGEREF _Toc127087338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Covenants included in mortgage</w:t>
      </w:r>
      <w:r>
        <w:rPr>
          <w:noProof/>
        </w:rPr>
        <w:tab/>
      </w:r>
      <w:r>
        <w:rPr>
          <w:noProof/>
        </w:rPr>
        <w:fldChar w:fldCharType="begin"/>
      </w:r>
      <w:r>
        <w:rPr>
          <w:noProof/>
        </w:rPr>
        <w:instrText xml:space="preserve"> PAGEREF _Toc127087339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Mortgagee’s expenses may be added to security</w:t>
      </w:r>
      <w:r>
        <w:rPr>
          <w:noProof/>
        </w:rPr>
        <w:tab/>
      </w:r>
      <w:r>
        <w:rPr>
          <w:noProof/>
        </w:rPr>
        <w:fldChar w:fldCharType="begin"/>
      </w:r>
      <w:r>
        <w:rPr>
          <w:noProof/>
        </w:rPr>
        <w:instrText xml:space="preserve"> PAGEREF _Toc127087340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Transfer under powers contained in mortgage</w:t>
      </w:r>
      <w:r>
        <w:rPr>
          <w:noProof/>
        </w:rPr>
        <w:tab/>
      </w:r>
      <w:r>
        <w:rPr>
          <w:noProof/>
        </w:rPr>
        <w:fldChar w:fldCharType="begin"/>
      </w:r>
      <w:r>
        <w:rPr>
          <w:noProof/>
        </w:rPr>
        <w:instrText xml:space="preserve"> PAGEREF _Toc127087341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Redemption of mortgage</w:t>
      </w:r>
      <w:r>
        <w:rPr>
          <w:noProof/>
        </w:rPr>
        <w:tab/>
      </w:r>
      <w:r>
        <w:rPr>
          <w:noProof/>
        </w:rPr>
        <w:fldChar w:fldCharType="begin"/>
      </w:r>
      <w:r>
        <w:rPr>
          <w:noProof/>
        </w:rPr>
        <w:instrText xml:space="preserve"> PAGEREF _Toc127087342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Discharge of mortgage</w:t>
      </w:r>
      <w:r>
        <w:rPr>
          <w:noProof/>
        </w:rPr>
        <w:tab/>
      </w:r>
      <w:r>
        <w:rPr>
          <w:noProof/>
        </w:rPr>
        <w:fldChar w:fldCharType="begin"/>
      </w:r>
      <w:r>
        <w:rPr>
          <w:noProof/>
        </w:rPr>
        <w:instrText xml:space="preserve"> PAGEREF _Toc127087343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Transfer of mortgage</w:t>
      </w:r>
      <w:r>
        <w:rPr>
          <w:noProof/>
        </w:rPr>
        <w:tab/>
      </w:r>
      <w:r>
        <w:rPr>
          <w:noProof/>
        </w:rPr>
        <w:fldChar w:fldCharType="begin"/>
      </w:r>
      <w:r>
        <w:rPr>
          <w:noProof/>
        </w:rPr>
        <w:instrText xml:space="preserve"> PAGEREF _Toc127087344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Production and royalties</w:t>
      </w:r>
    </w:p>
    <w:p>
      <w:pPr>
        <w:pStyle w:val="TOC4"/>
        <w:tabs>
          <w:tab w:val="left" w:pos="1701"/>
        </w:tabs>
        <w:rPr>
          <w:noProof/>
          <w:sz w:val="24"/>
          <w:szCs w:val="24"/>
        </w:rPr>
      </w:pPr>
      <w:r>
        <w:rPr>
          <w:noProof/>
          <w:szCs w:val="24"/>
        </w:rPr>
        <w:t>85.</w:t>
      </w:r>
      <w:r>
        <w:rPr>
          <w:noProof/>
          <w:sz w:val="24"/>
          <w:szCs w:val="24"/>
        </w:rPr>
        <w:tab/>
      </w:r>
      <w:r>
        <w:rPr>
          <w:noProof/>
          <w:szCs w:val="24"/>
        </w:rPr>
        <w:t>Interpretation of Division</w:t>
      </w:r>
      <w:r>
        <w:rPr>
          <w:noProof/>
        </w:rPr>
        <w:tab/>
      </w:r>
      <w:r>
        <w:rPr>
          <w:noProof/>
        </w:rPr>
        <w:fldChar w:fldCharType="begin"/>
      </w:r>
      <w:r>
        <w:rPr>
          <w:noProof/>
        </w:rPr>
        <w:instrText xml:space="preserve"> PAGEREF _Toc127087346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85AA.</w:t>
      </w:r>
      <w:r>
        <w:rPr>
          <w:noProof/>
          <w:sz w:val="24"/>
          <w:szCs w:val="24"/>
        </w:rPr>
        <w:tab/>
      </w:r>
      <w:r>
        <w:rPr>
          <w:noProof/>
          <w:szCs w:val="24"/>
        </w:rPr>
        <w:t>Effect of GST etc. on royalties</w:t>
      </w:r>
      <w:r>
        <w:rPr>
          <w:noProof/>
        </w:rPr>
        <w:tab/>
      </w:r>
      <w:r>
        <w:rPr>
          <w:noProof/>
        </w:rPr>
        <w:fldChar w:fldCharType="begin"/>
      </w:r>
      <w:r>
        <w:rPr>
          <w:noProof/>
        </w:rPr>
        <w:instrText xml:space="preserve"> PAGEREF _Toc127087347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85AB.</w:t>
      </w:r>
      <w:r>
        <w:rPr>
          <w:noProof/>
          <w:sz w:val="24"/>
          <w:szCs w:val="24"/>
        </w:rPr>
        <w:tab/>
      </w:r>
      <w:r>
        <w:rPr>
          <w:noProof/>
          <w:szCs w:val="24"/>
        </w:rPr>
        <w:t>Conversion to Australian currency</w:t>
      </w:r>
      <w:r>
        <w:rPr>
          <w:noProof/>
        </w:rPr>
        <w:tab/>
      </w:r>
      <w:r>
        <w:rPr>
          <w:noProof/>
        </w:rPr>
        <w:fldChar w:fldCharType="begin"/>
      </w:r>
      <w:r>
        <w:rPr>
          <w:noProof/>
        </w:rPr>
        <w:instrText xml:space="preserve"> PAGEREF _Toc127087348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85A.</w:t>
      </w:r>
      <w:r>
        <w:rPr>
          <w:noProof/>
          <w:sz w:val="24"/>
          <w:szCs w:val="24"/>
        </w:rPr>
        <w:tab/>
      </w:r>
      <w:r>
        <w:rPr>
          <w:noProof/>
          <w:szCs w:val="24"/>
        </w:rPr>
        <w:t>Quarterly production reports</w:t>
      </w:r>
      <w:r>
        <w:rPr>
          <w:noProof/>
        </w:rPr>
        <w:tab/>
      </w:r>
      <w:r>
        <w:rPr>
          <w:noProof/>
        </w:rPr>
        <w:fldChar w:fldCharType="begin"/>
      </w:r>
      <w:r>
        <w:rPr>
          <w:noProof/>
        </w:rPr>
        <w:instrText xml:space="preserve"> PAGEREF _Toc127087349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85B</w:t>
      </w:r>
      <w:r>
        <w:rPr>
          <w:noProof/>
          <w:snapToGrid w:val="0"/>
          <w:szCs w:val="24"/>
        </w:rPr>
        <w:t>.</w:t>
      </w:r>
      <w:r>
        <w:rPr>
          <w:noProof/>
          <w:sz w:val="24"/>
          <w:szCs w:val="24"/>
        </w:rPr>
        <w:tab/>
      </w:r>
      <w:r>
        <w:rPr>
          <w:noProof/>
          <w:snapToGrid w:val="0"/>
          <w:szCs w:val="24"/>
        </w:rPr>
        <w:t>Royalty return</w:t>
      </w:r>
      <w:r>
        <w:rPr>
          <w:noProof/>
        </w:rPr>
        <w:tab/>
      </w:r>
      <w:r>
        <w:rPr>
          <w:noProof/>
        </w:rPr>
        <w:fldChar w:fldCharType="begin"/>
      </w:r>
      <w:r>
        <w:rPr>
          <w:noProof/>
        </w:rPr>
        <w:instrText xml:space="preserve"> PAGEREF _Toc127087350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Rates of royalty</w:t>
      </w:r>
      <w:r>
        <w:rPr>
          <w:noProof/>
        </w:rPr>
        <w:tab/>
      </w:r>
      <w:r>
        <w:rPr>
          <w:noProof/>
        </w:rPr>
        <w:fldChar w:fldCharType="begin"/>
      </w:r>
      <w:r>
        <w:rPr>
          <w:noProof/>
        </w:rPr>
        <w:instrText xml:space="preserve"> PAGEREF _Toc127087351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86AA</w:t>
      </w:r>
      <w:r>
        <w:rPr>
          <w:noProof/>
          <w:snapToGrid w:val="0"/>
          <w:szCs w:val="24"/>
        </w:rPr>
        <w:t>.</w:t>
      </w:r>
      <w:r>
        <w:rPr>
          <w:noProof/>
          <w:sz w:val="24"/>
          <w:szCs w:val="24"/>
        </w:rPr>
        <w:tab/>
      </w:r>
      <w:r>
        <w:rPr>
          <w:noProof/>
          <w:snapToGrid w:val="0"/>
          <w:szCs w:val="24"/>
        </w:rPr>
        <w:t>Rates of royalty in respect of gold</w:t>
      </w:r>
      <w:r>
        <w:rPr>
          <w:noProof/>
        </w:rPr>
        <w:tab/>
      </w:r>
      <w:r>
        <w:rPr>
          <w:noProof/>
        </w:rPr>
        <w:fldChar w:fldCharType="begin"/>
      </w:r>
      <w:r>
        <w:rPr>
          <w:noProof/>
        </w:rPr>
        <w:instrText xml:space="preserve"> PAGEREF _Toc127087352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86AB.</w:t>
      </w:r>
      <w:r>
        <w:rPr>
          <w:noProof/>
          <w:sz w:val="24"/>
          <w:szCs w:val="24"/>
        </w:rPr>
        <w:tab/>
      </w:r>
      <w:r>
        <w:rPr>
          <w:noProof/>
          <w:szCs w:val="24"/>
        </w:rPr>
        <w:t>Optional royalty rate for cobalt sold as a nickel by</w:t>
      </w:r>
      <w:r>
        <w:rPr>
          <w:noProof/>
          <w:szCs w:val="24"/>
        </w:rPr>
        <w:noBreakHyphen/>
        <w:t>product</w:t>
      </w:r>
      <w:r>
        <w:rPr>
          <w:noProof/>
        </w:rPr>
        <w:tab/>
      </w:r>
      <w:r>
        <w:rPr>
          <w:noProof/>
        </w:rPr>
        <w:fldChar w:fldCharType="begin"/>
      </w:r>
      <w:r>
        <w:rPr>
          <w:noProof/>
        </w:rPr>
        <w:instrText xml:space="preserve"> PAGEREF _Toc127087353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86AC.</w:t>
      </w:r>
      <w:r>
        <w:rPr>
          <w:noProof/>
          <w:sz w:val="24"/>
          <w:szCs w:val="24"/>
        </w:rPr>
        <w:tab/>
      </w:r>
      <w:r>
        <w:rPr>
          <w:noProof/>
          <w:szCs w:val="24"/>
        </w:rPr>
        <w:t>Rates of royalty for ilmenite feedstock</w:t>
      </w:r>
      <w:r>
        <w:rPr>
          <w:noProof/>
        </w:rPr>
        <w:tab/>
      </w:r>
      <w:r>
        <w:rPr>
          <w:noProof/>
        </w:rPr>
        <w:fldChar w:fldCharType="begin"/>
      </w:r>
      <w:r>
        <w:rPr>
          <w:noProof/>
        </w:rPr>
        <w:instrText xml:space="preserve"> PAGEREF _Toc127087354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86A.</w:t>
      </w:r>
      <w:r>
        <w:rPr>
          <w:noProof/>
          <w:sz w:val="24"/>
          <w:szCs w:val="24"/>
        </w:rPr>
        <w:tab/>
      </w:r>
      <w:r>
        <w:rPr>
          <w:noProof/>
          <w:szCs w:val="24"/>
        </w:rPr>
        <w:t>Payment of royalties</w:t>
      </w:r>
      <w:r>
        <w:rPr>
          <w:noProof/>
        </w:rPr>
        <w:tab/>
      </w:r>
      <w:r>
        <w:rPr>
          <w:noProof/>
        </w:rPr>
        <w:fldChar w:fldCharType="begin"/>
      </w:r>
      <w:r>
        <w:rPr>
          <w:noProof/>
        </w:rPr>
        <w:instrText xml:space="preserve"> PAGEREF _Toc127087355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86B</w:t>
      </w:r>
      <w:r>
        <w:rPr>
          <w:noProof/>
          <w:snapToGrid w:val="0"/>
          <w:szCs w:val="24"/>
        </w:rPr>
        <w:t>.</w:t>
      </w:r>
      <w:r>
        <w:rPr>
          <w:noProof/>
          <w:sz w:val="24"/>
          <w:szCs w:val="24"/>
        </w:rPr>
        <w:tab/>
      </w:r>
      <w:r>
        <w:rPr>
          <w:noProof/>
          <w:snapToGrid w:val="0"/>
          <w:szCs w:val="24"/>
        </w:rPr>
        <w:t>Tenement within Carnarvon Irrigation District</w:t>
      </w:r>
      <w:r>
        <w:rPr>
          <w:noProof/>
        </w:rPr>
        <w:tab/>
      </w:r>
      <w:r>
        <w:rPr>
          <w:noProof/>
        </w:rPr>
        <w:fldChar w:fldCharType="begin"/>
      </w:r>
      <w:r>
        <w:rPr>
          <w:noProof/>
        </w:rPr>
        <w:instrText xml:space="preserve"> PAGEREF _Toc127087356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86D</w:t>
      </w:r>
      <w:r>
        <w:rPr>
          <w:noProof/>
          <w:snapToGrid w:val="0"/>
          <w:szCs w:val="24"/>
        </w:rPr>
        <w:t>.</w:t>
      </w:r>
      <w:r>
        <w:rPr>
          <w:noProof/>
          <w:sz w:val="24"/>
          <w:szCs w:val="24"/>
        </w:rPr>
        <w:tab/>
      </w:r>
      <w:r>
        <w:rPr>
          <w:noProof/>
          <w:snapToGrid w:val="0"/>
          <w:szCs w:val="24"/>
        </w:rPr>
        <w:t>Exemption in respect of certain clay, gravel, limestone, rock or sand</w:t>
      </w:r>
      <w:r>
        <w:rPr>
          <w:noProof/>
        </w:rPr>
        <w:tab/>
      </w:r>
      <w:r>
        <w:rPr>
          <w:noProof/>
        </w:rPr>
        <w:fldChar w:fldCharType="begin"/>
      </w:r>
      <w:r>
        <w:rPr>
          <w:noProof/>
        </w:rPr>
        <w:instrText xml:space="preserve"> PAGEREF _Toc127087357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86E</w:t>
      </w:r>
      <w:r>
        <w:rPr>
          <w:noProof/>
          <w:snapToGrid w:val="0"/>
          <w:szCs w:val="24"/>
        </w:rPr>
        <w:t>.</w:t>
      </w:r>
      <w:r>
        <w:rPr>
          <w:noProof/>
          <w:sz w:val="24"/>
          <w:szCs w:val="24"/>
        </w:rPr>
        <w:tab/>
      </w:r>
      <w:r>
        <w:rPr>
          <w:noProof/>
          <w:snapToGrid w:val="0"/>
          <w:szCs w:val="24"/>
        </w:rPr>
        <w:t>Exemption in respect of rock for the Eyre Highway</w:t>
      </w:r>
      <w:r>
        <w:rPr>
          <w:noProof/>
        </w:rPr>
        <w:tab/>
      </w:r>
      <w:r>
        <w:rPr>
          <w:noProof/>
        </w:rPr>
        <w:fldChar w:fldCharType="begin"/>
      </w:r>
      <w:r>
        <w:rPr>
          <w:noProof/>
        </w:rPr>
        <w:instrText xml:space="preserve"> PAGEREF _Toc127087358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86F.</w:t>
      </w:r>
      <w:r>
        <w:rPr>
          <w:noProof/>
          <w:sz w:val="24"/>
          <w:szCs w:val="24"/>
        </w:rPr>
        <w:tab/>
      </w:r>
      <w:r>
        <w:rPr>
          <w:noProof/>
          <w:szCs w:val="24"/>
        </w:rPr>
        <w:t>Royalty relief</w:t>
      </w:r>
      <w:r>
        <w:rPr>
          <w:noProof/>
        </w:rPr>
        <w:tab/>
      </w:r>
      <w:r>
        <w:rPr>
          <w:noProof/>
        </w:rPr>
        <w:fldChar w:fldCharType="begin"/>
      </w:r>
      <w:r>
        <w:rPr>
          <w:noProof/>
        </w:rPr>
        <w:instrText xml:space="preserve"> PAGEREF _Toc127087359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Minister may determine value of mineral for the purpose of calculating royalties</w:t>
      </w:r>
      <w:r>
        <w:rPr>
          <w:noProof/>
        </w:rPr>
        <w:tab/>
      </w:r>
      <w:r>
        <w:rPr>
          <w:noProof/>
        </w:rPr>
        <w:fldChar w:fldCharType="begin"/>
      </w:r>
      <w:r>
        <w:rPr>
          <w:noProof/>
        </w:rPr>
        <w:instrText xml:space="preserve"> PAGEREF _Toc127087360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87A</w:t>
      </w:r>
      <w:r>
        <w:rPr>
          <w:noProof/>
          <w:snapToGrid w:val="0"/>
          <w:szCs w:val="24"/>
        </w:rPr>
        <w:t>.</w:t>
      </w:r>
      <w:r>
        <w:rPr>
          <w:noProof/>
          <w:sz w:val="24"/>
          <w:szCs w:val="24"/>
        </w:rPr>
        <w:tab/>
      </w:r>
      <w:r>
        <w:rPr>
          <w:noProof/>
          <w:snapToGrid w:val="0"/>
          <w:szCs w:val="24"/>
        </w:rPr>
        <w:t>Notice of determination and assessment under regulation 87</w:t>
      </w:r>
      <w:r>
        <w:rPr>
          <w:noProof/>
        </w:rPr>
        <w:tab/>
      </w:r>
      <w:r>
        <w:rPr>
          <w:noProof/>
        </w:rPr>
        <w:fldChar w:fldCharType="begin"/>
      </w:r>
      <w:r>
        <w:rPr>
          <w:noProof/>
        </w:rPr>
        <w:instrText xml:space="preserve"> PAGEREF _Toc127087361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87B</w:t>
      </w:r>
      <w:r>
        <w:rPr>
          <w:noProof/>
          <w:snapToGrid w:val="0"/>
          <w:szCs w:val="24"/>
        </w:rPr>
        <w:t>.</w:t>
      </w:r>
      <w:r>
        <w:rPr>
          <w:noProof/>
          <w:sz w:val="24"/>
          <w:szCs w:val="24"/>
        </w:rPr>
        <w:tab/>
      </w:r>
      <w:r>
        <w:rPr>
          <w:noProof/>
          <w:snapToGrid w:val="0"/>
          <w:szCs w:val="24"/>
        </w:rPr>
        <w:t>Records</w:t>
      </w:r>
      <w:r>
        <w:rPr>
          <w:noProof/>
        </w:rPr>
        <w:tab/>
      </w:r>
      <w:r>
        <w:rPr>
          <w:noProof/>
        </w:rPr>
        <w:fldChar w:fldCharType="begin"/>
      </w:r>
      <w:r>
        <w:rPr>
          <w:noProof/>
        </w:rPr>
        <w:instrText xml:space="preserve"> PAGEREF _Toc127087362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Recovery of royalty</w:t>
      </w:r>
      <w:r>
        <w:rPr>
          <w:noProof/>
        </w:rPr>
        <w:tab/>
      </w:r>
      <w:r>
        <w:rPr>
          <w:noProof/>
        </w:rPr>
        <w:fldChar w:fldCharType="begin"/>
      </w:r>
      <w:r>
        <w:rPr>
          <w:noProof/>
        </w:rPr>
        <w:instrText xml:space="preserve"> PAGEREF _Toc127087363 \h </w:instrText>
      </w:r>
      <w:r>
        <w:rPr>
          <w:noProof/>
        </w:rPr>
      </w:r>
      <w:r>
        <w:rPr>
          <w:noProof/>
        </w:rPr>
        <w:fldChar w:fldCharType="separate"/>
      </w:r>
      <w:r>
        <w:rPr>
          <w:noProof/>
        </w:rPr>
        <w:t>85</w:t>
      </w:r>
      <w:r>
        <w:rPr>
          <w:noProof/>
        </w:rPr>
        <w:fldChar w:fldCharType="end"/>
      </w:r>
    </w:p>
    <w:p>
      <w:pPr>
        <w:pStyle w:val="TOC3"/>
        <w:rPr>
          <w:b w:val="0"/>
          <w:noProof/>
          <w:sz w:val="24"/>
          <w:szCs w:val="24"/>
        </w:rPr>
      </w:pPr>
      <w:r>
        <w:rPr>
          <w:noProof/>
          <w:szCs w:val="26"/>
        </w:rPr>
        <w:t>Division 5A — Prescribed Australian datum</w:t>
      </w:r>
    </w:p>
    <w:p>
      <w:pPr>
        <w:pStyle w:val="TOC4"/>
        <w:tabs>
          <w:tab w:val="left" w:pos="1701"/>
        </w:tabs>
        <w:rPr>
          <w:noProof/>
          <w:sz w:val="24"/>
          <w:szCs w:val="24"/>
        </w:rPr>
      </w:pPr>
      <w:r>
        <w:rPr>
          <w:noProof/>
          <w:szCs w:val="24"/>
        </w:rPr>
        <w:t>89A.</w:t>
      </w:r>
      <w:r>
        <w:rPr>
          <w:noProof/>
          <w:sz w:val="24"/>
          <w:szCs w:val="24"/>
        </w:rPr>
        <w:tab/>
      </w:r>
      <w:r>
        <w:rPr>
          <w:noProof/>
          <w:szCs w:val="24"/>
        </w:rPr>
        <w:t>Geocentric Datum of Australia — section 9B</w:t>
      </w:r>
      <w:r>
        <w:rPr>
          <w:noProof/>
        </w:rPr>
        <w:tab/>
      </w:r>
      <w:r>
        <w:rPr>
          <w:noProof/>
        </w:rPr>
        <w:fldChar w:fldCharType="begin"/>
      </w:r>
      <w:r>
        <w:rPr>
          <w:noProof/>
        </w:rPr>
        <w:instrText xml:space="preserve"> PAGEREF _Toc127087365 \h </w:instrText>
      </w:r>
      <w:r>
        <w:rPr>
          <w:noProof/>
        </w:rPr>
      </w:r>
      <w:r>
        <w:rPr>
          <w:noProof/>
        </w:rPr>
        <w:fldChar w:fldCharType="separate"/>
      </w:r>
      <w:r>
        <w:rPr>
          <w:noProof/>
        </w:rPr>
        <w:t>85</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Miscellaneous</w:t>
      </w:r>
    </w:p>
    <w:p>
      <w:pPr>
        <w:pStyle w:val="TOC4"/>
        <w:tabs>
          <w:tab w:val="left" w:pos="1701"/>
        </w:tabs>
        <w:rPr>
          <w:noProof/>
          <w:sz w:val="24"/>
          <w:szCs w:val="24"/>
        </w:rPr>
      </w:pPr>
      <w:r>
        <w:rPr>
          <w:noProof/>
          <w:szCs w:val="24"/>
        </w:rPr>
        <w:t>89B.</w:t>
      </w:r>
      <w:r>
        <w:rPr>
          <w:noProof/>
          <w:sz w:val="24"/>
          <w:szCs w:val="24"/>
        </w:rPr>
        <w:tab/>
      </w:r>
      <w:r>
        <w:rPr>
          <w:noProof/>
          <w:szCs w:val="24"/>
        </w:rPr>
        <w:t>Prescribed office — section 8(1)</w:t>
      </w:r>
      <w:r>
        <w:rPr>
          <w:noProof/>
        </w:rPr>
        <w:tab/>
      </w:r>
      <w:r>
        <w:rPr>
          <w:noProof/>
        </w:rPr>
        <w:fldChar w:fldCharType="begin"/>
      </w:r>
      <w:r>
        <w:rPr>
          <w:noProof/>
        </w:rPr>
        <w:instrText xml:space="preserve"> PAGEREF _Toc127087367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Forms to be completed in accordance with directions</w:t>
      </w:r>
      <w:r>
        <w:rPr>
          <w:noProof/>
        </w:rPr>
        <w:tab/>
      </w:r>
      <w:r>
        <w:rPr>
          <w:noProof/>
        </w:rPr>
        <w:fldChar w:fldCharType="begin"/>
      </w:r>
      <w:r>
        <w:rPr>
          <w:noProof/>
        </w:rPr>
        <w:instrText xml:space="preserve"> PAGEREF _Toc127087368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Appeal to Minister</w:t>
      </w:r>
      <w:r>
        <w:rPr>
          <w:noProof/>
        </w:rPr>
        <w:tab/>
      </w:r>
      <w:r>
        <w:rPr>
          <w:noProof/>
        </w:rPr>
        <w:fldChar w:fldCharType="begin"/>
      </w:r>
      <w:r>
        <w:rPr>
          <w:noProof/>
        </w:rPr>
        <w:instrText xml:space="preserve"> PAGEREF _Toc127087369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Shape of tenement</w:t>
      </w:r>
      <w:r>
        <w:rPr>
          <w:noProof/>
        </w:rPr>
        <w:tab/>
      </w:r>
      <w:r>
        <w:rPr>
          <w:noProof/>
        </w:rPr>
        <w:fldChar w:fldCharType="begin"/>
      </w:r>
      <w:r>
        <w:rPr>
          <w:noProof/>
        </w:rPr>
        <w:instrText xml:space="preserve"> PAGEREF _Toc127087370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Tenements within more than one mineral field or district</w:t>
      </w:r>
      <w:r>
        <w:rPr>
          <w:noProof/>
        </w:rPr>
        <w:tab/>
      </w:r>
      <w:r>
        <w:rPr>
          <w:noProof/>
        </w:rPr>
        <w:fldChar w:fldCharType="begin"/>
      </w:r>
      <w:r>
        <w:rPr>
          <w:noProof/>
        </w:rPr>
        <w:instrText xml:space="preserve"> PAGEREF _Toc127087371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Release of information contained in reports</w:t>
      </w:r>
      <w:r>
        <w:rPr>
          <w:noProof/>
        </w:rPr>
        <w:tab/>
      </w:r>
      <w:r>
        <w:rPr>
          <w:noProof/>
        </w:rPr>
        <w:fldChar w:fldCharType="begin"/>
      </w:r>
      <w:r>
        <w:rPr>
          <w:noProof/>
        </w:rPr>
        <w:instrText xml:space="preserve"> PAGEREF _Toc127087372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96A</w:t>
      </w:r>
      <w:r>
        <w:rPr>
          <w:noProof/>
          <w:snapToGrid w:val="0"/>
          <w:szCs w:val="24"/>
        </w:rPr>
        <w:t>.</w:t>
      </w:r>
      <w:r>
        <w:rPr>
          <w:noProof/>
          <w:sz w:val="24"/>
          <w:szCs w:val="24"/>
        </w:rPr>
        <w:tab/>
      </w:r>
      <w:r>
        <w:rPr>
          <w:noProof/>
          <w:snapToGrid w:val="0"/>
          <w:szCs w:val="24"/>
        </w:rPr>
        <w:t>Authorisation for release of information in mineral exploration reports</w:t>
      </w:r>
      <w:r>
        <w:rPr>
          <w:noProof/>
        </w:rPr>
        <w:tab/>
      </w:r>
      <w:r>
        <w:rPr>
          <w:noProof/>
        </w:rPr>
        <w:fldChar w:fldCharType="begin"/>
      </w:r>
      <w:r>
        <w:rPr>
          <w:noProof/>
        </w:rPr>
        <w:instrText xml:space="preserve"> PAGEREF _Toc127087373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96B</w:t>
      </w:r>
      <w:r>
        <w:rPr>
          <w:noProof/>
          <w:snapToGrid w:val="0"/>
          <w:szCs w:val="24"/>
        </w:rPr>
        <w:t>.</w:t>
      </w:r>
      <w:r>
        <w:rPr>
          <w:noProof/>
          <w:sz w:val="24"/>
          <w:szCs w:val="24"/>
        </w:rPr>
        <w:tab/>
      </w:r>
      <w:r>
        <w:rPr>
          <w:noProof/>
          <w:snapToGrid w:val="0"/>
          <w:szCs w:val="24"/>
        </w:rPr>
        <w:t>Publication of guidelines — mineral exploration reports</w:t>
      </w:r>
      <w:r>
        <w:rPr>
          <w:noProof/>
        </w:rPr>
        <w:tab/>
      </w:r>
      <w:r>
        <w:rPr>
          <w:noProof/>
        </w:rPr>
        <w:fldChar w:fldCharType="begin"/>
      </w:r>
      <w:r>
        <w:rPr>
          <w:noProof/>
        </w:rPr>
        <w:instrText xml:space="preserve"> PAGEREF _Toc127087374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96C.</w:t>
      </w:r>
      <w:r>
        <w:rPr>
          <w:noProof/>
          <w:sz w:val="24"/>
          <w:szCs w:val="24"/>
        </w:rPr>
        <w:tab/>
      </w:r>
      <w:r>
        <w:rPr>
          <w:noProof/>
          <w:szCs w:val="24"/>
        </w:rPr>
        <w:t>Specific expenditure provisions</w:t>
      </w:r>
      <w:r>
        <w:rPr>
          <w:noProof/>
        </w:rPr>
        <w:tab/>
      </w:r>
      <w:r>
        <w:rPr>
          <w:noProof/>
        </w:rPr>
        <w:fldChar w:fldCharType="begin"/>
      </w:r>
      <w:r>
        <w:rPr>
          <w:noProof/>
        </w:rPr>
        <w:instrText xml:space="preserve"> PAGEREF _Toc127087375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No mining that obstructs public thoroughfares, etc.</w:t>
      </w:r>
      <w:r>
        <w:rPr>
          <w:noProof/>
        </w:rPr>
        <w:tab/>
      </w:r>
      <w:r>
        <w:rPr>
          <w:noProof/>
        </w:rPr>
        <w:fldChar w:fldCharType="begin"/>
      </w:r>
      <w:r>
        <w:rPr>
          <w:noProof/>
        </w:rPr>
        <w:instrText xml:space="preserve"> PAGEREF _Toc127087376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Control of detritus, dirt, etc.</w:t>
      </w:r>
      <w:r>
        <w:rPr>
          <w:noProof/>
        </w:rPr>
        <w:tab/>
      </w:r>
      <w:r>
        <w:rPr>
          <w:noProof/>
        </w:rPr>
        <w:fldChar w:fldCharType="begin"/>
      </w:r>
      <w:r>
        <w:rPr>
          <w:noProof/>
        </w:rPr>
        <w:instrText xml:space="preserve"> PAGEREF _Toc127087377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Decency and sanitation</w:t>
      </w:r>
      <w:r>
        <w:rPr>
          <w:noProof/>
        </w:rPr>
        <w:tab/>
      </w:r>
      <w:r>
        <w:rPr>
          <w:noProof/>
        </w:rPr>
        <w:fldChar w:fldCharType="begin"/>
      </w:r>
      <w:r>
        <w:rPr>
          <w:noProof/>
        </w:rPr>
        <w:instrText xml:space="preserve"> PAGEREF _Toc127087378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Removal of fences, timbers, etc.</w:t>
      </w:r>
      <w:r>
        <w:rPr>
          <w:noProof/>
        </w:rPr>
        <w:tab/>
      </w:r>
      <w:r>
        <w:rPr>
          <w:noProof/>
        </w:rPr>
        <w:fldChar w:fldCharType="begin"/>
      </w:r>
      <w:r>
        <w:rPr>
          <w:noProof/>
        </w:rPr>
        <w:instrText xml:space="preserve"> PAGEREF _Toc127087379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Warden may cause inspections of mining operations</w:t>
      </w:r>
      <w:r>
        <w:rPr>
          <w:noProof/>
        </w:rPr>
        <w:tab/>
      </w:r>
      <w:r>
        <w:rPr>
          <w:noProof/>
        </w:rPr>
        <w:fldChar w:fldCharType="begin"/>
      </w:r>
      <w:r>
        <w:rPr>
          <w:noProof/>
        </w:rPr>
        <w:instrText xml:space="preserve"> PAGEREF _Toc127087380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101A.</w:t>
      </w:r>
      <w:r>
        <w:rPr>
          <w:noProof/>
          <w:sz w:val="24"/>
          <w:szCs w:val="24"/>
        </w:rPr>
        <w:tab/>
      </w:r>
      <w:r>
        <w:rPr>
          <w:noProof/>
          <w:szCs w:val="24"/>
        </w:rPr>
        <w:t>Notice before mining under certain Crown land or private land</w:t>
      </w:r>
      <w:r>
        <w:rPr>
          <w:noProof/>
        </w:rPr>
        <w:tab/>
      </w:r>
      <w:r>
        <w:rPr>
          <w:noProof/>
        </w:rPr>
        <w:fldChar w:fldCharType="begin"/>
      </w:r>
      <w:r>
        <w:rPr>
          <w:noProof/>
        </w:rPr>
        <w:instrText xml:space="preserve"> PAGEREF _Toc127087381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Devolution on death, etc.</w:t>
      </w:r>
      <w:r>
        <w:rPr>
          <w:noProof/>
        </w:rPr>
        <w:tab/>
      </w:r>
      <w:r>
        <w:rPr>
          <w:noProof/>
        </w:rPr>
        <w:fldChar w:fldCharType="begin"/>
      </w:r>
      <w:r>
        <w:rPr>
          <w:noProof/>
        </w:rPr>
        <w:instrText xml:space="preserve"> PAGEREF _Toc127087382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Unregistered deeds, etc. void as against registered instruments</w:t>
      </w:r>
      <w:r>
        <w:rPr>
          <w:noProof/>
        </w:rPr>
        <w:tab/>
      </w:r>
      <w:r>
        <w:rPr>
          <w:noProof/>
        </w:rPr>
        <w:fldChar w:fldCharType="begin"/>
      </w:r>
      <w:r>
        <w:rPr>
          <w:noProof/>
        </w:rPr>
        <w:instrText xml:space="preserve"> PAGEREF _Toc127087383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Time for any act may be extended</w:t>
      </w:r>
      <w:r>
        <w:rPr>
          <w:noProof/>
        </w:rPr>
        <w:tab/>
      </w:r>
      <w:r>
        <w:rPr>
          <w:noProof/>
        </w:rPr>
        <w:fldChar w:fldCharType="begin"/>
      </w:r>
      <w:r>
        <w:rPr>
          <w:noProof/>
        </w:rPr>
        <w:instrText xml:space="preserve"> PAGEREF _Toc127087384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Application for copy document</w:t>
      </w:r>
      <w:r>
        <w:rPr>
          <w:noProof/>
        </w:rPr>
        <w:tab/>
      </w:r>
      <w:r>
        <w:rPr>
          <w:noProof/>
        </w:rPr>
        <w:fldChar w:fldCharType="begin"/>
      </w:r>
      <w:r>
        <w:rPr>
          <w:noProof/>
        </w:rPr>
        <w:instrText xml:space="preserve"> PAGEREF _Toc127087385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Register to be kept and copy obtainable</w:t>
      </w:r>
      <w:r>
        <w:rPr>
          <w:noProof/>
        </w:rPr>
        <w:tab/>
      </w:r>
      <w:r>
        <w:rPr>
          <w:noProof/>
        </w:rPr>
        <w:fldChar w:fldCharType="begin"/>
      </w:r>
      <w:r>
        <w:rPr>
          <w:noProof/>
        </w:rPr>
        <w:instrText xml:space="preserve"> PAGEREF _Toc127087386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Amendment of particulars shown in register</w:t>
      </w:r>
      <w:r>
        <w:rPr>
          <w:noProof/>
        </w:rPr>
        <w:tab/>
      </w:r>
      <w:r>
        <w:rPr>
          <w:noProof/>
        </w:rPr>
        <w:fldChar w:fldCharType="begin"/>
      </w:r>
      <w:r>
        <w:rPr>
          <w:noProof/>
        </w:rPr>
        <w:instrText xml:space="preserve"> PAGEREF _Toc127087387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107A</w:t>
      </w:r>
      <w:r>
        <w:rPr>
          <w:noProof/>
          <w:snapToGrid w:val="0"/>
          <w:szCs w:val="24"/>
        </w:rPr>
        <w:t>.</w:t>
      </w:r>
      <w:r>
        <w:rPr>
          <w:noProof/>
          <w:sz w:val="24"/>
          <w:szCs w:val="24"/>
        </w:rPr>
        <w:tab/>
      </w:r>
      <w:r>
        <w:rPr>
          <w:noProof/>
          <w:snapToGrid w:val="0"/>
          <w:szCs w:val="24"/>
        </w:rPr>
        <w:t>Dating and effect to be given to provisional lodgement</w:t>
      </w:r>
      <w:r>
        <w:rPr>
          <w:noProof/>
        </w:rPr>
        <w:tab/>
      </w:r>
      <w:r>
        <w:rPr>
          <w:noProof/>
        </w:rPr>
        <w:fldChar w:fldCharType="begin"/>
      </w:r>
      <w:r>
        <w:rPr>
          <w:noProof/>
        </w:rPr>
        <w:instrText xml:space="preserve"> PAGEREF _Toc127087388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107AA.</w:t>
      </w:r>
      <w:r>
        <w:rPr>
          <w:noProof/>
          <w:sz w:val="24"/>
          <w:szCs w:val="24"/>
        </w:rPr>
        <w:tab/>
      </w:r>
      <w:r>
        <w:rPr>
          <w:noProof/>
          <w:szCs w:val="24"/>
        </w:rPr>
        <w:t>Inclusion of information in register despite late lodgment of report</w:t>
      </w:r>
      <w:r>
        <w:rPr>
          <w:noProof/>
        </w:rPr>
        <w:tab/>
      </w:r>
      <w:r>
        <w:rPr>
          <w:noProof/>
        </w:rPr>
        <w:fldChar w:fldCharType="begin"/>
      </w:r>
      <w:r>
        <w:rPr>
          <w:noProof/>
        </w:rPr>
        <w:instrText xml:space="preserve"> PAGEREF _Toc127087389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Appointment of attorney</w:t>
      </w:r>
      <w:r>
        <w:rPr>
          <w:noProof/>
        </w:rPr>
        <w:tab/>
      </w:r>
      <w:r>
        <w:rPr>
          <w:noProof/>
        </w:rPr>
        <w:fldChar w:fldCharType="begin"/>
      </w:r>
      <w:r>
        <w:rPr>
          <w:noProof/>
        </w:rPr>
        <w:instrText xml:space="preserve"> PAGEREF _Toc127087390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Fees and rents</w:t>
      </w:r>
      <w:r>
        <w:rPr>
          <w:noProof/>
        </w:rPr>
        <w:tab/>
      </w:r>
      <w:r>
        <w:rPr>
          <w:noProof/>
        </w:rPr>
        <w:fldChar w:fldCharType="begin"/>
      </w:r>
      <w:r>
        <w:rPr>
          <w:noProof/>
        </w:rPr>
        <w:instrText xml:space="preserve"> PAGEREF _Toc127087391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109A.</w:t>
      </w:r>
      <w:r>
        <w:rPr>
          <w:noProof/>
          <w:sz w:val="24"/>
          <w:szCs w:val="24"/>
        </w:rPr>
        <w:tab/>
      </w:r>
      <w:r>
        <w:rPr>
          <w:noProof/>
          <w:szCs w:val="24"/>
        </w:rPr>
        <w:t>GST to be paid on certain applications</w:t>
      </w:r>
      <w:r>
        <w:rPr>
          <w:noProof/>
        </w:rPr>
        <w:tab/>
      </w:r>
      <w:r>
        <w:rPr>
          <w:noProof/>
        </w:rPr>
        <w:fldChar w:fldCharType="begin"/>
      </w:r>
      <w:r>
        <w:rPr>
          <w:noProof/>
        </w:rPr>
        <w:instrText xml:space="preserve"> PAGEREF _Toc127087392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Registration of dealings</w:t>
      </w:r>
      <w:r>
        <w:rPr>
          <w:noProof/>
        </w:rPr>
        <w:tab/>
      </w:r>
      <w:r>
        <w:rPr>
          <w:noProof/>
        </w:rPr>
        <w:fldChar w:fldCharType="begin"/>
      </w:r>
      <w:r>
        <w:rPr>
          <w:noProof/>
        </w:rPr>
        <w:instrText xml:space="preserve"> PAGEREF _Toc127087393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Service of notices</w:t>
      </w:r>
      <w:r>
        <w:rPr>
          <w:noProof/>
        </w:rPr>
        <w:tab/>
      </w:r>
      <w:r>
        <w:rPr>
          <w:noProof/>
        </w:rPr>
        <w:fldChar w:fldCharType="begin"/>
      </w:r>
      <w:r>
        <w:rPr>
          <w:noProof/>
        </w:rPr>
        <w:instrText xml:space="preserve"> PAGEREF _Toc127087394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Securities</w:t>
      </w:r>
      <w:r>
        <w:rPr>
          <w:noProof/>
        </w:rPr>
        <w:tab/>
      </w:r>
      <w:r>
        <w:rPr>
          <w:noProof/>
        </w:rPr>
        <w:fldChar w:fldCharType="begin"/>
      </w:r>
      <w:r>
        <w:rPr>
          <w:noProof/>
        </w:rPr>
        <w:instrText xml:space="preserve"> PAGEREF _Toc127087395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112A</w:t>
      </w:r>
      <w:r>
        <w:rPr>
          <w:noProof/>
          <w:snapToGrid w:val="0"/>
          <w:szCs w:val="24"/>
        </w:rPr>
        <w:t>.</w:t>
      </w:r>
      <w:r>
        <w:rPr>
          <w:noProof/>
          <w:sz w:val="24"/>
          <w:szCs w:val="24"/>
        </w:rPr>
        <w:tab/>
      </w:r>
      <w:r>
        <w:rPr>
          <w:noProof/>
          <w:snapToGrid w:val="0"/>
          <w:szCs w:val="24"/>
        </w:rPr>
        <w:t>Discharge of security</w:t>
      </w:r>
      <w:r>
        <w:rPr>
          <w:noProof/>
        </w:rPr>
        <w:tab/>
      </w:r>
      <w:r>
        <w:rPr>
          <w:noProof/>
        </w:rPr>
        <w:fldChar w:fldCharType="begin"/>
      </w:r>
      <w:r>
        <w:rPr>
          <w:noProof/>
        </w:rPr>
        <w:instrText xml:space="preserve"> PAGEREF _Toc127087396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Employees not to use information</w:t>
      </w:r>
      <w:r>
        <w:rPr>
          <w:noProof/>
        </w:rPr>
        <w:tab/>
      </w:r>
      <w:r>
        <w:rPr>
          <w:noProof/>
        </w:rPr>
        <w:fldChar w:fldCharType="begin"/>
      </w:r>
      <w:r>
        <w:rPr>
          <w:noProof/>
        </w:rPr>
        <w:instrText xml:space="preserve"> PAGEREF _Toc127087397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113A.</w:t>
      </w:r>
      <w:r>
        <w:rPr>
          <w:noProof/>
          <w:sz w:val="24"/>
          <w:szCs w:val="24"/>
        </w:rPr>
        <w:tab/>
      </w:r>
      <w:r>
        <w:rPr>
          <w:noProof/>
          <w:szCs w:val="24"/>
        </w:rPr>
        <w:t>General power for wardens to administer oaths</w:t>
      </w:r>
      <w:r>
        <w:rPr>
          <w:noProof/>
        </w:rPr>
        <w:tab/>
      </w:r>
      <w:r>
        <w:rPr>
          <w:noProof/>
        </w:rPr>
        <w:fldChar w:fldCharType="begin"/>
      </w:r>
      <w:r>
        <w:rPr>
          <w:noProof/>
        </w:rPr>
        <w:instrText xml:space="preserve"> PAGEREF _Toc127087398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Warden’s order not to be disobeyed</w:t>
      </w:r>
      <w:r>
        <w:rPr>
          <w:noProof/>
        </w:rPr>
        <w:tab/>
      </w:r>
      <w:r>
        <w:rPr>
          <w:noProof/>
        </w:rPr>
        <w:fldChar w:fldCharType="begin"/>
      </w:r>
      <w:r>
        <w:rPr>
          <w:noProof/>
        </w:rPr>
        <w:instrText xml:space="preserve"> PAGEREF _Toc127087399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_Toc127087400 \h </w:instrText>
      </w:r>
      <w:r>
        <w:rPr>
          <w:noProof/>
        </w:rPr>
      </w:r>
      <w:r>
        <w:rPr>
          <w:noProof/>
        </w:rPr>
        <w:fldChar w:fldCharType="separate"/>
      </w:r>
      <w:r>
        <w:rPr>
          <w:noProof/>
        </w:rPr>
        <w:t>102</w:t>
      </w:r>
      <w:r>
        <w:rPr>
          <w:noProof/>
        </w:rPr>
        <w:fldChar w:fldCharType="end"/>
      </w:r>
    </w:p>
    <w:p>
      <w:pPr>
        <w:pStyle w:val="TOC2"/>
        <w:tabs>
          <w:tab w:val="right" w:leader="dot" w:pos="7088"/>
        </w:tabs>
        <w:rPr>
          <w:b w:val="0"/>
          <w:noProof/>
          <w:sz w:val="24"/>
          <w:szCs w:val="24"/>
        </w:rPr>
      </w:pPr>
      <w:r>
        <w:rPr>
          <w:noProof/>
          <w:szCs w:val="30"/>
        </w:rPr>
        <w:t>Part VI — Surveys</w:t>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Interpretation in Part VI</w:t>
      </w:r>
      <w:r>
        <w:rPr>
          <w:noProof/>
        </w:rPr>
        <w:tab/>
      </w:r>
      <w:r>
        <w:rPr>
          <w:noProof/>
        </w:rPr>
        <w:fldChar w:fldCharType="begin"/>
      </w:r>
      <w:r>
        <w:rPr>
          <w:noProof/>
        </w:rPr>
        <w:instrText xml:space="preserve"> PAGEREF _Toc127087402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Approved surveyors</w:t>
      </w:r>
      <w:r>
        <w:rPr>
          <w:noProof/>
        </w:rPr>
        <w:tab/>
      </w:r>
      <w:r>
        <w:rPr>
          <w:noProof/>
        </w:rPr>
        <w:fldChar w:fldCharType="begin"/>
      </w:r>
      <w:r>
        <w:rPr>
          <w:noProof/>
        </w:rPr>
        <w:instrText xml:space="preserve"> PAGEREF _Toc127087403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Initiation of mining surveys</w:t>
      </w:r>
      <w:r>
        <w:rPr>
          <w:noProof/>
        </w:rPr>
        <w:tab/>
      </w:r>
      <w:r>
        <w:rPr>
          <w:noProof/>
        </w:rPr>
        <w:fldChar w:fldCharType="begin"/>
      </w:r>
      <w:r>
        <w:rPr>
          <w:noProof/>
        </w:rPr>
        <w:instrText xml:space="preserve"> PAGEREF _Toc127087404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118A</w:t>
      </w:r>
      <w:r>
        <w:rPr>
          <w:noProof/>
          <w:snapToGrid w:val="0"/>
          <w:szCs w:val="24"/>
        </w:rPr>
        <w:t>.</w:t>
      </w:r>
      <w:r>
        <w:rPr>
          <w:noProof/>
          <w:sz w:val="24"/>
          <w:szCs w:val="24"/>
        </w:rPr>
        <w:tab/>
      </w:r>
      <w:r>
        <w:rPr>
          <w:noProof/>
          <w:snapToGrid w:val="0"/>
          <w:szCs w:val="24"/>
        </w:rPr>
        <w:t>Notice of proposed mining surveys</w:t>
      </w:r>
      <w:r>
        <w:rPr>
          <w:noProof/>
        </w:rPr>
        <w:tab/>
      </w:r>
      <w:r>
        <w:rPr>
          <w:noProof/>
        </w:rPr>
        <w:fldChar w:fldCharType="begin"/>
      </w:r>
      <w:r>
        <w:rPr>
          <w:noProof/>
        </w:rPr>
        <w:instrText xml:space="preserve"> PAGEREF _Toc127087405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118B</w:t>
      </w:r>
      <w:r>
        <w:rPr>
          <w:noProof/>
          <w:snapToGrid w:val="0"/>
          <w:szCs w:val="24"/>
        </w:rPr>
        <w:t>.</w:t>
      </w:r>
      <w:r>
        <w:rPr>
          <w:noProof/>
          <w:sz w:val="24"/>
          <w:szCs w:val="24"/>
        </w:rPr>
        <w:tab/>
      </w:r>
      <w:r>
        <w:rPr>
          <w:noProof/>
          <w:snapToGrid w:val="0"/>
          <w:szCs w:val="24"/>
        </w:rPr>
        <w:t>When mining surveys are to be carried out</w:t>
      </w:r>
      <w:r>
        <w:rPr>
          <w:noProof/>
        </w:rPr>
        <w:tab/>
      </w:r>
      <w:r>
        <w:rPr>
          <w:noProof/>
        </w:rPr>
        <w:fldChar w:fldCharType="begin"/>
      </w:r>
      <w:r>
        <w:rPr>
          <w:noProof/>
        </w:rPr>
        <w:instrText xml:space="preserve"> PAGEREF _Toc127087406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118C</w:t>
      </w:r>
      <w:r>
        <w:rPr>
          <w:noProof/>
          <w:snapToGrid w:val="0"/>
          <w:szCs w:val="24"/>
        </w:rPr>
        <w:t>.</w:t>
      </w:r>
      <w:r>
        <w:rPr>
          <w:noProof/>
          <w:sz w:val="24"/>
          <w:szCs w:val="24"/>
        </w:rPr>
        <w:tab/>
      </w:r>
      <w:r>
        <w:rPr>
          <w:noProof/>
          <w:snapToGrid w:val="0"/>
          <w:szCs w:val="24"/>
        </w:rPr>
        <w:t>Refund of certain survey fees</w:t>
      </w:r>
      <w:r>
        <w:rPr>
          <w:noProof/>
        </w:rPr>
        <w:tab/>
      </w:r>
      <w:r>
        <w:rPr>
          <w:noProof/>
        </w:rPr>
        <w:fldChar w:fldCharType="begin"/>
      </w:r>
      <w:r>
        <w:rPr>
          <w:noProof/>
        </w:rPr>
        <w:instrText xml:space="preserve"> PAGEREF _Toc127087407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Boundary marks to be pointed out</w:t>
      </w:r>
      <w:r>
        <w:rPr>
          <w:noProof/>
        </w:rPr>
        <w:tab/>
      </w:r>
      <w:r>
        <w:rPr>
          <w:noProof/>
        </w:rPr>
        <w:fldChar w:fldCharType="begin"/>
      </w:r>
      <w:r>
        <w:rPr>
          <w:noProof/>
        </w:rPr>
        <w:instrText xml:space="preserve"> PAGEREF _Toc127087408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Adjustment of boundaries</w:t>
      </w:r>
      <w:r>
        <w:rPr>
          <w:noProof/>
        </w:rPr>
        <w:tab/>
      </w:r>
      <w:r>
        <w:rPr>
          <w:noProof/>
        </w:rPr>
        <w:fldChar w:fldCharType="begin"/>
      </w:r>
      <w:r>
        <w:rPr>
          <w:noProof/>
        </w:rPr>
        <w:instrText xml:space="preserve"> PAGEREF _Toc127087409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120A</w:t>
      </w:r>
      <w:r>
        <w:rPr>
          <w:noProof/>
          <w:snapToGrid w:val="0"/>
          <w:szCs w:val="24"/>
        </w:rPr>
        <w:t>.</w:t>
      </w:r>
      <w:r>
        <w:rPr>
          <w:noProof/>
          <w:sz w:val="24"/>
          <w:szCs w:val="24"/>
        </w:rPr>
        <w:tab/>
      </w:r>
      <w:r>
        <w:rPr>
          <w:noProof/>
          <w:snapToGrid w:val="0"/>
          <w:szCs w:val="24"/>
        </w:rPr>
        <w:t>Disputes and objections in mining survey</w:t>
      </w:r>
      <w:r>
        <w:rPr>
          <w:noProof/>
        </w:rPr>
        <w:tab/>
      </w:r>
      <w:r>
        <w:rPr>
          <w:noProof/>
        </w:rPr>
        <w:fldChar w:fldCharType="begin"/>
      </w:r>
      <w:r>
        <w:rPr>
          <w:noProof/>
        </w:rPr>
        <w:instrText xml:space="preserve"> PAGEREF _Toc127087410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120B</w:t>
      </w:r>
      <w:r>
        <w:rPr>
          <w:noProof/>
          <w:snapToGrid w:val="0"/>
          <w:szCs w:val="24"/>
        </w:rPr>
        <w:t>.</w:t>
      </w:r>
      <w:r>
        <w:rPr>
          <w:noProof/>
          <w:sz w:val="24"/>
          <w:szCs w:val="24"/>
        </w:rPr>
        <w:tab/>
      </w:r>
      <w:r>
        <w:rPr>
          <w:noProof/>
          <w:snapToGrid w:val="0"/>
          <w:szCs w:val="24"/>
        </w:rPr>
        <w:t>Cost of travelling</w:t>
      </w:r>
      <w:r>
        <w:rPr>
          <w:noProof/>
        </w:rPr>
        <w:tab/>
      </w:r>
      <w:r>
        <w:rPr>
          <w:noProof/>
        </w:rPr>
        <w:fldChar w:fldCharType="begin"/>
      </w:r>
      <w:r>
        <w:rPr>
          <w:noProof/>
        </w:rPr>
        <w:instrText xml:space="preserve"> PAGEREF _Toc127087411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120C</w:t>
      </w:r>
      <w:r>
        <w:rPr>
          <w:noProof/>
          <w:snapToGrid w:val="0"/>
          <w:szCs w:val="24"/>
        </w:rPr>
        <w:t>.</w:t>
      </w:r>
      <w:r>
        <w:rPr>
          <w:noProof/>
          <w:sz w:val="24"/>
          <w:szCs w:val="24"/>
        </w:rPr>
        <w:tab/>
      </w:r>
      <w:r>
        <w:rPr>
          <w:noProof/>
          <w:snapToGrid w:val="0"/>
          <w:szCs w:val="24"/>
        </w:rPr>
        <w:t>Correction of errors or omissions</w:t>
      </w:r>
      <w:r>
        <w:rPr>
          <w:noProof/>
        </w:rPr>
        <w:tab/>
      </w:r>
      <w:r>
        <w:rPr>
          <w:noProof/>
        </w:rPr>
        <w:fldChar w:fldCharType="begin"/>
      </w:r>
      <w:r>
        <w:rPr>
          <w:noProof/>
        </w:rPr>
        <w:instrText xml:space="preserve"> PAGEREF _Toc127087412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120D</w:t>
      </w:r>
      <w:r>
        <w:rPr>
          <w:noProof/>
          <w:snapToGrid w:val="0"/>
          <w:szCs w:val="24"/>
        </w:rPr>
        <w:t>.</w:t>
      </w:r>
      <w:r>
        <w:rPr>
          <w:noProof/>
          <w:sz w:val="24"/>
          <w:szCs w:val="24"/>
        </w:rPr>
        <w:tab/>
      </w:r>
      <w:r>
        <w:rPr>
          <w:noProof/>
          <w:snapToGrid w:val="0"/>
          <w:szCs w:val="24"/>
        </w:rPr>
        <w:t>Cost of check surveys and of correction of errors to be met by approved surveyors</w:t>
      </w:r>
      <w:r>
        <w:rPr>
          <w:noProof/>
        </w:rPr>
        <w:tab/>
      </w:r>
      <w:r>
        <w:rPr>
          <w:noProof/>
        </w:rPr>
        <w:fldChar w:fldCharType="begin"/>
      </w:r>
      <w:r>
        <w:rPr>
          <w:noProof/>
        </w:rPr>
        <w:instrText xml:space="preserve"> PAGEREF _Toc127087413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120E</w:t>
      </w:r>
      <w:r>
        <w:rPr>
          <w:noProof/>
          <w:snapToGrid w:val="0"/>
          <w:szCs w:val="24"/>
        </w:rPr>
        <w:t>.</w:t>
      </w:r>
      <w:r>
        <w:rPr>
          <w:noProof/>
          <w:sz w:val="24"/>
          <w:szCs w:val="24"/>
        </w:rPr>
        <w:tab/>
      </w:r>
      <w:r>
        <w:rPr>
          <w:noProof/>
          <w:snapToGrid w:val="0"/>
          <w:szCs w:val="24"/>
        </w:rPr>
        <w:t>Report of surveyed tenements to be prepared</w:t>
      </w:r>
      <w:r>
        <w:rPr>
          <w:noProof/>
        </w:rPr>
        <w:tab/>
      </w:r>
      <w:r>
        <w:rPr>
          <w:noProof/>
        </w:rPr>
        <w:fldChar w:fldCharType="begin"/>
      </w:r>
      <w:r>
        <w:rPr>
          <w:noProof/>
        </w:rPr>
        <w:instrText xml:space="preserve"> PAGEREF _Toc127087414 \h </w:instrText>
      </w:r>
      <w:r>
        <w:rPr>
          <w:noProof/>
        </w:rPr>
      </w:r>
      <w:r>
        <w:rPr>
          <w:noProof/>
        </w:rPr>
        <w:fldChar w:fldCharType="separate"/>
      </w:r>
      <w:r>
        <w:rPr>
          <w:noProof/>
        </w:rPr>
        <w:t>110</w:t>
      </w:r>
      <w:r>
        <w:rPr>
          <w:noProof/>
        </w:rPr>
        <w:fldChar w:fldCharType="end"/>
      </w:r>
    </w:p>
    <w:p>
      <w:pPr>
        <w:pStyle w:val="TOC2"/>
        <w:tabs>
          <w:tab w:val="right" w:leader="dot" w:pos="7088"/>
        </w:tabs>
        <w:rPr>
          <w:b w:val="0"/>
          <w:noProof/>
          <w:sz w:val="24"/>
          <w:szCs w:val="24"/>
        </w:rPr>
      </w:pPr>
      <w:r>
        <w:rPr>
          <w:noProof/>
          <w:szCs w:val="30"/>
        </w:rPr>
        <w:t>Part VIA — Inspectors</w:t>
      </w:r>
    </w:p>
    <w:p>
      <w:pPr>
        <w:pStyle w:val="TOC3"/>
        <w:rPr>
          <w:b w:val="0"/>
          <w:noProof/>
          <w:sz w:val="24"/>
          <w:szCs w:val="24"/>
        </w:rPr>
      </w:pPr>
      <w:r>
        <w:rPr>
          <w:noProof/>
          <w:szCs w:val="26"/>
        </w:rPr>
        <w:t>Division 1</w:t>
      </w:r>
      <w:r>
        <w:rPr>
          <w:noProof/>
          <w:snapToGrid w:val="0"/>
          <w:szCs w:val="26"/>
        </w:rPr>
        <w:t> — </w:t>
      </w:r>
      <w:r>
        <w:rPr>
          <w:noProof/>
          <w:szCs w:val="26"/>
        </w:rPr>
        <w:t>Inspectors</w:t>
      </w:r>
    </w:p>
    <w:p>
      <w:pPr>
        <w:pStyle w:val="TOC4"/>
        <w:tabs>
          <w:tab w:val="left" w:pos="1701"/>
        </w:tabs>
        <w:rPr>
          <w:noProof/>
          <w:sz w:val="24"/>
          <w:szCs w:val="24"/>
        </w:rPr>
      </w:pPr>
      <w:r>
        <w:rPr>
          <w:noProof/>
          <w:szCs w:val="24"/>
        </w:rPr>
        <w:t>120F</w:t>
      </w:r>
      <w:r>
        <w:rPr>
          <w:noProof/>
          <w:snapToGrid w:val="0"/>
          <w:szCs w:val="24"/>
        </w:rPr>
        <w:t>.</w:t>
      </w:r>
      <w:r>
        <w:rPr>
          <w:noProof/>
          <w:sz w:val="24"/>
          <w:szCs w:val="24"/>
        </w:rPr>
        <w:tab/>
      </w:r>
      <w:r>
        <w:rPr>
          <w:noProof/>
          <w:snapToGrid w:val="0"/>
          <w:szCs w:val="24"/>
        </w:rPr>
        <w:t>Assignment of inspectors for environmental purpose</w:t>
      </w:r>
      <w:r>
        <w:rPr>
          <w:noProof/>
        </w:rPr>
        <w:tab/>
      </w:r>
      <w:r>
        <w:rPr>
          <w:noProof/>
        </w:rPr>
        <w:fldChar w:fldCharType="begin"/>
      </w:r>
      <w:r>
        <w:rPr>
          <w:noProof/>
        </w:rPr>
        <w:instrText xml:space="preserve"> PAGEREF _Toc127087417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120G</w:t>
      </w:r>
      <w:r>
        <w:rPr>
          <w:noProof/>
          <w:snapToGrid w:val="0"/>
          <w:szCs w:val="24"/>
        </w:rPr>
        <w:t>.</w:t>
      </w:r>
      <w:r>
        <w:rPr>
          <w:noProof/>
          <w:sz w:val="24"/>
          <w:szCs w:val="24"/>
        </w:rPr>
        <w:tab/>
      </w:r>
      <w:r>
        <w:rPr>
          <w:noProof/>
          <w:snapToGrid w:val="0"/>
          <w:szCs w:val="24"/>
        </w:rPr>
        <w:t>Inspectors may enter mining tenement or mine</w:t>
      </w:r>
      <w:r>
        <w:rPr>
          <w:noProof/>
        </w:rPr>
        <w:tab/>
      </w:r>
      <w:r>
        <w:rPr>
          <w:noProof/>
        </w:rPr>
        <w:fldChar w:fldCharType="begin"/>
      </w:r>
      <w:r>
        <w:rPr>
          <w:noProof/>
        </w:rPr>
        <w:instrText xml:space="preserve"> PAGEREF _Toc127087418 \h </w:instrText>
      </w:r>
      <w:r>
        <w:rPr>
          <w:noProof/>
        </w:rPr>
      </w:r>
      <w:r>
        <w:rPr>
          <w:noProof/>
        </w:rPr>
        <w:fldChar w:fldCharType="separate"/>
      </w:r>
      <w:r>
        <w:rPr>
          <w:noProof/>
        </w:rPr>
        <w:t>112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Directions to modify mining operations</w:t>
      </w:r>
    </w:p>
    <w:p>
      <w:pPr>
        <w:pStyle w:val="TOC4"/>
        <w:tabs>
          <w:tab w:val="left" w:pos="1701"/>
        </w:tabs>
        <w:rPr>
          <w:noProof/>
          <w:sz w:val="24"/>
          <w:szCs w:val="24"/>
        </w:rPr>
      </w:pPr>
      <w:r>
        <w:rPr>
          <w:noProof/>
          <w:szCs w:val="24"/>
        </w:rPr>
        <w:t>120H</w:t>
      </w:r>
      <w:r>
        <w:rPr>
          <w:noProof/>
          <w:snapToGrid w:val="0"/>
          <w:szCs w:val="24"/>
        </w:rPr>
        <w:t>.</w:t>
      </w:r>
      <w:r>
        <w:rPr>
          <w:noProof/>
          <w:sz w:val="24"/>
          <w:szCs w:val="24"/>
        </w:rPr>
        <w:tab/>
      </w:r>
      <w:r>
        <w:rPr>
          <w:noProof/>
          <w:snapToGrid w:val="0"/>
          <w:szCs w:val="24"/>
        </w:rPr>
        <w:t>Inspectors may issue directions</w:t>
      </w:r>
      <w:r>
        <w:rPr>
          <w:noProof/>
        </w:rPr>
        <w:tab/>
      </w:r>
      <w:r>
        <w:rPr>
          <w:noProof/>
        </w:rPr>
        <w:fldChar w:fldCharType="begin"/>
      </w:r>
      <w:r>
        <w:rPr>
          <w:noProof/>
        </w:rPr>
        <w:instrText xml:space="preserve"> PAGEREF _Toc127087420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120I</w:t>
      </w:r>
      <w:r>
        <w:rPr>
          <w:noProof/>
          <w:snapToGrid w:val="0"/>
          <w:szCs w:val="24"/>
        </w:rPr>
        <w:t>.</w:t>
      </w:r>
      <w:r>
        <w:rPr>
          <w:noProof/>
          <w:sz w:val="24"/>
          <w:szCs w:val="24"/>
        </w:rPr>
        <w:tab/>
      </w:r>
      <w:r>
        <w:rPr>
          <w:noProof/>
          <w:snapToGrid w:val="0"/>
          <w:szCs w:val="24"/>
        </w:rPr>
        <w:t>Directions</w:t>
      </w:r>
      <w:r>
        <w:rPr>
          <w:noProof/>
        </w:rPr>
        <w:tab/>
      </w:r>
      <w:r>
        <w:rPr>
          <w:noProof/>
        </w:rPr>
        <w:fldChar w:fldCharType="begin"/>
      </w:r>
      <w:r>
        <w:rPr>
          <w:noProof/>
        </w:rPr>
        <w:instrText xml:space="preserve"> PAGEREF _Toc127087421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120J</w:t>
      </w:r>
      <w:r>
        <w:rPr>
          <w:noProof/>
          <w:snapToGrid w:val="0"/>
          <w:szCs w:val="24"/>
        </w:rPr>
        <w:t>.</w:t>
      </w:r>
      <w:r>
        <w:rPr>
          <w:noProof/>
          <w:sz w:val="24"/>
          <w:szCs w:val="24"/>
        </w:rPr>
        <w:tab/>
      </w:r>
      <w:r>
        <w:rPr>
          <w:noProof/>
          <w:snapToGrid w:val="0"/>
          <w:szCs w:val="24"/>
        </w:rPr>
        <w:t>Review of direction</w:t>
      </w:r>
      <w:r>
        <w:rPr>
          <w:noProof/>
        </w:rPr>
        <w:tab/>
      </w:r>
      <w:r>
        <w:rPr>
          <w:noProof/>
        </w:rPr>
        <w:fldChar w:fldCharType="begin"/>
      </w:r>
      <w:r>
        <w:rPr>
          <w:noProof/>
        </w:rPr>
        <w:instrText xml:space="preserve"> PAGEREF _Toc127087422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120K</w:t>
      </w:r>
      <w:r>
        <w:rPr>
          <w:noProof/>
          <w:snapToGrid w:val="0"/>
          <w:szCs w:val="24"/>
        </w:rPr>
        <w:t>.</w:t>
      </w:r>
      <w:r>
        <w:rPr>
          <w:noProof/>
          <w:sz w:val="24"/>
          <w:szCs w:val="24"/>
        </w:rPr>
        <w:tab/>
      </w:r>
      <w:r>
        <w:rPr>
          <w:noProof/>
          <w:snapToGrid w:val="0"/>
          <w:szCs w:val="24"/>
        </w:rPr>
        <w:t>Compliance with directions</w:t>
      </w:r>
      <w:r>
        <w:rPr>
          <w:noProof/>
        </w:rPr>
        <w:tab/>
      </w:r>
      <w:r>
        <w:rPr>
          <w:noProof/>
        </w:rPr>
        <w:fldChar w:fldCharType="begin"/>
      </w:r>
      <w:r>
        <w:rPr>
          <w:noProof/>
        </w:rPr>
        <w:instrText xml:space="preserve"> PAGEREF _Toc127087423 \h </w:instrText>
      </w:r>
      <w:r>
        <w:rPr>
          <w:noProof/>
        </w:rPr>
      </w:r>
      <w:r>
        <w:rPr>
          <w:noProof/>
        </w:rPr>
        <w:fldChar w:fldCharType="separate"/>
      </w:r>
      <w:r>
        <w:rPr>
          <w:noProof/>
        </w:rPr>
        <w:t>114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Stop Work Orders</w:t>
      </w:r>
    </w:p>
    <w:p>
      <w:pPr>
        <w:pStyle w:val="TOC4"/>
        <w:tabs>
          <w:tab w:val="left" w:pos="1701"/>
        </w:tabs>
        <w:rPr>
          <w:noProof/>
          <w:sz w:val="24"/>
          <w:szCs w:val="24"/>
        </w:rPr>
      </w:pPr>
      <w:r>
        <w:rPr>
          <w:noProof/>
          <w:szCs w:val="24"/>
        </w:rPr>
        <w:t>120L</w:t>
      </w:r>
      <w:r>
        <w:rPr>
          <w:noProof/>
          <w:snapToGrid w:val="0"/>
          <w:szCs w:val="24"/>
        </w:rPr>
        <w:t>.</w:t>
      </w:r>
      <w:r>
        <w:rPr>
          <w:noProof/>
          <w:sz w:val="24"/>
          <w:szCs w:val="24"/>
        </w:rPr>
        <w:tab/>
      </w:r>
      <w:r>
        <w:rPr>
          <w:noProof/>
          <w:snapToGrid w:val="0"/>
          <w:szCs w:val="24"/>
        </w:rPr>
        <w:t>Inspectors may issue Stop Work Orders</w:t>
      </w:r>
      <w:r>
        <w:rPr>
          <w:noProof/>
        </w:rPr>
        <w:tab/>
      </w:r>
      <w:r>
        <w:rPr>
          <w:noProof/>
        </w:rPr>
        <w:fldChar w:fldCharType="begin"/>
      </w:r>
      <w:r>
        <w:rPr>
          <w:noProof/>
        </w:rPr>
        <w:instrText xml:space="preserve"> PAGEREF _Toc127087425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120M</w:t>
      </w:r>
      <w:r>
        <w:rPr>
          <w:noProof/>
          <w:snapToGrid w:val="0"/>
          <w:szCs w:val="24"/>
        </w:rPr>
        <w:t>.</w:t>
      </w:r>
      <w:r>
        <w:rPr>
          <w:noProof/>
          <w:sz w:val="24"/>
          <w:szCs w:val="24"/>
        </w:rPr>
        <w:tab/>
      </w:r>
      <w:r>
        <w:rPr>
          <w:noProof/>
          <w:snapToGrid w:val="0"/>
          <w:szCs w:val="24"/>
        </w:rPr>
        <w:t>Stop Work Orders</w:t>
      </w:r>
      <w:r>
        <w:rPr>
          <w:noProof/>
        </w:rPr>
        <w:tab/>
      </w:r>
      <w:r>
        <w:rPr>
          <w:noProof/>
        </w:rPr>
        <w:fldChar w:fldCharType="begin"/>
      </w:r>
      <w:r>
        <w:rPr>
          <w:noProof/>
        </w:rPr>
        <w:instrText xml:space="preserve"> PAGEREF _Toc127087426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120N</w:t>
      </w:r>
      <w:r>
        <w:rPr>
          <w:noProof/>
          <w:snapToGrid w:val="0"/>
          <w:szCs w:val="24"/>
        </w:rPr>
        <w:t>.</w:t>
      </w:r>
      <w:r>
        <w:rPr>
          <w:noProof/>
          <w:sz w:val="24"/>
          <w:szCs w:val="24"/>
        </w:rPr>
        <w:tab/>
      </w:r>
      <w:r>
        <w:rPr>
          <w:noProof/>
          <w:snapToGrid w:val="0"/>
          <w:szCs w:val="24"/>
        </w:rPr>
        <w:t>Review of a Stop Work Order</w:t>
      </w:r>
      <w:r>
        <w:rPr>
          <w:noProof/>
        </w:rPr>
        <w:tab/>
      </w:r>
      <w:r>
        <w:rPr>
          <w:noProof/>
        </w:rPr>
        <w:fldChar w:fldCharType="begin"/>
      </w:r>
      <w:r>
        <w:rPr>
          <w:noProof/>
        </w:rPr>
        <w:instrText xml:space="preserve"> PAGEREF _Toc127087427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120O</w:t>
      </w:r>
      <w:r>
        <w:rPr>
          <w:noProof/>
          <w:snapToGrid w:val="0"/>
          <w:szCs w:val="24"/>
        </w:rPr>
        <w:t>.</w:t>
      </w:r>
      <w:r>
        <w:rPr>
          <w:noProof/>
          <w:sz w:val="24"/>
          <w:szCs w:val="24"/>
        </w:rPr>
        <w:tab/>
      </w:r>
      <w:r>
        <w:rPr>
          <w:noProof/>
          <w:snapToGrid w:val="0"/>
          <w:szCs w:val="24"/>
        </w:rPr>
        <w:t>Compliance with Stop Work Orders</w:t>
      </w:r>
      <w:r>
        <w:rPr>
          <w:noProof/>
        </w:rPr>
        <w:tab/>
      </w:r>
      <w:r>
        <w:rPr>
          <w:noProof/>
        </w:rPr>
        <w:fldChar w:fldCharType="begin"/>
      </w:r>
      <w:r>
        <w:rPr>
          <w:noProof/>
        </w:rPr>
        <w:instrText xml:space="preserve"> PAGEREF _Toc127087428 \h </w:instrText>
      </w:r>
      <w:r>
        <w:rPr>
          <w:noProof/>
        </w:rPr>
      </w:r>
      <w:r>
        <w:rPr>
          <w:noProof/>
        </w:rPr>
        <w:fldChar w:fldCharType="separate"/>
      </w:r>
      <w:r>
        <w:rPr>
          <w:noProof/>
        </w:rPr>
        <w:t>117</w:t>
      </w:r>
      <w:r>
        <w:rPr>
          <w:noProof/>
        </w:rPr>
        <w:fldChar w:fldCharType="end"/>
      </w:r>
    </w:p>
    <w:p>
      <w:pPr>
        <w:pStyle w:val="TOC2"/>
        <w:tabs>
          <w:tab w:val="right" w:leader="dot" w:pos="7088"/>
        </w:tabs>
        <w:rPr>
          <w:b w:val="0"/>
          <w:noProof/>
          <w:sz w:val="24"/>
          <w:szCs w:val="24"/>
        </w:rPr>
      </w:pPr>
      <w:r>
        <w:rPr>
          <w:noProof/>
          <w:szCs w:val="30"/>
        </w:rPr>
        <w:t>Part VIB — Aerial photography</w:t>
      </w:r>
    </w:p>
    <w:p>
      <w:pPr>
        <w:pStyle w:val="TOC4"/>
        <w:tabs>
          <w:tab w:val="left" w:pos="1701"/>
        </w:tabs>
        <w:rPr>
          <w:noProof/>
          <w:sz w:val="24"/>
          <w:szCs w:val="24"/>
        </w:rPr>
      </w:pPr>
      <w:r>
        <w:rPr>
          <w:noProof/>
          <w:szCs w:val="24"/>
        </w:rPr>
        <w:t>120P</w:t>
      </w:r>
      <w:r>
        <w:rPr>
          <w:noProof/>
          <w:snapToGrid w:val="0"/>
          <w:szCs w:val="24"/>
        </w:rPr>
        <w:t>.</w:t>
      </w:r>
      <w:r>
        <w:rPr>
          <w:noProof/>
          <w:sz w:val="24"/>
          <w:szCs w:val="24"/>
        </w:rPr>
        <w:tab/>
      </w:r>
      <w:r>
        <w:rPr>
          <w:noProof/>
          <w:snapToGrid w:val="0"/>
          <w:szCs w:val="24"/>
        </w:rPr>
        <w:t>Interpretation in Part VIB</w:t>
      </w:r>
      <w:r>
        <w:rPr>
          <w:noProof/>
        </w:rPr>
        <w:tab/>
      </w:r>
      <w:r>
        <w:rPr>
          <w:noProof/>
        </w:rPr>
        <w:fldChar w:fldCharType="begin"/>
      </w:r>
      <w:r>
        <w:rPr>
          <w:noProof/>
        </w:rPr>
        <w:instrText xml:space="preserve"> PAGEREF _Toc127087430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120Q</w:t>
      </w:r>
      <w:r>
        <w:rPr>
          <w:noProof/>
          <w:snapToGrid w:val="0"/>
          <w:szCs w:val="24"/>
        </w:rPr>
        <w:t>.</w:t>
      </w:r>
      <w:r>
        <w:rPr>
          <w:noProof/>
          <w:sz w:val="24"/>
          <w:szCs w:val="24"/>
        </w:rPr>
        <w:tab/>
      </w:r>
      <w:r>
        <w:rPr>
          <w:noProof/>
          <w:snapToGrid w:val="0"/>
          <w:szCs w:val="24"/>
        </w:rPr>
        <w:t>Information to be provided as to aerial photography</w:t>
      </w:r>
      <w:r>
        <w:rPr>
          <w:noProof/>
        </w:rPr>
        <w:tab/>
      </w:r>
      <w:r>
        <w:rPr>
          <w:noProof/>
        </w:rPr>
        <w:fldChar w:fldCharType="begin"/>
      </w:r>
      <w:r>
        <w:rPr>
          <w:noProof/>
        </w:rPr>
        <w:instrText xml:space="preserve"> PAGEREF _Toc127087431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120R</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_Toc127087432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120S</w:t>
      </w:r>
      <w:r>
        <w:rPr>
          <w:noProof/>
          <w:snapToGrid w:val="0"/>
          <w:szCs w:val="24"/>
        </w:rPr>
        <w:t>.</w:t>
      </w:r>
      <w:r>
        <w:rPr>
          <w:noProof/>
          <w:sz w:val="24"/>
          <w:szCs w:val="24"/>
        </w:rPr>
        <w:tab/>
      </w:r>
      <w:r>
        <w:rPr>
          <w:noProof/>
          <w:snapToGrid w:val="0"/>
          <w:szCs w:val="24"/>
        </w:rPr>
        <w:t>Confidentiality of information</w:t>
      </w:r>
      <w:r>
        <w:rPr>
          <w:noProof/>
        </w:rPr>
        <w:tab/>
      </w:r>
      <w:r>
        <w:rPr>
          <w:noProof/>
        </w:rPr>
        <w:fldChar w:fldCharType="begin"/>
      </w:r>
      <w:r>
        <w:rPr>
          <w:noProof/>
        </w:rPr>
        <w:instrText xml:space="preserve"> PAGEREF _Toc127087433 \h </w:instrText>
      </w:r>
      <w:r>
        <w:rPr>
          <w:noProof/>
        </w:rPr>
      </w:r>
      <w:r>
        <w:rPr>
          <w:noProof/>
        </w:rPr>
        <w:fldChar w:fldCharType="separate"/>
      </w:r>
      <w:r>
        <w:rPr>
          <w:noProof/>
        </w:rPr>
        <w:t>120</w:t>
      </w:r>
      <w:r>
        <w:rPr>
          <w:noProof/>
        </w:rPr>
        <w:fldChar w:fldCharType="end"/>
      </w:r>
    </w:p>
    <w:p>
      <w:pPr>
        <w:pStyle w:val="TOC2"/>
        <w:tabs>
          <w:tab w:val="right" w:leader="dot" w:pos="7088"/>
        </w:tabs>
        <w:rPr>
          <w:b w:val="0"/>
          <w:noProof/>
          <w:sz w:val="24"/>
          <w:szCs w:val="24"/>
        </w:rPr>
      </w:pPr>
      <w:r>
        <w:rPr>
          <w:noProof/>
          <w:szCs w:val="30"/>
        </w:rPr>
        <w:t>Part VII — Legal proceedings</w:t>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Proceedings</w:t>
      </w:r>
      <w:r>
        <w:rPr>
          <w:noProof/>
        </w:rPr>
        <w:tab/>
      </w:r>
      <w:r>
        <w:rPr>
          <w:noProof/>
        </w:rPr>
        <w:fldChar w:fldCharType="begin"/>
      </w:r>
      <w:r>
        <w:rPr>
          <w:noProof/>
        </w:rPr>
        <w:instrText xml:space="preserve"> PAGEREF _Toc127087435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Lodgement, withdrawal of plaint</w:t>
      </w:r>
      <w:r>
        <w:rPr>
          <w:noProof/>
        </w:rPr>
        <w:tab/>
      </w:r>
      <w:r>
        <w:rPr>
          <w:noProof/>
        </w:rPr>
        <w:fldChar w:fldCharType="begin"/>
      </w:r>
      <w:r>
        <w:rPr>
          <w:noProof/>
        </w:rPr>
        <w:instrText xml:space="preserve"> PAGEREF _Toc127087436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Issue of summons</w:t>
      </w:r>
      <w:r>
        <w:rPr>
          <w:noProof/>
        </w:rPr>
        <w:tab/>
      </w:r>
      <w:r>
        <w:rPr>
          <w:noProof/>
        </w:rPr>
        <w:fldChar w:fldCharType="begin"/>
      </w:r>
      <w:r>
        <w:rPr>
          <w:noProof/>
        </w:rPr>
        <w:instrText xml:space="preserve"> PAGEREF _Toc127087437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Affidavit of service</w:t>
      </w:r>
      <w:r>
        <w:rPr>
          <w:noProof/>
        </w:rPr>
        <w:tab/>
      </w:r>
      <w:r>
        <w:rPr>
          <w:noProof/>
        </w:rPr>
        <w:fldChar w:fldCharType="begin"/>
      </w:r>
      <w:r>
        <w:rPr>
          <w:noProof/>
        </w:rPr>
        <w:instrText xml:space="preserve"> PAGEREF _Toc127087438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Time for service</w:t>
      </w:r>
      <w:r>
        <w:rPr>
          <w:noProof/>
        </w:rPr>
        <w:tab/>
      </w:r>
      <w:r>
        <w:rPr>
          <w:noProof/>
        </w:rPr>
        <w:fldChar w:fldCharType="begin"/>
      </w:r>
      <w:r>
        <w:rPr>
          <w:noProof/>
        </w:rPr>
        <w:instrText xml:space="preserve"> PAGEREF _Toc127087439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Notice of defence</w:t>
      </w:r>
      <w:r>
        <w:rPr>
          <w:noProof/>
        </w:rPr>
        <w:tab/>
      </w:r>
      <w:r>
        <w:rPr>
          <w:noProof/>
        </w:rPr>
        <w:fldChar w:fldCharType="begin"/>
      </w:r>
      <w:r>
        <w:rPr>
          <w:noProof/>
        </w:rPr>
        <w:instrText xml:space="preserve"> PAGEREF _Toc127087440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Subpoena of witness</w:t>
      </w:r>
      <w:r>
        <w:rPr>
          <w:noProof/>
        </w:rPr>
        <w:tab/>
      </w:r>
      <w:r>
        <w:rPr>
          <w:noProof/>
        </w:rPr>
        <w:fldChar w:fldCharType="begin"/>
      </w:r>
      <w:r>
        <w:rPr>
          <w:noProof/>
        </w:rPr>
        <w:instrText xml:space="preserve"> PAGEREF _Toc127087441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127A</w:t>
      </w:r>
      <w:r>
        <w:rPr>
          <w:noProof/>
          <w:snapToGrid w:val="0"/>
          <w:szCs w:val="24"/>
        </w:rPr>
        <w:t>.</w:t>
      </w:r>
      <w:r>
        <w:rPr>
          <w:noProof/>
          <w:sz w:val="24"/>
          <w:szCs w:val="24"/>
        </w:rPr>
        <w:tab/>
      </w:r>
      <w:r>
        <w:rPr>
          <w:noProof/>
          <w:snapToGrid w:val="0"/>
          <w:szCs w:val="24"/>
        </w:rPr>
        <w:t>Persons before whom affidavit may be sworn</w:t>
      </w:r>
      <w:r>
        <w:rPr>
          <w:noProof/>
        </w:rPr>
        <w:tab/>
      </w:r>
      <w:r>
        <w:rPr>
          <w:noProof/>
        </w:rPr>
        <w:fldChar w:fldCharType="begin"/>
      </w:r>
      <w:r>
        <w:rPr>
          <w:noProof/>
        </w:rPr>
        <w:instrText xml:space="preserve"> PAGEREF _Toc127087442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Costs</w:t>
      </w:r>
      <w:r>
        <w:rPr>
          <w:noProof/>
        </w:rPr>
        <w:tab/>
      </w:r>
      <w:r>
        <w:rPr>
          <w:noProof/>
        </w:rPr>
        <w:fldChar w:fldCharType="begin"/>
      </w:r>
      <w:r>
        <w:rPr>
          <w:noProof/>
        </w:rPr>
        <w:instrText xml:space="preserve"> PAGEREF _Toc127087443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Copy of judgment</w:t>
      </w:r>
      <w:r>
        <w:rPr>
          <w:noProof/>
        </w:rPr>
        <w:tab/>
      </w:r>
      <w:r>
        <w:rPr>
          <w:noProof/>
        </w:rPr>
        <w:fldChar w:fldCharType="begin"/>
      </w:r>
      <w:r>
        <w:rPr>
          <w:noProof/>
        </w:rPr>
        <w:instrText xml:space="preserve"> PAGEREF _Toc127087444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Warrant of execution</w:t>
      </w:r>
      <w:r>
        <w:rPr>
          <w:noProof/>
        </w:rPr>
        <w:tab/>
      </w:r>
      <w:r>
        <w:rPr>
          <w:noProof/>
        </w:rPr>
        <w:fldChar w:fldCharType="begin"/>
      </w:r>
      <w:r>
        <w:rPr>
          <w:noProof/>
        </w:rPr>
        <w:instrText xml:space="preserve"> PAGEREF _Toc127087445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Warrant for recovery of possession</w:t>
      </w:r>
      <w:r>
        <w:rPr>
          <w:noProof/>
        </w:rPr>
        <w:tab/>
      </w:r>
      <w:r>
        <w:rPr>
          <w:noProof/>
        </w:rPr>
        <w:fldChar w:fldCharType="begin"/>
      </w:r>
      <w:r>
        <w:rPr>
          <w:noProof/>
        </w:rPr>
        <w:instrText xml:space="preserve"> PAGEREF _Toc127087446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Notice of seizure</w:t>
      </w:r>
      <w:r>
        <w:rPr>
          <w:noProof/>
        </w:rPr>
        <w:tab/>
      </w:r>
      <w:r>
        <w:rPr>
          <w:noProof/>
        </w:rPr>
        <w:fldChar w:fldCharType="begin"/>
      </w:r>
      <w:r>
        <w:rPr>
          <w:noProof/>
        </w:rPr>
        <w:instrText xml:space="preserve"> PAGEREF _Toc127087447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Sale under warrant of execution</w:t>
      </w:r>
      <w:r>
        <w:rPr>
          <w:noProof/>
        </w:rPr>
        <w:tab/>
      </w:r>
      <w:r>
        <w:rPr>
          <w:noProof/>
        </w:rPr>
        <w:fldChar w:fldCharType="begin"/>
      </w:r>
      <w:r>
        <w:rPr>
          <w:noProof/>
        </w:rPr>
        <w:instrText xml:space="preserve"> PAGEREF _Toc127087448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Transfer upon sale</w:t>
      </w:r>
      <w:r>
        <w:rPr>
          <w:noProof/>
        </w:rPr>
        <w:tab/>
      </w:r>
      <w:r>
        <w:rPr>
          <w:noProof/>
        </w:rPr>
        <w:fldChar w:fldCharType="begin"/>
      </w:r>
      <w:r>
        <w:rPr>
          <w:noProof/>
        </w:rPr>
        <w:instrText xml:space="preserve"> PAGEREF _Toc127087449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Appeal to Supreme Court</w:t>
      </w:r>
      <w:r>
        <w:rPr>
          <w:noProof/>
        </w:rPr>
        <w:tab/>
      </w:r>
      <w:r>
        <w:rPr>
          <w:noProof/>
        </w:rPr>
        <w:fldChar w:fldCharType="begin"/>
      </w:r>
      <w:r>
        <w:rPr>
          <w:noProof/>
        </w:rPr>
        <w:instrText xml:space="preserve"> PAGEREF _Toc127087450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Injunction</w:t>
      </w:r>
      <w:r>
        <w:rPr>
          <w:noProof/>
        </w:rPr>
        <w:tab/>
      </w:r>
      <w:r>
        <w:rPr>
          <w:noProof/>
        </w:rPr>
        <w:fldChar w:fldCharType="begin"/>
      </w:r>
      <w:r>
        <w:rPr>
          <w:noProof/>
        </w:rPr>
        <w:instrText xml:space="preserve"> PAGEREF _Toc127087451 \h </w:instrText>
      </w:r>
      <w:r>
        <w:rPr>
          <w:noProof/>
        </w:rPr>
      </w:r>
      <w:r>
        <w:rPr>
          <w:noProof/>
        </w:rPr>
        <w:fldChar w:fldCharType="separate"/>
      </w:r>
      <w:r>
        <w:rPr>
          <w:noProof/>
        </w:rPr>
        <w:t>127</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_Toc127087452 \h </w:instrText>
      </w:r>
      <w:r>
        <w:rPr>
          <w:noProof/>
        </w:rPr>
      </w:r>
      <w:r>
        <w:rPr>
          <w:noProof/>
        </w:rPr>
        <w:fldChar w:fldCharType="separate"/>
      </w:r>
      <w:r>
        <w:rPr>
          <w:noProof/>
        </w:rPr>
        <w:t>128</w:t>
      </w:r>
      <w:r>
        <w:rPr>
          <w:noProof/>
        </w:rPr>
        <w:fldChar w:fldCharType="end"/>
      </w:r>
    </w:p>
    <w:p>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_Toc127087453 \h </w:instrText>
      </w:r>
      <w:r>
        <w:rPr>
          <w:noProof/>
        </w:rPr>
      </w:r>
      <w:r>
        <w:rPr>
          <w:noProof/>
        </w:rPr>
        <w:fldChar w:fldCharType="separate"/>
      </w:r>
      <w:r>
        <w:rPr>
          <w:noProof/>
        </w:rPr>
        <w:t>202</w:t>
      </w:r>
      <w:r>
        <w:rPr>
          <w:noProof/>
        </w:rPr>
        <w:fldChar w:fldCharType="end"/>
      </w:r>
    </w:p>
    <w:p>
      <w:pPr>
        <w:pStyle w:val="TOC5"/>
        <w:rPr>
          <w:b w:val="0"/>
          <w:noProof/>
          <w:sz w:val="24"/>
          <w:szCs w:val="24"/>
        </w:rPr>
      </w:pPr>
      <w:r>
        <w:rPr>
          <w:noProof/>
          <w:szCs w:val="28"/>
        </w:rPr>
        <w:t>Third Schedule — Transitional provisions relating to Geocentric Datum of Australia</w:t>
      </w:r>
      <w:r>
        <w:rPr>
          <w:noProof/>
        </w:rPr>
        <w:tab/>
      </w:r>
      <w:r>
        <w:rPr>
          <w:noProof/>
        </w:rPr>
        <w:fldChar w:fldCharType="begin"/>
      </w:r>
      <w:r>
        <w:rPr>
          <w:noProof/>
        </w:rPr>
        <w:instrText xml:space="preserve"> PAGEREF _Toc127087454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_Toc127087455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Australian Geodetic Datum</w:t>
      </w:r>
      <w:r>
        <w:rPr>
          <w:noProof/>
        </w:rPr>
        <w:tab/>
      </w:r>
      <w:r>
        <w:rPr>
          <w:noProof/>
        </w:rPr>
        <w:fldChar w:fldCharType="begin"/>
      </w:r>
      <w:r>
        <w:rPr>
          <w:noProof/>
        </w:rPr>
        <w:instrText xml:space="preserve"> PAGEREF _Toc127087456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Exploration licences</w:t>
      </w:r>
      <w:r>
        <w:rPr>
          <w:noProof/>
        </w:rPr>
        <w:tab/>
      </w:r>
      <w:r>
        <w:rPr>
          <w:noProof/>
        </w:rPr>
        <w:fldChar w:fldCharType="begin"/>
      </w:r>
      <w:r>
        <w:rPr>
          <w:noProof/>
        </w:rPr>
        <w:instrText xml:space="preserve"> PAGEREF _Toc127087457 \h </w:instrText>
      </w:r>
      <w:r>
        <w:rPr>
          <w:noProof/>
        </w:rPr>
      </w:r>
      <w:r>
        <w:rPr>
          <w:noProof/>
        </w:rPr>
        <w:fldChar w:fldCharType="separate"/>
      </w:r>
      <w:r>
        <w:rPr>
          <w:noProof/>
        </w:rPr>
        <w:t>206</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Land surrendered or forfeited etc.</w:t>
      </w:r>
      <w:r>
        <w:rPr>
          <w:noProof/>
        </w:rPr>
        <w:tab/>
      </w:r>
      <w:r>
        <w:rPr>
          <w:noProof/>
        </w:rPr>
        <w:fldChar w:fldCharType="begin"/>
      </w:r>
      <w:r>
        <w:rPr>
          <w:noProof/>
        </w:rPr>
        <w:instrText xml:space="preserve"> PAGEREF _Toc127087458 \h </w:instrText>
      </w:r>
      <w:r>
        <w:rPr>
          <w:noProof/>
        </w:rPr>
      </w:r>
      <w:r>
        <w:rPr>
          <w:noProof/>
        </w:rPr>
        <w:fldChar w:fldCharType="separate"/>
      </w:r>
      <w:r>
        <w:rPr>
          <w:noProof/>
        </w:rPr>
        <w:t>206</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Land exempted under section 19</w:t>
      </w:r>
      <w:r>
        <w:rPr>
          <w:noProof/>
        </w:rPr>
        <w:tab/>
      </w:r>
      <w:r>
        <w:rPr>
          <w:noProof/>
        </w:rPr>
        <w:fldChar w:fldCharType="begin"/>
      </w:r>
      <w:r>
        <w:rPr>
          <w:noProof/>
        </w:rPr>
        <w:instrText xml:space="preserve"> PAGEREF _Toc127087459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Areas declared under section 57(4), and savings</w:t>
      </w:r>
      <w:r>
        <w:rPr>
          <w:noProof/>
        </w:rPr>
        <w:tab/>
      </w:r>
      <w:r>
        <w:rPr>
          <w:noProof/>
        </w:rPr>
        <w:fldChar w:fldCharType="begin"/>
      </w:r>
      <w:r>
        <w:rPr>
          <w:noProof/>
        </w:rPr>
        <w:instrText xml:space="preserve"> PAGEREF _Toc127087460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Certain prospecting licences and mining leases may be amalgamated with existing exploration licences</w:t>
      </w:r>
      <w:r>
        <w:rPr>
          <w:noProof/>
        </w:rPr>
        <w:tab/>
      </w:r>
      <w:r>
        <w:rPr>
          <w:noProof/>
        </w:rPr>
        <w:fldChar w:fldCharType="begin"/>
      </w:r>
      <w:r>
        <w:rPr>
          <w:noProof/>
        </w:rPr>
        <w:instrText xml:space="preserve"> PAGEREF _Toc127087461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Prescribed land does not need to be marked out</w:t>
      </w:r>
      <w:r>
        <w:rPr>
          <w:noProof/>
        </w:rPr>
        <w:tab/>
      </w:r>
      <w:r>
        <w:rPr>
          <w:noProof/>
        </w:rPr>
        <w:fldChar w:fldCharType="begin"/>
      </w:r>
      <w:r>
        <w:rPr>
          <w:noProof/>
        </w:rPr>
        <w:instrText xml:space="preserve"> PAGEREF _Toc127087462 \h </w:instrText>
      </w:r>
      <w:r>
        <w:rPr>
          <w:noProof/>
        </w:rPr>
      </w:r>
      <w:r>
        <w:rPr>
          <w:noProof/>
        </w:rPr>
        <w:fldChar w:fldCharType="separate"/>
      </w:r>
      <w:r>
        <w:rPr>
          <w:noProof/>
        </w:rPr>
        <w:t>209</w:t>
      </w:r>
      <w:r>
        <w:rPr>
          <w:noProof/>
        </w:rPr>
        <w:fldChar w:fldCharType="end"/>
      </w:r>
    </w:p>
    <w:p>
      <w:pPr>
        <w:pStyle w:val="TOC2"/>
        <w:tabs>
          <w:tab w:val="right" w:leader="dot" w:pos="7088"/>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_Toc127087464 \h </w:instrText>
      </w:r>
      <w:r>
        <w:rPr>
          <w:noProof/>
        </w:rPr>
      </w:r>
      <w:r>
        <w:rPr>
          <w:noProof/>
        </w:rPr>
        <w:fldChar w:fldCharType="separate"/>
      </w:r>
      <w:r>
        <w:rPr>
          <w:noProof/>
        </w:rPr>
        <w:t>210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74633016"/>
      <w:bookmarkStart w:id="13" w:name="_Toc488740165"/>
      <w:bookmarkStart w:id="14" w:name="_Toc8623536"/>
      <w:bookmarkStart w:id="15" w:name="_Toc11229377"/>
      <w:bookmarkStart w:id="16" w:name="_Toc104276524"/>
      <w:bookmarkStart w:id="17" w:name="_Toc127087203"/>
      <w:r>
        <w:rPr>
          <w:rStyle w:val="CharSectno"/>
        </w:rPr>
        <w:t>1</w:t>
      </w:r>
      <w:r>
        <w:rPr>
          <w:snapToGrid w:val="0"/>
        </w:rPr>
        <w:t>.</w:t>
      </w:r>
      <w:r>
        <w:rPr>
          <w:snapToGrid w:val="0"/>
        </w:rPr>
        <w:tab/>
        <w:t>Citation and commencement</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xml:space="preserve"> 1</w:t>
      </w:r>
      <w:r>
        <w:rPr>
          <w:snapToGrid w:val="0"/>
        </w:rPr>
        <w:t>.</w:t>
      </w:r>
    </w:p>
    <w:p>
      <w:pPr>
        <w:pStyle w:val="Heading5"/>
        <w:rPr>
          <w:snapToGrid w:val="0"/>
        </w:rPr>
      </w:pPr>
      <w:bookmarkStart w:id="18" w:name="_Toc474633017"/>
      <w:bookmarkStart w:id="19" w:name="_Toc488740166"/>
      <w:bookmarkStart w:id="20" w:name="_Toc8623537"/>
      <w:bookmarkStart w:id="21" w:name="_Toc11229378"/>
      <w:bookmarkStart w:id="22" w:name="_Toc104276525"/>
      <w:bookmarkStart w:id="23" w:name="_Toc127087204"/>
      <w:r>
        <w:rPr>
          <w:rStyle w:val="CharSectno"/>
        </w:rPr>
        <w:t>2</w:t>
      </w:r>
      <w:r>
        <w:rPr>
          <w:snapToGrid w:val="0"/>
        </w:rPr>
        <w:t>.</w:t>
      </w:r>
      <w:r>
        <w:rPr>
          <w:snapToGrid w:val="0"/>
        </w:rPr>
        <w:tab/>
      </w:r>
      <w:bookmarkEnd w:id="18"/>
      <w:bookmarkEnd w:id="19"/>
      <w:bookmarkEnd w:id="20"/>
      <w:bookmarkEnd w:id="21"/>
      <w:r>
        <w:rPr>
          <w:snapToGrid w:val="0"/>
        </w:rPr>
        <w:t>Interpretation</w:t>
      </w:r>
      <w:bookmarkEnd w:id="22"/>
      <w:bookmarkEnd w:id="2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 xml:space="preserve">8; 13 Oct 1995 p. 4814.] </w:t>
      </w:r>
    </w:p>
    <w:p>
      <w:pPr>
        <w:pStyle w:val="Heading2"/>
      </w:pPr>
      <w:bookmarkStart w:id="24" w:name="_Toc74978809"/>
      <w:bookmarkStart w:id="25" w:name="_Toc74979073"/>
      <w:bookmarkStart w:id="26" w:name="_Toc79976371"/>
      <w:bookmarkStart w:id="27" w:name="_Toc80759642"/>
      <w:bookmarkStart w:id="28" w:name="_Toc80783405"/>
      <w:bookmarkStart w:id="29" w:name="_Toc94931072"/>
      <w:bookmarkStart w:id="30" w:name="_Toc104275195"/>
      <w:bookmarkStart w:id="31" w:name="_Toc104276526"/>
      <w:bookmarkStart w:id="32" w:name="_Toc107198747"/>
      <w:bookmarkStart w:id="33" w:name="_Toc107799198"/>
      <w:bookmarkStart w:id="34" w:name="_Toc127087205"/>
      <w:r>
        <w:rPr>
          <w:rStyle w:val="CharPartNo"/>
        </w:rPr>
        <w:t>Part II</w:t>
      </w:r>
      <w:r>
        <w:rPr>
          <w:rStyle w:val="CharDivNo"/>
        </w:rPr>
        <w:t> </w:t>
      </w:r>
      <w:r>
        <w:t>—</w:t>
      </w:r>
      <w:r>
        <w:rPr>
          <w:rStyle w:val="CharDivText"/>
        </w:rPr>
        <w:t> </w:t>
      </w:r>
      <w:r>
        <w:rPr>
          <w:rStyle w:val="CharPartText"/>
        </w:rPr>
        <w:t>Miner’s Rights</w:t>
      </w:r>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74633018"/>
      <w:bookmarkStart w:id="36" w:name="_Toc488740167"/>
      <w:bookmarkStart w:id="37" w:name="_Toc8623538"/>
      <w:bookmarkStart w:id="38" w:name="_Toc11229379"/>
      <w:bookmarkStart w:id="39" w:name="_Toc104276527"/>
      <w:bookmarkStart w:id="40" w:name="_Toc127087206"/>
      <w:r>
        <w:rPr>
          <w:rStyle w:val="CharSectno"/>
        </w:rPr>
        <w:t>3</w:t>
      </w:r>
      <w:r>
        <w:rPr>
          <w:snapToGrid w:val="0"/>
        </w:rPr>
        <w:t>.</w:t>
      </w:r>
      <w:r>
        <w:rPr>
          <w:snapToGrid w:val="0"/>
        </w:rPr>
        <w:tab/>
        <w:t>Form of Miner’s Rights</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41" w:name="_Toc474633019"/>
      <w:bookmarkStart w:id="42" w:name="_Toc488740168"/>
      <w:bookmarkStart w:id="43" w:name="_Toc8623539"/>
      <w:bookmarkStart w:id="44" w:name="_Toc11229380"/>
      <w:bookmarkStart w:id="45" w:name="_Toc104276528"/>
      <w:bookmarkStart w:id="46" w:name="_Toc127087207"/>
      <w:r>
        <w:rPr>
          <w:rStyle w:val="CharSectno"/>
        </w:rPr>
        <w:t>4</w:t>
      </w:r>
      <w:r>
        <w:rPr>
          <w:snapToGrid w:val="0"/>
        </w:rPr>
        <w:t>.</w:t>
      </w:r>
      <w:r>
        <w:rPr>
          <w:snapToGrid w:val="0"/>
        </w:rPr>
        <w:tab/>
        <w:t>Quantity of samples or specimens</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quantity of each sample or specimen the holder of a Miner’s Right may extract or remove from Crown land —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 xml:space="preserve">[Regulation 4 inserted in Gazette 20 Oct 1987 p. 3813; amended in Gazette 31 May 1991 p. 2696.] </w:t>
      </w:r>
    </w:p>
    <w:p>
      <w:pPr>
        <w:pStyle w:val="Heading2"/>
      </w:pPr>
      <w:bookmarkStart w:id="47" w:name="_Toc74978812"/>
      <w:bookmarkStart w:id="48" w:name="_Toc74979076"/>
      <w:bookmarkStart w:id="49" w:name="_Toc79976374"/>
      <w:bookmarkStart w:id="50" w:name="_Toc80759645"/>
      <w:bookmarkStart w:id="51" w:name="_Toc80783408"/>
      <w:bookmarkStart w:id="52" w:name="_Toc94931075"/>
      <w:bookmarkStart w:id="53" w:name="_Toc104275198"/>
      <w:bookmarkStart w:id="54" w:name="_Toc104276529"/>
      <w:bookmarkStart w:id="55" w:name="_Toc107198750"/>
      <w:bookmarkStart w:id="56" w:name="_Toc107799201"/>
      <w:bookmarkStart w:id="57" w:name="_Toc127087208"/>
      <w:r>
        <w:rPr>
          <w:rStyle w:val="CharPartNo"/>
        </w:rPr>
        <w:t>Part IIA</w:t>
      </w:r>
      <w:r>
        <w:t> — </w:t>
      </w:r>
      <w:r>
        <w:rPr>
          <w:rStyle w:val="CharPartText"/>
        </w:rPr>
        <w:t>Permits under section 20A</w:t>
      </w:r>
      <w:bookmarkEnd w:id="47"/>
      <w:bookmarkEnd w:id="48"/>
      <w:bookmarkEnd w:id="49"/>
      <w:bookmarkEnd w:id="50"/>
      <w:bookmarkEnd w:id="51"/>
      <w:bookmarkEnd w:id="52"/>
      <w:bookmarkEnd w:id="53"/>
      <w:bookmarkEnd w:id="54"/>
      <w:bookmarkEnd w:id="55"/>
      <w:bookmarkEnd w:id="56"/>
      <w:bookmarkEnd w:id="57"/>
    </w:p>
    <w:p>
      <w:pPr>
        <w:pStyle w:val="Footnoteheading"/>
        <w:ind w:left="890"/>
      </w:pPr>
      <w:r>
        <w:tab/>
        <w:t>[Heading inserted in Gazette 2 Feb 2001 p. 705.]</w:t>
      </w:r>
    </w:p>
    <w:p>
      <w:pPr>
        <w:pStyle w:val="Heading5"/>
      </w:pPr>
      <w:bookmarkStart w:id="58" w:name="_Toc8623540"/>
      <w:bookmarkStart w:id="59" w:name="_Toc11229381"/>
      <w:bookmarkStart w:id="60" w:name="_Toc104276530"/>
      <w:bookmarkStart w:id="61" w:name="_Toc127087209"/>
      <w:r>
        <w:rPr>
          <w:rStyle w:val="CharSectno"/>
        </w:rPr>
        <w:t>4A</w:t>
      </w:r>
      <w:r>
        <w:t>.</w:t>
      </w:r>
      <w:r>
        <w:tab/>
      </w:r>
      <w:bookmarkEnd w:id="58"/>
      <w:bookmarkEnd w:id="59"/>
      <w:r>
        <w:t>Interpretation</w:t>
      </w:r>
      <w:bookmarkEnd w:id="60"/>
      <w:bookmarkEnd w:id="61"/>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62" w:name="_Toc8623541"/>
      <w:bookmarkStart w:id="63" w:name="_Toc11229382"/>
      <w:bookmarkStart w:id="64" w:name="_Toc104276531"/>
      <w:bookmarkStart w:id="65" w:name="_Toc127087210"/>
      <w:r>
        <w:rPr>
          <w:rStyle w:val="CharSectno"/>
        </w:rPr>
        <w:t>4B</w:t>
      </w:r>
      <w:r>
        <w:t>.</w:t>
      </w:r>
      <w:r>
        <w:tab/>
        <w:t>Prescribed office — section 20A(1)</w:t>
      </w:r>
      <w:bookmarkEnd w:id="62"/>
      <w:bookmarkEnd w:id="63"/>
      <w:bookmarkEnd w:id="64"/>
      <w:bookmarkEnd w:id="65"/>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66" w:name="_Toc8623542"/>
      <w:bookmarkStart w:id="67" w:name="_Toc11229383"/>
      <w:bookmarkStart w:id="68" w:name="_Toc104276532"/>
      <w:bookmarkStart w:id="69" w:name="_Toc127087211"/>
      <w:r>
        <w:rPr>
          <w:rStyle w:val="CharSectno"/>
        </w:rPr>
        <w:t>4C</w:t>
      </w:r>
      <w:r>
        <w:t>.</w:t>
      </w:r>
      <w:r>
        <w:tab/>
        <w:t>Prescribed depth — section 20A(6)(b)</w:t>
      </w:r>
      <w:bookmarkEnd w:id="66"/>
      <w:bookmarkEnd w:id="67"/>
      <w:bookmarkEnd w:id="68"/>
      <w:bookmarkEnd w:id="69"/>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70" w:name="_Toc8623543"/>
      <w:bookmarkStart w:id="71" w:name="_Toc11229384"/>
      <w:bookmarkStart w:id="72" w:name="_Toc104276533"/>
      <w:bookmarkStart w:id="73" w:name="_Toc127087212"/>
      <w:r>
        <w:rPr>
          <w:rStyle w:val="CharSectno"/>
        </w:rPr>
        <w:t>4D</w:t>
      </w:r>
      <w:r>
        <w:t>.</w:t>
      </w:r>
      <w:r>
        <w:tab/>
        <w:t>Application for permit</w:t>
      </w:r>
      <w:bookmarkEnd w:id="70"/>
      <w:bookmarkEnd w:id="71"/>
      <w:bookmarkEnd w:id="72"/>
      <w:bookmarkEnd w:id="73"/>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74" w:name="_Toc8623544"/>
      <w:bookmarkStart w:id="75" w:name="_Toc11229385"/>
      <w:bookmarkStart w:id="76" w:name="_Toc104276534"/>
      <w:bookmarkStart w:id="77" w:name="_Toc127087213"/>
      <w:r>
        <w:rPr>
          <w:rStyle w:val="CharSectno"/>
        </w:rPr>
        <w:t>4E</w:t>
      </w:r>
      <w:r>
        <w:t>.</w:t>
      </w:r>
      <w:r>
        <w:tab/>
        <w:t>Area of land to which permit applies</w:t>
      </w:r>
      <w:bookmarkEnd w:id="74"/>
      <w:bookmarkEnd w:id="75"/>
      <w:bookmarkEnd w:id="76"/>
      <w:bookmarkEnd w:id="77"/>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78" w:name="_Toc8623545"/>
      <w:bookmarkStart w:id="79" w:name="_Toc11229386"/>
      <w:bookmarkStart w:id="80" w:name="_Toc104276535"/>
      <w:bookmarkStart w:id="81" w:name="_Toc127087214"/>
      <w:r>
        <w:rPr>
          <w:rStyle w:val="CharSectno"/>
        </w:rPr>
        <w:t>4F</w:t>
      </w:r>
      <w:r>
        <w:t>.</w:t>
      </w:r>
      <w:r>
        <w:tab/>
        <w:t>Permit conditions</w:t>
      </w:r>
      <w:bookmarkEnd w:id="78"/>
      <w:bookmarkEnd w:id="79"/>
      <w:bookmarkEnd w:id="80"/>
      <w:bookmarkEnd w:id="81"/>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 xml:space="preserve">if the application for the permit is not accompanied by a licensee statement, a condition requiring the permit holder not to prospect on the land before the permit comes into operation under regulation 4I; </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82" w:name="_Toc8623546"/>
      <w:bookmarkStart w:id="83" w:name="_Toc11229387"/>
      <w:bookmarkStart w:id="84" w:name="_Toc104276536"/>
      <w:bookmarkStart w:id="85" w:name="_Toc127087215"/>
      <w:r>
        <w:rPr>
          <w:rStyle w:val="CharSectno"/>
        </w:rPr>
        <w:t>4G</w:t>
      </w:r>
      <w:r>
        <w:t>.</w:t>
      </w:r>
      <w:r>
        <w:tab/>
        <w:t>Notice of issue of permit</w:t>
      </w:r>
      <w:bookmarkEnd w:id="82"/>
      <w:bookmarkEnd w:id="83"/>
      <w:bookmarkEnd w:id="84"/>
      <w:bookmarkEnd w:id="85"/>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86" w:name="_Toc8623547"/>
      <w:bookmarkStart w:id="87" w:name="_Toc11229388"/>
      <w:bookmarkStart w:id="88" w:name="_Toc104276537"/>
      <w:bookmarkStart w:id="89" w:name="_Toc127087216"/>
      <w:r>
        <w:rPr>
          <w:rStyle w:val="CharSectno"/>
        </w:rPr>
        <w:t>4H</w:t>
      </w:r>
      <w:r>
        <w:t>.</w:t>
      </w:r>
      <w:r>
        <w:tab/>
        <w:t xml:space="preserve">Statement by holder of exploration </w:t>
      </w:r>
      <w:bookmarkEnd w:id="86"/>
      <w:r>
        <w:t>licence</w:t>
      </w:r>
      <w:bookmarkEnd w:id="87"/>
      <w:bookmarkEnd w:id="88"/>
      <w:bookmarkEnd w:id="89"/>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90" w:name="_Toc8623548"/>
      <w:bookmarkStart w:id="91" w:name="_Toc11229389"/>
      <w:bookmarkStart w:id="92" w:name="_Toc104276538"/>
      <w:bookmarkStart w:id="93" w:name="_Toc127087217"/>
      <w:r>
        <w:rPr>
          <w:rStyle w:val="CharSectno"/>
        </w:rPr>
        <w:t>4I</w:t>
      </w:r>
      <w:r>
        <w:t>.</w:t>
      </w:r>
      <w:r>
        <w:tab/>
        <w:t>Commencement of operation of permit</w:t>
      </w:r>
      <w:bookmarkEnd w:id="90"/>
      <w:bookmarkEnd w:id="91"/>
      <w:bookmarkEnd w:id="92"/>
      <w:bookmarkEnd w:id="93"/>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94" w:name="_Toc8623549"/>
      <w:bookmarkStart w:id="95" w:name="_Toc11229390"/>
      <w:bookmarkStart w:id="96" w:name="_Toc104276539"/>
      <w:bookmarkStart w:id="97" w:name="_Toc127087218"/>
      <w:r>
        <w:rPr>
          <w:rStyle w:val="CharSectno"/>
        </w:rPr>
        <w:t>4J</w:t>
      </w:r>
      <w:r>
        <w:t>.</w:t>
      </w:r>
      <w:r>
        <w:tab/>
        <w:t>Expiry of permit</w:t>
      </w:r>
      <w:bookmarkEnd w:id="94"/>
      <w:bookmarkEnd w:id="95"/>
      <w:bookmarkEnd w:id="96"/>
      <w:bookmarkEnd w:id="97"/>
    </w:p>
    <w:p>
      <w:pPr>
        <w:pStyle w:val="Subsection"/>
      </w:pPr>
      <w:r>
        <w:tab/>
      </w:r>
      <w:r>
        <w:tab/>
        <w:t xml:space="preserve">A permit stops being in force in respect of land when one of the following happens —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Footnotesection"/>
      </w:pPr>
      <w:r>
        <w:tab/>
        <w:t>[Regulation 4J inserted in Gazette 2 Feb 2001 p. 707.]</w:t>
      </w:r>
    </w:p>
    <w:p>
      <w:pPr>
        <w:pStyle w:val="Heading5"/>
      </w:pPr>
      <w:bookmarkStart w:id="98" w:name="_Toc8623550"/>
      <w:bookmarkStart w:id="99" w:name="_Toc11229391"/>
      <w:bookmarkStart w:id="100" w:name="_Toc104276540"/>
      <w:bookmarkStart w:id="101" w:name="_Toc127087219"/>
      <w:r>
        <w:rPr>
          <w:rStyle w:val="CharSectno"/>
        </w:rPr>
        <w:t>4K</w:t>
      </w:r>
      <w:r>
        <w:t>.</w:t>
      </w:r>
      <w:r>
        <w:tab/>
        <w:t>Surrender of permit</w:t>
      </w:r>
      <w:bookmarkEnd w:id="98"/>
      <w:bookmarkEnd w:id="99"/>
      <w:bookmarkEnd w:id="100"/>
      <w:bookmarkEnd w:id="101"/>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02" w:name="_Toc8623551"/>
      <w:bookmarkStart w:id="103" w:name="_Toc11229392"/>
      <w:bookmarkStart w:id="104" w:name="_Toc104276541"/>
      <w:bookmarkStart w:id="105" w:name="_Toc127087220"/>
      <w:r>
        <w:rPr>
          <w:rStyle w:val="CharSectno"/>
        </w:rPr>
        <w:t>4L</w:t>
      </w:r>
      <w:r>
        <w:t>.</w:t>
      </w:r>
      <w:r>
        <w:tab/>
        <w:t>Powers available to Minister where breach of condition, etc.</w:t>
      </w:r>
      <w:bookmarkEnd w:id="102"/>
      <w:bookmarkEnd w:id="103"/>
      <w:bookmarkEnd w:id="104"/>
      <w:bookmarkEnd w:id="105"/>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06" w:name="_Toc8623552"/>
      <w:bookmarkStart w:id="107" w:name="_Toc11229393"/>
      <w:bookmarkStart w:id="108" w:name="_Toc104276542"/>
      <w:bookmarkStart w:id="109" w:name="_Toc127087221"/>
      <w:r>
        <w:rPr>
          <w:rStyle w:val="CharSectno"/>
        </w:rPr>
        <w:t>4M</w:t>
      </w:r>
      <w:r>
        <w:t>.</w:t>
      </w:r>
      <w:r>
        <w:tab/>
        <w:t>Right of permit holder to make submissions</w:t>
      </w:r>
      <w:bookmarkEnd w:id="106"/>
      <w:bookmarkEnd w:id="107"/>
      <w:bookmarkEnd w:id="108"/>
      <w:bookmarkEnd w:id="109"/>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10" w:name="_Toc8623553"/>
      <w:bookmarkStart w:id="111" w:name="_Toc11229394"/>
      <w:bookmarkStart w:id="112" w:name="_Toc104276543"/>
      <w:bookmarkStart w:id="113" w:name="_Toc127087222"/>
      <w:r>
        <w:rPr>
          <w:rStyle w:val="CharSectno"/>
        </w:rPr>
        <w:t>4N</w:t>
      </w:r>
      <w:r>
        <w:t>.</w:t>
      </w:r>
      <w:r>
        <w:tab/>
        <w:t>Prospecting report on recovered minerals</w:t>
      </w:r>
      <w:bookmarkEnd w:id="110"/>
      <w:bookmarkEnd w:id="111"/>
      <w:bookmarkEnd w:id="112"/>
      <w:bookmarkEnd w:id="11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 xml:space="preserve">The permit holder must, within 14 days after the permit stops being in force —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14" w:name="_Toc8623554"/>
      <w:bookmarkStart w:id="115" w:name="_Toc11229395"/>
      <w:bookmarkStart w:id="116" w:name="_Toc104276544"/>
      <w:bookmarkStart w:id="117" w:name="_Toc127087223"/>
      <w:r>
        <w:rPr>
          <w:rStyle w:val="CharSectno"/>
        </w:rPr>
        <w:t>4O</w:t>
      </w:r>
      <w:r>
        <w:t>.</w:t>
      </w:r>
      <w:r>
        <w:tab/>
        <w:t>Prohibition of use of certain hand tools</w:t>
      </w:r>
      <w:bookmarkEnd w:id="114"/>
      <w:bookmarkEnd w:id="115"/>
      <w:bookmarkEnd w:id="116"/>
      <w:bookmarkEnd w:id="117"/>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18" w:name="_Toc8623555"/>
      <w:bookmarkStart w:id="119" w:name="_Toc11229396"/>
      <w:bookmarkStart w:id="120" w:name="_Toc104276545"/>
      <w:bookmarkStart w:id="121" w:name="_Toc127087224"/>
      <w:r>
        <w:rPr>
          <w:rStyle w:val="CharSectno"/>
        </w:rPr>
        <w:t>4P</w:t>
      </w:r>
      <w:r>
        <w:t>.</w:t>
      </w:r>
      <w:r>
        <w:tab/>
        <w:t>Application of regulations 98 and 99</w:t>
      </w:r>
      <w:bookmarkEnd w:id="118"/>
      <w:bookmarkEnd w:id="119"/>
      <w:bookmarkEnd w:id="120"/>
      <w:bookmarkEnd w:id="121"/>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22" w:name="_Toc74978829"/>
      <w:bookmarkStart w:id="123" w:name="_Toc74979093"/>
      <w:bookmarkStart w:id="124" w:name="_Toc79976391"/>
      <w:bookmarkStart w:id="125" w:name="_Toc80759662"/>
      <w:bookmarkStart w:id="126" w:name="_Toc80783425"/>
      <w:bookmarkStart w:id="127" w:name="_Toc94931092"/>
      <w:bookmarkStart w:id="128" w:name="_Toc104275215"/>
      <w:bookmarkStart w:id="129" w:name="_Toc104276546"/>
      <w:bookmarkStart w:id="130" w:name="_Toc107198767"/>
      <w:bookmarkStart w:id="131" w:name="_Toc107799218"/>
      <w:bookmarkStart w:id="132" w:name="_Toc127087225"/>
      <w:r>
        <w:rPr>
          <w:rStyle w:val="CharPartNo"/>
        </w:rPr>
        <w:t>Part III</w:t>
      </w:r>
      <w:r>
        <w:rPr>
          <w:rStyle w:val="CharDivNo"/>
        </w:rPr>
        <w:t> </w:t>
      </w:r>
      <w:r>
        <w:t>—</w:t>
      </w:r>
      <w:r>
        <w:rPr>
          <w:rStyle w:val="CharDivText"/>
        </w:rPr>
        <w:t> </w:t>
      </w:r>
      <w:r>
        <w:rPr>
          <w:rStyle w:val="CharPartText"/>
        </w:rPr>
        <w:t>Mining on private land</w:t>
      </w:r>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5"/>
        <w:spacing w:before="200"/>
        <w:rPr>
          <w:snapToGrid w:val="0"/>
        </w:rPr>
      </w:pPr>
      <w:bookmarkStart w:id="133" w:name="_Toc474633020"/>
      <w:bookmarkStart w:id="134" w:name="_Toc488740169"/>
      <w:bookmarkStart w:id="135" w:name="_Toc8623556"/>
      <w:bookmarkStart w:id="136" w:name="_Toc11229397"/>
      <w:bookmarkStart w:id="137" w:name="_Toc104276547"/>
      <w:bookmarkStart w:id="138" w:name="_Toc127087226"/>
      <w:r>
        <w:rPr>
          <w:rStyle w:val="CharSectno"/>
        </w:rPr>
        <w:t>5</w:t>
      </w:r>
      <w:r>
        <w:rPr>
          <w:snapToGrid w:val="0"/>
        </w:rPr>
        <w:t>.</w:t>
      </w:r>
      <w:r>
        <w:rPr>
          <w:snapToGrid w:val="0"/>
        </w:rPr>
        <w:tab/>
        <w:t>Application for permit to enter private land</w:t>
      </w:r>
      <w:bookmarkEnd w:id="133"/>
      <w:bookmarkEnd w:id="134"/>
      <w:bookmarkEnd w:id="135"/>
      <w:bookmarkEnd w:id="136"/>
      <w:bookmarkEnd w:id="137"/>
      <w:bookmarkEnd w:id="138"/>
      <w:r>
        <w:rPr>
          <w:snapToGrid w:val="0"/>
        </w:rPr>
        <w:t xml:space="preserve"> </w:t>
      </w:r>
    </w:p>
    <w:p>
      <w:pPr>
        <w:pStyle w:val="Subsection"/>
        <w:spacing w:before="140"/>
        <w:rPr>
          <w:snapToGrid w:val="0"/>
        </w:rPr>
      </w:pPr>
      <w:r>
        <w:rPr>
          <w:snapToGrid w:val="0"/>
        </w:rPr>
        <w:tab/>
      </w:r>
      <w:r>
        <w:rPr>
          <w:snapToGrid w:val="0"/>
        </w:rPr>
        <w:tab/>
        <w:t>Application under section 30 of the Act for a permit to enter on any private land shall be —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Footnotesection"/>
      </w:pPr>
      <w:r>
        <w:tab/>
        <w:t xml:space="preserve">[Regulation 5 amended in Gazette 31 Jul 1992 p. 3775.] </w:t>
      </w:r>
    </w:p>
    <w:p>
      <w:pPr>
        <w:pStyle w:val="Heading5"/>
        <w:rPr>
          <w:snapToGrid w:val="0"/>
        </w:rPr>
      </w:pPr>
      <w:bookmarkStart w:id="139" w:name="_Toc474633021"/>
      <w:bookmarkStart w:id="140" w:name="_Toc488740170"/>
      <w:bookmarkStart w:id="141" w:name="_Toc8623557"/>
      <w:bookmarkStart w:id="142" w:name="_Toc11229398"/>
      <w:bookmarkStart w:id="143" w:name="_Toc104276548"/>
      <w:bookmarkStart w:id="144" w:name="_Toc127087227"/>
      <w:r>
        <w:rPr>
          <w:rStyle w:val="CharSectno"/>
        </w:rPr>
        <w:t>6</w:t>
      </w:r>
      <w:r>
        <w:rPr>
          <w:snapToGrid w:val="0"/>
        </w:rPr>
        <w:t>.</w:t>
      </w:r>
      <w:r>
        <w:rPr>
          <w:snapToGrid w:val="0"/>
        </w:rPr>
        <w:tab/>
        <w:t>Form of permit to enter</w:t>
      </w:r>
      <w:bookmarkEnd w:id="139"/>
      <w:bookmarkEnd w:id="140"/>
      <w:bookmarkEnd w:id="141"/>
      <w:bookmarkEnd w:id="142"/>
      <w:bookmarkEnd w:id="143"/>
      <w:bookmarkEnd w:id="144"/>
      <w:r>
        <w:rPr>
          <w:snapToGrid w:val="0"/>
        </w:rPr>
        <w:t xml:space="preserve"> </w:t>
      </w:r>
    </w:p>
    <w:p>
      <w:pPr>
        <w:pStyle w:val="Subsection"/>
        <w:spacing w:before="140"/>
        <w:rPr>
          <w:snapToGrid w:val="0"/>
        </w:rPr>
      </w:pPr>
      <w:r>
        <w:rPr>
          <w:snapToGrid w:val="0"/>
        </w:rPr>
        <w:tab/>
      </w:r>
      <w:r>
        <w:rPr>
          <w:snapToGrid w:val="0"/>
        </w:rPr>
        <w:tab/>
        <w:t>A permit to enter upon private land shall be in the form No. 3 in the First Schedule.</w:t>
      </w:r>
    </w:p>
    <w:p>
      <w:pPr>
        <w:pStyle w:val="Heading5"/>
        <w:spacing w:before="200"/>
        <w:rPr>
          <w:snapToGrid w:val="0"/>
        </w:rPr>
      </w:pPr>
      <w:bookmarkStart w:id="145" w:name="_Toc474633022"/>
      <w:bookmarkStart w:id="146" w:name="_Toc488740171"/>
      <w:bookmarkStart w:id="147" w:name="_Toc8623558"/>
      <w:bookmarkStart w:id="148" w:name="_Toc11229399"/>
      <w:bookmarkStart w:id="149" w:name="_Toc104276549"/>
      <w:bookmarkStart w:id="150" w:name="_Toc127087228"/>
      <w:r>
        <w:rPr>
          <w:rStyle w:val="CharSectno"/>
        </w:rPr>
        <w:t>7</w:t>
      </w:r>
      <w:r>
        <w:rPr>
          <w:snapToGrid w:val="0"/>
        </w:rPr>
        <w:t>.</w:t>
      </w:r>
      <w:r>
        <w:rPr>
          <w:snapToGrid w:val="0"/>
        </w:rPr>
        <w:tab/>
        <w:t>Notice of application relating to private land</w:t>
      </w:r>
      <w:bookmarkEnd w:id="145"/>
      <w:bookmarkEnd w:id="146"/>
      <w:bookmarkEnd w:id="147"/>
      <w:bookmarkEnd w:id="148"/>
      <w:bookmarkEnd w:id="149"/>
      <w:bookmarkEnd w:id="150"/>
      <w:r>
        <w:rPr>
          <w:snapToGrid w:val="0"/>
        </w:rPr>
        <w:t xml:space="preserve"> </w:t>
      </w:r>
    </w:p>
    <w:p>
      <w:pPr>
        <w:pStyle w:val="Subsection"/>
        <w:spacing w:before="140"/>
        <w:rPr>
          <w:snapToGrid w:val="0"/>
        </w:rPr>
      </w:pPr>
      <w:r>
        <w:rPr>
          <w:snapToGrid w:val="0"/>
        </w:rPr>
        <w:tab/>
        <w:t>(1)</w:t>
      </w:r>
      <w:r>
        <w:rPr>
          <w:snapToGrid w:val="0"/>
        </w:rPr>
        <w:tab/>
        <w:t>The notice required to be given under section 33(1) of the Act is —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80"/>
        <w:rPr>
          <w:snapToGrid w:val="0"/>
        </w:rPr>
      </w:pPr>
      <w:r>
        <w:rPr>
          <w:snapToGrid w:val="0"/>
        </w:rPr>
        <w:tab/>
      </w:r>
      <w:r>
        <w:rPr>
          <w:snapToGrid w:val="0"/>
        </w:rPr>
        <w:tab/>
        <w:t>to be served within 14 days of the date of lodgment of the application.</w:t>
      </w:r>
    </w:p>
    <w:p>
      <w:pPr>
        <w:pStyle w:val="Subsection"/>
        <w:spacing w:before="140"/>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 xml:space="preserve">[Regulation 7 amended in Gazette 16 Nov 1990 p. 5728; 31 May 1991 p. 2696.] </w:t>
      </w:r>
    </w:p>
    <w:p>
      <w:pPr>
        <w:pStyle w:val="Heading5"/>
        <w:rPr>
          <w:snapToGrid w:val="0"/>
        </w:rPr>
      </w:pPr>
      <w:bookmarkStart w:id="151" w:name="_Toc474633023"/>
      <w:bookmarkStart w:id="152" w:name="_Toc488740172"/>
      <w:bookmarkStart w:id="153" w:name="_Toc8623559"/>
      <w:bookmarkStart w:id="154" w:name="_Toc11229400"/>
      <w:bookmarkStart w:id="155" w:name="_Toc104276550"/>
      <w:bookmarkStart w:id="156" w:name="_Toc127087229"/>
      <w:r>
        <w:rPr>
          <w:rStyle w:val="CharSectno"/>
        </w:rPr>
        <w:t>8</w:t>
      </w:r>
      <w:r>
        <w:rPr>
          <w:snapToGrid w:val="0"/>
        </w:rPr>
        <w:t>.</w:t>
      </w:r>
      <w:r>
        <w:rPr>
          <w:snapToGrid w:val="0"/>
        </w:rPr>
        <w:tab/>
        <w:t>Application to bring private land under the Act</w:t>
      </w:r>
      <w:bookmarkEnd w:id="151"/>
      <w:bookmarkEnd w:id="152"/>
      <w:bookmarkEnd w:id="153"/>
      <w:bookmarkEnd w:id="154"/>
      <w:bookmarkEnd w:id="155"/>
      <w:bookmarkEnd w:id="156"/>
      <w:r>
        <w:rPr>
          <w:snapToGrid w:val="0"/>
        </w:rPr>
        <w:t xml:space="preserve"> </w:t>
      </w:r>
    </w:p>
    <w:p>
      <w:pPr>
        <w:pStyle w:val="Subsection"/>
        <w:spacing w:before="140"/>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spacing w:before="140"/>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157" w:name="_Toc474633024"/>
      <w:bookmarkStart w:id="158" w:name="_Toc488740173"/>
      <w:bookmarkStart w:id="159" w:name="_Toc8623560"/>
      <w:bookmarkStart w:id="160" w:name="_Toc11229401"/>
      <w:bookmarkStart w:id="161" w:name="_Toc104276551"/>
      <w:bookmarkStart w:id="162" w:name="_Toc127087230"/>
      <w:r>
        <w:rPr>
          <w:rStyle w:val="CharSectno"/>
        </w:rPr>
        <w:t>9</w:t>
      </w:r>
      <w:r>
        <w:rPr>
          <w:snapToGrid w:val="0"/>
        </w:rPr>
        <w:t>.</w:t>
      </w:r>
      <w:r>
        <w:rPr>
          <w:snapToGrid w:val="0"/>
        </w:rPr>
        <w:tab/>
        <w:t>Right of way on private land</w:t>
      </w:r>
      <w:bookmarkEnd w:id="157"/>
      <w:bookmarkEnd w:id="158"/>
      <w:bookmarkEnd w:id="159"/>
      <w:bookmarkEnd w:id="160"/>
      <w:bookmarkEnd w:id="161"/>
      <w:bookmarkEnd w:id="162"/>
      <w:r>
        <w:rPr>
          <w:snapToGrid w:val="0"/>
        </w:rPr>
        <w:t xml:space="preserve"> </w:t>
      </w:r>
    </w:p>
    <w:p>
      <w:pPr>
        <w:pStyle w:val="Subsection"/>
        <w:spacing w:before="140"/>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163" w:name="_Toc474633025"/>
      <w:bookmarkStart w:id="164" w:name="_Toc488740174"/>
      <w:bookmarkStart w:id="165" w:name="_Toc8623561"/>
      <w:bookmarkStart w:id="166" w:name="_Toc11229402"/>
      <w:bookmarkStart w:id="167" w:name="_Toc104276552"/>
      <w:bookmarkStart w:id="168" w:name="_Toc127087231"/>
      <w:r>
        <w:rPr>
          <w:rStyle w:val="CharSectno"/>
        </w:rPr>
        <w:t>10</w:t>
      </w:r>
      <w:r>
        <w:rPr>
          <w:snapToGrid w:val="0"/>
        </w:rPr>
        <w:t>.</w:t>
      </w:r>
      <w:r>
        <w:rPr>
          <w:snapToGrid w:val="0"/>
        </w:rPr>
        <w:tab/>
        <w:t>Consents under section 29</w:t>
      </w:r>
      <w:bookmarkEnd w:id="163"/>
      <w:bookmarkEnd w:id="164"/>
      <w:bookmarkEnd w:id="165"/>
      <w:bookmarkEnd w:id="166"/>
      <w:bookmarkEnd w:id="167"/>
      <w:bookmarkEnd w:id="168"/>
      <w:r>
        <w:rPr>
          <w:snapToGrid w:val="0"/>
        </w:rPr>
        <w:t xml:space="preserve"> </w:t>
      </w:r>
    </w:p>
    <w:p>
      <w:pPr>
        <w:pStyle w:val="Subsection"/>
        <w:spacing w:before="140"/>
        <w:rPr>
          <w:snapToGrid w:val="0"/>
        </w:rPr>
      </w:pPr>
      <w:r>
        <w:rPr>
          <w:snapToGrid w:val="0"/>
        </w:rPr>
        <w:tab/>
        <w:t>(1)</w:t>
      </w:r>
      <w:r>
        <w:rPr>
          <w:snapToGrid w:val="0"/>
        </w:rPr>
        <w:tab/>
        <w:t>The consents in writing referred to in section 29(2) shall be —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spacing w:before="140"/>
        <w:rPr>
          <w:snapToGrid w:val="0"/>
        </w:rPr>
      </w:pPr>
      <w:r>
        <w:rPr>
          <w:snapToGrid w:val="0"/>
        </w:rPr>
        <w:tab/>
        <w:t>(2)</w:t>
      </w:r>
      <w:r>
        <w:rPr>
          <w:snapToGrid w:val="0"/>
        </w:rPr>
        <w:tab/>
        <w:t>The consents in writing referred to in section 29(6) shall be —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 xml:space="preserve">[Regulation 10 inserted in Gazette 2 Oct 1987 p. 3814; amended in Gazette 4 Apr 1997 p. 1778.] </w:t>
      </w:r>
    </w:p>
    <w:p>
      <w:pPr>
        <w:pStyle w:val="Heading5"/>
        <w:rPr>
          <w:snapToGrid w:val="0"/>
        </w:rPr>
      </w:pPr>
      <w:bookmarkStart w:id="169" w:name="_Toc474633026"/>
      <w:bookmarkStart w:id="170" w:name="_Toc488740175"/>
      <w:bookmarkStart w:id="171" w:name="_Toc8623562"/>
      <w:bookmarkStart w:id="172" w:name="_Toc11229403"/>
      <w:bookmarkStart w:id="173" w:name="_Toc104276553"/>
      <w:bookmarkStart w:id="174" w:name="_Toc127087232"/>
      <w:r>
        <w:rPr>
          <w:rStyle w:val="CharSectno"/>
        </w:rPr>
        <w:t>10A</w:t>
      </w:r>
      <w:r>
        <w:rPr>
          <w:snapToGrid w:val="0"/>
        </w:rPr>
        <w:t>.</w:t>
      </w:r>
      <w:r>
        <w:rPr>
          <w:snapToGrid w:val="0"/>
        </w:rPr>
        <w:tab/>
        <w:t>Compensation</w:t>
      </w:r>
      <w:bookmarkEnd w:id="169"/>
      <w:bookmarkEnd w:id="170"/>
      <w:bookmarkEnd w:id="171"/>
      <w:bookmarkEnd w:id="172"/>
      <w:bookmarkEnd w:id="173"/>
      <w:bookmarkEnd w:id="174"/>
      <w:r>
        <w:rPr>
          <w:snapToGrid w:val="0"/>
        </w:rPr>
        <w:t xml:space="preserve"> </w:t>
      </w:r>
    </w:p>
    <w:p>
      <w:pPr>
        <w:pStyle w:val="Subsection"/>
        <w:spacing w:before="140"/>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 </w:t>
      </w:r>
    </w:p>
    <w:p>
      <w:pPr>
        <w:pStyle w:val="Indenta"/>
        <w:rPr>
          <w:snapToGrid w:val="0"/>
        </w:rPr>
      </w:pPr>
      <w:r>
        <w:rPr>
          <w:snapToGrid w:val="0"/>
        </w:rPr>
        <w:tab/>
        <w:t>(a)</w:t>
      </w:r>
      <w:r>
        <w:rPr>
          <w:snapToGrid w:val="0"/>
        </w:rPr>
        <w:tab/>
        <w:t>fix a date and time for informal proceedings to be heard by the warden;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Attendance at informal proceedings referred to in subregulation (2)(a) is not compulsory and parties may submit written submissions to the warden.</w:t>
      </w:r>
    </w:p>
    <w:p>
      <w:pPr>
        <w:pStyle w:val="Footnotesection"/>
      </w:pPr>
      <w:r>
        <w:tab/>
        <w:t xml:space="preserve">[Regulation 10A inserted in Gazette 2 Oct 1987 p. 3814.] </w:t>
      </w:r>
    </w:p>
    <w:p>
      <w:pPr>
        <w:pStyle w:val="Heading2"/>
      </w:pPr>
      <w:bookmarkStart w:id="175" w:name="_Toc74978837"/>
      <w:bookmarkStart w:id="176" w:name="_Toc74979101"/>
      <w:bookmarkStart w:id="177" w:name="_Toc79976399"/>
      <w:bookmarkStart w:id="178" w:name="_Toc80759670"/>
      <w:bookmarkStart w:id="179" w:name="_Toc80783433"/>
      <w:bookmarkStart w:id="180" w:name="_Toc94931100"/>
      <w:bookmarkStart w:id="181" w:name="_Toc104275223"/>
      <w:bookmarkStart w:id="182" w:name="_Toc104276554"/>
      <w:bookmarkStart w:id="183" w:name="_Toc107198775"/>
      <w:bookmarkStart w:id="184" w:name="_Toc107799226"/>
      <w:bookmarkStart w:id="185" w:name="_Toc127087233"/>
      <w:r>
        <w:rPr>
          <w:rStyle w:val="CharPartNo"/>
        </w:rPr>
        <w:t>Part IV</w:t>
      </w:r>
      <w:r>
        <w:t> — </w:t>
      </w:r>
      <w:r>
        <w:rPr>
          <w:rStyle w:val="CharPartText"/>
        </w:rPr>
        <w:t>Mining tenements</w:t>
      </w:r>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3"/>
        <w:spacing w:before="180"/>
        <w:rPr>
          <w:snapToGrid w:val="0"/>
        </w:rPr>
      </w:pPr>
      <w:bookmarkStart w:id="186" w:name="_Toc74978838"/>
      <w:bookmarkStart w:id="187" w:name="_Toc74979102"/>
      <w:bookmarkStart w:id="188" w:name="_Toc79976400"/>
      <w:bookmarkStart w:id="189" w:name="_Toc80759671"/>
      <w:bookmarkStart w:id="190" w:name="_Toc80783434"/>
      <w:bookmarkStart w:id="191" w:name="_Toc94931101"/>
      <w:bookmarkStart w:id="192" w:name="_Toc104275224"/>
      <w:bookmarkStart w:id="193" w:name="_Toc104276555"/>
      <w:bookmarkStart w:id="194" w:name="_Toc107198776"/>
      <w:bookmarkStart w:id="195" w:name="_Toc107799227"/>
      <w:bookmarkStart w:id="196" w:name="_Toc127087234"/>
      <w:r>
        <w:rPr>
          <w:rStyle w:val="CharDivNo"/>
        </w:rPr>
        <w:t>Division 1</w:t>
      </w:r>
      <w:r>
        <w:rPr>
          <w:snapToGrid w:val="0"/>
        </w:rPr>
        <w:t> — </w:t>
      </w:r>
      <w:r>
        <w:rPr>
          <w:rStyle w:val="CharDivText"/>
        </w:rPr>
        <w:t>Prospecting licences</w:t>
      </w:r>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spacing w:before="180"/>
        <w:rPr>
          <w:snapToGrid w:val="0"/>
        </w:rPr>
      </w:pPr>
      <w:bookmarkStart w:id="197" w:name="_Toc474633027"/>
      <w:bookmarkStart w:id="198" w:name="_Toc488740176"/>
      <w:bookmarkStart w:id="199" w:name="_Toc8623563"/>
      <w:bookmarkStart w:id="200" w:name="_Toc11229404"/>
      <w:bookmarkStart w:id="201" w:name="_Toc104276556"/>
      <w:bookmarkStart w:id="202" w:name="_Toc127087235"/>
      <w:r>
        <w:rPr>
          <w:rStyle w:val="CharSectno"/>
        </w:rPr>
        <w:t>11</w:t>
      </w:r>
      <w:r>
        <w:rPr>
          <w:snapToGrid w:val="0"/>
        </w:rPr>
        <w:t>.</w:t>
      </w:r>
      <w:r>
        <w:rPr>
          <w:snapToGrid w:val="0"/>
        </w:rPr>
        <w:tab/>
        <w:t>Marking out and application</w:t>
      </w:r>
      <w:bookmarkEnd w:id="197"/>
      <w:bookmarkEnd w:id="198"/>
      <w:bookmarkEnd w:id="199"/>
      <w:bookmarkEnd w:id="200"/>
      <w:bookmarkEnd w:id="201"/>
      <w:bookmarkEnd w:id="202"/>
      <w:r>
        <w:rPr>
          <w:snapToGrid w:val="0"/>
        </w:rPr>
        <w:t xml:space="preserve"> </w:t>
      </w:r>
    </w:p>
    <w:p>
      <w:pPr>
        <w:pStyle w:val="Subsection"/>
        <w:spacing w:before="12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spacing w:before="180"/>
        <w:rPr>
          <w:snapToGrid w:val="0"/>
        </w:rPr>
      </w:pPr>
      <w:bookmarkStart w:id="203" w:name="_Toc474633029"/>
      <w:bookmarkStart w:id="204" w:name="_Toc488740178"/>
      <w:bookmarkStart w:id="205" w:name="_Toc8623564"/>
      <w:bookmarkStart w:id="206" w:name="_Toc11229405"/>
      <w:bookmarkStart w:id="207" w:name="_Toc104276557"/>
      <w:bookmarkStart w:id="208" w:name="_Toc127087236"/>
      <w:r>
        <w:rPr>
          <w:rStyle w:val="CharSectno"/>
        </w:rPr>
        <w:t>13</w:t>
      </w:r>
      <w:r>
        <w:rPr>
          <w:snapToGrid w:val="0"/>
        </w:rPr>
        <w:t>.</w:t>
      </w:r>
      <w:r>
        <w:rPr>
          <w:snapToGrid w:val="0"/>
        </w:rPr>
        <w:tab/>
        <w:t xml:space="preserve">Instrument of </w:t>
      </w:r>
      <w:bookmarkEnd w:id="203"/>
      <w:bookmarkEnd w:id="204"/>
      <w:bookmarkEnd w:id="205"/>
      <w:r>
        <w:rPr>
          <w:snapToGrid w:val="0"/>
        </w:rPr>
        <w:t>licence</w:t>
      </w:r>
      <w:bookmarkEnd w:id="206"/>
      <w:bookmarkEnd w:id="207"/>
      <w:bookmarkEnd w:id="208"/>
      <w:r>
        <w:rPr>
          <w:snapToGrid w:val="0"/>
        </w:rPr>
        <w:t xml:space="preserve"> </w:t>
      </w:r>
    </w:p>
    <w:p>
      <w:pPr>
        <w:pStyle w:val="Subsection"/>
        <w:spacing w:before="120"/>
        <w:rPr>
          <w:snapToGrid w:val="0"/>
        </w:rPr>
      </w:pPr>
      <w:r>
        <w:rPr>
          <w:snapToGrid w:val="0"/>
        </w:rPr>
        <w:tab/>
      </w:r>
      <w:r>
        <w:rPr>
          <w:snapToGrid w:val="0"/>
        </w:rPr>
        <w:tab/>
        <w:t>The instrument of licence for a prospecting licence shall be in the form No. 4 in the First Schedule.</w:t>
      </w:r>
    </w:p>
    <w:p>
      <w:pPr>
        <w:pStyle w:val="Heading5"/>
        <w:spacing w:before="180"/>
        <w:rPr>
          <w:snapToGrid w:val="0"/>
        </w:rPr>
      </w:pPr>
      <w:bookmarkStart w:id="209" w:name="_Toc474633030"/>
      <w:bookmarkStart w:id="210" w:name="_Toc488740179"/>
      <w:bookmarkStart w:id="211" w:name="_Toc8623565"/>
      <w:bookmarkStart w:id="212" w:name="_Toc11229406"/>
      <w:bookmarkStart w:id="213" w:name="_Toc104276558"/>
      <w:bookmarkStart w:id="214" w:name="_Toc127087237"/>
      <w:r>
        <w:rPr>
          <w:rStyle w:val="CharSectno"/>
        </w:rPr>
        <w:t>14</w:t>
      </w:r>
      <w:r>
        <w:rPr>
          <w:snapToGrid w:val="0"/>
        </w:rPr>
        <w:t>.</w:t>
      </w:r>
      <w:r>
        <w:rPr>
          <w:snapToGrid w:val="0"/>
        </w:rPr>
        <w:tab/>
        <w:t>Limit on amount of earth, etc., that may be removed</w:t>
      </w:r>
      <w:bookmarkEnd w:id="209"/>
      <w:bookmarkEnd w:id="210"/>
      <w:bookmarkEnd w:id="211"/>
      <w:bookmarkEnd w:id="212"/>
      <w:bookmarkEnd w:id="213"/>
      <w:bookmarkEnd w:id="214"/>
      <w:r>
        <w:rPr>
          <w:snapToGrid w:val="0"/>
        </w:rPr>
        <w:t xml:space="preserve"> </w:t>
      </w:r>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 xml:space="preserve">[Regulation 14 inserted in Gazette 31 May 1991 p. 2696.] </w:t>
      </w:r>
    </w:p>
    <w:p>
      <w:pPr>
        <w:pStyle w:val="Heading5"/>
        <w:spacing w:before="200"/>
        <w:rPr>
          <w:snapToGrid w:val="0"/>
        </w:rPr>
      </w:pPr>
      <w:bookmarkStart w:id="215" w:name="_Toc474633031"/>
      <w:bookmarkStart w:id="216" w:name="_Toc488740180"/>
      <w:bookmarkStart w:id="217" w:name="_Toc8623566"/>
      <w:bookmarkStart w:id="218" w:name="_Toc11229407"/>
      <w:bookmarkStart w:id="219" w:name="_Toc104276559"/>
      <w:bookmarkStart w:id="220" w:name="_Toc127087238"/>
      <w:r>
        <w:rPr>
          <w:rStyle w:val="CharSectno"/>
        </w:rPr>
        <w:t>15</w:t>
      </w:r>
      <w:r>
        <w:rPr>
          <w:snapToGrid w:val="0"/>
        </w:rPr>
        <w:t>.</w:t>
      </w:r>
      <w:r>
        <w:rPr>
          <w:snapToGrid w:val="0"/>
        </w:rPr>
        <w:tab/>
        <w:t>Expenditure condition</w:t>
      </w:r>
      <w:bookmarkEnd w:id="215"/>
      <w:bookmarkEnd w:id="216"/>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Footnotesection"/>
      </w:pPr>
      <w:r>
        <w:tab/>
        <w:t xml:space="preserve">[Regulation 15 amended in Gazette 16 Nov 1990 p. 5728; 31 Jul 1992 p. 3776; 11 Jun 1999 p. 2543; 18 Jun 1999 p. 2642; 17 Jan 2003 p. 110.] </w:t>
      </w:r>
    </w:p>
    <w:p>
      <w:pPr>
        <w:pStyle w:val="Heading5"/>
        <w:rPr>
          <w:snapToGrid w:val="0"/>
        </w:rPr>
      </w:pPr>
      <w:bookmarkStart w:id="221" w:name="_Toc474633032"/>
      <w:bookmarkStart w:id="222" w:name="_Toc488740181"/>
      <w:bookmarkStart w:id="223" w:name="_Toc8623567"/>
      <w:bookmarkStart w:id="224" w:name="_Toc11229408"/>
      <w:bookmarkStart w:id="225" w:name="_Toc104276560"/>
      <w:bookmarkStart w:id="226" w:name="_Toc127087239"/>
      <w:r>
        <w:rPr>
          <w:rStyle w:val="CharSectno"/>
        </w:rPr>
        <w:t>16</w:t>
      </w:r>
      <w:r>
        <w:rPr>
          <w:snapToGrid w:val="0"/>
        </w:rPr>
        <w:t>.</w:t>
      </w:r>
      <w:r>
        <w:rPr>
          <w:snapToGrid w:val="0"/>
        </w:rPr>
        <w:tab/>
        <w:t>Reports to be filed</w:t>
      </w:r>
      <w:bookmarkEnd w:id="221"/>
      <w:bookmarkEnd w:id="222"/>
      <w:bookmarkEnd w:id="223"/>
      <w:bookmarkEnd w:id="224"/>
      <w:bookmarkEnd w:id="225"/>
      <w:bookmarkEnd w:id="226"/>
      <w:r>
        <w:rPr>
          <w:snapToGrid w:val="0"/>
        </w:rPr>
        <w:t xml:space="preserve"> </w:t>
      </w:r>
    </w:p>
    <w:p>
      <w:pPr>
        <w:pStyle w:val="Subsection"/>
      </w:pPr>
      <w:r>
        <w:tab/>
        <w:t>(1)</w:t>
      </w:r>
      <w:r>
        <w:tab/>
        <w:t xml:space="preserve">A report required under section 51 is to be in the form No. 5 in the First Schedule and is to be filed —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 xml:space="preserve">[Regulation 16 amended in Gazette 2 Jul 1993 p. 3270; 17 Jan 2003 p. 110.] </w:t>
      </w:r>
    </w:p>
    <w:p>
      <w:pPr>
        <w:pStyle w:val="Heading5"/>
        <w:rPr>
          <w:snapToGrid w:val="0"/>
        </w:rPr>
      </w:pPr>
      <w:bookmarkStart w:id="227" w:name="_Toc474633033"/>
      <w:bookmarkStart w:id="228" w:name="_Toc488740182"/>
      <w:bookmarkStart w:id="229" w:name="_Toc8623568"/>
      <w:bookmarkStart w:id="230" w:name="_Toc11229409"/>
      <w:bookmarkStart w:id="231" w:name="_Toc104276561"/>
      <w:bookmarkStart w:id="232" w:name="_Toc127087240"/>
      <w:r>
        <w:rPr>
          <w:rStyle w:val="CharSectno"/>
        </w:rPr>
        <w:t>16A</w:t>
      </w:r>
      <w:r>
        <w:rPr>
          <w:snapToGrid w:val="0"/>
        </w:rPr>
        <w:t>.</w:t>
      </w:r>
      <w:r>
        <w:rPr>
          <w:snapToGrid w:val="0"/>
        </w:rPr>
        <w:tab/>
        <w:t xml:space="preserve">Extension of prospecting </w:t>
      </w:r>
      <w:bookmarkEnd w:id="227"/>
      <w:bookmarkEnd w:id="228"/>
      <w:bookmarkEnd w:id="229"/>
      <w:r>
        <w:rPr>
          <w:snapToGrid w:val="0"/>
        </w:rPr>
        <w:t>licence</w:t>
      </w:r>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An application under section 45(3) (as continued in force by section 5(2) of the </w:t>
      </w:r>
      <w:r>
        <w:rPr>
          <w:i/>
          <w:snapToGrid w:val="0"/>
        </w:rPr>
        <w:t>Mining Amendment Act 1993</w:t>
      </w:r>
      <w:r>
        <w:rPr>
          <w:snapToGrid w:val="0"/>
        </w:rPr>
        <w:t>) to extend the term of a prospecting licence shall be — </w:t>
      </w:r>
    </w:p>
    <w:p>
      <w:pPr>
        <w:pStyle w:val="Indenta"/>
        <w:rPr>
          <w:snapToGrid w:val="0"/>
        </w:rPr>
      </w:pPr>
      <w:r>
        <w:rPr>
          <w:snapToGrid w:val="0"/>
        </w:rPr>
        <w:tab/>
        <w:t>(a)</w:t>
      </w:r>
      <w:r>
        <w:rPr>
          <w:snapToGrid w:val="0"/>
        </w:rPr>
        <w:tab/>
        <w:t>in the form No. 9 in the First Schedule;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16A inserted in Gazette 2 Oct 1987 p. 3814</w:t>
      </w:r>
      <w:r>
        <w:noBreakHyphen/>
        <w:t xml:space="preserve">15; amended in Gazette 24 Jun 1994 p. 2928; 2 Feb 2001 p. 712.] </w:t>
      </w:r>
    </w:p>
    <w:p>
      <w:pPr>
        <w:pStyle w:val="Heading3"/>
        <w:rPr>
          <w:snapToGrid w:val="0"/>
        </w:rPr>
      </w:pPr>
      <w:bookmarkStart w:id="233" w:name="_Toc74978845"/>
      <w:bookmarkStart w:id="234" w:name="_Toc74979109"/>
      <w:bookmarkStart w:id="235" w:name="_Toc79976407"/>
      <w:bookmarkStart w:id="236" w:name="_Toc80759678"/>
      <w:bookmarkStart w:id="237" w:name="_Toc80783441"/>
      <w:bookmarkStart w:id="238" w:name="_Toc94931108"/>
      <w:bookmarkStart w:id="239" w:name="_Toc104275231"/>
      <w:bookmarkStart w:id="240" w:name="_Toc104276562"/>
      <w:bookmarkStart w:id="241" w:name="_Toc107198783"/>
      <w:bookmarkStart w:id="242" w:name="_Toc107799234"/>
      <w:bookmarkStart w:id="243" w:name="_Toc127087241"/>
      <w:r>
        <w:rPr>
          <w:rStyle w:val="CharDivNo"/>
        </w:rPr>
        <w:t>Division 2</w:t>
      </w:r>
      <w:r>
        <w:rPr>
          <w:snapToGrid w:val="0"/>
        </w:rPr>
        <w:t> — </w:t>
      </w:r>
      <w:r>
        <w:rPr>
          <w:rStyle w:val="CharDivText"/>
        </w:rPr>
        <w:t>Exploration licences</w:t>
      </w:r>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spacing w:before="160"/>
        <w:rPr>
          <w:snapToGrid w:val="0"/>
        </w:rPr>
      </w:pPr>
      <w:bookmarkStart w:id="244" w:name="_Toc474633034"/>
      <w:bookmarkStart w:id="245" w:name="_Toc488740183"/>
      <w:bookmarkStart w:id="246" w:name="_Toc8623569"/>
      <w:bookmarkStart w:id="247" w:name="_Toc11229410"/>
      <w:bookmarkStart w:id="248" w:name="_Toc104276563"/>
      <w:bookmarkStart w:id="249" w:name="_Toc127087242"/>
      <w:r>
        <w:rPr>
          <w:rStyle w:val="CharSectno"/>
        </w:rPr>
        <w:t>17</w:t>
      </w:r>
      <w:r>
        <w:rPr>
          <w:snapToGrid w:val="0"/>
        </w:rPr>
        <w:t>.</w:t>
      </w:r>
      <w:r>
        <w:rPr>
          <w:snapToGrid w:val="0"/>
        </w:rPr>
        <w:tab/>
        <w:t>Application</w:t>
      </w:r>
      <w:bookmarkEnd w:id="244"/>
      <w:bookmarkEnd w:id="245"/>
      <w:bookmarkEnd w:id="246"/>
      <w:bookmarkEnd w:id="247"/>
      <w:bookmarkEnd w:id="248"/>
      <w:bookmarkEnd w:id="249"/>
      <w:r>
        <w:rPr>
          <w:snapToGrid w:val="0"/>
        </w:rPr>
        <w:t xml:space="preserve"> </w:t>
      </w:r>
    </w:p>
    <w:p>
      <w:pPr>
        <w:pStyle w:val="Subsection"/>
        <w:spacing w:before="10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250" w:name="_Toc474633036"/>
      <w:bookmarkStart w:id="251" w:name="_Toc488740185"/>
      <w:r>
        <w:t>[</w:t>
      </w:r>
      <w:r>
        <w:rPr>
          <w:b/>
        </w:rPr>
        <w:t>18.</w:t>
      </w:r>
      <w:r>
        <w:rPr>
          <w:b/>
        </w:rPr>
        <w:tab/>
      </w:r>
      <w:r>
        <w:t>Repealed in Gazette 2 Feb 2001 p. 712.]</w:t>
      </w:r>
    </w:p>
    <w:p>
      <w:pPr>
        <w:pStyle w:val="Heading5"/>
        <w:spacing w:before="180"/>
        <w:rPr>
          <w:snapToGrid w:val="0"/>
        </w:rPr>
      </w:pPr>
      <w:bookmarkStart w:id="252" w:name="_Toc8623570"/>
      <w:bookmarkStart w:id="253" w:name="_Toc11229411"/>
      <w:bookmarkStart w:id="254" w:name="_Toc104276564"/>
      <w:bookmarkStart w:id="255" w:name="_Toc127087243"/>
      <w:r>
        <w:rPr>
          <w:rStyle w:val="CharSectno"/>
        </w:rPr>
        <w:t>18A</w:t>
      </w:r>
      <w:r>
        <w:rPr>
          <w:snapToGrid w:val="0"/>
        </w:rPr>
        <w:t>.</w:t>
      </w:r>
      <w:r>
        <w:rPr>
          <w:snapToGrid w:val="0"/>
        </w:rPr>
        <w:tab/>
        <w:t>Prescribed procedure for certain applications</w:t>
      </w:r>
      <w:bookmarkEnd w:id="250"/>
      <w:bookmarkEnd w:id="251"/>
      <w:bookmarkEnd w:id="252"/>
      <w:bookmarkEnd w:id="253"/>
      <w:bookmarkEnd w:id="254"/>
      <w:bookmarkEnd w:id="255"/>
      <w:r>
        <w:rPr>
          <w:snapToGrid w:val="0"/>
        </w:rPr>
        <w:t xml:space="preserve"> </w:t>
      </w:r>
    </w:p>
    <w:p>
      <w:pPr>
        <w:pStyle w:val="Subsection"/>
        <w:spacing w:before="100"/>
        <w:rPr>
          <w:snapToGrid w:val="0"/>
        </w:rPr>
      </w:pPr>
      <w:r>
        <w:rPr>
          <w:snapToGrid w:val="0"/>
        </w:rPr>
        <w:tab/>
        <w:t>(1)</w:t>
      </w:r>
      <w:r>
        <w:rPr>
          <w:snapToGrid w:val="0"/>
        </w:rPr>
        <w:tab/>
        <w:t>This regulation applies to applications for exploration licences in respect of an area that are made at the first available opportunity after that area — </w:t>
      </w:r>
    </w:p>
    <w:p>
      <w:pPr>
        <w:pStyle w:val="Indenta"/>
        <w:spacing w:before="70"/>
        <w:rPr>
          <w:snapToGrid w:val="0"/>
        </w:rPr>
      </w:pPr>
      <w:r>
        <w:rPr>
          <w:snapToGrid w:val="0"/>
        </w:rPr>
        <w:tab/>
        <w:t>(a)</w:t>
      </w:r>
      <w:r>
        <w:rPr>
          <w:snapToGrid w:val="0"/>
        </w:rPr>
        <w:tab/>
        <w:t>has been surrendered under section 65; or</w:t>
      </w:r>
    </w:p>
    <w:p>
      <w:pPr>
        <w:pStyle w:val="Indenta"/>
        <w:spacing w:before="70"/>
        <w:rPr>
          <w:snapToGrid w:val="0"/>
        </w:rPr>
      </w:pPr>
      <w:r>
        <w:rPr>
          <w:snapToGrid w:val="0"/>
        </w:rPr>
        <w:tab/>
        <w:t>(b)</w:t>
      </w:r>
      <w:r>
        <w:rPr>
          <w:snapToGrid w:val="0"/>
        </w:rPr>
        <w:tab/>
        <w:t>has become forfeited under section 96A or 97.</w:t>
      </w:r>
    </w:p>
    <w:p>
      <w:pPr>
        <w:pStyle w:val="Subsection"/>
        <w:spacing w:before="120"/>
        <w:rPr>
          <w:snapToGrid w:val="0"/>
        </w:rPr>
      </w:pPr>
      <w:r>
        <w:rPr>
          <w:snapToGrid w:val="0"/>
        </w:rPr>
        <w:tab/>
        <w:t>(2)</w:t>
      </w:r>
      <w:r>
        <w:rPr>
          <w:snapToGrid w:val="0"/>
        </w:rPr>
        <w:tab/>
        <w:t>Applications to which this regulation applies shall be lodged by placing the applications in a tray specifically identified for that purpose at the office of the mining registrar.</w:t>
      </w:r>
    </w:p>
    <w:p>
      <w:pPr>
        <w:pStyle w:val="Subsection"/>
        <w:spacing w:before="120"/>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shall remove the tray.</w:t>
      </w:r>
    </w:p>
    <w:p>
      <w:pPr>
        <w:pStyle w:val="Subsection"/>
        <w:spacing w:before="120"/>
        <w:rPr>
          <w:snapToGrid w:val="0"/>
        </w:rPr>
      </w:pPr>
      <w:r>
        <w:rPr>
          <w:snapToGrid w:val="0"/>
        </w:rPr>
        <w:tab/>
        <w:t>(4)</w:t>
      </w:r>
      <w:r>
        <w:rPr>
          <w:snapToGrid w:val="0"/>
        </w:rPr>
        <w:tab/>
        <w:t>The applications contained in the tray after removal by the mining registrar shall be regarded as having been lodged — </w:t>
      </w:r>
    </w:p>
    <w:p>
      <w:pPr>
        <w:pStyle w:val="Indenta"/>
        <w:spacing w:before="70"/>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23(c) as the date and time for the release of the area surrendered; and</w:t>
      </w:r>
    </w:p>
    <w:p>
      <w:pPr>
        <w:pStyle w:val="Indenta"/>
        <w:spacing w:before="70"/>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spacing w:before="100"/>
        <w:ind w:left="890" w:hanging="890"/>
      </w:pPr>
      <w:r>
        <w:tab/>
        <w:t xml:space="preserve">[Regulation 18A inserted in Gazette 13 Oct 1995 p. 4814.] </w:t>
      </w:r>
    </w:p>
    <w:p>
      <w:pPr>
        <w:pStyle w:val="Heading5"/>
        <w:spacing w:before="180"/>
        <w:rPr>
          <w:snapToGrid w:val="0"/>
        </w:rPr>
      </w:pPr>
      <w:bookmarkStart w:id="256" w:name="_Toc474633037"/>
      <w:bookmarkStart w:id="257" w:name="_Toc488740186"/>
      <w:bookmarkStart w:id="258" w:name="_Toc8623571"/>
      <w:bookmarkStart w:id="259" w:name="_Toc11229412"/>
      <w:bookmarkStart w:id="260" w:name="_Toc104276565"/>
      <w:bookmarkStart w:id="261" w:name="_Toc127087244"/>
      <w:r>
        <w:rPr>
          <w:rStyle w:val="CharSectno"/>
        </w:rPr>
        <w:t>19</w:t>
      </w:r>
      <w:r>
        <w:rPr>
          <w:snapToGrid w:val="0"/>
        </w:rPr>
        <w:t>.</w:t>
      </w:r>
      <w:r>
        <w:rPr>
          <w:snapToGrid w:val="0"/>
        </w:rPr>
        <w:tab/>
        <w:t xml:space="preserve">Instrument of </w:t>
      </w:r>
      <w:bookmarkEnd w:id="256"/>
      <w:bookmarkEnd w:id="257"/>
      <w:bookmarkEnd w:id="258"/>
      <w:r>
        <w:rPr>
          <w:snapToGrid w:val="0"/>
        </w:rPr>
        <w:t>licence</w:t>
      </w:r>
      <w:bookmarkEnd w:id="259"/>
      <w:bookmarkEnd w:id="260"/>
      <w:bookmarkEnd w:id="261"/>
      <w:r>
        <w:rPr>
          <w:snapToGrid w:val="0"/>
        </w:rPr>
        <w:t xml:space="preserve"> </w:t>
      </w:r>
    </w:p>
    <w:p>
      <w:pPr>
        <w:pStyle w:val="Subsection"/>
        <w:spacing w:before="120"/>
        <w:rPr>
          <w:snapToGrid w:val="0"/>
        </w:rPr>
      </w:pPr>
      <w:r>
        <w:rPr>
          <w:snapToGrid w:val="0"/>
        </w:rPr>
        <w:tab/>
      </w:r>
      <w:r>
        <w:rPr>
          <w:snapToGrid w:val="0"/>
        </w:rPr>
        <w:tab/>
        <w:t>The instrument of licence for an exploration licence shall be in the form No. 6 in the First Schedule.</w:t>
      </w:r>
    </w:p>
    <w:p>
      <w:pPr>
        <w:pStyle w:val="Heading5"/>
        <w:spacing w:before="180"/>
        <w:rPr>
          <w:snapToGrid w:val="0"/>
        </w:rPr>
      </w:pPr>
      <w:bookmarkStart w:id="262" w:name="_Toc474633038"/>
      <w:bookmarkStart w:id="263" w:name="_Toc488740187"/>
      <w:bookmarkStart w:id="264" w:name="_Toc8623572"/>
      <w:bookmarkStart w:id="265" w:name="_Toc11229413"/>
      <w:bookmarkStart w:id="266" w:name="_Toc104276566"/>
      <w:bookmarkStart w:id="267" w:name="_Toc127087245"/>
      <w:r>
        <w:rPr>
          <w:rStyle w:val="CharSectno"/>
        </w:rPr>
        <w:t>20</w:t>
      </w:r>
      <w:r>
        <w:rPr>
          <w:snapToGrid w:val="0"/>
        </w:rPr>
        <w:t>.</w:t>
      </w:r>
      <w:r>
        <w:rPr>
          <w:snapToGrid w:val="0"/>
        </w:rPr>
        <w:tab/>
        <w:t>Limit on amount of earth, etc., that may be removed</w:t>
      </w:r>
      <w:bookmarkEnd w:id="262"/>
      <w:bookmarkEnd w:id="263"/>
      <w:bookmarkEnd w:id="264"/>
      <w:bookmarkEnd w:id="265"/>
      <w:bookmarkEnd w:id="266"/>
      <w:bookmarkEnd w:id="267"/>
      <w:r>
        <w:rPr>
          <w:snapToGrid w:val="0"/>
        </w:rPr>
        <w:t xml:space="preserve"> </w:t>
      </w:r>
    </w:p>
    <w:p>
      <w:pPr>
        <w:pStyle w:val="Subsection"/>
        <w:spacing w:before="12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 xml:space="preserve">[Regulation 20 inserted in Gazette 31 May 1991 p. 2697.] </w:t>
      </w:r>
    </w:p>
    <w:p>
      <w:pPr>
        <w:pStyle w:val="Heading5"/>
        <w:spacing w:before="180"/>
        <w:rPr>
          <w:snapToGrid w:val="0"/>
        </w:rPr>
      </w:pPr>
      <w:bookmarkStart w:id="268" w:name="_Toc474633039"/>
      <w:bookmarkStart w:id="269" w:name="_Toc488740188"/>
      <w:bookmarkStart w:id="270" w:name="_Toc8623573"/>
      <w:bookmarkStart w:id="271" w:name="_Toc11229414"/>
      <w:bookmarkStart w:id="272" w:name="_Toc104276567"/>
      <w:bookmarkStart w:id="273" w:name="_Toc127087246"/>
      <w:r>
        <w:rPr>
          <w:rStyle w:val="CharSectno"/>
        </w:rPr>
        <w:t>21</w:t>
      </w:r>
      <w:r>
        <w:rPr>
          <w:snapToGrid w:val="0"/>
        </w:rPr>
        <w:t>.</w:t>
      </w:r>
      <w:r>
        <w:rPr>
          <w:snapToGrid w:val="0"/>
        </w:rPr>
        <w:tab/>
        <w:t>Expenditure condition</w:t>
      </w:r>
      <w:bookmarkEnd w:id="268"/>
      <w:bookmarkEnd w:id="269"/>
      <w:bookmarkEnd w:id="270"/>
      <w:bookmarkEnd w:id="271"/>
      <w:bookmarkEnd w:id="272"/>
      <w:bookmarkEnd w:id="273"/>
      <w:r>
        <w:rPr>
          <w:snapToGrid w:val="0"/>
        </w:rPr>
        <w:t xml:space="preserve"> </w:t>
      </w:r>
    </w:p>
    <w:p>
      <w:pPr>
        <w:pStyle w:val="Subsection"/>
        <w:spacing w:before="120"/>
        <w:rPr>
          <w:snapToGrid w:val="0"/>
        </w:rPr>
      </w:pPr>
      <w:r>
        <w:rPr>
          <w:snapToGrid w:val="0"/>
        </w:rPr>
        <w:tab/>
        <w:t>(1)</w:t>
      </w:r>
      <w:r>
        <w:rPr>
          <w:snapToGrid w:val="0"/>
        </w:rPr>
        <w:tab/>
        <w:t>The holder of an exploration licence shall expend, or cause to be expended, in mining on or in connection with mining on the licence during each year of the term of the licence or, where the term of the licence is extended under section 61(2), during each of the first 5 years of that term — </w:t>
      </w:r>
    </w:p>
    <w:p>
      <w:pPr>
        <w:pStyle w:val="Indenta"/>
        <w:spacing w:before="70"/>
        <w:rPr>
          <w:snapToGrid w:val="0"/>
        </w:rPr>
      </w:pPr>
      <w:r>
        <w:rPr>
          <w:snapToGrid w:val="0"/>
        </w:rPr>
        <w:tab/>
        <w:t>(a)</w:t>
      </w:r>
      <w:r>
        <w:rPr>
          <w:snapToGrid w:val="0"/>
        </w:rPr>
        <w:tab/>
        <w:t>in respect of an existing exploration licence, not less that $300 for each square kilometre or part thereof of the area of the licence with a minimum of $20 000; or</w:t>
      </w:r>
    </w:p>
    <w:p>
      <w:pPr>
        <w:pStyle w:val="Indenta"/>
        <w:spacing w:before="70"/>
        <w:rPr>
          <w:snapToGrid w:val="0"/>
        </w:rPr>
      </w:pPr>
      <w:r>
        <w:rPr>
          <w:snapToGrid w:val="0"/>
        </w:rPr>
        <w:tab/>
        <w:t>(b)</w:t>
      </w:r>
      <w:r>
        <w:rPr>
          <w:snapToGrid w:val="0"/>
        </w:rPr>
        <w:tab/>
        <w:t>in respect of a graticular exploration licence — </w:t>
      </w:r>
    </w:p>
    <w:p>
      <w:pPr>
        <w:pStyle w:val="Indenti"/>
        <w:spacing w:before="70"/>
        <w:rPr>
          <w:snapToGrid w:val="0"/>
        </w:rPr>
      </w:pPr>
      <w:r>
        <w:rPr>
          <w:snapToGrid w:val="0"/>
        </w:rPr>
        <w:tab/>
        <w:t>(i)</w:t>
      </w:r>
      <w:r>
        <w:rPr>
          <w:snapToGrid w:val="0"/>
        </w:rPr>
        <w:tab/>
        <w:t>not less than $10 000 where one block only is subject to the licence;</w:t>
      </w:r>
    </w:p>
    <w:p>
      <w:pPr>
        <w:pStyle w:val="Indenti"/>
        <w:rPr>
          <w:snapToGrid w:val="0"/>
        </w:rPr>
      </w:pPr>
      <w:r>
        <w:rPr>
          <w:snapToGrid w:val="0"/>
        </w:rPr>
        <w:tab/>
        <w:t>(ii)</w:t>
      </w:r>
      <w:r>
        <w:rPr>
          <w:snapToGrid w:val="0"/>
        </w:rPr>
        <w:tab/>
        <w:t>not less than $15 000 where 2 blocks only are subject to the licence;</w:t>
      </w:r>
    </w:p>
    <w:p>
      <w:pPr>
        <w:pStyle w:val="Indenti"/>
        <w:rPr>
          <w:snapToGrid w:val="0"/>
        </w:rPr>
      </w:pPr>
      <w:r>
        <w:rPr>
          <w:snapToGrid w:val="0"/>
        </w:rPr>
        <w:tab/>
        <w:t>(iii)</w:t>
      </w:r>
      <w:r>
        <w:rPr>
          <w:snapToGrid w:val="0"/>
        </w:rPr>
        <w:tab/>
        <w:t>where 3 or more blocks are subject to the licence, not less than an amount assessed by reference to the number of blocks comprising the licence, calculated at $900 per block with a minimum of $20 000.</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snapToGrid w:val="0"/>
        </w:rPr>
      </w:pPr>
      <w:r>
        <w:rPr>
          <w:snapToGrid w:val="0"/>
        </w:rPr>
        <w:tab/>
        <w:t>(1b)</w:t>
      </w:r>
      <w:r>
        <w:rPr>
          <w:snapToGrid w:val="0"/>
        </w:rPr>
        <w:tab/>
        <w:t>If the term of an exploration licence is extended under section 61(2), the holder of the exploration licence shall, subject to subregulation (1d), expend, or cause to be expended, in mining on or in connection with mining on the licence — </w:t>
      </w:r>
    </w:p>
    <w:p>
      <w:pPr>
        <w:pStyle w:val="Indenta"/>
        <w:rPr>
          <w:snapToGrid w:val="0"/>
        </w:rPr>
      </w:pPr>
      <w:r>
        <w:rPr>
          <w:snapToGrid w:val="0"/>
        </w:rPr>
        <w:tab/>
        <w:t>(a)</w:t>
      </w:r>
      <w:r>
        <w:rPr>
          <w:snapToGrid w:val="0"/>
        </w:rPr>
        <w:tab/>
        <w:t>during the sixth and seventh year of the term of the licence, not less than $50 000 per year;</w:t>
      </w:r>
    </w:p>
    <w:p>
      <w:pPr>
        <w:pStyle w:val="Indenta"/>
        <w:rPr>
          <w:snapToGrid w:val="0"/>
        </w:rPr>
      </w:pPr>
      <w:r>
        <w:rPr>
          <w:snapToGrid w:val="0"/>
        </w:rPr>
        <w:tab/>
        <w:t>(b)</w:t>
      </w:r>
      <w:r>
        <w:rPr>
          <w:snapToGrid w:val="0"/>
        </w:rPr>
        <w:tab/>
        <w:t>during the eighth, ninth and any subsequent year of the term of the licence, not less than $100 000 per year,</w:t>
      </w:r>
    </w:p>
    <w:p>
      <w:pPr>
        <w:pStyle w:val="Subsection"/>
        <w:rPr>
          <w:snapToGrid w:val="0"/>
        </w:rPr>
      </w:pPr>
      <w:r>
        <w:rPr>
          <w:snapToGrid w:val="0"/>
        </w:rPr>
        <w:tab/>
      </w:r>
      <w:r>
        <w:rPr>
          <w:snapToGrid w:val="0"/>
        </w:rPr>
        <w:tab/>
        <w:t>irrespective of the area of the licence or, in the case of a graticular exploration licence, the number of blocks that are subject to the licence.</w:t>
      </w:r>
    </w:p>
    <w:p>
      <w:pPr>
        <w:pStyle w:val="Subsection"/>
        <w:rPr>
          <w:snapToGrid w:val="0"/>
        </w:rPr>
      </w:pPr>
      <w:r>
        <w:rPr>
          <w:snapToGrid w:val="0"/>
        </w:rPr>
        <w:tab/>
        <w:t>(1c)</w:t>
      </w:r>
      <w:r>
        <w:rPr>
          <w:snapToGrid w:val="0"/>
        </w:rPr>
        <w:tab/>
        <w:t>Subregulation (1) applies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Footnotesection"/>
      </w:pPr>
      <w:r>
        <w:tab/>
        <w:t>[Regulation 21 amended in Gazette 16 Nov 1990 p. 5728; 31 May 1991 p. 2697; 31 Jul 1992 p. 3776; 13 Oct 1995 p. 4814</w:t>
      </w:r>
      <w:r>
        <w:noBreakHyphen/>
        <w:t>15; 11 Jun 1999 p. 2543; 18 Jun 1999 p. 2642</w:t>
      </w:r>
      <w:r>
        <w:noBreakHyphen/>
        <w:t xml:space="preserve">3; 17 Jan 2003 p. 110.] </w:t>
      </w:r>
    </w:p>
    <w:p>
      <w:pPr>
        <w:pStyle w:val="Heading5"/>
        <w:spacing w:before="120"/>
        <w:rPr>
          <w:snapToGrid w:val="0"/>
        </w:rPr>
      </w:pPr>
      <w:bookmarkStart w:id="274" w:name="_Toc474633040"/>
      <w:bookmarkStart w:id="275" w:name="_Toc488740189"/>
      <w:bookmarkStart w:id="276" w:name="_Toc8623574"/>
      <w:bookmarkStart w:id="277" w:name="_Toc11229415"/>
      <w:bookmarkStart w:id="278" w:name="_Toc104276568"/>
      <w:bookmarkStart w:id="279" w:name="_Toc127087247"/>
      <w:r>
        <w:rPr>
          <w:rStyle w:val="CharSectno"/>
        </w:rPr>
        <w:t>22</w:t>
      </w:r>
      <w:r>
        <w:rPr>
          <w:snapToGrid w:val="0"/>
        </w:rPr>
        <w:t>.</w:t>
      </w:r>
      <w:r>
        <w:rPr>
          <w:snapToGrid w:val="0"/>
        </w:rPr>
        <w:tab/>
        <w:t>Reports to be filed</w:t>
      </w:r>
      <w:bookmarkEnd w:id="274"/>
      <w:bookmarkEnd w:id="275"/>
      <w:bookmarkEnd w:id="276"/>
      <w:bookmarkEnd w:id="277"/>
      <w:bookmarkEnd w:id="278"/>
      <w:bookmarkEnd w:id="279"/>
      <w:r>
        <w:rPr>
          <w:snapToGrid w:val="0"/>
        </w:rPr>
        <w:t xml:space="preserve"> </w:t>
      </w:r>
    </w:p>
    <w:p>
      <w:pPr>
        <w:pStyle w:val="Subsection"/>
      </w:pPr>
      <w:r>
        <w:rPr>
          <w:snapToGrid w:val="0"/>
        </w:rPr>
        <w:tab/>
        <w:t>(1)</w:t>
      </w:r>
      <w:r>
        <w:rPr>
          <w:snapToGrid w:val="0"/>
        </w:rPr>
        <w:tab/>
        <w:t xml:space="preserve">The reports required under section 68(3) shall be a report on operations on the mining tenement in the form No. 5 in the First Schedule to be </w:t>
      </w:r>
      <w:r>
        <w:t xml:space="preserve">filed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 xml:space="preserve">11.] </w:t>
      </w:r>
    </w:p>
    <w:p>
      <w:pPr>
        <w:pStyle w:val="Heading5"/>
        <w:rPr>
          <w:snapToGrid w:val="0"/>
        </w:rPr>
      </w:pPr>
      <w:bookmarkStart w:id="280" w:name="_Toc474633041"/>
      <w:bookmarkStart w:id="281" w:name="_Toc488740190"/>
      <w:bookmarkStart w:id="282" w:name="_Toc8623575"/>
      <w:bookmarkStart w:id="283" w:name="_Toc11229416"/>
      <w:bookmarkStart w:id="284" w:name="_Toc104276569"/>
      <w:bookmarkStart w:id="285" w:name="_Toc127087248"/>
      <w:r>
        <w:rPr>
          <w:rStyle w:val="CharSectno"/>
        </w:rPr>
        <w:t>23</w:t>
      </w:r>
      <w:r>
        <w:rPr>
          <w:snapToGrid w:val="0"/>
        </w:rPr>
        <w:t>.</w:t>
      </w:r>
      <w:r>
        <w:rPr>
          <w:snapToGrid w:val="0"/>
        </w:rPr>
        <w:tab/>
        <w:t>Endorsement of plans upon surrender</w:t>
      </w:r>
      <w:bookmarkEnd w:id="280"/>
      <w:bookmarkEnd w:id="281"/>
      <w:bookmarkEnd w:id="282"/>
      <w:bookmarkEnd w:id="283"/>
      <w:bookmarkEnd w:id="284"/>
      <w:bookmarkEnd w:id="285"/>
      <w:r>
        <w:rPr>
          <w:snapToGrid w:val="0"/>
        </w:rPr>
        <w:t xml:space="preserve"> </w:t>
      </w:r>
    </w:p>
    <w:p>
      <w:pPr>
        <w:pStyle w:val="Subsection"/>
        <w:spacing w:before="140"/>
        <w:rPr>
          <w:snapToGrid w:val="0"/>
        </w:rPr>
      </w:pPr>
      <w:r>
        <w:rPr>
          <w:snapToGrid w:val="0"/>
        </w:rPr>
        <w:tab/>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Footnotesection"/>
      </w:pPr>
      <w:r>
        <w:tab/>
        <w:t xml:space="preserve">[Regulation 23 inserted in Gazette 31 May 1991 p. 2697.] </w:t>
      </w:r>
    </w:p>
    <w:p>
      <w:pPr>
        <w:pStyle w:val="Heading5"/>
        <w:spacing w:before="180"/>
        <w:rPr>
          <w:snapToGrid w:val="0"/>
        </w:rPr>
      </w:pPr>
      <w:bookmarkStart w:id="286" w:name="_Toc474633042"/>
      <w:bookmarkStart w:id="287" w:name="_Toc488740191"/>
      <w:bookmarkStart w:id="288" w:name="_Toc8623576"/>
      <w:bookmarkStart w:id="289" w:name="_Toc11229417"/>
      <w:bookmarkStart w:id="290" w:name="_Toc104276570"/>
      <w:bookmarkStart w:id="291" w:name="_Toc127087249"/>
      <w:r>
        <w:rPr>
          <w:rStyle w:val="CharSectno"/>
        </w:rPr>
        <w:t>23AA</w:t>
      </w:r>
      <w:r>
        <w:rPr>
          <w:snapToGrid w:val="0"/>
        </w:rPr>
        <w:t>.</w:t>
      </w:r>
      <w:r>
        <w:rPr>
          <w:snapToGrid w:val="0"/>
        </w:rPr>
        <w:tab/>
        <w:t>Refund of rent following unsuccessful application under section 65(1a)</w:t>
      </w:r>
      <w:bookmarkEnd w:id="286"/>
      <w:bookmarkEnd w:id="287"/>
      <w:bookmarkEnd w:id="288"/>
      <w:bookmarkEnd w:id="289"/>
      <w:bookmarkEnd w:id="290"/>
      <w:bookmarkEnd w:id="291"/>
      <w:r>
        <w:rPr>
          <w:snapToGrid w:val="0"/>
        </w:rPr>
        <w:t xml:space="preserve"> </w:t>
      </w:r>
    </w:p>
    <w:p>
      <w:pPr>
        <w:pStyle w:val="Subsection"/>
        <w:spacing w:before="14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4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23AA inserted in Gazette 13 Oct 1995 p. 4815.] </w:t>
      </w:r>
    </w:p>
    <w:p>
      <w:pPr>
        <w:pStyle w:val="Heading5"/>
        <w:spacing w:before="180"/>
        <w:rPr>
          <w:snapToGrid w:val="0"/>
        </w:rPr>
      </w:pPr>
      <w:bookmarkStart w:id="292" w:name="_Toc474633043"/>
      <w:bookmarkStart w:id="293" w:name="_Toc488740192"/>
      <w:bookmarkStart w:id="294" w:name="_Toc8623577"/>
      <w:bookmarkStart w:id="295" w:name="_Toc11229418"/>
      <w:bookmarkStart w:id="296" w:name="_Toc104276571"/>
      <w:bookmarkStart w:id="297" w:name="_Toc127087250"/>
      <w:r>
        <w:rPr>
          <w:rStyle w:val="CharSectno"/>
        </w:rPr>
        <w:t>23AB</w:t>
      </w:r>
      <w:r>
        <w:rPr>
          <w:snapToGrid w:val="0"/>
        </w:rPr>
        <w:t>.</w:t>
      </w:r>
      <w:r>
        <w:rPr>
          <w:snapToGrid w:val="0"/>
        </w:rPr>
        <w:tab/>
        <w:t>Prescribed circumstances under section 61(2)(a)</w:t>
      </w:r>
      <w:bookmarkEnd w:id="292"/>
      <w:bookmarkEnd w:id="293"/>
      <w:bookmarkEnd w:id="294"/>
      <w:bookmarkEnd w:id="295"/>
      <w:bookmarkEnd w:id="296"/>
      <w:bookmarkEnd w:id="297"/>
      <w:r>
        <w:rPr>
          <w:snapToGrid w:val="0"/>
        </w:rPr>
        <w:t xml:space="preserve"> </w:t>
      </w:r>
    </w:p>
    <w:p>
      <w:pPr>
        <w:pStyle w:val="Subsection"/>
        <w:spacing w:before="140"/>
        <w:rPr>
          <w:snapToGrid w:val="0"/>
        </w:rPr>
      </w:pPr>
      <w:r>
        <w:rPr>
          <w:snapToGrid w:val="0"/>
        </w:rPr>
        <w:tab/>
      </w:r>
      <w:r>
        <w:rPr>
          <w:snapToGrid w:val="0"/>
        </w:rPr>
        <w:tab/>
        <w:t>For the purposes of section 61(2)(a), the Minister may extend the term of an exploration licence if the Minister is satisfied that — </w:t>
      </w:r>
    </w:p>
    <w:p>
      <w:pPr>
        <w:pStyle w:val="Indenta"/>
        <w:spacing w:before="70"/>
        <w:rPr>
          <w:snapToGrid w:val="0"/>
        </w:rPr>
      </w:pPr>
      <w:r>
        <w:rPr>
          <w:snapToGrid w:val="0"/>
        </w:rPr>
        <w:tab/>
        <w:t>(a)</w:t>
      </w:r>
      <w:r>
        <w:rPr>
          <w:snapToGrid w:val="0"/>
        </w:rPr>
        <w:tab/>
        <w:t>by reason of difficulties or delays —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 or</w:t>
      </w:r>
    </w:p>
    <w:p>
      <w:pPr>
        <w:pStyle w:val="Indenta"/>
        <w:spacing w:before="70"/>
        <w:rPr>
          <w:snapToGrid w:val="0"/>
        </w:rPr>
      </w:pPr>
      <w:r>
        <w:rPr>
          <w:snapToGrid w:val="0"/>
        </w:rPr>
        <w:tab/>
        <w:t>(c)</w:t>
      </w:r>
      <w:r>
        <w:rPr>
          <w:snapToGrid w:val="0"/>
        </w:rPr>
        <w:tab/>
        <w:t>work already carried out under the licence justifies further exploration on the basis that — </w:t>
      </w:r>
    </w:p>
    <w:p>
      <w:pPr>
        <w:pStyle w:val="Indenti"/>
        <w:spacing w:before="70"/>
        <w:rPr>
          <w:snapToGrid w:val="0"/>
        </w:rPr>
      </w:pPr>
      <w:r>
        <w:rPr>
          <w:snapToGrid w:val="0"/>
        </w:rPr>
        <w:tab/>
        <w:t>(i)</w:t>
      </w:r>
      <w:r>
        <w:rPr>
          <w:snapToGrid w:val="0"/>
        </w:rPr>
        <w:tab/>
        <w:t>significant mineralisation has been discovered; or</w:t>
      </w:r>
    </w:p>
    <w:p>
      <w:pPr>
        <w:pStyle w:val="Indenti"/>
        <w:spacing w:before="70"/>
        <w:rPr>
          <w:snapToGrid w:val="0"/>
        </w:rPr>
      </w:pPr>
      <w:r>
        <w:rPr>
          <w:snapToGrid w:val="0"/>
        </w:rPr>
        <w:tab/>
        <w:t>(ii)</w:t>
      </w:r>
      <w:r>
        <w:rPr>
          <w:snapToGrid w:val="0"/>
        </w:rPr>
        <w:tab/>
        <w:t>a new or revised geological concept is being used to identify new areas of mineralisation.</w:t>
      </w:r>
    </w:p>
    <w:p>
      <w:pPr>
        <w:pStyle w:val="Footnotesection"/>
      </w:pPr>
      <w:r>
        <w:tab/>
        <w:t xml:space="preserve">[Regulation 23AB inserted in Gazette 13 Oct 1995 p. 4816.] </w:t>
      </w:r>
    </w:p>
    <w:p>
      <w:pPr>
        <w:pStyle w:val="Heading5"/>
        <w:spacing w:before="180"/>
        <w:rPr>
          <w:snapToGrid w:val="0"/>
        </w:rPr>
      </w:pPr>
      <w:bookmarkStart w:id="298" w:name="_Toc474633044"/>
      <w:bookmarkStart w:id="299" w:name="_Toc488740193"/>
      <w:bookmarkStart w:id="300" w:name="_Toc8623578"/>
      <w:bookmarkStart w:id="301" w:name="_Toc11229419"/>
      <w:bookmarkStart w:id="302" w:name="_Toc104276572"/>
      <w:bookmarkStart w:id="303" w:name="_Toc127087251"/>
      <w:r>
        <w:rPr>
          <w:rStyle w:val="CharSectno"/>
        </w:rPr>
        <w:t>23A</w:t>
      </w:r>
      <w:r>
        <w:rPr>
          <w:snapToGrid w:val="0"/>
        </w:rPr>
        <w:t>.</w:t>
      </w:r>
      <w:r>
        <w:rPr>
          <w:snapToGrid w:val="0"/>
        </w:rPr>
        <w:tab/>
        <w:t xml:space="preserve">Extension of exploration </w:t>
      </w:r>
      <w:bookmarkEnd w:id="298"/>
      <w:bookmarkEnd w:id="299"/>
      <w:bookmarkEnd w:id="300"/>
      <w:r>
        <w:rPr>
          <w:snapToGrid w:val="0"/>
        </w:rPr>
        <w:t>licence</w:t>
      </w:r>
      <w:bookmarkEnd w:id="301"/>
      <w:bookmarkEnd w:id="302"/>
      <w:bookmarkEnd w:id="303"/>
      <w:r>
        <w:rPr>
          <w:snapToGrid w:val="0"/>
        </w:rPr>
        <w:t xml:space="preserve"> </w:t>
      </w:r>
    </w:p>
    <w:p>
      <w:pPr>
        <w:pStyle w:val="Subsection"/>
        <w:spacing w:before="120"/>
        <w:rPr>
          <w:snapToGrid w:val="0"/>
        </w:rPr>
      </w:pPr>
      <w:r>
        <w:rPr>
          <w:snapToGrid w:val="0"/>
        </w:rPr>
        <w:tab/>
        <w:t>(1)</w:t>
      </w:r>
      <w:r>
        <w:rPr>
          <w:snapToGrid w:val="0"/>
        </w:rPr>
        <w:tab/>
        <w:t>An application under section 61 to extend the term of an exploration licence shall — </w:t>
      </w:r>
    </w:p>
    <w:p>
      <w:pPr>
        <w:pStyle w:val="Indenta"/>
        <w:spacing w:before="70"/>
        <w:rPr>
          <w:snapToGrid w:val="0"/>
        </w:rPr>
      </w:pPr>
      <w:r>
        <w:rPr>
          <w:snapToGrid w:val="0"/>
        </w:rPr>
        <w:tab/>
        <w:t>(a)</w:t>
      </w:r>
      <w:r>
        <w:rPr>
          <w:snapToGrid w:val="0"/>
        </w:rPr>
        <w:tab/>
        <w:t>be made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t>a detailed report of the circumstances giving rise to the application, a summary of work already carried out under the licence and a detailed programme of work proposed to be carried out under the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23A inserted in Gazette 2 Oct 1987 p. 3815; amended in Gazette 13 Oct 1995 p. 4816; 2 Feb 2001 p. 712.] </w:t>
      </w:r>
    </w:p>
    <w:p>
      <w:pPr>
        <w:pStyle w:val="Heading3"/>
        <w:rPr>
          <w:snapToGrid w:val="0"/>
        </w:rPr>
      </w:pPr>
      <w:bookmarkStart w:id="304" w:name="_Toc74978856"/>
      <w:bookmarkStart w:id="305" w:name="_Toc74979120"/>
      <w:bookmarkStart w:id="306" w:name="_Toc79976418"/>
      <w:bookmarkStart w:id="307" w:name="_Toc80759689"/>
      <w:bookmarkStart w:id="308" w:name="_Toc80783452"/>
      <w:bookmarkStart w:id="309" w:name="_Toc94931119"/>
      <w:bookmarkStart w:id="310" w:name="_Toc104275242"/>
      <w:bookmarkStart w:id="311" w:name="_Toc104276573"/>
      <w:bookmarkStart w:id="312" w:name="_Toc107198794"/>
      <w:bookmarkStart w:id="313" w:name="_Toc107799245"/>
      <w:bookmarkStart w:id="314" w:name="_Toc127087252"/>
      <w:r>
        <w:rPr>
          <w:rStyle w:val="CharDivNo"/>
        </w:rPr>
        <w:t>Division 2A</w:t>
      </w:r>
      <w:r>
        <w:rPr>
          <w:snapToGrid w:val="0"/>
        </w:rPr>
        <w:t> — </w:t>
      </w:r>
      <w:r>
        <w:rPr>
          <w:rStyle w:val="CharDivText"/>
        </w:rPr>
        <w:t>Retention licences</w:t>
      </w:r>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Footnoteheading"/>
        <w:ind w:left="890"/>
        <w:rPr>
          <w:snapToGrid w:val="0"/>
        </w:rPr>
      </w:pPr>
      <w:r>
        <w:rPr>
          <w:snapToGrid w:val="0"/>
        </w:rPr>
        <w:tab/>
        <w:t>[Heading inserted in Gazette 24 Jun 1994 p. 2928.]</w:t>
      </w:r>
    </w:p>
    <w:p>
      <w:pPr>
        <w:pStyle w:val="Heading5"/>
        <w:rPr>
          <w:snapToGrid w:val="0"/>
        </w:rPr>
      </w:pPr>
      <w:bookmarkStart w:id="315" w:name="_Toc474633045"/>
      <w:bookmarkStart w:id="316" w:name="_Toc488740194"/>
      <w:bookmarkStart w:id="317" w:name="_Toc8623579"/>
      <w:bookmarkStart w:id="318" w:name="_Toc11229420"/>
      <w:bookmarkStart w:id="319" w:name="_Toc104276574"/>
      <w:bookmarkStart w:id="320" w:name="_Toc127087253"/>
      <w:r>
        <w:rPr>
          <w:rStyle w:val="CharSectno"/>
        </w:rPr>
        <w:t>23B</w:t>
      </w:r>
      <w:r>
        <w:rPr>
          <w:snapToGrid w:val="0"/>
        </w:rPr>
        <w:t>.</w:t>
      </w:r>
      <w:r>
        <w:rPr>
          <w:snapToGrid w:val="0"/>
        </w:rPr>
        <w:tab/>
        <w:t>Application and marking out</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 xml:space="preserve">[Regulation 23B inserted in Gazette 24 Jun 1994 p. 2928; amended in Gazette 4 Apr 1997 p. 1778.] </w:t>
      </w:r>
    </w:p>
    <w:p>
      <w:pPr>
        <w:pStyle w:val="Ednotesection"/>
        <w:rPr>
          <w:b/>
        </w:rPr>
      </w:pPr>
      <w:bookmarkStart w:id="321" w:name="_Toc474633047"/>
      <w:bookmarkStart w:id="322" w:name="_Toc488740196"/>
      <w:r>
        <w:t>[</w:t>
      </w:r>
      <w:r>
        <w:rPr>
          <w:b/>
        </w:rPr>
        <w:t>23C.</w:t>
      </w:r>
      <w:r>
        <w:rPr>
          <w:b/>
        </w:rPr>
        <w:tab/>
      </w:r>
      <w:r>
        <w:t>Repealed in Gazette 2 Feb 2001 p. 712.]</w:t>
      </w:r>
    </w:p>
    <w:p>
      <w:pPr>
        <w:pStyle w:val="Heading5"/>
        <w:rPr>
          <w:snapToGrid w:val="0"/>
        </w:rPr>
      </w:pPr>
      <w:bookmarkStart w:id="323" w:name="_Toc8623580"/>
      <w:bookmarkStart w:id="324" w:name="_Toc11229421"/>
      <w:bookmarkStart w:id="325" w:name="_Toc104276575"/>
      <w:bookmarkStart w:id="326" w:name="_Toc127087254"/>
      <w:r>
        <w:rPr>
          <w:rStyle w:val="CharSectno"/>
        </w:rPr>
        <w:t>23D</w:t>
      </w:r>
      <w:r>
        <w:rPr>
          <w:snapToGrid w:val="0"/>
        </w:rPr>
        <w:t>.</w:t>
      </w:r>
      <w:r>
        <w:rPr>
          <w:snapToGrid w:val="0"/>
        </w:rPr>
        <w:tab/>
        <w:t xml:space="preserve">Instrument of </w:t>
      </w:r>
      <w:bookmarkEnd w:id="321"/>
      <w:bookmarkEnd w:id="322"/>
      <w:bookmarkEnd w:id="323"/>
      <w:r>
        <w:rPr>
          <w:snapToGrid w:val="0"/>
        </w:rPr>
        <w:t>licence</w:t>
      </w:r>
      <w:bookmarkEnd w:id="324"/>
      <w:bookmarkEnd w:id="325"/>
      <w:bookmarkEnd w:id="326"/>
      <w:r>
        <w:rPr>
          <w:snapToGrid w:val="0"/>
        </w:rPr>
        <w:t xml:space="preserve"> </w:t>
      </w:r>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 xml:space="preserve">[Regulation 23D inserted in Gazette 24 Jun 1994 p. 2928.] </w:t>
      </w:r>
    </w:p>
    <w:p>
      <w:pPr>
        <w:pStyle w:val="Heading5"/>
        <w:spacing w:before="120"/>
        <w:rPr>
          <w:snapToGrid w:val="0"/>
        </w:rPr>
      </w:pPr>
      <w:bookmarkStart w:id="327" w:name="_Toc474633048"/>
      <w:bookmarkStart w:id="328" w:name="_Toc488740197"/>
      <w:bookmarkStart w:id="329" w:name="_Toc8623581"/>
      <w:bookmarkStart w:id="330" w:name="_Toc11229422"/>
      <w:bookmarkStart w:id="331" w:name="_Toc104276576"/>
      <w:bookmarkStart w:id="332" w:name="_Toc127087255"/>
      <w:r>
        <w:rPr>
          <w:rStyle w:val="CharSectno"/>
        </w:rPr>
        <w:t>23E</w:t>
      </w:r>
      <w:r>
        <w:rPr>
          <w:snapToGrid w:val="0"/>
        </w:rPr>
        <w:t>.</w:t>
      </w:r>
      <w:r>
        <w:rPr>
          <w:snapToGrid w:val="0"/>
        </w:rPr>
        <w:tab/>
        <w:t>Reports to be lodged</w:t>
      </w:r>
      <w:bookmarkEnd w:id="327"/>
      <w:bookmarkEnd w:id="328"/>
      <w:bookmarkEnd w:id="329"/>
      <w:bookmarkEnd w:id="330"/>
      <w:bookmarkEnd w:id="331"/>
      <w:bookmarkEnd w:id="332"/>
      <w:r>
        <w:rPr>
          <w:snapToGrid w:val="0"/>
        </w:rPr>
        <w:t xml:space="preserve"> </w:t>
      </w:r>
    </w:p>
    <w:p>
      <w:pPr>
        <w:pStyle w:val="Subsection"/>
        <w:spacing w:before="100"/>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 xml:space="preserve">lodged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 xml:space="preserve">A person who, in a report required under section 70H(1)(f), gives information that the person knows is false or misleading in a material respect commits an offence. </w:t>
      </w:r>
    </w:p>
    <w:p>
      <w:pPr>
        <w:pStyle w:val="Footnotesection"/>
      </w:pPr>
      <w:r>
        <w:tab/>
        <w:t>[Regulation 23E inserted in Gazette 24 Jun 1994 p. 2928</w:t>
      </w:r>
      <w:r>
        <w:noBreakHyphen/>
        <w:t xml:space="preserve">9; amended in Gazette 17 Jan 2003 p. 111.] </w:t>
      </w:r>
    </w:p>
    <w:p>
      <w:pPr>
        <w:pStyle w:val="Heading5"/>
        <w:rPr>
          <w:snapToGrid w:val="0"/>
        </w:rPr>
      </w:pPr>
      <w:bookmarkStart w:id="333" w:name="_Toc474633049"/>
      <w:bookmarkStart w:id="334" w:name="_Toc488740198"/>
      <w:bookmarkStart w:id="335" w:name="_Toc8623582"/>
      <w:bookmarkStart w:id="336" w:name="_Toc11229423"/>
      <w:bookmarkStart w:id="337" w:name="_Toc104276577"/>
      <w:bookmarkStart w:id="338" w:name="_Toc127087256"/>
      <w:r>
        <w:rPr>
          <w:rStyle w:val="CharSectno"/>
        </w:rPr>
        <w:t>23F</w:t>
      </w:r>
      <w:r>
        <w:rPr>
          <w:snapToGrid w:val="0"/>
        </w:rPr>
        <w:t>.</w:t>
      </w:r>
      <w:r>
        <w:rPr>
          <w:snapToGrid w:val="0"/>
        </w:rPr>
        <w:tab/>
        <w:t>Application for renewal</w:t>
      </w:r>
      <w:bookmarkEnd w:id="333"/>
      <w:bookmarkEnd w:id="334"/>
      <w:bookmarkEnd w:id="335"/>
      <w:bookmarkEnd w:id="336"/>
      <w:bookmarkEnd w:id="337"/>
      <w:bookmarkEnd w:id="338"/>
      <w:r>
        <w:rPr>
          <w:snapToGrid w:val="0"/>
        </w:rPr>
        <w:t xml:space="preserve"> </w:t>
      </w:r>
    </w:p>
    <w:p>
      <w:pPr>
        <w:pStyle w:val="Subsection"/>
        <w:spacing w:before="100"/>
        <w:rPr>
          <w:snapToGrid w:val="0"/>
        </w:rPr>
      </w:pPr>
      <w:r>
        <w:rPr>
          <w:snapToGrid w:val="0"/>
        </w:rPr>
        <w:tab/>
        <w:t>(1)</w:t>
      </w:r>
      <w:r>
        <w:rPr>
          <w:snapToGrid w:val="0"/>
        </w:rPr>
        <w:tab/>
        <w:t>An application under section 70E(2) for the renewal or further renewal of a retention licence shall be —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0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23F inserted in Gazette 24 Jun 1994 p. 2929; amended in Gazette 2 Feb 2001 p. 712.] </w:t>
      </w:r>
    </w:p>
    <w:p>
      <w:pPr>
        <w:pStyle w:val="Heading5"/>
        <w:spacing w:before="120"/>
        <w:rPr>
          <w:snapToGrid w:val="0"/>
        </w:rPr>
      </w:pPr>
      <w:bookmarkStart w:id="339" w:name="_Toc474633050"/>
      <w:bookmarkStart w:id="340" w:name="_Toc488740199"/>
      <w:bookmarkStart w:id="341" w:name="_Toc8623583"/>
      <w:bookmarkStart w:id="342" w:name="_Toc11229424"/>
      <w:bookmarkStart w:id="343" w:name="_Toc104276578"/>
      <w:bookmarkStart w:id="344" w:name="_Toc127087257"/>
      <w:r>
        <w:rPr>
          <w:rStyle w:val="CharSectno"/>
        </w:rPr>
        <w:t>23G</w:t>
      </w:r>
      <w:r>
        <w:rPr>
          <w:snapToGrid w:val="0"/>
        </w:rPr>
        <w:t>.</w:t>
      </w:r>
      <w:r>
        <w:rPr>
          <w:snapToGrid w:val="0"/>
        </w:rPr>
        <w:tab/>
        <w:t>Limit on amount of earth, etc., that may be removed</w:t>
      </w:r>
      <w:bookmarkEnd w:id="339"/>
      <w:bookmarkEnd w:id="340"/>
      <w:bookmarkEnd w:id="341"/>
      <w:bookmarkEnd w:id="342"/>
      <w:bookmarkEnd w:id="343"/>
      <w:bookmarkEnd w:id="344"/>
      <w:r>
        <w:rPr>
          <w:snapToGrid w:val="0"/>
        </w:rPr>
        <w:t xml:space="preserve"> </w:t>
      </w:r>
    </w:p>
    <w:p>
      <w:pPr>
        <w:pStyle w:val="Subsection"/>
        <w:spacing w:before="10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 xml:space="preserve">[Regulation 23G inserted in Gazette 24 Jun 1994 p. 2929.] </w:t>
      </w:r>
    </w:p>
    <w:p>
      <w:pPr>
        <w:pStyle w:val="Heading5"/>
        <w:spacing w:before="120"/>
        <w:rPr>
          <w:snapToGrid w:val="0"/>
        </w:rPr>
      </w:pPr>
      <w:bookmarkStart w:id="345" w:name="_Toc474633051"/>
      <w:bookmarkStart w:id="346" w:name="_Toc488740200"/>
      <w:bookmarkStart w:id="347" w:name="_Toc8623584"/>
      <w:bookmarkStart w:id="348" w:name="_Toc11229425"/>
      <w:bookmarkStart w:id="349" w:name="_Toc104276579"/>
      <w:bookmarkStart w:id="350" w:name="_Toc127087258"/>
      <w:r>
        <w:rPr>
          <w:rStyle w:val="CharSectno"/>
        </w:rPr>
        <w:t>23H</w:t>
      </w:r>
      <w:r>
        <w:rPr>
          <w:snapToGrid w:val="0"/>
        </w:rPr>
        <w:t>.</w:t>
      </w:r>
      <w:r>
        <w:rPr>
          <w:snapToGrid w:val="0"/>
        </w:rPr>
        <w:tab/>
        <w:t>Manner of identifying mineral resource</w:t>
      </w:r>
      <w:bookmarkEnd w:id="345"/>
      <w:bookmarkEnd w:id="346"/>
      <w:bookmarkEnd w:id="347"/>
      <w:bookmarkEnd w:id="348"/>
      <w:bookmarkEnd w:id="349"/>
      <w:bookmarkEnd w:id="350"/>
      <w:r>
        <w:rPr>
          <w:snapToGrid w:val="0"/>
        </w:rPr>
        <w:t xml:space="preserve"> </w:t>
      </w:r>
    </w:p>
    <w:p>
      <w:pPr>
        <w:pStyle w:val="Subsection"/>
        <w:spacing w:before="100"/>
        <w:rPr>
          <w:snapToGrid w:val="0"/>
        </w:rPr>
      </w:pPr>
      <w:r>
        <w:rPr>
          <w:snapToGrid w:val="0"/>
        </w:rPr>
        <w:tab/>
      </w:r>
      <w:r>
        <w:rPr>
          <w:snapToGrid w:val="0"/>
        </w:rPr>
        <w:tab/>
        <w:t xml:space="preserve">For the purposes of section 70A, a deposit of minerals is an “identified mineral resource” when sufficient exploration and sampling of in situ mineralisation has been undertaken to allow the continuity of mineralisation to be assessed as being within the “Indicated” or “Measured” classifications by a “Resource Report” prepared in accordance with the </w:t>
      </w:r>
      <w:r>
        <w:rPr>
          <w:i/>
          <w:snapToGrid w:val="0"/>
        </w:rPr>
        <w:t>Australasian Code for Reporting of Identified Mineral Resources and Ore Reserves</w:t>
      </w:r>
      <w:r>
        <w:rPr>
          <w:snapToGrid w:val="0"/>
        </w:rPr>
        <w:t>, published by the Joint Committee of the Australasian Institute of Mining and Metallurgy, Australian Institute of Geoscientists and Australian Mining Industry Council in September 1992.</w:t>
      </w:r>
    </w:p>
    <w:p>
      <w:pPr>
        <w:pStyle w:val="Footnotesection"/>
      </w:pPr>
      <w:r>
        <w:tab/>
        <w:t xml:space="preserve">[Regulation 23H inserted in Gazette 24 Jun 1994 p. 2929; amended in Gazette 9 Sep 1994 p. 4643.] </w:t>
      </w:r>
    </w:p>
    <w:p>
      <w:pPr>
        <w:pStyle w:val="Heading3"/>
        <w:spacing w:before="120"/>
        <w:rPr>
          <w:snapToGrid w:val="0"/>
        </w:rPr>
      </w:pPr>
      <w:bookmarkStart w:id="351" w:name="_Toc74978863"/>
      <w:bookmarkStart w:id="352" w:name="_Toc74979127"/>
      <w:bookmarkStart w:id="353" w:name="_Toc79976425"/>
      <w:bookmarkStart w:id="354" w:name="_Toc80759696"/>
      <w:bookmarkStart w:id="355" w:name="_Toc80783459"/>
      <w:bookmarkStart w:id="356" w:name="_Toc94931126"/>
      <w:bookmarkStart w:id="357" w:name="_Toc104275249"/>
      <w:bookmarkStart w:id="358" w:name="_Toc104276580"/>
      <w:bookmarkStart w:id="359" w:name="_Toc107198801"/>
      <w:bookmarkStart w:id="360" w:name="_Toc107799252"/>
      <w:bookmarkStart w:id="361" w:name="_Toc127087259"/>
      <w:r>
        <w:rPr>
          <w:rStyle w:val="CharDivNo"/>
        </w:rPr>
        <w:t>Division 3</w:t>
      </w:r>
      <w:r>
        <w:rPr>
          <w:snapToGrid w:val="0"/>
        </w:rPr>
        <w:t> — </w:t>
      </w:r>
      <w:r>
        <w:rPr>
          <w:rStyle w:val="CharDivText"/>
        </w:rPr>
        <w:t>Mining leases</w:t>
      </w:r>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spacing w:before="120"/>
        <w:rPr>
          <w:snapToGrid w:val="0"/>
        </w:rPr>
      </w:pPr>
      <w:bookmarkStart w:id="362" w:name="_Toc474633052"/>
      <w:bookmarkStart w:id="363" w:name="_Toc488740201"/>
      <w:bookmarkStart w:id="364" w:name="_Toc8623585"/>
      <w:bookmarkStart w:id="365" w:name="_Toc11229426"/>
      <w:bookmarkStart w:id="366" w:name="_Toc104276581"/>
      <w:bookmarkStart w:id="367" w:name="_Toc127087260"/>
      <w:r>
        <w:rPr>
          <w:rStyle w:val="CharSectno"/>
        </w:rPr>
        <w:t>24</w:t>
      </w:r>
      <w:r>
        <w:rPr>
          <w:snapToGrid w:val="0"/>
        </w:rPr>
        <w:t>.</w:t>
      </w:r>
      <w:r>
        <w:rPr>
          <w:snapToGrid w:val="0"/>
        </w:rPr>
        <w:tab/>
        <w:t>Marking out and application</w:t>
      </w:r>
      <w:bookmarkEnd w:id="362"/>
      <w:bookmarkEnd w:id="363"/>
      <w:bookmarkEnd w:id="364"/>
      <w:bookmarkEnd w:id="365"/>
      <w:bookmarkEnd w:id="366"/>
      <w:bookmarkEnd w:id="367"/>
      <w:r>
        <w:rPr>
          <w:snapToGrid w:val="0"/>
        </w:rPr>
        <w:t xml:space="preserve"> </w:t>
      </w:r>
    </w:p>
    <w:p>
      <w:pPr>
        <w:pStyle w:val="Subsection"/>
        <w:spacing w:before="100"/>
        <w:rPr>
          <w:snapToGrid w:val="0"/>
        </w:rPr>
      </w:pPr>
      <w:r>
        <w:rPr>
          <w:snapToGrid w:val="0"/>
        </w:rPr>
        <w:tab/>
      </w:r>
      <w:r>
        <w:rPr>
          <w:snapToGrid w:val="0"/>
        </w:rPr>
        <w:tab/>
        <w:t>An applicant for a mining lease shall comply with the regulations in Part V as to marking out and applying for the lease.</w:t>
      </w:r>
    </w:p>
    <w:p>
      <w:pPr>
        <w:pStyle w:val="Ednotesection"/>
        <w:spacing w:before="120"/>
        <w:ind w:left="890" w:hanging="890"/>
        <w:rPr>
          <w:b/>
        </w:rPr>
      </w:pPr>
      <w:bookmarkStart w:id="368" w:name="_Toc474633054"/>
      <w:bookmarkStart w:id="369" w:name="_Toc488740203"/>
      <w:r>
        <w:t>[</w:t>
      </w:r>
      <w:r>
        <w:rPr>
          <w:b/>
        </w:rPr>
        <w:t>25.</w:t>
      </w:r>
      <w:r>
        <w:rPr>
          <w:b/>
        </w:rPr>
        <w:tab/>
      </w:r>
      <w:r>
        <w:rPr>
          <w:b/>
        </w:rPr>
        <w:tab/>
      </w:r>
      <w:r>
        <w:t>Repealed in Gazette 2 Feb 2001 p. 712.]</w:t>
      </w:r>
    </w:p>
    <w:p>
      <w:pPr>
        <w:pStyle w:val="Heading5"/>
        <w:spacing w:before="120"/>
        <w:rPr>
          <w:snapToGrid w:val="0"/>
        </w:rPr>
      </w:pPr>
      <w:bookmarkStart w:id="370" w:name="_Toc8623586"/>
      <w:bookmarkStart w:id="371" w:name="_Toc11229427"/>
      <w:bookmarkStart w:id="372" w:name="_Toc104276582"/>
      <w:bookmarkStart w:id="373" w:name="_Toc127087261"/>
      <w:r>
        <w:rPr>
          <w:rStyle w:val="CharSectno"/>
        </w:rPr>
        <w:t>26</w:t>
      </w:r>
      <w:r>
        <w:rPr>
          <w:snapToGrid w:val="0"/>
        </w:rPr>
        <w:t>.</w:t>
      </w:r>
      <w:r>
        <w:rPr>
          <w:snapToGrid w:val="0"/>
        </w:rPr>
        <w:tab/>
        <w:t>Instrument of lease</w:t>
      </w:r>
      <w:bookmarkEnd w:id="368"/>
      <w:bookmarkEnd w:id="369"/>
      <w:bookmarkEnd w:id="370"/>
      <w:bookmarkEnd w:id="371"/>
      <w:bookmarkEnd w:id="372"/>
      <w:bookmarkEnd w:id="373"/>
      <w:r>
        <w:rPr>
          <w:snapToGrid w:val="0"/>
        </w:rPr>
        <w:t xml:space="preserve"> </w:t>
      </w:r>
    </w:p>
    <w:p>
      <w:pPr>
        <w:pStyle w:val="Subsection"/>
        <w:spacing w:before="100"/>
        <w:rPr>
          <w:snapToGrid w:val="0"/>
        </w:rPr>
      </w:pPr>
      <w:r>
        <w:rPr>
          <w:snapToGrid w:val="0"/>
        </w:rPr>
        <w:tab/>
      </w:r>
      <w:r>
        <w:rPr>
          <w:snapToGrid w:val="0"/>
        </w:rPr>
        <w:tab/>
        <w:t>The instrument of lease for a mining lease shall be in the form No. 8 in the First Schedule.</w:t>
      </w:r>
    </w:p>
    <w:p>
      <w:pPr>
        <w:pStyle w:val="Heading5"/>
        <w:keepNext w:val="0"/>
        <w:spacing w:before="200"/>
        <w:rPr>
          <w:snapToGrid w:val="0"/>
        </w:rPr>
      </w:pPr>
      <w:bookmarkStart w:id="374" w:name="_Toc474633055"/>
      <w:bookmarkStart w:id="375" w:name="_Toc488740204"/>
      <w:bookmarkStart w:id="376" w:name="_Toc8623587"/>
      <w:bookmarkStart w:id="377" w:name="_Toc11229428"/>
      <w:bookmarkStart w:id="378" w:name="_Toc104276583"/>
      <w:bookmarkStart w:id="379" w:name="_Toc127087262"/>
      <w:r>
        <w:rPr>
          <w:rStyle w:val="CharSectno"/>
        </w:rPr>
        <w:t>27</w:t>
      </w:r>
      <w:r>
        <w:rPr>
          <w:snapToGrid w:val="0"/>
        </w:rPr>
        <w:t>.</w:t>
      </w:r>
      <w:r>
        <w:rPr>
          <w:snapToGrid w:val="0"/>
        </w:rPr>
        <w:tab/>
        <w:t>Covenants</w:t>
      </w:r>
      <w:bookmarkEnd w:id="374"/>
      <w:bookmarkEnd w:id="375"/>
      <w:bookmarkEnd w:id="376"/>
      <w:bookmarkEnd w:id="377"/>
      <w:bookmarkEnd w:id="378"/>
      <w:bookmarkEnd w:id="379"/>
      <w:r>
        <w:rPr>
          <w:snapToGrid w:val="0"/>
        </w:rPr>
        <w:t xml:space="preserve"> </w:t>
      </w:r>
    </w:p>
    <w:p>
      <w:pPr>
        <w:pStyle w:val="Subsection"/>
        <w:spacing w:before="100"/>
        <w:rPr>
          <w:snapToGrid w:val="0"/>
        </w:rPr>
      </w:pPr>
      <w:r>
        <w:rPr>
          <w:snapToGrid w:val="0"/>
        </w:rPr>
        <w:tab/>
      </w:r>
      <w:r>
        <w:rPr>
          <w:snapToGrid w:val="0"/>
        </w:rPr>
        <w:tab/>
        <w:t>Every mining lease shall contain and be subject to the following covenants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not assign, underlet or part with possession of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Heading5"/>
        <w:spacing w:before="120"/>
        <w:rPr>
          <w:snapToGrid w:val="0"/>
        </w:rPr>
      </w:pPr>
      <w:bookmarkStart w:id="380" w:name="_Toc474633056"/>
      <w:bookmarkStart w:id="381" w:name="_Toc488740205"/>
      <w:bookmarkStart w:id="382" w:name="_Toc8623588"/>
      <w:bookmarkStart w:id="383" w:name="_Toc11229429"/>
      <w:bookmarkStart w:id="384" w:name="_Toc104276584"/>
      <w:bookmarkStart w:id="385" w:name="_Toc127087263"/>
      <w:r>
        <w:rPr>
          <w:rStyle w:val="CharSectno"/>
        </w:rPr>
        <w:t>28</w:t>
      </w:r>
      <w:r>
        <w:rPr>
          <w:snapToGrid w:val="0"/>
        </w:rPr>
        <w:t>.</w:t>
      </w:r>
      <w:r>
        <w:rPr>
          <w:snapToGrid w:val="0"/>
        </w:rPr>
        <w:tab/>
        <w:t>Additional condition</w:t>
      </w:r>
      <w:bookmarkEnd w:id="380"/>
      <w:bookmarkEnd w:id="381"/>
      <w:bookmarkEnd w:id="382"/>
      <w:bookmarkEnd w:id="383"/>
      <w:bookmarkEnd w:id="384"/>
      <w:bookmarkEnd w:id="385"/>
      <w:r>
        <w:rPr>
          <w:snapToGrid w:val="0"/>
        </w:rPr>
        <w:t xml:space="preserve"> </w:t>
      </w:r>
    </w:p>
    <w:p>
      <w:pPr>
        <w:pStyle w:val="Subsection"/>
        <w:spacing w:before="100"/>
        <w:rPr>
          <w:snapToGrid w:val="0"/>
        </w:rPr>
      </w:pPr>
      <w:r>
        <w:rPr>
          <w:snapToGrid w:val="0"/>
        </w:rPr>
        <w:tab/>
      </w:r>
      <w:r>
        <w:rPr>
          <w:snapToGrid w:val="0"/>
        </w:rPr>
        <w:tab/>
        <w:t>In addition to the covenants and conditions contained in section 82 of the Act it shall be a condition of every mining lease that all holes, pits, trenches and other disturbances to the surface of the land made whilst mining which in the opinion of the State Mining Engineer are likely to endanger the safety of any person or animal will be filled in or otherwise made safe to the satisfaction of the State Mining Engineer.</w:t>
      </w:r>
    </w:p>
    <w:p>
      <w:pPr>
        <w:pStyle w:val="Heading5"/>
        <w:spacing w:before="120"/>
        <w:rPr>
          <w:snapToGrid w:val="0"/>
        </w:rPr>
      </w:pPr>
      <w:bookmarkStart w:id="386" w:name="_Toc474633057"/>
      <w:bookmarkStart w:id="387" w:name="_Toc488740206"/>
      <w:bookmarkStart w:id="388" w:name="_Toc8623589"/>
      <w:bookmarkStart w:id="389" w:name="_Toc11229430"/>
      <w:bookmarkStart w:id="390" w:name="_Toc104276585"/>
      <w:bookmarkStart w:id="391" w:name="_Toc127087264"/>
      <w:r>
        <w:rPr>
          <w:rStyle w:val="CharSectno"/>
        </w:rPr>
        <w:t>28A</w:t>
      </w:r>
      <w:r>
        <w:rPr>
          <w:snapToGrid w:val="0"/>
        </w:rPr>
        <w:t>.</w:t>
      </w:r>
      <w:r>
        <w:rPr>
          <w:snapToGrid w:val="0"/>
        </w:rPr>
        <w:tab/>
        <w:t>Additional rent for mining lease producing iron ore</w:t>
      </w:r>
      <w:bookmarkEnd w:id="386"/>
      <w:bookmarkEnd w:id="387"/>
      <w:bookmarkEnd w:id="388"/>
      <w:bookmarkEnd w:id="389"/>
      <w:bookmarkEnd w:id="390"/>
      <w:bookmarkEnd w:id="391"/>
      <w:r>
        <w:rPr>
          <w:snapToGrid w:val="0"/>
        </w:rPr>
        <w:t xml:space="preserve"> </w:t>
      </w:r>
    </w:p>
    <w:p>
      <w:pPr>
        <w:pStyle w:val="Subsection"/>
        <w:spacing w:before="100"/>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 xml:space="preserve">[Regulation 28A inserted in Gazette 13 Sep 1996 p. 4598.] </w:t>
      </w:r>
    </w:p>
    <w:p>
      <w:pPr>
        <w:pStyle w:val="Heading5"/>
        <w:rPr>
          <w:snapToGrid w:val="0"/>
        </w:rPr>
      </w:pPr>
      <w:bookmarkStart w:id="392" w:name="_Toc474633058"/>
      <w:bookmarkStart w:id="393" w:name="_Toc488740207"/>
      <w:bookmarkStart w:id="394" w:name="_Toc8623590"/>
      <w:bookmarkStart w:id="395" w:name="_Toc11229431"/>
      <w:bookmarkStart w:id="396" w:name="_Toc104276586"/>
      <w:bookmarkStart w:id="397" w:name="_Toc127087265"/>
      <w:r>
        <w:rPr>
          <w:rStyle w:val="CharSectno"/>
        </w:rPr>
        <w:t>29</w:t>
      </w:r>
      <w:r>
        <w:rPr>
          <w:snapToGrid w:val="0"/>
        </w:rPr>
        <w:t>.</w:t>
      </w:r>
      <w:r>
        <w:rPr>
          <w:snapToGrid w:val="0"/>
        </w:rPr>
        <w:tab/>
        <w:t>Application for renewal</w:t>
      </w:r>
      <w:bookmarkEnd w:id="392"/>
      <w:bookmarkEnd w:id="393"/>
      <w:bookmarkEnd w:id="394"/>
      <w:bookmarkEnd w:id="395"/>
      <w:bookmarkEnd w:id="396"/>
      <w:bookmarkEnd w:id="397"/>
      <w:r>
        <w:rPr>
          <w:snapToGrid w:val="0"/>
        </w:rPr>
        <w:t xml:space="preserve"> </w:t>
      </w:r>
    </w:p>
    <w:p>
      <w:pPr>
        <w:pStyle w:val="Subsection"/>
        <w:spacing w:before="120"/>
        <w:rPr>
          <w:snapToGrid w:val="0"/>
        </w:rPr>
      </w:pPr>
      <w:r>
        <w:rPr>
          <w:snapToGrid w:val="0"/>
        </w:rPr>
        <w:tab/>
        <w:t>(1)</w:t>
      </w:r>
      <w:r>
        <w:rPr>
          <w:snapToGrid w:val="0"/>
        </w:rPr>
        <w:tab/>
        <w:t>Application for renewal of a mining lease under section 78 shall be —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29 inserted in Gazette 2 Oct 1987 p. 3816; amended in Gazette 2 Feb 2001 p. 712.] </w:t>
      </w:r>
    </w:p>
    <w:p>
      <w:pPr>
        <w:pStyle w:val="Heading5"/>
        <w:rPr>
          <w:snapToGrid w:val="0"/>
        </w:rPr>
      </w:pPr>
      <w:bookmarkStart w:id="398" w:name="_Toc474633059"/>
      <w:bookmarkStart w:id="399" w:name="_Toc488740208"/>
      <w:bookmarkStart w:id="400" w:name="_Toc8623591"/>
      <w:bookmarkStart w:id="401" w:name="_Toc11229432"/>
      <w:bookmarkStart w:id="402" w:name="_Toc104276587"/>
      <w:bookmarkStart w:id="403" w:name="_Toc127087266"/>
      <w:r>
        <w:rPr>
          <w:rStyle w:val="CharSectno"/>
        </w:rPr>
        <w:t>30</w:t>
      </w:r>
      <w:r>
        <w:rPr>
          <w:snapToGrid w:val="0"/>
        </w:rPr>
        <w:t>.</w:t>
      </w:r>
      <w:r>
        <w:rPr>
          <w:snapToGrid w:val="0"/>
        </w:rPr>
        <w:tab/>
        <w:t>Notice required by section 56A(8), 70(6) or 85B(3)</w:t>
      </w:r>
      <w:bookmarkEnd w:id="398"/>
      <w:bookmarkEnd w:id="399"/>
      <w:bookmarkEnd w:id="400"/>
      <w:bookmarkEnd w:id="401"/>
      <w:bookmarkEnd w:id="402"/>
      <w:bookmarkEnd w:id="403"/>
      <w:r>
        <w:rPr>
          <w:snapToGrid w:val="0"/>
        </w:rPr>
        <w:t xml:space="preserve"> </w:t>
      </w:r>
    </w:p>
    <w:p>
      <w:pPr>
        <w:pStyle w:val="Subsection"/>
        <w:spacing w:before="120"/>
        <w:rPr>
          <w:snapToGrid w:val="0"/>
        </w:rPr>
      </w:pPr>
      <w:r>
        <w:rPr>
          <w:snapToGrid w:val="0"/>
        </w:rPr>
        <w:tab/>
      </w:r>
      <w:r>
        <w:rPr>
          <w:snapToGrid w:val="0"/>
        </w:rPr>
        <w:tab/>
        <w:t>When the holder of —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 xml:space="preserve">[Regulation 30 inserted in Gazette 24 Jun 1994 p. 2930.] </w:t>
      </w:r>
    </w:p>
    <w:p>
      <w:pPr>
        <w:pStyle w:val="Heading5"/>
        <w:rPr>
          <w:snapToGrid w:val="0"/>
        </w:rPr>
      </w:pPr>
      <w:bookmarkStart w:id="404" w:name="_Toc474633060"/>
      <w:bookmarkStart w:id="405" w:name="_Toc488740209"/>
      <w:bookmarkStart w:id="406" w:name="_Toc8623592"/>
      <w:bookmarkStart w:id="407" w:name="_Toc11229433"/>
      <w:bookmarkStart w:id="408" w:name="_Toc104276588"/>
      <w:bookmarkStart w:id="409" w:name="_Toc127087267"/>
      <w:r>
        <w:rPr>
          <w:rStyle w:val="CharSectno"/>
        </w:rPr>
        <w:t>31</w:t>
      </w:r>
      <w:r>
        <w:rPr>
          <w:snapToGrid w:val="0"/>
        </w:rPr>
        <w:t>.</w:t>
      </w:r>
      <w:r>
        <w:rPr>
          <w:snapToGrid w:val="0"/>
        </w:rPr>
        <w:tab/>
        <w:t>Expenditure condition</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 xml:space="preserve">[Regulation 31 amended in Gazette 16 Nov 1990 p. 5728; 31 Jul 1992 p. 3776; 11 Jun 1999 p. 2544; 18 Jun 1999 p. 2643; 17 Jan 2003 p. 111.] </w:t>
      </w:r>
    </w:p>
    <w:p>
      <w:pPr>
        <w:pStyle w:val="Heading5"/>
        <w:rPr>
          <w:snapToGrid w:val="0"/>
        </w:rPr>
      </w:pPr>
      <w:bookmarkStart w:id="410" w:name="_Toc474633061"/>
      <w:bookmarkStart w:id="411" w:name="_Toc488740210"/>
      <w:bookmarkStart w:id="412" w:name="_Toc8623593"/>
      <w:bookmarkStart w:id="413" w:name="_Toc11229434"/>
      <w:bookmarkStart w:id="414" w:name="_Toc104276589"/>
      <w:bookmarkStart w:id="415" w:name="_Toc127087268"/>
      <w:r>
        <w:rPr>
          <w:rStyle w:val="CharSectno"/>
        </w:rPr>
        <w:t>32</w:t>
      </w:r>
      <w:r>
        <w:rPr>
          <w:snapToGrid w:val="0"/>
        </w:rPr>
        <w:t>.</w:t>
      </w:r>
      <w:r>
        <w:rPr>
          <w:snapToGrid w:val="0"/>
        </w:rPr>
        <w:tab/>
        <w:t>Reports to be filed</w:t>
      </w:r>
      <w:bookmarkEnd w:id="410"/>
      <w:bookmarkEnd w:id="411"/>
      <w:bookmarkEnd w:id="412"/>
      <w:bookmarkEnd w:id="413"/>
      <w:bookmarkEnd w:id="414"/>
      <w:bookmarkEnd w:id="415"/>
      <w:r>
        <w:rPr>
          <w:snapToGrid w:val="0"/>
        </w:rPr>
        <w:t xml:space="preserve"> </w:t>
      </w:r>
    </w:p>
    <w:p>
      <w:pPr>
        <w:pStyle w:val="Subsection"/>
      </w:pPr>
      <w:r>
        <w:rPr>
          <w:snapToGrid w:val="0"/>
        </w:rPr>
        <w:tab/>
        <w:t>(1)</w:t>
      </w:r>
      <w:r>
        <w:rPr>
          <w:snapToGrid w:val="0"/>
        </w:rPr>
        <w:tab/>
        <w:t xml:space="preserve">The reports required under section 82(1) shall be in the form No. 5 in the First Schedule and </w:t>
      </w:r>
      <w:r>
        <w:t xml:space="preserve">filed —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 xml:space="preserve">[Regulation 32 amended in Gazette 2 Oct 1987 p. 3816; 2 Jul 1993 p. 3270; 17 Jan 2003 p. 112.] </w:t>
      </w:r>
    </w:p>
    <w:p>
      <w:pPr>
        <w:pStyle w:val="Heading3"/>
        <w:rPr>
          <w:snapToGrid w:val="0"/>
        </w:rPr>
      </w:pPr>
      <w:bookmarkStart w:id="416" w:name="_Toc74978873"/>
      <w:bookmarkStart w:id="417" w:name="_Toc74979137"/>
      <w:bookmarkStart w:id="418" w:name="_Toc79976435"/>
      <w:bookmarkStart w:id="419" w:name="_Toc80759706"/>
      <w:bookmarkStart w:id="420" w:name="_Toc80783469"/>
      <w:bookmarkStart w:id="421" w:name="_Toc94931136"/>
      <w:bookmarkStart w:id="422" w:name="_Toc104275259"/>
      <w:bookmarkStart w:id="423" w:name="_Toc104276590"/>
      <w:bookmarkStart w:id="424" w:name="_Toc107198811"/>
      <w:bookmarkStart w:id="425" w:name="_Toc107799262"/>
      <w:bookmarkStart w:id="426" w:name="_Toc127087269"/>
      <w:r>
        <w:rPr>
          <w:rStyle w:val="CharDivNo"/>
        </w:rPr>
        <w:t>Division 4</w:t>
      </w:r>
      <w:r>
        <w:rPr>
          <w:snapToGrid w:val="0"/>
        </w:rPr>
        <w:t> — </w:t>
      </w:r>
      <w:r>
        <w:rPr>
          <w:rStyle w:val="CharDivText"/>
        </w:rPr>
        <w:t>General purpose leases</w:t>
      </w:r>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474633062"/>
      <w:bookmarkStart w:id="428" w:name="_Toc488740211"/>
      <w:bookmarkStart w:id="429" w:name="_Toc8623594"/>
      <w:bookmarkStart w:id="430" w:name="_Toc11229435"/>
      <w:bookmarkStart w:id="431" w:name="_Toc104276591"/>
      <w:bookmarkStart w:id="432" w:name="_Toc127087270"/>
      <w:r>
        <w:rPr>
          <w:rStyle w:val="CharSectno"/>
        </w:rPr>
        <w:t>33</w:t>
      </w:r>
      <w:r>
        <w:rPr>
          <w:snapToGrid w:val="0"/>
        </w:rPr>
        <w:t>.</w:t>
      </w:r>
      <w:r>
        <w:rPr>
          <w:snapToGrid w:val="0"/>
        </w:rPr>
        <w:tab/>
        <w:t>Marking out and application</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433" w:name="_Toc474633064"/>
      <w:bookmarkStart w:id="434" w:name="_Toc488740213"/>
      <w:r>
        <w:t>[</w:t>
      </w:r>
      <w:r>
        <w:rPr>
          <w:b/>
        </w:rPr>
        <w:t>34.</w:t>
      </w:r>
      <w:r>
        <w:rPr>
          <w:b/>
        </w:rPr>
        <w:tab/>
      </w:r>
      <w:r>
        <w:t>Repealed in Gazette 2 Feb 2001 p. 712.]</w:t>
      </w:r>
    </w:p>
    <w:p>
      <w:pPr>
        <w:pStyle w:val="Heading5"/>
        <w:spacing w:before="160"/>
        <w:rPr>
          <w:snapToGrid w:val="0"/>
        </w:rPr>
      </w:pPr>
      <w:bookmarkStart w:id="435" w:name="_Toc8623595"/>
      <w:bookmarkStart w:id="436" w:name="_Toc11229436"/>
      <w:bookmarkStart w:id="437" w:name="_Toc104276592"/>
      <w:bookmarkStart w:id="438" w:name="_Toc127087271"/>
      <w:r>
        <w:rPr>
          <w:rStyle w:val="CharSectno"/>
        </w:rPr>
        <w:t>35</w:t>
      </w:r>
      <w:r>
        <w:rPr>
          <w:snapToGrid w:val="0"/>
        </w:rPr>
        <w:t>.</w:t>
      </w:r>
      <w:r>
        <w:rPr>
          <w:snapToGrid w:val="0"/>
        </w:rPr>
        <w:tab/>
        <w:t>Instrument of lease</w:t>
      </w:r>
      <w:bookmarkEnd w:id="433"/>
      <w:bookmarkEnd w:id="434"/>
      <w:bookmarkEnd w:id="435"/>
      <w:bookmarkEnd w:id="436"/>
      <w:bookmarkEnd w:id="437"/>
      <w:bookmarkEnd w:id="438"/>
      <w:r>
        <w:rPr>
          <w:snapToGrid w:val="0"/>
        </w:rPr>
        <w:t xml:space="preserve"> </w:t>
      </w:r>
    </w:p>
    <w:p>
      <w:pPr>
        <w:pStyle w:val="Subsection"/>
        <w:spacing w:before="100"/>
        <w:rPr>
          <w:snapToGrid w:val="0"/>
        </w:rPr>
      </w:pPr>
      <w:r>
        <w:rPr>
          <w:snapToGrid w:val="0"/>
        </w:rPr>
        <w:tab/>
      </w:r>
      <w:r>
        <w:rPr>
          <w:snapToGrid w:val="0"/>
        </w:rPr>
        <w:tab/>
        <w:t>The instrument of lease for a general purpose lease shall be in the form No. 10 in the First Schedule.</w:t>
      </w:r>
    </w:p>
    <w:p>
      <w:pPr>
        <w:pStyle w:val="Heading5"/>
        <w:spacing w:before="160"/>
        <w:rPr>
          <w:snapToGrid w:val="0"/>
        </w:rPr>
      </w:pPr>
      <w:bookmarkStart w:id="439" w:name="_Toc474633065"/>
      <w:bookmarkStart w:id="440" w:name="_Toc488740214"/>
      <w:bookmarkStart w:id="441" w:name="_Toc8623596"/>
      <w:bookmarkStart w:id="442" w:name="_Toc11229437"/>
      <w:bookmarkStart w:id="443" w:name="_Toc104276593"/>
      <w:bookmarkStart w:id="444" w:name="_Toc127087272"/>
      <w:r>
        <w:rPr>
          <w:rStyle w:val="CharSectno"/>
        </w:rPr>
        <w:t>36</w:t>
      </w:r>
      <w:r>
        <w:rPr>
          <w:snapToGrid w:val="0"/>
        </w:rPr>
        <w:t>.</w:t>
      </w:r>
      <w:r>
        <w:rPr>
          <w:snapToGrid w:val="0"/>
        </w:rPr>
        <w:tab/>
        <w:t>Covenants and conditions</w:t>
      </w:r>
      <w:bookmarkEnd w:id="439"/>
      <w:bookmarkEnd w:id="440"/>
      <w:bookmarkEnd w:id="441"/>
      <w:bookmarkEnd w:id="442"/>
      <w:bookmarkEnd w:id="443"/>
      <w:bookmarkEnd w:id="444"/>
      <w:r>
        <w:rPr>
          <w:snapToGrid w:val="0"/>
        </w:rPr>
        <w:t xml:space="preserve"> </w:t>
      </w:r>
    </w:p>
    <w:p>
      <w:pPr>
        <w:pStyle w:val="Subsection"/>
        <w:spacing w:before="100"/>
        <w:rPr>
          <w:snapToGrid w:val="0"/>
        </w:rPr>
      </w:pPr>
      <w:r>
        <w:rPr>
          <w:snapToGrid w:val="0"/>
        </w:rPr>
        <w:tab/>
      </w:r>
      <w:r>
        <w:rPr>
          <w:snapToGrid w:val="0"/>
        </w:rPr>
        <w:tab/>
        <w:t>Every general purpose lease shall contain and be subject to the following covenants and conditions that the lessee shall —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not assign, underlet or part with possession of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 xml:space="preserve">[Regulation 36 amended in Gazette 2 Oct 1987 p. 3837.] </w:t>
      </w:r>
    </w:p>
    <w:p>
      <w:pPr>
        <w:pStyle w:val="Heading5"/>
        <w:rPr>
          <w:snapToGrid w:val="0"/>
        </w:rPr>
      </w:pPr>
      <w:bookmarkStart w:id="445" w:name="_Toc474633066"/>
      <w:bookmarkStart w:id="446" w:name="_Toc488740215"/>
      <w:bookmarkStart w:id="447" w:name="_Toc8623597"/>
      <w:bookmarkStart w:id="448" w:name="_Toc11229438"/>
      <w:bookmarkStart w:id="449" w:name="_Toc104276594"/>
      <w:bookmarkStart w:id="450" w:name="_Toc127087273"/>
      <w:r>
        <w:rPr>
          <w:rStyle w:val="CharSectno"/>
        </w:rPr>
        <w:t>36A</w:t>
      </w:r>
      <w:r>
        <w:rPr>
          <w:snapToGrid w:val="0"/>
        </w:rPr>
        <w:t>.</w:t>
      </w:r>
      <w:r>
        <w:rPr>
          <w:snapToGrid w:val="0"/>
        </w:rPr>
        <w:tab/>
        <w:t>Application for renewal</w:t>
      </w:r>
      <w:bookmarkEnd w:id="445"/>
      <w:bookmarkEnd w:id="446"/>
      <w:bookmarkEnd w:id="447"/>
      <w:bookmarkEnd w:id="448"/>
      <w:bookmarkEnd w:id="449"/>
      <w:bookmarkEnd w:id="450"/>
      <w:r>
        <w:rPr>
          <w:snapToGrid w:val="0"/>
        </w:rPr>
        <w:t xml:space="preserve"> </w:t>
      </w:r>
    </w:p>
    <w:p>
      <w:pPr>
        <w:pStyle w:val="Subsection"/>
        <w:spacing w:before="110"/>
        <w:rPr>
          <w:snapToGrid w:val="0"/>
        </w:rPr>
      </w:pPr>
      <w:r>
        <w:rPr>
          <w:snapToGrid w:val="0"/>
        </w:rPr>
        <w:tab/>
        <w:t>(1)</w:t>
      </w:r>
      <w:r>
        <w:rPr>
          <w:snapToGrid w:val="0"/>
        </w:rPr>
        <w:tab/>
        <w:t>Application for renewal of a general purpose lease under section 88 shall be —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1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36A inserted in Gazette 2 Oct 1987 p. 3817; amended in Gazette 2 Feb 2001 p. 712.] </w:t>
      </w:r>
    </w:p>
    <w:p>
      <w:pPr>
        <w:pStyle w:val="Heading3"/>
        <w:spacing w:before="220"/>
        <w:rPr>
          <w:snapToGrid w:val="0"/>
        </w:rPr>
      </w:pPr>
      <w:bookmarkStart w:id="451" w:name="_Toc74978878"/>
      <w:bookmarkStart w:id="452" w:name="_Toc74979142"/>
      <w:bookmarkStart w:id="453" w:name="_Toc79976440"/>
      <w:bookmarkStart w:id="454" w:name="_Toc80759711"/>
      <w:bookmarkStart w:id="455" w:name="_Toc80783474"/>
      <w:bookmarkStart w:id="456" w:name="_Toc94931141"/>
      <w:bookmarkStart w:id="457" w:name="_Toc104275264"/>
      <w:bookmarkStart w:id="458" w:name="_Toc104276595"/>
      <w:bookmarkStart w:id="459" w:name="_Toc107198816"/>
      <w:bookmarkStart w:id="460" w:name="_Toc107799267"/>
      <w:bookmarkStart w:id="461" w:name="_Toc127087274"/>
      <w:r>
        <w:rPr>
          <w:rStyle w:val="CharDivNo"/>
        </w:rPr>
        <w:t>Division 5</w:t>
      </w:r>
      <w:r>
        <w:rPr>
          <w:snapToGrid w:val="0"/>
        </w:rPr>
        <w:t> — </w:t>
      </w:r>
      <w:r>
        <w:rPr>
          <w:rStyle w:val="CharDivText"/>
        </w:rPr>
        <w:t>Miscellaneous licences</w:t>
      </w:r>
      <w:bookmarkEnd w:id="451"/>
      <w:bookmarkEnd w:id="452"/>
      <w:bookmarkEnd w:id="453"/>
      <w:bookmarkEnd w:id="454"/>
      <w:bookmarkEnd w:id="455"/>
      <w:bookmarkEnd w:id="456"/>
      <w:bookmarkEnd w:id="457"/>
      <w:bookmarkEnd w:id="458"/>
      <w:bookmarkEnd w:id="459"/>
      <w:bookmarkEnd w:id="460"/>
      <w:bookmarkEnd w:id="461"/>
      <w:r>
        <w:rPr>
          <w:rStyle w:val="CharDivText"/>
        </w:rPr>
        <w:t xml:space="preserve"> </w:t>
      </w:r>
    </w:p>
    <w:p>
      <w:pPr>
        <w:pStyle w:val="Heading5"/>
        <w:spacing w:before="170"/>
        <w:rPr>
          <w:snapToGrid w:val="0"/>
        </w:rPr>
      </w:pPr>
      <w:bookmarkStart w:id="462" w:name="_Toc474633067"/>
      <w:bookmarkStart w:id="463" w:name="_Toc488740216"/>
      <w:bookmarkStart w:id="464" w:name="_Toc8623598"/>
      <w:bookmarkStart w:id="465" w:name="_Toc11229439"/>
      <w:bookmarkStart w:id="466" w:name="_Toc104276596"/>
      <w:bookmarkStart w:id="467" w:name="_Toc127087275"/>
      <w:r>
        <w:rPr>
          <w:rStyle w:val="CharSectno"/>
        </w:rPr>
        <w:t>37</w:t>
      </w:r>
      <w:r>
        <w:rPr>
          <w:snapToGrid w:val="0"/>
        </w:rPr>
        <w:t>.</w:t>
      </w:r>
      <w:r>
        <w:rPr>
          <w:snapToGrid w:val="0"/>
        </w:rPr>
        <w:tab/>
        <w:t>Marking out and application</w:t>
      </w:r>
      <w:bookmarkEnd w:id="462"/>
      <w:bookmarkEnd w:id="463"/>
      <w:bookmarkEnd w:id="464"/>
      <w:bookmarkEnd w:id="465"/>
      <w:bookmarkEnd w:id="466"/>
      <w:bookmarkEnd w:id="467"/>
      <w:r>
        <w:rPr>
          <w:snapToGrid w:val="0"/>
        </w:rPr>
        <w:t xml:space="preserve"> </w:t>
      </w:r>
    </w:p>
    <w:p>
      <w:pPr>
        <w:pStyle w:val="Subsection"/>
      </w:pPr>
      <w:r>
        <w:tab/>
        <w:t>(1)</w:t>
      </w:r>
      <w:r>
        <w:tab/>
        <w:t xml:space="preserve">A miscellaneous licence shall be marked out —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spacing w:before="110"/>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 xml:space="preserve">[Regulation 37 amended in Gazette 16 Nov 1990 p. 5728; 13 Oct 1995 p. 4816; 17 Jan 2003 p. 112; 15 Aug 2003 p. 3693.] </w:t>
      </w:r>
    </w:p>
    <w:p>
      <w:pPr>
        <w:pStyle w:val="Heading5"/>
        <w:rPr>
          <w:snapToGrid w:val="0"/>
        </w:rPr>
      </w:pPr>
      <w:bookmarkStart w:id="468" w:name="_Toc474633068"/>
      <w:bookmarkStart w:id="469" w:name="_Toc488740217"/>
      <w:bookmarkStart w:id="470" w:name="_Toc8623599"/>
      <w:bookmarkStart w:id="471" w:name="_Toc11229440"/>
      <w:bookmarkStart w:id="472" w:name="_Toc104276597"/>
      <w:bookmarkStart w:id="473" w:name="_Toc127087276"/>
      <w:r>
        <w:rPr>
          <w:rStyle w:val="CharSectno"/>
        </w:rPr>
        <w:t>38</w:t>
      </w:r>
      <w:r>
        <w:rPr>
          <w:snapToGrid w:val="0"/>
        </w:rPr>
        <w:t>.</w:t>
      </w:r>
      <w:r>
        <w:rPr>
          <w:snapToGrid w:val="0"/>
        </w:rPr>
        <w:tab/>
        <w:t xml:space="preserve">Shape of </w:t>
      </w:r>
      <w:bookmarkEnd w:id="468"/>
      <w:bookmarkEnd w:id="469"/>
      <w:bookmarkEnd w:id="470"/>
      <w:r>
        <w:rPr>
          <w:snapToGrid w:val="0"/>
        </w:rPr>
        <w:t>licence</w:t>
      </w:r>
      <w:bookmarkEnd w:id="471"/>
      <w:bookmarkEnd w:id="472"/>
      <w:bookmarkEnd w:id="473"/>
      <w:r>
        <w:rPr>
          <w:snapToGrid w:val="0"/>
        </w:rPr>
        <w:t xml:space="preserve"> </w:t>
      </w:r>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pPr>
      <w:r>
        <w:t>[</w:t>
      </w:r>
      <w:r>
        <w:rPr>
          <w:b/>
        </w:rPr>
        <w:t>40.</w:t>
      </w:r>
      <w:r>
        <w:tab/>
        <w:t xml:space="preserve">Repealed in Gazette 13 Oct 1995 p. 4816.] </w:t>
      </w:r>
    </w:p>
    <w:p>
      <w:pPr>
        <w:pStyle w:val="Heading5"/>
        <w:rPr>
          <w:snapToGrid w:val="0"/>
        </w:rPr>
      </w:pPr>
      <w:bookmarkStart w:id="474" w:name="_Toc474633070"/>
      <w:bookmarkStart w:id="475" w:name="_Toc488740219"/>
      <w:bookmarkStart w:id="476" w:name="_Toc8623600"/>
      <w:bookmarkStart w:id="477" w:name="_Toc11229441"/>
      <w:bookmarkStart w:id="478" w:name="_Toc104276598"/>
      <w:bookmarkStart w:id="479" w:name="_Toc127087277"/>
      <w:r>
        <w:rPr>
          <w:rStyle w:val="CharSectno"/>
        </w:rPr>
        <w:t>41</w:t>
      </w:r>
      <w:r>
        <w:rPr>
          <w:snapToGrid w:val="0"/>
        </w:rPr>
        <w:t>.</w:t>
      </w:r>
      <w:r>
        <w:rPr>
          <w:snapToGrid w:val="0"/>
        </w:rPr>
        <w:tab/>
        <w:t>Covenants and conditions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Every miscellaneous licence shall contain and be subject to the following covenants and conditions that the licensee shall —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not assign, underlet or part with possession of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pPr>
      <w:r>
        <w:tab/>
        <w:t xml:space="preserve">[Regulation 41 amended in Gazette 2 Oct 1987 p. 3837.] </w:t>
      </w:r>
    </w:p>
    <w:p>
      <w:pPr>
        <w:pStyle w:val="Heading5"/>
        <w:rPr>
          <w:snapToGrid w:val="0"/>
        </w:rPr>
      </w:pPr>
      <w:bookmarkStart w:id="480" w:name="_Toc474633071"/>
      <w:bookmarkStart w:id="481" w:name="_Toc488740220"/>
      <w:bookmarkStart w:id="482" w:name="_Toc8623601"/>
      <w:bookmarkStart w:id="483" w:name="_Toc11229442"/>
      <w:bookmarkStart w:id="484" w:name="_Toc104276599"/>
      <w:bookmarkStart w:id="485" w:name="_Toc127087278"/>
      <w:r>
        <w:rPr>
          <w:rStyle w:val="CharSectno"/>
        </w:rPr>
        <w:t>42</w:t>
      </w:r>
      <w:r>
        <w:rPr>
          <w:snapToGrid w:val="0"/>
        </w:rPr>
        <w:t>.</w:t>
      </w:r>
      <w:r>
        <w:rPr>
          <w:snapToGrid w:val="0"/>
        </w:rPr>
        <w:tab/>
        <w:t xml:space="preserve">Instrument of </w:t>
      </w:r>
      <w:bookmarkEnd w:id="480"/>
      <w:bookmarkEnd w:id="481"/>
      <w:bookmarkEnd w:id="482"/>
      <w:r>
        <w:rPr>
          <w:snapToGrid w:val="0"/>
        </w:rPr>
        <w:t>licence</w:t>
      </w:r>
      <w:bookmarkEnd w:id="483"/>
      <w:bookmarkEnd w:id="484"/>
      <w:bookmarkEnd w:id="485"/>
      <w:r>
        <w:rPr>
          <w:snapToGrid w:val="0"/>
        </w:rPr>
        <w:t xml:space="preserve"> </w:t>
      </w:r>
    </w:p>
    <w:p>
      <w:pPr>
        <w:pStyle w:val="Subsection"/>
        <w:rPr>
          <w:snapToGrid w:val="0"/>
        </w:rPr>
      </w:pPr>
      <w:r>
        <w:rPr>
          <w:snapToGrid w:val="0"/>
        </w:rPr>
        <w:tab/>
      </w:r>
      <w:r>
        <w:rPr>
          <w:snapToGrid w:val="0"/>
        </w:rPr>
        <w:tab/>
        <w:t>The instrument of licence for a miscellaneous licence shall be in the form No. 11 in the First Schedule.</w:t>
      </w:r>
    </w:p>
    <w:p>
      <w:pPr>
        <w:pStyle w:val="Heading5"/>
        <w:rPr>
          <w:snapToGrid w:val="0"/>
        </w:rPr>
      </w:pPr>
      <w:bookmarkStart w:id="486" w:name="_Toc474633072"/>
      <w:bookmarkStart w:id="487" w:name="_Toc488740221"/>
      <w:bookmarkStart w:id="488" w:name="_Toc8623602"/>
      <w:bookmarkStart w:id="489" w:name="_Toc11229443"/>
      <w:bookmarkStart w:id="490" w:name="_Toc104276600"/>
      <w:bookmarkStart w:id="491" w:name="_Toc127087279"/>
      <w:r>
        <w:rPr>
          <w:rStyle w:val="CharSectno"/>
        </w:rPr>
        <w:t>42A</w:t>
      </w:r>
      <w:r>
        <w:rPr>
          <w:snapToGrid w:val="0"/>
        </w:rPr>
        <w:t>.</w:t>
      </w:r>
      <w:r>
        <w:rPr>
          <w:snapToGrid w:val="0"/>
        </w:rPr>
        <w:tab/>
        <w:t>Application for renewal</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Application for renewal of a miscellaneous licence under section 91A or 91B shall be —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42A inserted in Gazette 2 Oct 1987 p. 3817; amended in Gazette 11 Jun 1999 p. 2544; 2 Feb 2001 p. 712.] </w:t>
      </w:r>
    </w:p>
    <w:p>
      <w:pPr>
        <w:pStyle w:val="Heading5"/>
        <w:rPr>
          <w:snapToGrid w:val="0"/>
        </w:rPr>
      </w:pPr>
      <w:bookmarkStart w:id="492" w:name="_Toc474633073"/>
      <w:bookmarkStart w:id="493" w:name="_Toc488740222"/>
      <w:bookmarkStart w:id="494" w:name="_Toc8623603"/>
      <w:bookmarkStart w:id="495" w:name="_Toc11229444"/>
      <w:bookmarkStart w:id="496" w:name="_Toc104276601"/>
      <w:bookmarkStart w:id="497" w:name="_Toc127087280"/>
      <w:r>
        <w:rPr>
          <w:rStyle w:val="CharSectno"/>
        </w:rPr>
        <w:t>42B</w:t>
      </w:r>
      <w:r>
        <w:rPr>
          <w:snapToGrid w:val="0"/>
        </w:rPr>
        <w:t>.</w:t>
      </w:r>
      <w:r>
        <w:rPr>
          <w:snapToGrid w:val="0"/>
        </w:rPr>
        <w:tab/>
        <w:t xml:space="preserve">Prescribed purposes for grant of miscellaneous </w:t>
      </w:r>
      <w:bookmarkEnd w:id="492"/>
      <w:bookmarkEnd w:id="493"/>
      <w:bookmarkEnd w:id="494"/>
      <w:r>
        <w:rPr>
          <w:snapToGrid w:val="0"/>
        </w:rPr>
        <w:t>licence</w:t>
      </w:r>
      <w:bookmarkEnd w:id="495"/>
      <w:bookmarkEnd w:id="496"/>
      <w:bookmarkEnd w:id="497"/>
      <w:r>
        <w:rPr>
          <w:snapToGrid w:val="0"/>
        </w:rPr>
        <w:t xml:space="preserve"> </w:t>
      </w:r>
    </w:p>
    <w:p>
      <w:pPr>
        <w:pStyle w:val="Subsection"/>
        <w:spacing w:before="100"/>
        <w:rPr>
          <w:snapToGrid w:val="0"/>
        </w:rPr>
      </w:pPr>
      <w:r>
        <w:rPr>
          <w:snapToGrid w:val="0"/>
        </w:rPr>
        <w:tab/>
      </w:r>
      <w:r>
        <w:rPr>
          <w:snapToGrid w:val="0"/>
        </w:rPr>
        <w:tab/>
        <w:t>For the purposes of section 91(1), a miscellaneous licence may be granted for the use of land for one or more of the following purposes —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 xml:space="preserve">[Regulation 42B inserted in Gazette 13 Oct 1995 p. 4817; amended in Gazette 4 Apr 1997 p. 1778.] </w:t>
      </w:r>
    </w:p>
    <w:p>
      <w:pPr>
        <w:pStyle w:val="Heading3"/>
        <w:spacing w:before="120"/>
        <w:rPr>
          <w:snapToGrid w:val="0"/>
        </w:rPr>
      </w:pPr>
      <w:bookmarkStart w:id="498" w:name="_Toc74978885"/>
      <w:bookmarkStart w:id="499" w:name="_Toc74979149"/>
      <w:bookmarkStart w:id="500" w:name="_Toc79976447"/>
      <w:bookmarkStart w:id="501" w:name="_Toc80759718"/>
      <w:bookmarkStart w:id="502" w:name="_Toc80783481"/>
      <w:bookmarkStart w:id="503" w:name="_Toc94931148"/>
      <w:bookmarkStart w:id="504" w:name="_Toc104275271"/>
      <w:bookmarkStart w:id="505" w:name="_Toc104276602"/>
      <w:bookmarkStart w:id="506" w:name="_Toc107198823"/>
      <w:bookmarkStart w:id="507" w:name="_Toc107799274"/>
      <w:bookmarkStart w:id="508" w:name="_Toc127087281"/>
      <w:r>
        <w:rPr>
          <w:rStyle w:val="CharDivNo"/>
        </w:rPr>
        <w:t>Division 6</w:t>
      </w:r>
      <w:r>
        <w:rPr>
          <w:snapToGrid w:val="0"/>
        </w:rPr>
        <w:t> — </w:t>
      </w:r>
      <w:r>
        <w:rPr>
          <w:rStyle w:val="CharDivText"/>
        </w:rPr>
        <w:t>Surrenders and forfeitures</w:t>
      </w:r>
      <w:bookmarkEnd w:id="498"/>
      <w:bookmarkEnd w:id="499"/>
      <w:bookmarkEnd w:id="500"/>
      <w:bookmarkEnd w:id="501"/>
      <w:bookmarkEnd w:id="502"/>
      <w:bookmarkEnd w:id="503"/>
      <w:bookmarkEnd w:id="504"/>
      <w:bookmarkEnd w:id="505"/>
      <w:bookmarkEnd w:id="506"/>
      <w:bookmarkEnd w:id="507"/>
      <w:bookmarkEnd w:id="508"/>
      <w:r>
        <w:rPr>
          <w:rStyle w:val="CharDivText"/>
        </w:rPr>
        <w:t xml:space="preserve"> </w:t>
      </w:r>
    </w:p>
    <w:p>
      <w:pPr>
        <w:pStyle w:val="Heading5"/>
        <w:spacing w:before="120"/>
        <w:rPr>
          <w:snapToGrid w:val="0"/>
        </w:rPr>
      </w:pPr>
      <w:bookmarkStart w:id="509" w:name="_Toc474633074"/>
      <w:bookmarkStart w:id="510" w:name="_Toc488740223"/>
      <w:bookmarkStart w:id="511" w:name="_Toc8623604"/>
      <w:bookmarkStart w:id="512" w:name="_Toc11229445"/>
      <w:bookmarkStart w:id="513" w:name="_Toc104276603"/>
      <w:bookmarkStart w:id="514" w:name="_Toc127087282"/>
      <w:r>
        <w:rPr>
          <w:rStyle w:val="CharSectno"/>
        </w:rPr>
        <w:t>43</w:t>
      </w:r>
      <w:r>
        <w:rPr>
          <w:snapToGrid w:val="0"/>
        </w:rPr>
        <w:t>.</w:t>
      </w:r>
      <w:r>
        <w:rPr>
          <w:snapToGrid w:val="0"/>
        </w:rPr>
        <w:tab/>
        <w:t>Surrender of tenement</w:t>
      </w:r>
      <w:bookmarkEnd w:id="509"/>
      <w:bookmarkEnd w:id="510"/>
      <w:bookmarkEnd w:id="511"/>
      <w:bookmarkEnd w:id="512"/>
      <w:bookmarkEnd w:id="513"/>
      <w:bookmarkEnd w:id="514"/>
      <w:r>
        <w:rPr>
          <w:snapToGrid w:val="0"/>
        </w:rPr>
        <w:t xml:space="preserve"> </w:t>
      </w:r>
    </w:p>
    <w:p>
      <w:pPr>
        <w:pStyle w:val="Subsection"/>
        <w:spacing w:before="100"/>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spacing w:before="100"/>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 xml:space="preserve">[Regulation 43 amended in Gazette 12 Nov 1982 p. 4490.] </w:t>
      </w:r>
    </w:p>
    <w:p>
      <w:pPr>
        <w:pStyle w:val="Heading5"/>
        <w:spacing w:before="120"/>
        <w:rPr>
          <w:snapToGrid w:val="0"/>
        </w:rPr>
      </w:pPr>
      <w:bookmarkStart w:id="515" w:name="_Toc474633075"/>
      <w:bookmarkStart w:id="516" w:name="_Toc488740224"/>
      <w:bookmarkStart w:id="517" w:name="_Toc8623605"/>
      <w:bookmarkStart w:id="518" w:name="_Toc11229446"/>
      <w:bookmarkStart w:id="519" w:name="_Toc104276604"/>
      <w:bookmarkStart w:id="520" w:name="_Toc127087283"/>
      <w:r>
        <w:rPr>
          <w:rStyle w:val="CharSectno"/>
        </w:rPr>
        <w:t>44</w:t>
      </w:r>
      <w:r>
        <w:rPr>
          <w:snapToGrid w:val="0"/>
        </w:rPr>
        <w:t>.</w:t>
      </w:r>
      <w:r>
        <w:rPr>
          <w:snapToGrid w:val="0"/>
        </w:rPr>
        <w:tab/>
        <w:t>Shape of tenement after partial surrender</w:t>
      </w:r>
      <w:bookmarkEnd w:id="515"/>
      <w:bookmarkEnd w:id="516"/>
      <w:bookmarkEnd w:id="517"/>
      <w:bookmarkEnd w:id="518"/>
      <w:bookmarkEnd w:id="519"/>
      <w:bookmarkEnd w:id="520"/>
      <w:r>
        <w:rPr>
          <w:snapToGrid w:val="0"/>
        </w:rPr>
        <w:t xml:space="preserve"> </w:t>
      </w:r>
    </w:p>
    <w:p>
      <w:pPr>
        <w:pStyle w:val="Subsection"/>
        <w:spacing w:before="100"/>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spacing w:before="100"/>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spacing w:before="100"/>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 xml:space="preserve">8.] </w:t>
      </w:r>
    </w:p>
    <w:p>
      <w:pPr>
        <w:pStyle w:val="Heading5"/>
        <w:spacing w:before="120"/>
        <w:rPr>
          <w:snapToGrid w:val="0"/>
        </w:rPr>
      </w:pPr>
      <w:bookmarkStart w:id="521" w:name="_Toc474633076"/>
      <w:bookmarkStart w:id="522" w:name="_Toc488740225"/>
      <w:bookmarkStart w:id="523" w:name="_Toc8623606"/>
      <w:bookmarkStart w:id="524" w:name="_Toc11229447"/>
      <w:bookmarkStart w:id="525" w:name="_Toc104276605"/>
      <w:bookmarkStart w:id="526" w:name="_Toc127087284"/>
      <w:r>
        <w:rPr>
          <w:rStyle w:val="CharSectno"/>
        </w:rPr>
        <w:t>45</w:t>
      </w:r>
      <w:r>
        <w:rPr>
          <w:snapToGrid w:val="0"/>
        </w:rPr>
        <w:t>.</w:t>
      </w:r>
      <w:r>
        <w:rPr>
          <w:snapToGrid w:val="0"/>
        </w:rPr>
        <w:tab/>
        <w:t>Marking out etc., required for partial surrender</w:t>
      </w:r>
      <w:bookmarkEnd w:id="521"/>
      <w:bookmarkEnd w:id="522"/>
      <w:bookmarkEnd w:id="523"/>
      <w:bookmarkEnd w:id="524"/>
      <w:bookmarkEnd w:id="525"/>
      <w:bookmarkEnd w:id="526"/>
      <w:r>
        <w:rPr>
          <w:snapToGrid w:val="0"/>
        </w:rPr>
        <w:t xml:space="preserve"> </w:t>
      </w:r>
    </w:p>
    <w:p>
      <w:pPr>
        <w:pStyle w:val="Subsection"/>
        <w:keepNext/>
        <w:spacing w:before="100"/>
        <w:rPr>
          <w:snapToGrid w:val="0"/>
        </w:rPr>
      </w:pPr>
      <w:r>
        <w:rPr>
          <w:snapToGrid w:val="0"/>
        </w:rPr>
        <w:tab/>
        <w:t>(1)</w:t>
      </w:r>
      <w:r>
        <w:rPr>
          <w:snapToGrid w:val="0"/>
        </w:rPr>
        <w:tab/>
        <w:t>Where a mining tenement is being surrendered as to part only the holder shall —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100"/>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spacing w:before="100"/>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spacing w:before="10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100"/>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 xml:space="preserve">[Regulation 45 amended in Gazette 15 Jun 1984 p. 1655; 20 Jun 1986 p. 2084; 26 Jun 1987 p. 2526; 2 Oct 1987 p. 3817; 16 Nov 1990 p. 5728; 31 May 1991 p. 2698 (corrigendum in Gazette 7 Jun 1991 p. 2836); 21 Jun 1991 p. 3055; 24 Jun 1994 p. 2931; 17 Jan 2003 p. 106.] </w:t>
      </w:r>
    </w:p>
    <w:p>
      <w:pPr>
        <w:pStyle w:val="Heading5"/>
        <w:rPr>
          <w:snapToGrid w:val="0"/>
        </w:rPr>
      </w:pPr>
      <w:bookmarkStart w:id="527" w:name="_Toc474633077"/>
      <w:bookmarkStart w:id="528" w:name="_Toc488740226"/>
      <w:bookmarkStart w:id="529" w:name="_Toc8623607"/>
      <w:bookmarkStart w:id="530" w:name="_Toc11229448"/>
      <w:bookmarkStart w:id="531" w:name="_Toc104276606"/>
      <w:bookmarkStart w:id="532" w:name="_Toc127087285"/>
      <w:r>
        <w:rPr>
          <w:rStyle w:val="CharSectno"/>
        </w:rPr>
        <w:t>46</w:t>
      </w:r>
      <w:r>
        <w:rPr>
          <w:snapToGrid w:val="0"/>
        </w:rPr>
        <w:t>.</w:t>
      </w:r>
      <w:r>
        <w:rPr>
          <w:snapToGrid w:val="0"/>
        </w:rPr>
        <w:tab/>
        <w:t>Partial surrender to be endorsed on instrument of lease/</w:t>
      </w:r>
      <w:bookmarkEnd w:id="527"/>
      <w:bookmarkEnd w:id="528"/>
      <w:bookmarkEnd w:id="529"/>
      <w:r>
        <w:rPr>
          <w:snapToGrid w:val="0"/>
        </w:rPr>
        <w:t>licence</w:t>
      </w:r>
      <w:bookmarkEnd w:id="530"/>
      <w:bookmarkEnd w:id="531"/>
      <w:bookmarkEnd w:id="532"/>
      <w:r>
        <w:rPr>
          <w:snapToGrid w:val="0"/>
        </w:rPr>
        <w:t xml:space="preserve"> </w:t>
      </w:r>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533" w:name="_Toc474633078"/>
      <w:bookmarkStart w:id="534" w:name="_Toc488740227"/>
      <w:bookmarkStart w:id="535" w:name="_Toc8623608"/>
      <w:bookmarkStart w:id="536" w:name="_Toc11229449"/>
      <w:bookmarkStart w:id="537" w:name="_Toc104276607"/>
      <w:bookmarkStart w:id="538" w:name="_Toc127087286"/>
      <w:r>
        <w:rPr>
          <w:rStyle w:val="CharSectno"/>
        </w:rPr>
        <w:t>47</w:t>
      </w:r>
      <w:r>
        <w:rPr>
          <w:snapToGrid w:val="0"/>
        </w:rPr>
        <w:t>.</w:t>
      </w:r>
      <w:r>
        <w:rPr>
          <w:snapToGrid w:val="0"/>
        </w:rPr>
        <w:tab/>
        <w:t>Consent of mortgagee to surrender</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 xml:space="preserve">[Regulation 47 amended in Gazette 31 May 1991 p. 2698.] </w:t>
      </w:r>
    </w:p>
    <w:p>
      <w:pPr>
        <w:pStyle w:val="Heading5"/>
        <w:rPr>
          <w:snapToGrid w:val="0"/>
        </w:rPr>
      </w:pPr>
      <w:bookmarkStart w:id="539" w:name="_Toc474633079"/>
      <w:bookmarkStart w:id="540" w:name="_Toc488740228"/>
      <w:bookmarkStart w:id="541" w:name="_Toc8623609"/>
      <w:bookmarkStart w:id="542" w:name="_Toc11229450"/>
      <w:bookmarkStart w:id="543" w:name="_Toc104276608"/>
      <w:bookmarkStart w:id="544" w:name="_Toc127087287"/>
      <w:r>
        <w:rPr>
          <w:rStyle w:val="CharSectno"/>
        </w:rPr>
        <w:t>47A</w:t>
      </w:r>
      <w:r>
        <w:rPr>
          <w:snapToGrid w:val="0"/>
        </w:rPr>
        <w:t>.</w:t>
      </w:r>
      <w:r>
        <w:rPr>
          <w:snapToGrid w:val="0"/>
        </w:rPr>
        <w:tab/>
        <w:t>Refund where conditional surrender of mining lease or general purpose lease</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47A inserted in Gazette 13 Oct 1995 p. 4817.] </w:t>
      </w:r>
    </w:p>
    <w:p>
      <w:pPr>
        <w:pStyle w:val="Heading5"/>
        <w:rPr>
          <w:snapToGrid w:val="0"/>
        </w:rPr>
      </w:pPr>
      <w:bookmarkStart w:id="545" w:name="_Toc474633080"/>
      <w:bookmarkStart w:id="546" w:name="_Toc488740229"/>
      <w:bookmarkStart w:id="547" w:name="_Toc8623610"/>
      <w:bookmarkStart w:id="548" w:name="_Toc11229451"/>
      <w:bookmarkStart w:id="549" w:name="_Toc104276609"/>
      <w:bookmarkStart w:id="550" w:name="_Toc127087288"/>
      <w:r>
        <w:rPr>
          <w:rStyle w:val="CharSectno"/>
        </w:rPr>
        <w:t>48</w:t>
      </w:r>
      <w:r>
        <w:rPr>
          <w:snapToGrid w:val="0"/>
        </w:rPr>
        <w:t>.</w:t>
      </w:r>
      <w:r>
        <w:rPr>
          <w:snapToGrid w:val="0"/>
        </w:rPr>
        <w:tab/>
        <w:t>Plaint for forfeiture</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An application for the forfeiture of a mining tenement under section 96(1)(b) or section 98 of the Act shall be made by way of plaint in the form No. 33 in the First Schedule.</w:t>
      </w:r>
    </w:p>
    <w:p>
      <w:pPr>
        <w:pStyle w:val="Heading5"/>
        <w:rPr>
          <w:snapToGrid w:val="0"/>
        </w:rPr>
      </w:pPr>
      <w:bookmarkStart w:id="551" w:name="_Toc474633081"/>
      <w:bookmarkStart w:id="552" w:name="_Toc488740230"/>
      <w:bookmarkStart w:id="553" w:name="_Toc8623611"/>
      <w:bookmarkStart w:id="554" w:name="_Toc11229452"/>
      <w:bookmarkStart w:id="555" w:name="_Toc104276610"/>
      <w:bookmarkStart w:id="556" w:name="_Toc127087289"/>
      <w:r>
        <w:rPr>
          <w:rStyle w:val="CharSectno"/>
        </w:rPr>
        <w:t>49</w:t>
      </w:r>
      <w:r>
        <w:rPr>
          <w:snapToGrid w:val="0"/>
        </w:rPr>
        <w:t>.</w:t>
      </w:r>
      <w:r>
        <w:rPr>
          <w:snapToGrid w:val="0"/>
        </w:rPr>
        <w:tab/>
        <w:t>Forfeiture for non</w:t>
      </w:r>
      <w:r>
        <w:rPr>
          <w:snapToGrid w:val="0"/>
        </w:rPr>
        <w:noBreakHyphen/>
        <w:t>payment of rent, etc.</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rPr>
          <w:snapToGrid w:val="0"/>
        </w:rPr>
      </w:pPr>
      <w:r>
        <w:rPr>
          <w:snapToGrid w:val="0"/>
        </w:rPr>
        <w:tab/>
        <w:t>(3)</w:t>
      </w:r>
      <w:r>
        <w:rPr>
          <w:snapToGrid w:val="0"/>
        </w:rPr>
        <w:tab/>
        <w:t>An objection in the form No. 16 in the First Schedule against the warden making an order for forfeiture referred to in subregulation (2) may be lodged at the office of the mining registrar at any time prior to the fixed date, and the warden shall hear and determine the matter.</w:t>
      </w:r>
    </w:p>
    <w:p>
      <w:pPr>
        <w:pStyle w:val="Footnotesection"/>
      </w:pPr>
      <w:r>
        <w:tab/>
        <w:t xml:space="preserve">[Regulation 49 amended in Gazette 24 Dec 1993 p. 6828.] </w:t>
      </w:r>
    </w:p>
    <w:p>
      <w:pPr>
        <w:pStyle w:val="Heading5"/>
        <w:rPr>
          <w:snapToGrid w:val="0"/>
        </w:rPr>
      </w:pPr>
      <w:bookmarkStart w:id="557" w:name="_Toc474633082"/>
      <w:bookmarkStart w:id="558" w:name="_Toc488740231"/>
      <w:bookmarkStart w:id="559" w:name="_Toc8623612"/>
      <w:bookmarkStart w:id="560" w:name="_Toc11229453"/>
      <w:bookmarkStart w:id="561" w:name="_Toc104276611"/>
      <w:bookmarkStart w:id="562" w:name="_Toc127087290"/>
      <w:r>
        <w:rPr>
          <w:rStyle w:val="CharSectno"/>
        </w:rPr>
        <w:t>50</w:t>
      </w:r>
      <w:r>
        <w:rPr>
          <w:snapToGrid w:val="0"/>
        </w:rPr>
        <w:t>.</w:t>
      </w:r>
      <w:r>
        <w:rPr>
          <w:snapToGrid w:val="0"/>
        </w:rPr>
        <w:tab/>
        <w:t>Notice to holder of mining tenement of intended forfeiture</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rPr>
          <w:snapToGrid w:val="0"/>
        </w:rPr>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rPr>
          <w:snapToGrid w:val="0"/>
        </w:rPr>
        <w:t>.</w:t>
      </w:r>
    </w:p>
    <w:p>
      <w:pPr>
        <w:pStyle w:val="Footnotesection"/>
      </w:pPr>
      <w:r>
        <w:tab/>
        <w:t xml:space="preserve">[Regulation 50 amended in Gazette 24 Jun 1994 p. 2931.] </w:t>
      </w:r>
    </w:p>
    <w:p>
      <w:pPr>
        <w:pStyle w:val="Heading5"/>
        <w:rPr>
          <w:snapToGrid w:val="0"/>
        </w:rPr>
      </w:pPr>
      <w:bookmarkStart w:id="563" w:name="_Toc474633083"/>
      <w:bookmarkStart w:id="564" w:name="_Toc488740232"/>
      <w:bookmarkStart w:id="565" w:name="_Toc8623613"/>
      <w:bookmarkStart w:id="566" w:name="_Toc11229454"/>
      <w:bookmarkStart w:id="567" w:name="_Toc104276612"/>
      <w:bookmarkStart w:id="568" w:name="_Toc127087291"/>
      <w:r>
        <w:rPr>
          <w:rStyle w:val="CharSectno"/>
        </w:rPr>
        <w:t>51</w:t>
      </w:r>
      <w:r>
        <w:rPr>
          <w:snapToGrid w:val="0"/>
        </w:rPr>
        <w:t>.</w:t>
      </w:r>
      <w:r>
        <w:rPr>
          <w:snapToGrid w:val="0"/>
        </w:rPr>
        <w:tab/>
        <w:t>Application for restoration of tenement</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An application under section 97A for restoration of a mining tenement and cancellation of forfeiture shall be —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 xml:space="preserve">[Regulation 51 inserted in Gazette 2 Oct 1987 p. 3818; amended in Gazette 24 Jun 1994 p. 2931.] </w:t>
      </w:r>
    </w:p>
    <w:p>
      <w:pPr>
        <w:pStyle w:val="Heading5"/>
        <w:rPr>
          <w:snapToGrid w:val="0"/>
        </w:rPr>
      </w:pPr>
      <w:bookmarkStart w:id="569" w:name="_Toc474633084"/>
      <w:bookmarkStart w:id="570" w:name="_Toc488740233"/>
      <w:bookmarkStart w:id="571" w:name="_Toc8623614"/>
      <w:bookmarkStart w:id="572" w:name="_Toc11229455"/>
      <w:bookmarkStart w:id="573" w:name="_Toc104276613"/>
      <w:bookmarkStart w:id="574" w:name="_Toc127087292"/>
      <w:r>
        <w:rPr>
          <w:rStyle w:val="CharSectno"/>
        </w:rPr>
        <w:t>51A</w:t>
      </w:r>
      <w:r>
        <w:rPr>
          <w:snapToGrid w:val="0"/>
        </w:rPr>
        <w:t>.</w:t>
      </w:r>
      <w:r>
        <w:rPr>
          <w:snapToGrid w:val="0"/>
        </w:rPr>
        <w:tab/>
        <w:t>Notice of application for restoration</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 xml:space="preserve">[Regulation 51A inserted in Gazette 2 Oct 1987 p. 3818.] </w:t>
      </w:r>
    </w:p>
    <w:p>
      <w:pPr>
        <w:pStyle w:val="Heading5"/>
        <w:rPr>
          <w:snapToGrid w:val="0"/>
        </w:rPr>
      </w:pPr>
      <w:bookmarkStart w:id="575" w:name="_Toc474633085"/>
      <w:bookmarkStart w:id="576" w:name="_Toc488740234"/>
      <w:bookmarkStart w:id="577" w:name="_Toc8623615"/>
      <w:bookmarkStart w:id="578" w:name="_Toc11229456"/>
      <w:bookmarkStart w:id="579" w:name="_Toc104276614"/>
      <w:bookmarkStart w:id="580" w:name="_Toc127087293"/>
      <w:r>
        <w:rPr>
          <w:rStyle w:val="CharSectno"/>
        </w:rPr>
        <w:t>51B</w:t>
      </w:r>
      <w:r>
        <w:rPr>
          <w:snapToGrid w:val="0"/>
        </w:rPr>
        <w:t>.</w:t>
      </w:r>
      <w:r>
        <w:rPr>
          <w:snapToGrid w:val="0"/>
        </w:rPr>
        <w:tab/>
        <w:t>Objection to application</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A notice of objection to the granting of an application under section 97A(1) shall be — </w:t>
      </w:r>
    </w:p>
    <w:p>
      <w:pPr>
        <w:pStyle w:val="Indenta"/>
        <w:rPr>
          <w:snapToGrid w:val="0"/>
        </w:rPr>
      </w:pPr>
      <w:r>
        <w:rPr>
          <w:snapToGrid w:val="0"/>
        </w:rPr>
        <w:tab/>
        <w:t>(a)</w:t>
      </w:r>
      <w:r>
        <w:rPr>
          <w:snapToGrid w:val="0"/>
        </w:rPr>
        <w:tab/>
        <w:t>in the form No. 16 in the First Schedule; and</w:t>
      </w:r>
    </w:p>
    <w:p>
      <w:pPr>
        <w:pStyle w:val="Indenta"/>
        <w:rPr>
          <w:snapToGrid w:val="0"/>
        </w:rPr>
      </w:pPr>
      <w:r>
        <w:rPr>
          <w:snapToGrid w:val="0"/>
        </w:rPr>
        <w:tab/>
        <w:t>(b)</w:t>
      </w:r>
      <w:r>
        <w:rPr>
          <w:snapToGrid w:val="0"/>
        </w:rPr>
        <w:tab/>
        <w:t>lodged at the office of the mining registrar within 30 days of the lodging of the application at the office of the mining registrar or within such further time as the warden considers reasonable.</w:t>
      </w:r>
    </w:p>
    <w:p>
      <w:pPr>
        <w:pStyle w:val="Footnotesection"/>
      </w:pPr>
      <w:r>
        <w:tab/>
        <w:t xml:space="preserve">[Regulation 51B inserted in Gazette 2 Oct 1987 p. 3818; amended in Gazette 24 Dec 1993 p. 6828; 24 Jun 1994 p. 2931.] </w:t>
      </w:r>
    </w:p>
    <w:p>
      <w:pPr>
        <w:pStyle w:val="Heading5"/>
        <w:rPr>
          <w:snapToGrid w:val="0"/>
        </w:rPr>
      </w:pPr>
      <w:bookmarkStart w:id="581" w:name="_Toc474633086"/>
      <w:bookmarkStart w:id="582" w:name="_Toc488740235"/>
      <w:bookmarkStart w:id="583" w:name="_Toc8623616"/>
      <w:bookmarkStart w:id="584" w:name="_Toc11229457"/>
      <w:bookmarkStart w:id="585" w:name="_Toc104276615"/>
      <w:bookmarkStart w:id="586" w:name="_Toc127087294"/>
      <w:r>
        <w:rPr>
          <w:rStyle w:val="CharSectno"/>
        </w:rPr>
        <w:t>52</w:t>
      </w:r>
      <w:r>
        <w:rPr>
          <w:snapToGrid w:val="0"/>
        </w:rPr>
        <w:t>.</w:t>
      </w:r>
      <w:r>
        <w:rPr>
          <w:snapToGrid w:val="0"/>
        </w:rPr>
        <w:tab/>
        <w:t>Reduced expenditure where forfeiture plaint lodged</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Notwithstanding regulations 15(1), 21(1) and 31(1), where a plaint for forfeiture of a mining tenement is lodged, a pro rata reduction in the annual amount to be expended in respect of the mining tenement applies for each whole month from the date of lodgment to the date of determination of the plaint.</w:t>
      </w:r>
    </w:p>
    <w:p>
      <w:pPr>
        <w:pStyle w:val="Footnotesection"/>
      </w:pPr>
      <w:r>
        <w:tab/>
        <w:t xml:space="preserve">[Regulation 52 inserted in Gazette 16 Nov 1990 p. 5728.] </w:t>
      </w:r>
    </w:p>
    <w:p>
      <w:pPr>
        <w:pStyle w:val="Heading5"/>
        <w:rPr>
          <w:snapToGrid w:val="0"/>
        </w:rPr>
      </w:pPr>
      <w:bookmarkStart w:id="587" w:name="_Toc474633087"/>
      <w:bookmarkStart w:id="588" w:name="_Toc488740236"/>
      <w:bookmarkStart w:id="589" w:name="_Toc8623617"/>
      <w:bookmarkStart w:id="590" w:name="_Toc11229458"/>
      <w:bookmarkStart w:id="591" w:name="_Toc104276616"/>
      <w:bookmarkStart w:id="592" w:name="_Toc127087295"/>
      <w:r>
        <w:rPr>
          <w:rStyle w:val="CharSectno"/>
        </w:rPr>
        <w:t>53</w:t>
      </w:r>
      <w:r>
        <w:rPr>
          <w:snapToGrid w:val="0"/>
        </w:rPr>
        <w:t>.</w:t>
      </w:r>
      <w:r>
        <w:rPr>
          <w:snapToGrid w:val="0"/>
        </w:rPr>
        <w:tab/>
        <w:t>Notice to mortgagee</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Where a mining tenement that is liable to forfeiture is encumbered by a mortgage then at the same time as notification is sent to the holder pursuant to regulations 49 and 50 the warden or Minister as the case may be shall cause a copy of the notification to be forwarded to the mortgagee by post.</w:t>
      </w:r>
    </w:p>
    <w:p>
      <w:pPr>
        <w:pStyle w:val="Heading3"/>
        <w:rPr>
          <w:snapToGrid w:val="0"/>
        </w:rPr>
      </w:pPr>
      <w:bookmarkStart w:id="593" w:name="_Toc74978900"/>
      <w:bookmarkStart w:id="594" w:name="_Toc74979164"/>
      <w:bookmarkStart w:id="595" w:name="_Toc79976462"/>
      <w:bookmarkStart w:id="596" w:name="_Toc80759733"/>
      <w:bookmarkStart w:id="597" w:name="_Toc80783496"/>
      <w:bookmarkStart w:id="598" w:name="_Toc94931163"/>
      <w:bookmarkStart w:id="599" w:name="_Toc104275286"/>
      <w:bookmarkStart w:id="600" w:name="_Toc104276617"/>
      <w:bookmarkStart w:id="601" w:name="_Toc107198838"/>
      <w:bookmarkStart w:id="602" w:name="_Toc107799289"/>
      <w:bookmarkStart w:id="603" w:name="_Toc127087296"/>
      <w:r>
        <w:rPr>
          <w:rStyle w:val="CharDivNo"/>
        </w:rPr>
        <w:t>Division 7</w:t>
      </w:r>
      <w:r>
        <w:rPr>
          <w:snapToGrid w:val="0"/>
        </w:rPr>
        <w:t> — </w:t>
      </w:r>
      <w:r>
        <w:rPr>
          <w:rStyle w:val="CharDivText"/>
        </w:rPr>
        <w:t>Exemptions</w:t>
      </w:r>
      <w:bookmarkEnd w:id="593"/>
      <w:bookmarkEnd w:id="594"/>
      <w:bookmarkEnd w:id="595"/>
      <w:bookmarkEnd w:id="596"/>
      <w:bookmarkEnd w:id="597"/>
      <w:bookmarkEnd w:id="598"/>
      <w:bookmarkEnd w:id="599"/>
      <w:bookmarkEnd w:id="600"/>
      <w:bookmarkEnd w:id="601"/>
      <w:bookmarkEnd w:id="602"/>
      <w:bookmarkEnd w:id="603"/>
      <w:r>
        <w:rPr>
          <w:rStyle w:val="CharDivText"/>
        </w:rPr>
        <w:t xml:space="preserve"> </w:t>
      </w:r>
    </w:p>
    <w:p>
      <w:pPr>
        <w:pStyle w:val="Heading5"/>
        <w:rPr>
          <w:snapToGrid w:val="0"/>
        </w:rPr>
      </w:pPr>
      <w:bookmarkStart w:id="604" w:name="_Toc474633088"/>
      <w:bookmarkStart w:id="605" w:name="_Toc488740237"/>
      <w:bookmarkStart w:id="606" w:name="_Toc8623618"/>
      <w:bookmarkStart w:id="607" w:name="_Toc11229459"/>
      <w:bookmarkStart w:id="608" w:name="_Toc104276618"/>
      <w:bookmarkStart w:id="609" w:name="_Toc127087297"/>
      <w:r>
        <w:rPr>
          <w:rStyle w:val="CharSectno"/>
        </w:rPr>
        <w:t>54</w:t>
      </w:r>
      <w:r>
        <w:rPr>
          <w:snapToGrid w:val="0"/>
        </w:rPr>
        <w:t>.</w:t>
      </w:r>
      <w:r>
        <w:rPr>
          <w:snapToGrid w:val="0"/>
        </w:rPr>
        <w:tab/>
        <w:t>Application for certificate of exemption</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spacing w:before="100"/>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spacing w:before="100"/>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spacing w:before="100"/>
        <w:rPr>
          <w:snapToGrid w:val="0"/>
        </w:rPr>
      </w:pPr>
      <w:r>
        <w:rPr>
          <w:snapToGrid w:val="0"/>
        </w:rPr>
        <w:tab/>
        <w:t>(2)</w:t>
      </w:r>
      <w:r>
        <w:rPr>
          <w:snapToGrid w:val="0"/>
        </w:rPr>
        <w:tab/>
        <w:t>An application for a certificate of exemption under section 102A shall be accompanied by the prescribed fee.</w:t>
      </w:r>
    </w:p>
    <w:p>
      <w:pPr>
        <w:pStyle w:val="Subsection"/>
        <w:spacing w:before="100"/>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spacing w:before="100"/>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 xml:space="preserve">[Regulation 54 inserted in Gazette 2 Oct 1987 p. 3818; amended in Gazette 31 May 1991 p. 2698; 13 Oct 1995 p. 4818; 4 Apr 1997 p. 1778; 17 Jan 2003 p. 113.] </w:t>
      </w:r>
    </w:p>
    <w:p>
      <w:pPr>
        <w:pStyle w:val="Heading5"/>
        <w:rPr>
          <w:snapToGrid w:val="0"/>
        </w:rPr>
      </w:pPr>
      <w:bookmarkStart w:id="610" w:name="_Toc474633089"/>
      <w:bookmarkStart w:id="611" w:name="_Toc488740238"/>
      <w:bookmarkStart w:id="612" w:name="_Toc8623619"/>
      <w:bookmarkStart w:id="613" w:name="_Toc11229460"/>
      <w:bookmarkStart w:id="614" w:name="_Toc104276619"/>
      <w:bookmarkStart w:id="615" w:name="_Toc127087298"/>
      <w:r>
        <w:rPr>
          <w:rStyle w:val="CharSectno"/>
        </w:rPr>
        <w:t>55</w:t>
      </w:r>
      <w:r>
        <w:rPr>
          <w:snapToGrid w:val="0"/>
        </w:rPr>
        <w:t>.</w:t>
      </w:r>
      <w:r>
        <w:rPr>
          <w:snapToGrid w:val="0"/>
        </w:rPr>
        <w:tab/>
        <w:t>Objection to application for exemption</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A person may within 21 days of the date of lodgement of an application for a certificate of exemption under section 102, or within such further period as the warden considers reasonable, lodge an objection against that application in the form No. 16 in the First Schedule.</w:t>
      </w:r>
    </w:p>
    <w:p>
      <w:pPr>
        <w:pStyle w:val="Footnotesection"/>
        <w:ind w:left="890" w:hanging="890"/>
      </w:pPr>
      <w:r>
        <w:tab/>
        <w:t xml:space="preserve">[Regulation 55 inserted in Gazette 13 Oct 1995 p. 4818; amended in Gazette 4 Apr 1997 p. 1778.] </w:t>
      </w:r>
    </w:p>
    <w:p>
      <w:pPr>
        <w:pStyle w:val="Heading5"/>
        <w:rPr>
          <w:snapToGrid w:val="0"/>
        </w:rPr>
      </w:pPr>
      <w:bookmarkStart w:id="616" w:name="_Toc474633090"/>
      <w:bookmarkStart w:id="617" w:name="_Toc488740239"/>
      <w:bookmarkStart w:id="618" w:name="_Toc8623620"/>
      <w:bookmarkStart w:id="619" w:name="_Toc11229461"/>
      <w:bookmarkStart w:id="620" w:name="_Toc104276620"/>
      <w:bookmarkStart w:id="621" w:name="_Toc127087299"/>
      <w:r>
        <w:rPr>
          <w:rStyle w:val="CharSectno"/>
        </w:rPr>
        <w:t>56</w:t>
      </w:r>
      <w:r>
        <w:rPr>
          <w:snapToGrid w:val="0"/>
        </w:rPr>
        <w:t>.</w:t>
      </w:r>
      <w:r>
        <w:rPr>
          <w:snapToGrid w:val="0"/>
        </w:rPr>
        <w:tab/>
        <w:t>Evidence in support of application</w:t>
      </w:r>
      <w:bookmarkEnd w:id="616"/>
      <w:r>
        <w:rPr>
          <w:snapToGrid w:val="0"/>
        </w:rPr>
        <w:t xml:space="preserve"> and objection</w:t>
      </w:r>
      <w:bookmarkEnd w:id="617"/>
      <w:bookmarkEnd w:id="618"/>
      <w:bookmarkEnd w:id="619"/>
      <w:bookmarkEnd w:id="620"/>
      <w:bookmarkEnd w:id="621"/>
    </w:p>
    <w:p>
      <w:pPr>
        <w:pStyle w:val="Subsection"/>
        <w:rPr>
          <w:snapToGrid w:val="0"/>
        </w:rPr>
      </w:pPr>
      <w:r>
        <w:rPr>
          <w:snapToGrid w:val="0"/>
        </w:rPr>
        <w:tab/>
        <w:t>(1)</w:t>
      </w:r>
      <w:r>
        <w:rPr>
          <w:snapToGrid w:val="0"/>
        </w:rPr>
        <w:tab/>
        <w:t>Where any objection against an application for a certificate of exemption under section 102 is lodged within the time allowed, the warden shall receive evidence in open court in support of the application and in support of any objection so lodged.</w:t>
      </w:r>
    </w:p>
    <w:p>
      <w:pPr>
        <w:pStyle w:val="Ednotesubsection"/>
        <w:keepNext/>
        <w:spacing w:before="110"/>
      </w:pPr>
      <w:r>
        <w:tab/>
        <w:t>[(2)</w:t>
      </w:r>
      <w:r>
        <w:tab/>
        <w:t>repealed]</w:t>
      </w:r>
    </w:p>
    <w:p>
      <w:pPr>
        <w:pStyle w:val="Footnotesection"/>
        <w:ind w:left="890" w:hanging="890"/>
      </w:pPr>
      <w:r>
        <w:tab/>
        <w:t xml:space="preserve">[Regulation 56 inserted in Gazette 2 Oct 1987 p. 3818; amended in Gazette 31 May 1991 p. 2698 (corrigendum in Gazette 21 Jun 1991 p. 3057).] </w:t>
      </w:r>
    </w:p>
    <w:p>
      <w:pPr>
        <w:pStyle w:val="Ednotesection"/>
        <w:spacing w:before="170"/>
      </w:pPr>
      <w:r>
        <w:t>[</w:t>
      </w:r>
      <w:r>
        <w:rPr>
          <w:b/>
        </w:rPr>
        <w:t>57.</w:t>
      </w:r>
      <w:r>
        <w:tab/>
        <w:t xml:space="preserve">Repealed in Gazette 2 Oct 1987 p. 3818.] </w:t>
      </w:r>
    </w:p>
    <w:p>
      <w:pPr>
        <w:pStyle w:val="Heading5"/>
        <w:rPr>
          <w:snapToGrid w:val="0"/>
        </w:rPr>
      </w:pPr>
      <w:bookmarkStart w:id="622" w:name="_Toc474633091"/>
      <w:bookmarkStart w:id="623" w:name="_Toc488740240"/>
      <w:bookmarkStart w:id="624" w:name="_Toc8623621"/>
      <w:bookmarkStart w:id="625" w:name="_Toc11229462"/>
      <w:bookmarkStart w:id="626" w:name="_Toc104276621"/>
      <w:bookmarkStart w:id="627" w:name="_Toc127087300"/>
      <w:r>
        <w:rPr>
          <w:rStyle w:val="CharSectno"/>
        </w:rPr>
        <w:t>58</w:t>
      </w:r>
      <w:r>
        <w:rPr>
          <w:snapToGrid w:val="0"/>
        </w:rPr>
        <w:t>.</w:t>
      </w:r>
      <w:r>
        <w:rPr>
          <w:snapToGrid w:val="0"/>
        </w:rPr>
        <w:tab/>
        <w:t>Certificate of exemption</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 xml:space="preserve">[Regulation 58 amended in Gazette 2 Oct 1987 p. 3819.] </w:t>
      </w:r>
    </w:p>
    <w:p>
      <w:pPr>
        <w:pStyle w:val="Heading2"/>
      </w:pPr>
      <w:bookmarkStart w:id="628" w:name="_Toc74978905"/>
      <w:bookmarkStart w:id="629" w:name="_Toc74979169"/>
      <w:bookmarkStart w:id="630" w:name="_Toc79976467"/>
      <w:bookmarkStart w:id="631" w:name="_Toc80759738"/>
      <w:bookmarkStart w:id="632" w:name="_Toc80783501"/>
      <w:bookmarkStart w:id="633" w:name="_Toc94931168"/>
      <w:bookmarkStart w:id="634" w:name="_Toc104275291"/>
      <w:bookmarkStart w:id="635" w:name="_Toc104276622"/>
      <w:bookmarkStart w:id="636" w:name="_Toc107198843"/>
      <w:bookmarkStart w:id="637" w:name="_Toc107799294"/>
      <w:bookmarkStart w:id="638" w:name="_Toc127087301"/>
      <w:r>
        <w:rPr>
          <w:rStyle w:val="CharPartNo"/>
        </w:rPr>
        <w:t>Part V</w:t>
      </w:r>
      <w:r>
        <w:t> — </w:t>
      </w:r>
      <w:r>
        <w:rPr>
          <w:rStyle w:val="CharPartText"/>
        </w:rPr>
        <w:t>General regulations</w:t>
      </w:r>
      <w:bookmarkEnd w:id="628"/>
      <w:bookmarkEnd w:id="629"/>
      <w:bookmarkEnd w:id="630"/>
      <w:bookmarkEnd w:id="631"/>
      <w:bookmarkEnd w:id="632"/>
      <w:bookmarkEnd w:id="633"/>
      <w:bookmarkEnd w:id="634"/>
      <w:bookmarkEnd w:id="635"/>
      <w:bookmarkEnd w:id="636"/>
      <w:bookmarkEnd w:id="637"/>
      <w:bookmarkEnd w:id="638"/>
      <w:r>
        <w:rPr>
          <w:rStyle w:val="CharPartText"/>
        </w:rPr>
        <w:t xml:space="preserve"> </w:t>
      </w:r>
    </w:p>
    <w:p>
      <w:pPr>
        <w:pStyle w:val="Heading3"/>
        <w:spacing w:before="160"/>
        <w:rPr>
          <w:snapToGrid w:val="0"/>
        </w:rPr>
      </w:pPr>
      <w:bookmarkStart w:id="639" w:name="_Toc74978906"/>
      <w:bookmarkStart w:id="640" w:name="_Toc74979170"/>
      <w:bookmarkStart w:id="641" w:name="_Toc79976468"/>
      <w:bookmarkStart w:id="642" w:name="_Toc80759739"/>
      <w:bookmarkStart w:id="643" w:name="_Toc80783502"/>
      <w:bookmarkStart w:id="644" w:name="_Toc94931169"/>
      <w:bookmarkStart w:id="645" w:name="_Toc104275292"/>
      <w:bookmarkStart w:id="646" w:name="_Toc104276623"/>
      <w:bookmarkStart w:id="647" w:name="_Toc107198844"/>
      <w:bookmarkStart w:id="648" w:name="_Toc107799295"/>
      <w:bookmarkStart w:id="649" w:name="_Toc127087302"/>
      <w:r>
        <w:rPr>
          <w:rStyle w:val="CharDivNo"/>
        </w:rPr>
        <w:t>Division 1</w:t>
      </w:r>
      <w:r>
        <w:rPr>
          <w:snapToGrid w:val="0"/>
        </w:rPr>
        <w:t> — </w:t>
      </w:r>
      <w:r>
        <w:rPr>
          <w:rStyle w:val="CharDivText"/>
        </w:rPr>
        <w:t>Marking out mining tenements</w:t>
      </w:r>
      <w:bookmarkEnd w:id="639"/>
      <w:bookmarkEnd w:id="640"/>
      <w:bookmarkEnd w:id="641"/>
      <w:bookmarkEnd w:id="642"/>
      <w:bookmarkEnd w:id="643"/>
      <w:bookmarkEnd w:id="644"/>
      <w:bookmarkEnd w:id="645"/>
      <w:bookmarkEnd w:id="646"/>
      <w:bookmarkEnd w:id="647"/>
      <w:bookmarkEnd w:id="648"/>
      <w:bookmarkEnd w:id="649"/>
      <w:r>
        <w:rPr>
          <w:rStyle w:val="CharDivText"/>
        </w:rPr>
        <w:t xml:space="preserve"> </w:t>
      </w:r>
    </w:p>
    <w:p>
      <w:pPr>
        <w:pStyle w:val="Heading5"/>
        <w:spacing w:before="140"/>
        <w:rPr>
          <w:snapToGrid w:val="0"/>
        </w:rPr>
      </w:pPr>
      <w:bookmarkStart w:id="650" w:name="_Toc474633092"/>
      <w:bookmarkStart w:id="651" w:name="_Toc488740241"/>
      <w:bookmarkStart w:id="652" w:name="_Toc8623622"/>
      <w:bookmarkStart w:id="653" w:name="_Toc11229463"/>
      <w:bookmarkStart w:id="654" w:name="_Toc104276624"/>
      <w:bookmarkStart w:id="655" w:name="_Toc127087303"/>
      <w:r>
        <w:rPr>
          <w:rStyle w:val="CharSectno"/>
        </w:rPr>
        <w:t>59</w:t>
      </w:r>
      <w:r>
        <w:rPr>
          <w:snapToGrid w:val="0"/>
        </w:rPr>
        <w:t>.</w:t>
      </w:r>
      <w:r>
        <w:rPr>
          <w:snapToGrid w:val="0"/>
        </w:rPr>
        <w:tab/>
        <w:t>Manner of marking out a tenement</w:t>
      </w:r>
      <w:bookmarkEnd w:id="650"/>
      <w:bookmarkEnd w:id="651"/>
      <w:bookmarkEnd w:id="652"/>
      <w:bookmarkEnd w:id="653"/>
      <w:bookmarkEnd w:id="654"/>
      <w:bookmarkEnd w:id="655"/>
      <w:r>
        <w:rPr>
          <w:snapToGrid w:val="0"/>
        </w:rPr>
        <w:t xml:space="preserve"> </w:t>
      </w:r>
    </w:p>
    <w:p>
      <w:pPr>
        <w:pStyle w:val="Subsection"/>
        <w:spacing w:before="110"/>
        <w:rPr>
          <w:snapToGrid w:val="0"/>
        </w:rPr>
      </w:pPr>
      <w:r>
        <w:rPr>
          <w:snapToGrid w:val="0"/>
        </w:rPr>
        <w:tab/>
        <w:t>(1)</w:t>
      </w:r>
      <w:r>
        <w:rPr>
          <w:snapToGrid w:val="0"/>
        </w:rPr>
        <w:tab/>
        <w:t>Land in respect of which a person is seeking a mining tenement shall, except where other provision is expressly made, be marked out — </w:t>
      </w:r>
    </w:p>
    <w:p>
      <w:pPr>
        <w:pStyle w:val="Indenta"/>
        <w:spacing w:before="60"/>
        <w:rPr>
          <w:snapToGrid w:val="0"/>
        </w:rPr>
      </w:pPr>
      <w:r>
        <w:rPr>
          <w:snapToGrid w:val="0"/>
        </w:rPr>
        <w:tab/>
        <w:t>(a)</w:t>
      </w:r>
      <w:r>
        <w:rPr>
          <w:snapToGrid w:val="0"/>
        </w:rPr>
        <w:tab/>
        <w:t>by fixing firmly in the ground —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spacing w:before="110"/>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spacing w:before="110"/>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 xml:space="preserve">[Regulation 59 inserted in Gazette 16 Nov 1990 p. 5728; amended in Gazette 2 Jul 1993 p. 3271; 15 Aug 2003 p. 3693.] </w:t>
      </w:r>
    </w:p>
    <w:p>
      <w:pPr>
        <w:pStyle w:val="Heading5"/>
        <w:rPr>
          <w:snapToGrid w:val="0"/>
        </w:rPr>
      </w:pPr>
      <w:bookmarkStart w:id="656" w:name="_Toc474633093"/>
      <w:bookmarkStart w:id="657" w:name="_Toc488740242"/>
      <w:bookmarkStart w:id="658" w:name="_Toc8623623"/>
      <w:bookmarkStart w:id="659" w:name="_Toc11229464"/>
      <w:bookmarkStart w:id="660" w:name="_Toc104276625"/>
      <w:bookmarkStart w:id="661" w:name="_Toc127087304"/>
      <w:r>
        <w:rPr>
          <w:rStyle w:val="CharSectno"/>
        </w:rPr>
        <w:t>60</w:t>
      </w:r>
      <w:r>
        <w:rPr>
          <w:snapToGrid w:val="0"/>
        </w:rPr>
        <w:t>.</w:t>
      </w:r>
      <w:r>
        <w:rPr>
          <w:snapToGrid w:val="0"/>
        </w:rPr>
        <w:tab/>
        <w:t>Stones used to support posts</w:t>
      </w:r>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 xml:space="preserve">[Regulation 60 inserted in Gazette 2 Jul 1993 p. 3271.] </w:t>
      </w:r>
    </w:p>
    <w:p>
      <w:pPr>
        <w:pStyle w:val="Heading5"/>
        <w:rPr>
          <w:snapToGrid w:val="0"/>
        </w:rPr>
      </w:pPr>
      <w:bookmarkStart w:id="662" w:name="_Toc474633094"/>
      <w:bookmarkStart w:id="663" w:name="_Toc488740243"/>
      <w:bookmarkStart w:id="664" w:name="_Toc8623624"/>
      <w:bookmarkStart w:id="665" w:name="_Toc11229465"/>
      <w:bookmarkStart w:id="666" w:name="_Toc104276626"/>
      <w:bookmarkStart w:id="667" w:name="_Toc127087305"/>
      <w:r>
        <w:rPr>
          <w:rStyle w:val="CharSectno"/>
        </w:rPr>
        <w:t>61</w:t>
      </w:r>
      <w:r>
        <w:rPr>
          <w:snapToGrid w:val="0"/>
        </w:rPr>
        <w:t>.</w:t>
      </w:r>
      <w:r>
        <w:rPr>
          <w:snapToGrid w:val="0"/>
        </w:rPr>
        <w:tab/>
        <w:t>Marking out surveyed land</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 xml:space="preserve">[Regulation 61 amended in Gazette 2 Oct 1987 p. 3819; 2 Jul 1993 p. 3271.] </w:t>
      </w:r>
    </w:p>
    <w:p>
      <w:pPr>
        <w:pStyle w:val="Heading5"/>
        <w:rPr>
          <w:snapToGrid w:val="0"/>
        </w:rPr>
      </w:pPr>
      <w:bookmarkStart w:id="668" w:name="_Toc474633095"/>
      <w:bookmarkStart w:id="669" w:name="_Toc488740244"/>
      <w:bookmarkStart w:id="670" w:name="_Toc8623625"/>
      <w:bookmarkStart w:id="671" w:name="_Toc11229466"/>
      <w:bookmarkStart w:id="672" w:name="_Toc104276627"/>
      <w:bookmarkStart w:id="673" w:name="_Toc127087306"/>
      <w:r>
        <w:rPr>
          <w:rStyle w:val="CharSectno"/>
        </w:rPr>
        <w:t>62</w:t>
      </w:r>
      <w:r>
        <w:rPr>
          <w:snapToGrid w:val="0"/>
        </w:rPr>
        <w:t>.</w:t>
      </w:r>
      <w:r>
        <w:rPr>
          <w:snapToGrid w:val="0"/>
        </w:rPr>
        <w:tab/>
        <w:t>Surplus land may be applied for by others</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spacing w:before="120"/>
        <w:rPr>
          <w:snapToGrid w:val="0"/>
        </w:rPr>
      </w:pPr>
      <w:bookmarkStart w:id="674" w:name="_Toc474633096"/>
      <w:bookmarkStart w:id="675" w:name="_Toc488740245"/>
      <w:bookmarkStart w:id="676" w:name="_Toc8623626"/>
      <w:bookmarkStart w:id="677" w:name="_Toc11229467"/>
      <w:bookmarkStart w:id="678" w:name="_Toc104276628"/>
      <w:bookmarkStart w:id="679" w:name="_Toc127087307"/>
      <w:r>
        <w:rPr>
          <w:rStyle w:val="CharSectno"/>
        </w:rPr>
        <w:t>63</w:t>
      </w:r>
      <w:r>
        <w:rPr>
          <w:snapToGrid w:val="0"/>
        </w:rPr>
        <w:t>.</w:t>
      </w:r>
      <w:r>
        <w:rPr>
          <w:snapToGrid w:val="0"/>
        </w:rPr>
        <w:tab/>
        <w:t>Land marked out but not applied for</w:t>
      </w:r>
      <w:bookmarkEnd w:id="674"/>
      <w:bookmarkEnd w:id="675"/>
      <w:bookmarkEnd w:id="676"/>
      <w:bookmarkEnd w:id="677"/>
      <w:bookmarkEnd w:id="678"/>
      <w:bookmarkEnd w:id="679"/>
      <w:r>
        <w:rPr>
          <w:snapToGrid w:val="0"/>
        </w:rPr>
        <w:t xml:space="preserve"> </w:t>
      </w:r>
    </w:p>
    <w:p>
      <w:pPr>
        <w:pStyle w:val="Subsection"/>
        <w:spacing w:before="10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0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3"/>
        <w:spacing w:before="120"/>
        <w:rPr>
          <w:snapToGrid w:val="0"/>
        </w:rPr>
      </w:pPr>
      <w:bookmarkStart w:id="680" w:name="_Toc74978912"/>
      <w:bookmarkStart w:id="681" w:name="_Toc74979176"/>
      <w:bookmarkStart w:id="682" w:name="_Toc79976474"/>
      <w:bookmarkStart w:id="683" w:name="_Toc80759745"/>
      <w:bookmarkStart w:id="684" w:name="_Toc80783508"/>
      <w:bookmarkStart w:id="685" w:name="_Toc94931175"/>
      <w:bookmarkStart w:id="686" w:name="_Toc104275298"/>
      <w:bookmarkStart w:id="687" w:name="_Toc104276629"/>
      <w:bookmarkStart w:id="688" w:name="_Toc107198850"/>
      <w:bookmarkStart w:id="689" w:name="_Toc107799301"/>
      <w:bookmarkStart w:id="690" w:name="_Toc127087308"/>
      <w:r>
        <w:rPr>
          <w:rStyle w:val="CharDivNo"/>
        </w:rPr>
        <w:t>Division 2</w:t>
      </w:r>
      <w:r>
        <w:rPr>
          <w:snapToGrid w:val="0"/>
        </w:rPr>
        <w:t> — </w:t>
      </w:r>
      <w:r>
        <w:rPr>
          <w:rStyle w:val="CharDivText"/>
        </w:rPr>
        <w:t>Applications and objections</w:t>
      </w:r>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spacing w:before="120"/>
        <w:rPr>
          <w:snapToGrid w:val="0"/>
        </w:rPr>
      </w:pPr>
      <w:bookmarkStart w:id="691" w:name="_Toc474633097"/>
      <w:bookmarkStart w:id="692" w:name="_Toc488740246"/>
      <w:bookmarkStart w:id="693" w:name="_Toc8623627"/>
      <w:bookmarkStart w:id="694" w:name="_Toc11229468"/>
      <w:bookmarkStart w:id="695" w:name="_Toc104276630"/>
      <w:bookmarkStart w:id="696" w:name="_Toc127087309"/>
      <w:r>
        <w:rPr>
          <w:rStyle w:val="CharSectno"/>
        </w:rPr>
        <w:t>64</w:t>
      </w:r>
      <w:r>
        <w:rPr>
          <w:snapToGrid w:val="0"/>
        </w:rPr>
        <w:t>.</w:t>
      </w:r>
      <w:r>
        <w:rPr>
          <w:snapToGrid w:val="0"/>
        </w:rPr>
        <w:tab/>
        <w:t>Application for mining tenement</w:t>
      </w:r>
      <w:bookmarkEnd w:id="691"/>
      <w:bookmarkEnd w:id="692"/>
      <w:bookmarkEnd w:id="693"/>
      <w:bookmarkEnd w:id="694"/>
      <w:bookmarkEnd w:id="695"/>
      <w:bookmarkEnd w:id="696"/>
      <w:r>
        <w:rPr>
          <w:snapToGrid w:val="0"/>
        </w:rPr>
        <w:t xml:space="preserve"> </w:t>
      </w:r>
    </w:p>
    <w:p>
      <w:pPr>
        <w:pStyle w:val="Subsection"/>
        <w:spacing w:before="100"/>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spacing w:before="100"/>
        <w:rPr>
          <w:snapToGrid w:val="0"/>
        </w:rPr>
      </w:pPr>
      <w:r>
        <w:rPr>
          <w:snapToGrid w:val="0"/>
        </w:rPr>
        <w:tab/>
        <w:t>(1a)</w:t>
      </w:r>
      <w:r>
        <w:rPr>
          <w:snapToGrid w:val="0"/>
        </w:rPr>
        <w:tab/>
        <w:t>For the purposes of section 58(1) an application for an exploration licence, in the form No. 21 of the First Schedule, includes —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spacing w:before="60"/>
        <w:rPr>
          <w:snapToGrid w:val="0"/>
        </w:rPr>
      </w:pPr>
      <w:r>
        <w:rPr>
          <w:snapToGrid w:val="0"/>
        </w:rPr>
        <w:tab/>
      </w:r>
      <w:r>
        <w:rPr>
          <w:snapToGrid w:val="0"/>
        </w:rPr>
        <w:tab/>
        <w:t>in accordance with section 58(2)(a).</w:t>
      </w:r>
    </w:p>
    <w:p>
      <w:pPr>
        <w:pStyle w:val="Subsection"/>
        <w:spacing w:before="100"/>
      </w:pPr>
      <w:r>
        <w:tab/>
        <w:t>(1b)</w:t>
      </w:r>
      <w:r>
        <w:tab/>
        <w:t xml:space="preserve">The prescribed </w:t>
      </w:r>
      <w:r>
        <w:rPr>
          <w:snapToGrid w:val="0"/>
        </w:rPr>
        <w:t>application</w:t>
      </w:r>
      <w:r>
        <w:t xml:space="preserve"> fee for a mining tenement is set out in item 2 of the Second Schedule.</w:t>
      </w:r>
    </w:p>
    <w:p>
      <w:pPr>
        <w:pStyle w:val="Subsection"/>
        <w:spacing w:before="100"/>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spacing w:before="150"/>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 xml:space="preserve">13.] </w:t>
      </w:r>
    </w:p>
    <w:p>
      <w:pPr>
        <w:pStyle w:val="Heading5"/>
        <w:rPr>
          <w:snapToGrid w:val="0"/>
        </w:rPr>
      </w:pPr>
      <w:bookmarkStart w:id="697" w:name="_Toc474633098"/>
      <w:bookmarkStart w:id="698" w:name="_Toc488740247"/>
      <w:bookmarkStart w:id="699" w:name="_Toc8623628"/>
      <w:bookmarkStart w:id="700" w:name="_Toc11229469"/>
      <w:bookmarkStart w:id="701" w:name="_Toc104276631"/>
      <w:bookmarkStart w:id="702" w:name="_Toc127087310"/>
      <w:r>
        <w:rPr>
          <w:rStyle w:val="CharSectno"/>
        </w:rPr>
        <w:t>64A</w:t>
      </w:r>
      <w:r>
        <w:rPr>
          <w:snapToGrid w:val="0"/>
        </w:rPr>
        <w:t>.</w:t>
      </w:r>
      <w:r>
        <w:rPr>
          <w:snapToGrid w:val="0"/>
        </w:rPr>
        <w:tab/>
        <w:t>Notice of application for prospecting licence, exploration licence, retention licence or mining lease</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For the purposes of sections 41(2), 58(4), 70C(4) and 74(3), the notice required to be served on the owner and occupier shall be —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 xml:space="preserve">[Regulation 64A inserted in Gazette 13 Oct 1995 p. 4818.] </w:t>
      </w:r>
    </w:p>
    <w:p>
      <w:pPr>
        <w:pStyle w:val="Heading5"/>
        <w:rPr>
          <w:snapToGrid w:val="0"/>
        </w:rPr>
      </w:pPr>
      <w:bookmarkStart w:id="703" w:name="_Toc474633099"/>
      <w:bookmarkStart w:id="704" w:name="_Toc488740248"/>
      <w:bookmarkStart w:id="705" w:name="_Toc8623629"/>
      <w:bookmarkStart w:id="706" w:name="_Toc11229470"/>
      <w:bookmarkStart w:id="707" w:name="_Toc104276632"/>
      <w:bookmarkStart w:id="708" w:name="_Toc127087311"/>
      <w:r>
        <w:rPr>
          <w:rStyle w:val="CharSectno"/>
        </w:rPr>
        <w:t>64B</w:t>
      </w:r>
      <w:r>
        <w:rPr>
          <w:snapToGrid w:val="0"/>
        </w:rPr>
        <w:t>.</w:t>
      </w:r>
      <w:r>
        <w:rPr>
          <w:snapToGrid w:val="0"/>
        </w:rPr>
        <w:tab/>
        <w:t>Notice of application for mining tenement — pastoral lessee or other leaseholder</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 xml:space="preserve">[Regulation 64B inserted in Gazette 24 Jun 1994 p. 2931.] </w:t>
      </w:r>
    </w:p>
    <w:p>
      <w:pPr>
        <w:pStyle w:val="Heading5"/>
      </w:pPr>
      <w:bookmarkStart w:id="709" w:name="_Toc104276633"/>
      <w:bookmarkStart w:id="710" w:name="_Toc127087312"/>
      <w:bookmarkStart w:id="711" w:name="_Toc474633100"/>
      <w:bookmarkStart w:id="712" w:name="_Toc488740249"/>
      <w:bookmarkStart w:id="713" w:name="_Toc8623630"/>
      <w:bookmarkStart w:id="714" w:name="_Toc11229471"/>
      <w:r>
        <w:rPr>
          <w:rStyle w:val="CharSectno"/>
        </w:rPr>
        <w:t>64C</w:t>
      </w:r>
      <w:r>
        <w:t>.</w:t>
      </w:r>
      <w:r>
        <w:tab/>
        <w:t>Copy of application for miscellaneous licence</w:t>
      </w:r>
      <w:bookmarkEnd w:id="709"/>
      <w:bookmarkEnd w:id="710"/>
    </w:p>
    <w:p>
      <w:pPr>
        <w:pStyle w:val="Subsection"/>
      </w:pPr>
      <w:r>
        <w:tab/>
      </w:r>
      <w:r>
        <w:tab/>
        <w:t>For the purposes of section 91(9), the prescribed time is 14 days after the lodging of the application concerned.</w:t>
      </w:r>
    </w:p>
    <w:p>
      <w:pPr>
        <w:pStyle w:val="Footnotesection"/>
      </w:pPr>
      <w:r>
        <w:tab/>
        <w:t xml:space="preserve">[Regulation 64C inserted in Gazette 17 Jan 2003 p. 106.] </w:t>
      </w:r>
    </w:p>
    <w:p>
      <w:pPr>
        <w:pStyle w:val="Heading5"/>
        <w:rPr>
          <w:snapToGrid w:val="0"/>
        </w:rPr>
      </w:pPr>
      <w:bookmarkStart w:id="715" w:name="_Toc104276634"/>
      <w:bookmarkStart w:id="716" w:name="_Toc127087313"/>
      <w:r>
        <w:rPr>
          <w:rStyle w:val="CharSectno"/>
        </w:rPr>
        <w:t>65</w:t>
      </w:r>
      <w:r>
        <w:rPr>
          <w:snapToGrid w:val="0"/>
        </w:rPr>
        <w:t>.</w:t>
      </w:r>
      <w:r>
        <w:rPr>
          <w:snapToGrid w:val="0"/>
        </w:rPr>
        <w:tab/>
        <w:t>Number of shares to be stated on application</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717" w:name="_Toc474633101"/>
      <w:bookmarkStart w:id="718" w:name="_Toc488740250"/>
      <w:bookmarkStart w:id="719" w:name="_Toc8623631"/>
      <w:bookmarkStart w:id="720" w:name="_Toc11229472"/>
      <w:bookmarkStart w:id="721" w:name="_Toc104276635"/>
      <w:bookmarkStart w:id="722" w:name="_Toc127087314"/>
      <w:r>
        <w:rPr>
          <w:rStyle w:val="CharSectno"/>
        </w:rPr>
        <w:t>66</w:t>
      </w:r>
      <w:r>
        <w:rPr>
          <w:snapToGrid w:val="0"/>
        </w:rPr>
        <w:t>.</w:t>
      </w:r>
      <w:r>
        <w:rPr>
          <w:snapToGrid w:val="0"/>
        </w:rPr>
        <w:tab/>
        <w:t>Description of boundaries</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The boundaries of every mining tenement applied for, other than an exploration licence, shall be described from either —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 xml:space="preserve">[Regulation 66 inserted in Gazette 2 Jul 1993 p. 3271; amended in Gazette 15 Dec 2000 p. 7219.] </w:t>
      </w:r>
    </w:p>
    <w:p>
      <w:pPr>
        <w:pStyle w:val="Ednotesection"/>
      </w:pPr>
      <w:r>
        <w:t>[</w:t>
      </w:r>
      <w:r>
        <w:rPr>
          <w:b/>
        </w:rPr>
        <w:t>66A.</w:t>
      </w:r>
      <w:r>
        <w:rPr>
          <w:b/>
        </w:rPr>
        <w:tab/>
      </w:r>
      <w:r>
        <w:t xml:space="preserve">Repealed in Gazette 4 Apr 1997 p. 1778.] </w:t>
      </w:r>
    </w:p>
    <w:p>
      <w:pPr>
        <w:pStyle w:val="Heading5"/>
        <w:rPr>
          <w:snapToGrid w:val="0"/>
        </w:rPr>
      </w:pPr>
      <w:bookmarkStart w:id="723" w:name="_Toc474633102"/>
      <w:bookmarkStart w:id="724" w:name="_Toc488740251"/>
      <w:bookmarkStart w:id="725" w:name="_Toc8623632"/>
      <w:bookmarkStart w:id="726" w:name="_Toc11229473"/>
      <w:bookmarkStart w:id="727" w:name="_Toc104276636"/>
      <w:bookmarkStart w:id="728" w:name="_Toc127087315"/>
      <w:r>
        <w:rPr>
          <w:rStyle w:val="CharSectno"/>
        </w:rPr>
        <w:t>67</w:t>
      </w:r>
      <w:r>
        <w:rPr>
          <w:snapToGrid w:val="0"/>
        </w:rPr>
        <w:t>.</w:t>
      </w:r>
      <w:r>
        <w:rPr>
          <w:snapToGrid w:val="0"/>
        </w:rPr>
        <w:tab/>
        <w:t>Objection against application</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Within 35 days of the date of application for a mining tenement or such further period as the warden considers reasonable any person may lodge at the office of the mining registrar an objection in the form No. 16 in the First Schedule and the objector shall serve a copy of such objection on the applicant.</w:t>
      </w:r>
    </w:p>
    <w:p>
      <w:pPr>
        <w:pStyle w:val="Subsection"/>
        <w:rPr>
          <w:snapToGrid w:val="0"/>
        </w:rPr>
      </w:pPr>
      <w:r>
        <w:rPr>
          <w:snapToGrid w:val="0"/>
        </w:rPr>
        <w:tab/>
        <w:t>(2)</w:t>
      </w:r>
      <w:r>
        <w:rPr>
          <w:snapToGrid w:val="0"/>
        </w:rPr>
        <w:tab/>
        <w:t>Notwithstanding subregulation (1), where an application is made for a mining tenement that relates to private land, the period during which a person may lodge an objection is — </w:t>
      </w:r>
    </w:p>
    <w:p>
      <w:pPr>
        <w:pStyle w:val="Indenta"/>
        <w:rPr>
          <w:snapToGrid w:val="0"/>
        </w:rPr>
      </w:pPr>
      <w:r>
        <w:rPr>
          <w:snapToGrid w:val="0"/>
        </w:rPr>
        <w:tab/>
        <w:t>(a)</w:t>
      </w:r>
      <w:r>
        <w:rPr>
          <w:snapToGrid w:val="0"/>
        </w:rPr>
        <w:tab/>
        <w:t>within 21 days of the date on which the person was served with a copy of notice required to be given under section 33(1); or</w:t>
      </w:r>
    </w:p>
    <w:p>
      <w:pPr>
        <w:pStyle w:val="Indenta"/>
        <w:keepNext/>
        <w:rPr>
          <w:snapToGrid w:val="0"/>
        </w:rPr>
      </w:pPr>
      <w:r>
        <w:rPr>
          <w:snapToGrid w:val="0"/>
        </w:rPr>
        <w:tab/>
        <w:t>(b)</w:t>
      </w:r>
      <w:r>
        <w:rPr>
          <w:snapToGrid w:val="0"/>
        </w:rPr>
        <w:tab/>
        <w:t>within 35 days of the date of the application,</w:t>
      </w:r>
    </w:p>
    <w:p>
      <w:pPr>
        <w:pStyle w:val="Subsection"/>
        <w:keepNext/>
        <w:rPr>
          <w:snapToGrid w:val="0"/>
        </w:rPr>
      </w:pPr>
      <w:r>
        <w:rPr>
          <w:snapToGrid w:val="0"/>
        </w:rPr>
        <w:tab/>
      </w:r>
      <w:r>
        <w:rPr>
          <w:snapToGrid w:val="0"/>
        </w:rPr>
        <w:tab/>
        <w:t>whichever period ends later, or such further period as the warden considers reasonable.</w:t>
      </w:r>
    </w:p>
    <w:p>
      <w:pPr>
        <w:pStyle w:val="Footnotesection"/>
      </w:pPr>
      <w:r>
        <w:tab/>
        <w:t xml:space="preserve">[Regulation 67 amended in Gazette 31 May 1991 p. 2699; 2 Jul 1993 p. 3272; 24 Dec 1993 p. 6828.] </w:t>
      </w:r>
    </w:p>
    <w:p>
      <w:pPr>
        <w:pStyle w:val="Ednotesection"/>
        <w:ind w:left="890" w:hanging="890"/>
      </w:pPr>
      <w:r>
        <w:t>[</w:t>
      </w:r>
      <w:r>
        <w:rPr>
          <w:b/>
        </w:rPr>
        <w:t>67A.</w:t>
      </w:r>
      <w:r>
        <w:tab/>
        <w:t xml:space="preserve">Repealed in Gazette 4 Apr 1997 p. 1778.] </w:t>
      </w:r>
    </w:p>
    <w:p>
      <w:pPr>
        <w:pStyle w:val="Heading5"/>
        <w:rPr>
          <w:snapToGrid w:val="0"/>
        </w:rPr>
      </w:pPr>
      <w:bookmarkStart w:id="729" w:name="_Toc474633103"/>
      <w:bookmarkStart w:id="730" w:name="_Toc488740252"/>
      <w:bookmarkStart w:id="731" w:name="_Toc8623633"/>
      <w:bookmarkStart w:id="732" w:name="_Toc11229474"/>
      <w:bookmarkStart w:id="733" w:name="_Toc104276637"/>
      <w:bookmarkStart w:id="734" w:name="_Toc127087316"/>
      <w:r>
        <w:rPr>
          <w:rStyle w:val="CharSectno"/>
        </w:rPr>
        <w:t>68</w:t>
      </w:r>
      <w:r>
        <w:rPr>
          <w:snapToGrid w:val="0"/>
        </w:rPr>
        <w:t>.</w:t>
      </w:r>
      <w:r>
        <w:rPr>
          <w:snapToGrid w:val="0"/>
        </w:rPr>
        <w:tab/>
        <w:t>Warden may obtain report</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Prior to making any recommendation or granting any application for a mining tenement, the warden may obtain a report from the Director, Geological Survey, the State Mining Engineer, or any other officer of the Department.</w:t>
      </w:r>
    </w:p>
    <w:p>
      <w:pPr>
        <w:pStyle w:val="Heading5"/>
        <w:spacing w:before="180"/>
        <w:rPr>
          <w:snapToGrid w:val="0"/>
        </w:rPr>
      </w:pPr>
      <w:bookmarkStart w:id="735" w:name="_Toc474633104"/>
      <w:bookmarkStart w:id="736" w:name="_Toc488740253"/>
      <w:bookmarkStart w:id="737" w:name="_Toc8623634"/>
      <w:bookmarkStart w:id="738" w:name="_Toc11229475"/>
      <w:bookmarkStart w:id="739" w:name="_Toc104276638"/>
      <w:bookmarkStart w:id="740" w:name="_Toc127087317"/>
      <w:r>
        <w:rPr>
          <w:rStyle w:val="CharSectno"/>
        </w:rPr>
        <w:t>69</w:t>
      </w:r>
      <w:r>
        <w:rPr>
          <w:snapToGrid w:val="0"/>
        </w:rPr>
        <w:t>.</w:t>
      </w:r>
      <w:r>
        <w:rPr>
          <w:snapToGrid w:val="0"/>
        </w:rPr>
        <w:tab/>
        <w:t>Withdrawal of applications</w:t>
      </w:r>
      <w:bookmarkEnd w:id="735"/>
      <w:bookmarkEnd w:id="736"/>
      <w:bookmarkEnd w:id="737"/>
      <w:bookmarkEnd w:id="738"/>
      <w:bookmarkEnd w:id="739"/>
      <w:bookmarkEnd w:id="740"/>
      <w:r>
        <w:rPr>
          <w:snapToGrid w:val="0"/>
        </w:rPr>
        <w:t xml:space="preserve"> </w:t>
      </w:r>
    </w:p>
    <w:p>
      <w:pPr>
        <w:pStyle w:val="Subsection"/>
        <w:spacing w:before="120"/>
        <w:rPr>
          <w:snapToGrid w:val="0"/>
        </w:rPr>
      </w:pPr>
      <w:r>
        <w:rPr>
          <w:snapToGrid w:val="0"/>
        </w:rPr>
        <w:tab/>
      </w:r>
      <w:r>
        <w:rPr>
          <w:snapToGrid w:val="0"/>
        </w:rPr>
        <w:tab/>
        <w:t>An applicant for a mining tenement may, at any time before the granting of the application, apply to withdraw his application by lodging at the office of the mining registrar a withdrawal in the form No. 22 in the First Schedule, but if — </w:t>
      </w:r>
    </w:p>
    <w:p>
      <w:pPr>
        <w:pStyle w:val="Indenta"/>
        <w:spacing w:before="70"/>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spacing w:before="80"/>
        <w:rPr>
          <w:snapToGrid w:val="0"/>
        </w:rPr>
      </w:pPr>
      <w:r>
        <w:rPr>
          <w:snapToGrid w:val="0"/>
        </w:rPr>
        <w:tab/>
      </w:r>
      <w:r>
        <w:rPr>
          <w:snapToGrid w:val="0"/>
        </w:rPr>
        <w:tab/>
        <w:t>the application shall not be withdrawn without leave of the warden at the hearing of the application.</w:t>
      </w:r>
    </w:p>
    <w:p>
      <w:pPr>
        <w:pStyle w:val="Heading5"/>
        <w:spacing w:before="180"/>
      </w:pPr>
      <w:bookmarkStart w:id="741" w:name="_Toc8623635"/>
      <w:bookmarkStart w:id="742" w:name="_Toc11229476"/>
      <w:bookmarkStart w:id="743" w:name="_Toc104276639"/>
      <w:bookmarkStart w:id="744" w:name="_Toc127087318"/>
      <w:bookmarkStart w:id="745" w:name="_Toc474633105"/>
      <w:bookmarkStart w:id="746" w:name="_Toc488740254"/>
      <w:r>
        <w:rPr>
          <w:rStyle w:val="CharSectno"/>
        </w:rPr>
        <w:t>69A</w:t>
      </w:r>
      <w:r>
        <w:t>.</w:t>
      </w:r>
      <w:r>
        <w:tab/>
        <w:t>GST to be paid at time of grant of application</w:t>
      </w:r>
      <w:bookmarkEnd w:id="741"/>
      <w:bookmarkEnd w:id="742"/>
      <w:bookmarkEnd w:id="743"/>
      <w:bookmarkEnd w:id="744"/>
    </w:p>
    <w:p>
      <w:pPr>
        <w:pStyle w:val="Subsection"/>
        <w:spacing w:before="120"/>
      </w:pPr>
      <w:r>
        <w:tab/>
        <w:t>(1)</w:t>
      </w:r>
      <w:r>
        <w:tab/>
        <w:t xml:space="preserve">In this regulation —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spacing w:before="120"/>
      </w:pPr>
      <w:r>
        <w:tab/>
        <w:t>(2)</w:t>
      </w:r>
      <w:r>
        <w:tab/>
        <w:t>A prescribed application shall not be granted unless the applicant pays one eleventh of the annual rent that was prescribed for that tenement at the time the application was made.</w:t>
      </w:r>
    </w:p>
    <w:p>
      <w:pPr>
        <w:pStyle w:val="Subsection"/>
        <w:spacing w:before="120"/>
      </w:pPr>
      <w:r>
        <w:tab/>
        <w:t>(3)</w:t>
      </w:r>
      <w:r>
        <w:tab/>
        <w:t>Written notice requiring the payment of the amount referred to in subregulation (2) within 30 days of the date of the issue of the notice may be given to the applicant.</w:t>
      </w:r>
    </w:p>
    <w:p>
      <w:pPr>
        <w:pStyle w:val="Subsection"/>
        <w:spacing w:before="120"/>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spacing w:before="180"/>
        <w:rPr>
          <w:snapToGrid w:val="0"/>
        </w:rPr>
      </w:pPr>
      <w:bookmarkStart w:id="747" w:name="_Toc8623636"/>
      <w:bookmarkStart w:id="748" w:name="_Toc11229477"/>
      <w:bookmarkStart w:id="749" w:name="_Toc104276640"/>
      <w:bookmarkStart w:id="750" w:name="_Toc127087319"/>
      <w:r>
        <w:rPr>
          <w:rStyle w:val="CharSectno"/>
        </w:rPr>
        <w:t>70</w:t>
      </w:r>
      <w:r>
        <w:rPr>
          <w:snapToGrid w:val="0"/>
        </w:rPr>
        <w:t>.</w:t>
      </w:r>
      <w:r>
        <w:rPr>
          <w:snapToGrid w:val="0"/>
        </w:rPr>
        <w:tab/>
        <w:t>Refund of rent on withdrawal or refusal of application</w:t>
      </w:r>
      <w:bookmarkEnd w:id="745"/>
      <w:bookmarkEnd w:id="746"/>
      <w:bookmarkEnd w:id="747"/>
      <w:bookmarkEnd w:id="748"/>
      <w:bookmarkEnd w:id="749"/>
      <w:bookmarkEnd w:id="750"/>
      <w:r>
        <w:rPr>
          <w:snapToGrid w:val="0"/>
        </w:rPr>
        <w:t xml:space="preserve"> </w:t>
      </w:r>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 xml:space="preserve">[Regulation 70 inserted in Gazette 2 Oct 1987 p. 3819.] </w:t>
      </w:r>
    </w:p>
    <w:p>
      <w:pPr>
        <w:pStyle w:val="Heading5"/>
        <w:rPr>
          <w:snapToGrid w:val="0"/>
        </w:rPr>
      </w:pPr>
      <w:bookmarkStart w:id="751" w:name="_Toc474633106"/>
      <w:bookmarkStart w:id="752" w:name="_Toc488740255"/>
      <w:bookmarkStart w:id="753" w:name="_Toc8623637"/>
      <w:bookmarkStart w:id="754" w:name="_Toc11229478"/>
      <w:bookmarkStart w:id="755" w:name="_Toc104276641"/>
      <w:bookmarkStart w:id="756" w:name="_Toc127087320"/>
      <w:r>
        <w:rPr>
          <w:rStyle w:val="CharSectno"/>
        </w:rPr>
        <w:t>70A</w:t>
      </w:r>
      <w:r>
        <w:rPr>
          <w:snapToGrid w:val="0"/>
        </w:rPr>
        <w:t>.</w:t>
      </w:r>
      <w:r>
        <w:rPr>
          <w:snapToGrid w:val="0"/>
        </w:rPr>
        <w:tab/>
        <w:t>Amalgamation of secondary tenement</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An application to amalgamate a secondary tenement under section 67A shall —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 xml:space="preserve">19.] </w:t>
      </w:r>
    </w:p>
    <w:p>
      <w:pPr>
        <w:pStyle w:val="Heading5"/>
        <w:rPr>
          <w:snapToGrid w:val="0"/>
        </w:rPr>
      </w:pPr>
      <w:bookmarkStart w:id="757" w:name="_Toc474633107"/>
      <w:bookmarkStart w:id="758" w:name="_Toc488740256"/>
      <w:bookmarkStart w:id="759" w:name="_Toc8623638"/>
      <w:bookmarkStart w:id="760" w:name="_Toc11229479"/>
      <w:bookmarkStart w:id="761" w:name="_Toc104276642"/>
      <w:bookmarkStart w:id="762" w:name="_Toc127087321"/>
      <w:r>
        <w:rPr>
          <w:rStyle w:val="CharSectno"/>
        </w:rPr>
        <w:t>70B</w:t>
      </w:r>
      <w:r>
        <w:rPr>
          <w:snapToGrid w:val="0"/>
        </w:rPr>
        <w:t>.</w:t>
      </w:r>
      <w:r>
        <w:rPr>
          <w:snapToGrid w:val="0"/>
        </w:rPr>
        <w:tab/>
        <w:t>Agreement as to priority</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 xml:space="preserve">[Regulation 70B inserted in Gazette 31 May 1991 p. 2699.] </w:t>
      </w:r>
    </w:p>
    <w:p>
      <w:pPr>
        <w:pStyle w:val="Heading5"/>
        <w:rPr>
          <w:snapToGrid w:val="0"/>
        </w:rPr>
      </w:pPr>
      <w:bookmarkStart w:id="763" w:name="_Toc474633108"/>
      <w:bookmarkStart w:id="764" w:name="_Toc488740257"/>
      <w:bookmarkStart w:id="765" w:name="_Toc8623639"/>
      <w:bookmarkStart w:id="766" w:name="_Toc11229480"/>
      <w:bookmarkStart w:id="767" w:name="_Toc104276643"/>
      <w:bookmarkStart w:id="768" w:name="_Toc127087322"/>
      <w:r>
        <w:rPr>
          <w:rStyle w:val="CharSectno"/>
        </w:rPr>
        <w:t>70C</w:t>
      </w:r>
      <w:r>
        <w:rPr>
          <w:snapToGrid w:val="0"/>
        </w:rPr>
        <w:t>.</w:t>
      </w:r>
      <w:r>
        <w:rPr>
          <w:snapToGrid w:val="0"/>
        </w:rPr>
        <w:tab/>
        <w:t>Refund where licence substituted or lease refused</w:t>
      </w:r>
      <w:bookmarkEnd w:id="763"/>
      <w:bookmarkEnd w:id="764"/>
      <w:bookmarkEnd w:id="765"/>
      <w:bookmarkEnd w:id="766"/>
      <w:bookmarkEnd w:id="767"/>
      <w:bookmarkEnd w:id="768"/>
      <w:r>
        <w:rPr>
          <w:snapToGrid w:val="0"/>
        </w:rPr>
        <w:t xml:space="preserve"> </w:t>
      </w:r>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 xml:space="preserve">[Regulation 70C inserted in Gazette 31 May 1991 p. 2699; amended in Gazette 24 Jun 1994 p. 2932.] </w:t>
      </w:r>
    </w:p>
    <w:p>
      <w:pPr>
        <w:pStyle w:val="Heading5"/>
        <w:spacing w:before="180"/>
        <w:rPr>
          <w:snapToGrid w:val="0"/>
        </w:rPr>
      </w:pPr>
      <w:bookmarkStart w:id="769" w:name="_Toc474633109"/>
      <w:bookmarkStart w:id="770" w:name="_Toc488740258"/>
      <w:bookmarkStart w:id="771" w:name="_Toc8623640"/>
      <w:bookmarkStart w:id="772" w:name="_Toc11229481"/>
      <w:bookmarkStart w:id="773" w:name="_Toc104276644"/>
      <w:bookmarkStart w:id="774" w:name="_Toc127087323"/>
      <w:r>
        <w:rPr>
          <w:rStyle w:val="CharSectno"/>
        </w:rPr>
        <w:t>70D</w:t>
      </w:r>
      <w:r>
        <w:rPr>
          <w:snapToGrid w:val="0"/>
        </w:rPr>
        <w:t>.</w:t>
      </w:r>
      <w:r>
        <w:rPr>
          <w:snapToGrid w:val="0"/>
        </w:rPr>
        <w:tab/>
        <w:t>Refund when retention licence granted or refused</w:t>
      </w:r>
      <w:bookmarkEnd w:id="769"/>
      <w:bookmarkEnd w:id="770"/>
      <w:bookmarkEnd w:id="771"/>
      <w:bookmarkEnd w:id="772"/>
      <w:bookmarkEnd w:id="773"/>
      <w:bookmarkEnd w:id="774"/>
      <w:r>
        <w:rPr>
          <w:snapToGrid w:val="0"/>
        </w:rPr>
        <w:t xml:space="preserve"> </w:t>
      </w:r>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 xml:space="preserve">[Regulation 70D inserted in Gazette 24 Jun 1994 p. 2932.] </w:t>
      </w:r>
    </w:p>
    <w:p>
      <w:pPr>
        <w:pStyle w:val="Heading5"/>
      </w:pPr>
      <w:bookmarkStart w:id="775" w:name="_Toc104276645"/>
      <w:bookmarkStart w:id="776" w:name="_Toc127087324"/>
      <w:r>
        <w:rPr>
          <w:rStyle w:val="CharSectno"/>
        </w:rPr>
        <w:t>70E</w:t>
      </w:r>
      <w:r>
        <w:t>.</w:t>
      </w:r>
      <w:r>
        <w:tab/>
        <w:t>Partial refund of application fee in certain circumstances</w:t>
      </w:r>
      <w:bookmarkEnd w:id="775"/>
      <w:bookmarkEnd w:id="776"/>
    </w:p>
    <w:p>
      <w:pPr>
        <w:pStyle w:val="Subsection"/>
      </w:pPr>
      <w:r>
        <w:tab/>
      </w:r>
      <w:r>
        <w:tab/>
        <w:t xml:space="preserve">An applicant for a mining tenement is entitled to a refund of $110 of the application fee paid by the applicant if —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 xml:space="preserve">[Regulation 70E inserted in Gazette 15 Aug 2003 p. 3694.] </w:t>
      </w:r>
    </w:p>
    <w:p>
      <w:pPr>
        <w:pStyle w:val="Heading3"/>
        <w:rPr>
          <w:snapToGrid w:val="0"/>
        </w:rPr>
      </w:pPr>
      <w:bookmarkStart w:id="777" w:name="_Toc74978929"/>
      <w:bookmarkStart w:id="778" w:name="_Toc74979193"/>
      <w:bookmarkStart w:id="779" w:name="_Toc79976491"/>
      <w:bookmarkStart w:id="780" w:name="_Toc80759762"/>
      <w:bookmarkStart w:id="781" w:name="_Toc80783525"/>
      <w:bookmarkStart w:id="782" w:name="_Toc94931192"/>
      <w:bookmarkStart w:id="783" w:name="_Toc104275315"/>
      <w:bookmarkStart w:id="784" w:name="_Toc104276646"/>
      <w:bookmarkStart w:id="785" w:name="_Toc107198867"/>
      <w:bookmarkStart w:id="786" w:name="_Toc107799318"/>
      <w:bookmarkStart w:id="787" w:name="_Toc127087325"/>
      <w:r>
        <w:rPr>
          <w:rStyle w:val="CharDivNo"/>
        </w:rPr>
        <w:t>Division 3</w:t>
      </w:r>
      <w:r>
        <w:rPr>
          <w:snapToGrid w:val="0"/>
        </w:rPr>
        <w:t> — </w:t>
      </w:r>
      <w:r>
        <w:rPr>
          <w:rStyle w:val="CharDivText"/>
        </w:rPr>
        <w:t>Boundary marks</w:t>
      </w:r>
      <w:bookmarkEnd w:id="777"/>
      <w:bookmarkEnd w:id="778"/>
      <w:bookmarkEnd w:id="779"/>
      <w:bookmarkEnd w:id="780"/>
      <w:bookmarkEnd w:id="781"/>
      <w:bookmarkEnd w:id="782"/>
      <w:bookmarkEnd w:id="783"/>
      <w:bookmarkEnd w:id="784"/>
      <w:bookmarkEnd w:id="785"/>
      <w:bookmarkEnd w:id="786"/>
      <w:bookmarkEnd w:id="787"/>
      <w:r>
        <w:rPr>
          <w:rStyle w:val="CharDivText"/>
        </w:rPr>
        <w:t xml:space="preserve"> </w:t>
      </w:r>
    </w:p>
    <w:p>
      <w:pPr>
        <w:pStyle w:val="Heading5"/>
        <w:rPr>
          <w:snapToGrid w:val="0"/>
        </w:rPr>
      </w:pPr>
      <w:bookmarkStart w:id="788" w:name="_Toc474633110"/>
      <w:bookmarkStart w:id="789" w:name="_Toc488740259"/>
      <w:bookmarkStart w:id="790" w:name="_Toc8623641"/>
      <w:bookmarkStart w:id="791" w:name="_Toc11229482"/>
      <w:bookmarkStart w:id="792" w:name="_Toc104276647"/>
      <w:bookmarkStart w:id="793" w:name="_Toc127087326"/>
      <w:r>
        <w:rPr>
          <w:rStyle w:val="CharSectno"/>
        </w:rPr>
        <w:t>71</w:t>
      </w:r>
      <w:r>
        <w:rPr>
          <w:snapToGrid w:val="0"/>
        </w:rPr>
        <w:t>.</w:t>
      </w:r>
      <w:r>
        <w:rPr>
          <w:snapToGrid w:val="0"/>
        </w:rPr>
        <w:tab/>
        <w:t>Boundary marks to be maintained</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 xml:space="preserve">[Regulation 71 amended in Gazette 16 Nov 1990 p. 5729.] </w:t>
      </w:r>
    </w:p>
    <w:p>
      <w:pPr>
        <w:pStyle w:val="Heading5"/>
        <w:rPr>
          <w:snapToGrid w:val="0"/>
        </w:rPr>
      </w:pPr>
      <w:bookmarkStart w:id="794" w:name="_Toc474633111"/>
      <w:bookmarkStart w:id="795" w:name="_Toc488740260"/>
      <w:bookmarkStart w:id="796" w:name="_Toc8623642"/>
      <w:bookmarkStart w:id="797" w:name="_Toc11229483"/>
      <w:bookmarkStart w:id="798" w:name="_Toc104276648"/>
      <w:bookmarkStart w:id="799" w:name="_Toc127087327"/>
      <w:r>
        <w:rPr>
          <w:rStyle w:val="CharSectno"/>
        </w:rPr>
        <w:t>72</w:t>
      </w:r>
      <w:r>
        <w:rPr>
          <w:snapToGrid w:val="0"/>
        </w:rPr>
        <w:t>.</w:t>
      </w:r>
      <w:r>
        <w:rPr>
          <w:snapToGrid w:val="0"/>
        </w:rPr>
        <w:tab/>
        <w:t>No liability for mining if boundary marks not maintained</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 xml:space="preserve">[Regulation 72 amended in Gazette 16 Nov 1990 p. 5729.] </w:t>
      </w:r>
    </w:p>
    <w:p>
      <w:pPr>
        <w:pStyle w:val="Heading5"/>
        <w:rPr>
          <w:snapToGrid w:val="0"/>
        </w:rPr>
      </w:pPr>
      <w:bookmarkStart w:id="800" w:name="_Toc474633112"/>
      <w:bookmarkStart w:id="801" w:name="_Toc488740261"/>
      <w:bookmarkStart w:id="802" w:name="_Toc8623643"/>
      <w:bookmarkStart w:id="803" w:name="_Toc11229484"/>
      <w:bookmarkStart w:id="804" w:name="_Toc104276649"/>
      <w:bookmarkStart w:id="805" w:name="_Toc127087328"/>
      <w:r>
        <w:rPr>
          <w:rStyle w:val="CharSectno"/>
        </w:rPr>
        <w:t>73</w:t>
      </w:r>
      <w:r>
        <w:rPr>
          <w:snapToGrid w:val="0"/>
        </w:rPr>
        <w:t>.</w:t>
      </w:r>
      <w:r>
        <w:rPr>
          <w:snapToGrid w:val="0"/>
        </w:rPr>
        <w:tab/>
        <w:t>Holder to identify boundaries</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 xml:space="preserve">[Regulation 73 amended in Gazette 16 Nov 1990 p. 5729.] </w:t>
      </w:r>
    </w:p>
    <w:p>
      <w:pPr>
        <w:pStyle w:val="Heading5"/>
        <w:rPr>
          <w:snapToGrid w:val="0"/>
        </w:rPr>
      </w:pPr>
      <w:bookmarkStart w:id="806" w:name="_Toc474633113"/>
      <w:bookmarkStart w:id="807" w:name="_Toc488740262"/>
      <w:bookmarkStart w:id="808" w:name="_Toc8623644"/>
      <w:bookmarkStart w:id="809" w:name="_Toc11229485"/>
      <w:bookmarkStart w:id="810" w:name="_Toc104276650"/>
      <w:bookmarkStart w:id="811" w:name="_Toc127087329"/>
      <w:r>
        <w:rPr>
          <w:rStyle w:val="CharSectno"/>
        </w:rPr>
        <w:t>74</w:t>
      </w:r>
      <w:r>
        <w:rPr>
          <w:snapToGrid w:val="0"/>
        </w:rPr>
        <w:t>.</w:t>
      </w:r>
      <w:r>
        <w:rPr>
          <w:snapToGrid w:val="0"/>
        </w:rPr>
        <w:tab/>
        <w:t>False documents/notices not to be posted</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rPr>
          <w:snapToGrid w:val="0"/>
        </w:rPr>
      </w:pPr>
      <w:bookmarkStart w:id="812" w:name="_Toc74978934"/>
      <w:bookmarkStart w:id="813" w:name="_Toc74979198"/>
      <w:bookmarkStart w:id="814" w:name="_Toc79976496"/>
      <w:bookmarkStart w:id="815" w:name="_Toc80759767"/>
      <w:bookmarkStart w:id="816" w:name="_Toc80783530"/>
      <w:bookmarkStart w:id="817" w:name="_Toc94931197"/>
      <w:bookmarkStart w:id="818" w:name="_Toc104275320"/>
      <w:bookmarkStart w:id="819" w:name="_Toc104276651"/>
      <w:bookmarkStart w:id="820" w:name="_Toc107198872"/>
      <w:bookmarkStart w:id="821" w:name="_Toc107799323"/>
      <w:bookmarkStart w:id="822" w:name="_Toc127087330"/>
      <w:r>
        <w:rPr>
          <w:rStyle w:val="CharDivNo"/>
        </w:rPr>
        <w:t>Division 3A</w:t>
      </w:r>
      <w:r>
        <w:rPr>
          <w:snapToGrid w:val="0"/>
        </w:rPr>
        <w:t> — </w:t>
      </w:r>
      <w:r>
        <w:rPr>
          <w:rStyle w:val="CharDivText"/>
        </w:rPr>
        <w:t>Fossicking</w:t>
      </w:r>
      <w:bookmarkEnd w:id="812"/>
      <w:bookmarkEnd w:id="813"/>
      <w:bookmarkEnd w:id="814"/>
      <w:bookmarkEnd w:id="815"/>
      <w:bookmarkEnd w:id="816"/>
      <w:bookmarkEnd w:id="817"/>
      <w:bookmarkEnd w:id="818"/>
      <w:bookmarkEnd w:id="819"/>
      <w:bookmarkEnd w:id="820"/>
      <w:bookmarkEnd w:id="821"/>
      <w:bookmarkEnd w:id="822"/>
      <w:r>
        <w:rPr>
          <w:rStyle w:val="CharDivText"/>
        </w:rPr>
        <w:t xml:space="preserve"> </w:t>
      </w:r>
    </w:p>
    <w:p>
      <w:pPr>
        <w:pStyle w:val="Footnoteheading"/>
        <w:keepNext/>
        <w:ind w:left="890"/>
        <w:rPr>
          <w:snapToGrid w:val="0"/>
        </w:rPr>
      </w:pPr>
      <w:r>
        <w:rPr>
          <w:snapToGrid w:val="0"/>
        </w:rPr>
        <w:tab/>
        <w:t>[Heading inserted in Gazette 2 Oct 1987 p. 3820.]</w:t>
      </w:r>
    </w:p>
    <w:p>
      <w:pPr>
        <w:pStyle w:val="Heading5"/>
        <w:rPr>
          <w:snapToGrid w:val="0"/>
        </w:rPr>
      </w:pPr>
      <w:bookmarkStart w:id="823" w:name="_Toc474633114"/>
      <w:bookmarkStart w:id="824" w:name="_Toc488740263"/>
      <w:bookmarkStart w:id="825" w:name="_Toc8623645"/>
      <w:bookmarkStart w:id="826" w:name="_Toc11229486"/>
      <w:bookmarkStart w:id="827" w:name="_Toc104276652"/>
      <w:bookmarkStart w:id="828" w:name="_Toc127087331"/>
      <w:r>
        <w:rPr>
          <w:rStyle w:val="CharSectno"/>
        </w:rPr>
        <w:t>74A</w:t>
      </w:r>
      <w:r>
        <w:rPr>
          <w:snapToGrid w:val="0"/>
        </w:rPr>
        <w:t>.</w:t>
      </w:r>
      <w:r>
        <w:rPr>
          <w:snapToGrid w:val="0"/>
        </w:rPr>
        <w:tab/>
        <w:t>Means of fossicking</w:t>
      </w:r>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 xml:space="preserve">[Regulation 74A inserted in Gazette 20 Oct 1987 p. 3820.] </w:t>
      </w:r>
    </w:p>
    <w:p>
      <w:pPr>
        <w:pStyle w:val="Heading3"/>
        <w:rPr>
          <w:snapToGrid w:val="0"/>
        </w:rPr>
      </w:pPr>
      <w:bookmarkStart w:id="829" w:name="_Toc74978936"/>
      <w:bookmarkStart w:id="830" w:name="_Toc74979200"/>
      <w:bookmarkStart w:id="831" w:name="_Toc79976498"/>
      <w:bookmarkStart w:id="832" w:name="_Toc80759769"/>
      <w:bookmarkStart w:id="833" w:name="_Toc80783532"/>
      <w:bookmarkStart w:id="834" w:name="_Toc94931199"/>
      <w:bookmarkStart w:id="835" w:name="_Toc104275322"/>
      <w:bookmarkStart w:id="836" w:name="_Toc104276653"/>
      <w:bookmarkStart w:id="837" w:name="_Toc107198874"/>
      <w:bookmarkStart w:id="838" w:name="_Toc107799325"/>
      <w:bookmarkStart w:id="839" w:name="_Toc127087332"/>
      <w:r>
        <w:rPr>
          <w:rStyle w:val="CharDivNo"/>
        </w:rPr>
        <w:t>Division 4</w:t>
      </w:r>
      <w:r>
        <w:rPr>
          <w:snapToGrid w:val="0"/>
        </w:rPr>
        <w:t> — </w:t>
      </w:r>
      <w:r>
        <w:rPr>
          <w:rStyle w:val="CharDivText"/>
        </w:rPr>
        <w:t>Transfers, caveats, mortgages</w:t>
      </w:r>
      <w:bookmarkEnd w:id="829"/>
      <w:bookmarkEnd w:id="830"/>
      <w:bookmarkEnd w:id="831"/>
      <w:bookmarkEnd w:id="832"/>
      <w:bookmarkEnd w:id="833"/>
      <w:bookmarkEnd w:id="834"/>
      <w:bookmarkEnd w:id="835"/>
      <w:bookmarkEnd w:id="836"/>
      <w:bookmarkEnd w:id="837"/>
      <w:bookmarkEnd w:id="838"/>
      <w:bookmarkEnd w:id="839"/>
      <w:r>
        <w:rPr>
          <w:rStyle w:val="CharDivText"/>
        </w:rPr>
        <w:t xml:space="preserve"> </w:t>
      </w:r>
    </w:p>
    <w:p>
      <w:pPr>
        <w:pStyle w:val="Heading5"/>
        <w:spacing w:before="120"/>
        <w:rPr>
          <w:snapToGrid w:val="0"/>
        </w:rPr>
      </w:pPr>
      <w:bookmarkStart w:id="840" w:name="_Toc474633115"/>
      <w:bookmarkStart w:id="841" w:name="_Toc488740264"/>
      <w:bookmarkStart w:id="842" w:name="_Toc8623646"/>
      <w:bookmarkStart w:id="843" w:name="_Toc11229487"/>
      <w:bookmarkStart w:id="844" w:name="_Toc104276654"/>
      <w:bookmarkStart w:id="845" w:name="_Toc127087333"/>
      <w:r>
        <w:rPr>
          <w:rStyle w:val="CharSectno"/>
        </w:rPr>
        <w:t>75</w:t>
      </w:r>
      <w:r>
        <w:rPr>
          <w:snapToGrid w:val="0"/>
        </w:rPr>
        <w:t>.</w:t>
      </w:r>
      <w:r>
        <w:rPr>
          <w:snapToGrid w:val="0"/>
        </w:rPr>
        <w:tab/>
        <w:t>Transfer of tenement</w:t>
      </w:r>
      <w:bookmarkEnd w:id="840"/>
      <w:bookmarkEnd w:id="841"/>
      <w:bookmarkEnd w:id="842"/>
      <w:bookmarkEnd w:id="843"/>
      <w:bookmarkEnd w:id="844"/>
      <w:bookmarkEnd w:id="845"/>
      <w:r>
        <w:rPr>
          <w:snapToGrid w:val="0"/>
        </w:rPr>
        <w:t xml:space="preserve"> </w:t>
      </w:r>
    </w:p>
    <w:p>
      <w:pPr>
        <w:pStyle w:val="Subsection"/>
        <w:spacing w:before="80"/>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 xml:space="preserve">[Regulation 75 amended in Gazette 31 May 1991 p. 2699; 24 Jun 1994 p. 2933.] </w:t>
      </w:r>
    </w:p>
    <w:p>
      <w:pPr>
        <w:pStyle w:val="Heading5"/>
        <w:rPr>
          <w:snapToGrid w:val="0"/>
        </w:rPr>
      </w:pPr>
      <w:bookmarkStart w:id="846" w:name="_Toc474633116"/>
      <w:bookmarkStart w:id="847" w:name="_Toc488740265"/>
      <w:bookmarkStart w:id="848" w:name="_Toc8623647"/>
      <w:bookmarkStart w:id="849" w:name="_Toc11229488"/>
      <w:bookmarkStart w:id="850" w:name="_Toc104276655"/>
      <w:bookmarkStart w:id="851" w:name="_Toc127087334"/>
      <w:r>
        <w:rPr>
          <w:rStyle w:val="CharSectno"/>
        </w:rPr>
        <w:t>76</w:t>
      </w:r>
      <w:r>
        <w:rPr>
          <w:snapToGrid w:val="0"/>
        </w:rPr>
        <w:t>.</w:t>
      </w:r>
      <w:r>
        <w:rPr>
          <w:snapToGrid w:val="0"/>
        </w:rPr>
        <w:tab/>
        <w:t>Separate caveat for each tenement</w:t>
      </w:r>
      <w:bookmarkEnd w:id="846"/>
      <w:bookmarkEnd w:id="847"/>
      <w:bookmarkEnd w:id="848"/>
      <w:bookmarkEnd w:id="849"/>
      <w:bookmarkEnd w:id="850"/>
      <w:bookmarkEnd w:id="851"/>
      <w:r>
        <w:rPr>
          <w:snapToGrid w:val="0"/>
        </w:rPr>
        <w:t xml:space="preserve"> </w:t>
      </w:r>
    </w:p>
    <w:p>
      <w:pPr>
        <w:pStyle w:val="Subsection"/>
        <w:spacing w:before="120"/>
        <w:rPr>
          <w:snapToGrid w:val="0"/>
        </w:rPr>
      </w:pPr>
      <w:r>
        <w:rPr>
          <w:snapToGrid w:val="0"/>
        </w:rPr>
        <w:tab/>
      </w:r>
      <w:r>
        <w:rPr>
          <w:snapToGrid w:val="0"/>
        </w:rPr>
        <w:tab/>
        <w:t>A separate caveat in the form No. 24 in the First Schedule shall be lodged in respect of each mining tenement affected.</w:t>
      </w:r>
    </w:p>
    <w:p>
      <w:pPr>
        <w:pStyle w:val="Heading5"/>
        <w:spacing w:before="180"/>
        <w:rPr>
          <w:snapToGrid w:val="0"/>
        </w:rPr>
      </w:pPr>
      <w:bookmarkStart w:id="852" w:name="_Toc474633117"/>
      <w:bookmarkStart w:id="853" w:name="_Toc488740266"/>
      <w:bookmarkStart w:id="854" w:name="_Toc8623648"/>
      <w:bookmarkStart w:id="855" w:name="_Toc11229489"/>
      <w:bookmarkStart w:id="856" w:name="_Toc104276656"/>
      <w:bookmarkStart w:id="857" w:name="_Toc127087335"/>
      <w:r>
        <w:rPr>
          <w:rStyle w:val="CharSectno"/>
        </w:rPr>
        <w:t>76A</w:t>
      </w:r>
      <w:r>
        <w:rPr>
          <w:snapToGrid w:val="0"/>
        </w:rPr>
        <w:t>.</w:t>
      </w:r>
      <w:r>
        <w:rPr>
          <w:snapToGrid w:val="0"/>
        </w:rPr>
        <w:tab/>
        <w:t>Withdrawal of caveats</w:t>
      </w:r>
      <w:bookmarkEnd w:id="852"/>
      <w:bookmarkEnd w:id="853"/>
      <w:bookmarkEnd w:id="854"/>
      <w:bookmarkEnd w:id="855"/>
      <w:bookmarkEnd w:id="856"/>
      <w:bookmarkEnd w:id="857"/>
      <w:r>
        <w:rPr>
          <w:snapToGrid w:val="0"/>
        </w:rPr>
        <w:t xml:space="preserve"> </w:t>
      </w:r>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 xml:space="preserve">[Regulation 76A inserted in Gazette 31 Jul 1992 p. 3776.] </w:t>
      </w:r>
    </w:p>
    <w:p>
      <w:pPr>
        <w:pStyle w:val="Heading5"/>
        <w:spacing w:before="180"/>
        <w:rPr>
          <w:snapToGrid w:val="0"/>
        </w:rPr>
      </w:pPr>
      <w:bookmarkStart w:id="858" w:name="_Toc474633118"/>
      <w:bookmarkStart w:id="859" w:name="_Toc488740267"/>
      <w:bookmarkStart w:id="860" w:name="_Toc8623649"/>
      <w:bookmarkStart w:id="861" w:name="_Toc11229490"/>
      <w:bookmarkStart w:id="862" w:name="_Toc104276657"/>
      <w:bookmarkStart w:id="863" w:name="_Toc127087336"/>
      <w:r>
        <w:rPr>
          <w:rStyle w:val="CharSectno"/>
        </w:rPr>
        <w:t>76B</w:t>
      </w:r>
      <w:r>
        <w:rPr>
          <w:snapToGrid w:val="0"/>
        </w:rPr>
        <w:t>.</w:t>
      </w:r>
      <w:r>
        <w:rPr>
          <w:snapToGrid w:val="0"/>
        </w:rPr>
        <w:tab/>
        <w:t>Notification of registration of surrender</w:t>
      </w:r>
      <w:bookmarkEnd w:id="858"/>
      <w:bookmarkEnd w:id="859"/>
      <w:bookmarkEnd w:id="860"/>
      <w:bookmarkEnd w:id="861"/>
      <w:bookmarkEnd w:id="862"/>
      <w:bookmarkEnd w:id="863"/>
      <w:r>
        <w:rPr>
          <w:snapToGrid w:val="0"/>
        </w:rPr>
        <w:t xml:space="preserve"> </w:t>
      </w:r>
    </w:p>
    <w:p>
      <w:pPr>
        <w:pStyle w:val="Subsection"/>
        <w:spacing w:before="120"/>
        <w:rPr>
          <w:snapToGrid w:val="0"/>
        </w:rPr>
      </w:pPr>
      <w:r>
        <w:rPr>
          <w:snapToGrid w:val="0"/>
        </w:rPr>
        <w:tab/>
      </w:r>
      <w:r>
        <w:rPr>
          <w:snapToGrid w:val="0"/>
        </w:rPr>
        <w:tab/>
        <w:t>For the purposes of section 120A(2), notification of the registration of a surrender under section 26A or 65 shall be a notice of the registration of the surrender sent, by or on behalf of the Minister, by certified mail to the caveator.</w:t>
      </w:r>
    </w:p>
    <w:p>
      <w:pPr>
        <w:pStyle w:val="Footnotesection"/>
      </w:pPr>
      <w:r>
        <w:tab/>
        <w:t xml:space="preserve">[Regulation 76B inserted in Gazette 24 Jun 1994 p. 2933.] </w:t>
      </w:r>
    </w:p>
    <w:p>
      <w:pPr>
        <w:pStyle w:val="Heading5"/>
        <w:spacing w:before="180"/>
        <w:rPr>
          <w:snapToGrid w:val="0"/>
        </w:rPr>
      </w:pPr>
      <w:bookmarkStart w:id="864" w:name="_Toc474633119"/>
      <w:bookmarkStart w:id="865" w:name="_Toc488740268"/>
      <w:bookmarkStart w:id="866" w:name="_Toc8623650"/>
      <w:bookmarkStart w:id="867" w:name="_Toc11229491"/>
      <w:bookmarkStart w:id="868" w:name="_Toc104276658"/>
      <w:bookmarkStart w:id="869" w:name="_Toc127087337"/>
      <w:r>
        <w:rPr>
          <w:rStyle w:val="CharSectno"/>
        </w:rPr>
        <w:t>77</w:t>
      </w:r>
      <w:r>
        <w:rPr>
          <w:snapToGrid w:val="0"/>
        </w:rPr>
        <w:t>.</w:t>
      </w:r>
      <w:r>
        <w:rPr>
          <w:snapToGrid w:val="0"/>
        </w:rPr>
        <w:tab/>
        <w:t>Mortgage and priority of mortgages</w:t>
      </w:r>
      <w:bookmarkEnd w:id="864"/>
      <w:bookmarkEnd w:id="865"/>
      <w:bookmarkEnd w:id="866"/>
      <w:bookmarkEnd w:id="867"/>
      <w:bookmarkEnd w:id="868"/>
      <w:bookmarkEnd w:id="869"/>
      <w:r>
        <w:rPr>
          <w:snapToGrid w:val="0"/>
        </w:rPr>
        <w:t xml:space="preserve"> </w:t>
      </w:r>
    </w:p>
    <w:p>
      <w:pPr>
        <w:pStyle w:val="Subsection"/>
        <w:spacing w:before="120"/>
        <w:rPr>
          <w:snapToGrid w:val="0"/>
        </w:rPr>
      </w:pPr>
      <w:r>
        <w:rPr>
          <w:snapToGrid w:val="0"/>
        </w:rPr>
        <w:tab/>
      </w:r>
      <w:r>
        <w:rPr>
          <w:snapToGrid w:val="0"/>
        </w:rPr>
        <w:tab/>
        <w:t>A mining tenement or share therein may be mortgaged, charged or made security for the repayment of money advanced or agreed to be advanced or for the discharge of any liability, and</w:t>
      </w:r>
    </w:p>
    <w:p>
      <w:pPr>
        <w:pStyle w:val="Indenta"/>
        <w:spacing w:before="70"/>
        <w:rPr>
          <w:snapToGrid w:val="0"/>
        </w:rPr>
      </w:pPr>
      <w:r>
        <w:rPr>
          <w:snapToGrid w:val="0"/>
        </w:rPr>
        <w:tab/>
        <w:t>(a)</w:t>
      </w:r>
      <w:r>
        <w:rPr>
          <w:snapToGrid w:val="0"/>
        </w:rPr>
        <w:tab/>
        <w:t>when it is intended to be so charged, a mortgage in the form No. 25 in the First Schedule shall be lodged with the prescribed fee; and</w:t>
      </w:r>
    </w:p>
    <w:p>
      <w:pPr>
        <w:pStyle w:val="Indenta"/>
        <w:spacing w:before="70"/>
        <w:rPr>
          <w:snapToGrid w:val="0"/>
        </w:rPr>
      </w:pPr>
      <w:r>
        <w:rPr>
          <w:snapToGrid w:val="0"/>
        </w:rPr>
        <w:tab/>
        <w:t>(b)</w:t>
      </w:r>
      <w:r>
        <w:rPr>
          <w:snapToGrid w:val="0"/>
        </w:rPr>
        <w:tab/>
        <w:t>where there are 2 or more mortgages affecting the same tenement, they shall take priority according to the date and time of their registration.</w:t>
      </w:r>
    </w:p>
    <w:p>
      <w:pPr>
        <w:pStyle w:val="Footnotesection"/>
      </w:pPr>
      <w:r>
        <w:tab/>
        <w:t xml:space="preserve">[Regulation 77 amended in Gazette 31 May 1991 p. 2699.] </w:t>
      </w:r>
    </w:p>
    <w:p>
      <w:pPr>
        <w:pStyle w:val="Heading5"/>
        <w:spacing w:before="180"/>
        <w:rPr>
          <w:snapToGrid w:val="0"/>
        </w:rPr>
      </w:pPr>
      <w:bookmarkStart w:id="870" w:name="_Toc474633120"/>
      <w:bookmarkStart w:id="871" w:name="_Toc488740269"/>
      <w:bookmarkStart w:id="872" w:name="_Toc8623651"/>
      <w:bookmarkStart w:id="873" w:name="_Toc11229492"/>
      <w:bookmarkStart w:id="874" w:name="_Toc104276659"/>
      <w:bookmarkStart w:id="875" w:name="_Toc127087338"/>
      <w:r>
        <w:rPr>
          <w:rStyle w:val="CharSectno"/>
        </w:rPr>
        <w:t>78</w:t>
      </w:r>
      <w:r>
        <w:rPr>
          <w:snapToGrid w:val="0"/>
        </w:rPr>
        <w:t>.</w:t>
      </w:r>
      <w:r>
        <w:rPr>
          <w:snapToGrid w:val="0"/>
        </w:rPr>
        <w:tab/>
        <w:t>Effect of mortgage</w:t>
      </w:r>
      <w:bookmarkEnd w:id="870"/>
      <w:bookmarkEnd w:id="871"/>
      <w:bookmarkEnd w:id="872"/>
      <w:bookmarkEnd w:id="873"/>
      <w:bookmarkEnd w:id="874"/>
      <w:bookmarkEnd w:id="875"/>
      <w:r>
        <w:rPr>
          <w:snapToGrid w:val="0"/>
        </w:rPr>
        <w:t xml:space="preserve"> </w:t>
      </w:r>
    </w:p>
    <w:p>
      <w:pPr>
        <w:pStyle w:val="Subsection"/>
        <w:spacing w:before="120"/>
        <w:rPr>
          <w:snapToGrid w:val="0"/>
        </w:rPr>
      </w:pPr>
      <w:r>
        <w:rPr>
          <w:snapToGrid w:val="0"/>
        </w:rPr>
        <w:tab/>
      </w:r>
      <w:r>
        <w:rPr>
          <w:snapToGrid w:val="0"/>
        </w:rPr>
        <w:tab/>
        <w:t>A mortgage — </w:t>
      </w:r>
    </w:p>
    <w:p>
      <w:pPr>
        <w:pStyle w:val="Indenta"/>
        <w:rPr>
          <w:snapToGrid w:val="0"/>
        </w:rPr>
      </w:pPr>
      <w:r>
        <w:rPr>
          <w:snapToGrid w:val="0"/>
        </w:rPr>
        <w:tab/>
        <w:t>(a)</w:t>
      </w:r>
      <w:r>
        <w:rPr>
          <w:snapToGrid w:val="0"/>
        </w:rPr>
        <w:tab/>
        <w:t>shall have effect only as a security for the repayment of the money intended to be secured thereby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Heading5"/>
        <w:spacing w:before="180"/>
        <w:rPr>
          <w:snapToGrid w:val="0"/>
        </w:rPr>
      </w:pPr>
      <w:bookmarkStart w:id="876" w:name="_Toc474633121"/>
      <w:bookmarkStart w:id="877" w:name="_Toc488740270"/>
      <w:bookmarkStart w:id="878" w:name="_Toc8623652"/>
      <w:bookmarkStart w:id="879" w:name="_Toc11229493"/>
      <w:bookmarkStart w:id="880" w:name="_Toc104276660"/>
      <w:bookmarkStart w:id="881" w:name="_Toc127087339"/>
      <w:r>
        <w:rPr>
          <w:rStyle w:val="CharSectno"/>
        </w:rPr>
        <w:t>79</w:t>
      </w:r>
      <w:r>
        <w:rPr>
          <w:snapToGrid w:val="0"/>
        </w:rPr>
        <w:t>.</w:t>
      </w:r>
      <w:r>
        <w:rPr>
          <w:snapToGrid w:val="0"/>
        </w:rPr>
        <w:tab/>
        <w:t>Covenants included in mortgage</w:t>
      </w:r>
      <w:bookmarkEnd w:id="876"/>
      <w:bookmarkEnd w:id="877"/>
      <w:bookmarkEnd w:id="878"/>
      <w:bookmarkEnd w:id="879"/>
      <w:bookmarkEnd w:id="880"/>
      <w:bookmarkEnd w:id="881"/>
      <w:r>
        <w:rPr>
          <w:snapToGrid w:val="0"/>
        </w:rPr>
        <w:t xml:space="preserve"> </w:t>
      </w:r>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 </w:t>
      </w:r>
    </w:p>
    <w:p>
      <w:pPr>
        <w:pStyle w:val="IndentI0"/>
        <w:rPr>
          <w:snapToGrid w:val="0"/>
        </w:rPr>
      </w:pPr>
      <w:r>
        <w:rPr>
          <w:snapToGrid w:val="0"/>
        </w:rPr>
        <w:tab/>
        <w:t>(I)</w:t>
      </w:r>
      <w:r>
        <w:rPr>
          <w:snapToGrid w:val="0"/>
        </w:rPr>
        <w:tab/>
        <w:t>advertised his intention so to do by such means as the Minister approves; but —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882" w:name="_Toc474633122"/>
      <w:bookmarkStart w:id="883" w:name="_Toc488740271"/>
      <w:bookmarkStart w:id="884" w:name="_Toc8623653"/>
      <w:bookmarkStart w:id="885" w:name="_Toc11229494"/>
      <w:bookmarkStart w:id="886" w:name="_Toc104276661"/>
      <w:bookmarkStart w:id="887" w:name="_Toc127087340"/>
      <w:r>
        <w:rPr>
          <w:rStyle w:val="CharSectno"/>
        </w:rPr>
        <w:t>80</w:t>
      </w:r>
      <w:r>
        <w:rPr>
          <w:snapToGrid w:val="0"/>
        </w:rPr>
        <w:t>.</w:t>
      </w:r>
      <w:r>
        <w:rPr>
          <w:snapToGrid w:val="0"/>
        </w:rPr>
        <w:tab/>
        <w:t>Mortgagee’s expenses may be added to security</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888" w:name="_Toc474633123"/>
      <w:bookmarkStart w:id="889" w:name="_Toc488740272"/>
      <w:bookmarkStart w:id="890" w:name="_Toc8623654"/>
      <w:bookmarkStart w:id="891" w:name="_Toc11229495"/>
      <w:bookmarkStart w:id="892" w:name="_Toc104276662"/>
      <w:bookmarkStart w:id="893" w:name="_Toc127087341"/>
      <w:r>
        <w:rPr>
          <w:rStyle w:val="CharSectno"/>
        </w:rPr>
        <w:t>81</w:t>
      </w:r>
      <w:r>
        <w:rPr>
          <w:snapToGrid w:val="0"/>
        </w:rPr>
        <w:t>.</w:t>
      </w:r>
      <w:r>
        <w:rPr>
          <w:snapToGrid w:val="0"/>
        </w:rPr>
        <w:tab/>
        <w:t>Transfer under powers contained in mortgage</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894" w:name="_Toc474633124"/>
      <w:bookmarkStart w:id="895" w:name="_Toc488740273"/>
      <w:bookmarkStart w:id="896" w:name="_Toc8623655"/>
      <w:bookmarkStart w:id="897" w:name="_Toc11229496"/>
      <w:bookmarkStart w:id="898" w:name="_Toc104276663"/>
      <w:bookmarkStart w:id="899" w:name="_Toc127087342"/>
      <w:r>
        <w:rPr>
          <w:rStyle w:val="CharSectno"/>
        </w:rPr>
        <w:t>82</w:t>
      </w:r>
      <w:r>
        <w:rPr>
          <w:snapToGrid w:val="0"/>
        </w:rPr>
        <w:t>.</w:t>
      </w:r>
      <w:r>
        <w:rPr>
          <w:snapToGrid w:val="0"/>
        </w:rPr>
        <w:tab/>
        <w:t>Redemption of mortgage</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900" w:name="_Toc474633125"/>
      <w:bookmarkStart w:id="901" w:name="_Toc488740274"/>
      <w:bookmarkStart w:id="902" w:name="_Toc8623656"/>
      <w:bookmarkStart w:id="903" w:name="_Toc11229497"/>
      <w:bookmarkStart w:id="904" w:name="_Toc104276664"/>
      <w:bookmarkStart w:id="905" w:name="_Toc127087343"/>
      <w:r>
        <w:rPr>
          <w:rStyle w:val="CharSectno"/>
        </w:rPr>
        <w:t>83</w:t>
      </w:r>
      <w:r>
        <w:rPr>
          <w:snapToGrid w:val="0"/>
        </w:rPr>
        <w:t>.</w:t>
      </w:r>
      <w:r>
        <w:rPr>
          <w:snapToGrid w:val="0"/>
        </w:rPr>
        <w:tab/>
        <w:t>Discharge of mortgage</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 xml:space="preserve">[Regulation 83 amended in Gazette 31 Jul 1992 p. 3776.] </w:t>
      </w:r>
    </w:p>
    <w:p>
      <w:pPr>
        <w:pStyle w:val="Heading5"/>
        <w:rPr>
          <w:snapToGrid w:val="0"/>
        </w:rPr>
      </w:pPr>
      <w:bookmarkStart w:id="906" w:name="_Toc474633126"/>
      <w:bookmarkStart w:id="907" w:name="_Toc488740275"/>
      <w:bookmarkStart w:id="908" w:name="_Toc8623657"/>
      <w:bookmarkStart w:id="909" w:name="_Toc11229498"/>
      <w:bookmarkStart w:id="910" w:name="_Toc104276665"/>
      <w:bookmarkStart w:id="911" w:name="_Toc127087344"/>
      <w:r>
        <w:rPr>
          <w:rStyle w:val="CharSectno"/>
        </w:rPr>
        <w:t>84</w:t>
      </w:r>
      <w:r>
        <w:rPr>
          <w:snapToGrid w:val="0"/>
        </w:rPr>
        <w:t>.</w:t>
      </w:r>
      <w:r>
        <w:rPr>
          <w:snapToGrid w:val="0"/>
        </w:rPr>
        <w:tab/>
        <w:t>Transfer of mortgage</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rPr>
          <w:snapToGrid w:val="0"/>
        </w:rPr>
      </w:pPr>
      <w:bookmarkStart w:id="912" w:name="_Toc74978949"/>
      <w:bookmarkStart w:id="913" w:name="_Toc74979213"/>
      <w:bookmarkStart w:id="914" w:name="_Toc79976511"/>
      <w:bookmarkStart w:id="915" w:name="_Toc80759782"/>
      <w:bookmarkStart w:id="916" w:name="_Toc80783545"/>
      <w:bookmarkStart w:id="917" w:name="_Toc94931212"/>
      <w:bookmarkStart w:id="918" w:name="_Toc104275335"/>
      <w:bookmarkStart w:id="919" w:name="_Toc104276666"/>
      <w:bookmarkStart w:id="920" w:name="_Toc107198887"/>
      <w:bookmarkStart w:id="921" w:name="_Toc107799338"/>
      <w:bookmarkStart w:id="922" w:name="_Toc127087345"/>
      <w:r>
        <w:rPr>
          <w:rStyle w:val="CharDivNo"/>
        </w:rPr>
        <w:t>Division 5</w:t>
      </w:r>
      <w:r>
        <w:rPr>
          <w:snapToGrid w:val="0"/>
        </w:rPr>
        <w:t> — </w:t>
      </w:r>
      <w:r>
        <w:rPr>
          <w:rStyle w:val="CharDivText"/>
        </w:rPr>
        <w:t>Production and royalties</w:t>
      </w:r>
      <w:bookmarkEnd w:id="912"/>
      <w:bookmarkEnd w:id="913"/>
      <w:bookmarkEnd w:id="914"/>
      <w:bookmarkEnd w:id="915"/>
      <w:bookmarkEnd w:id="916"/>
      <w:bookmarkEnd w:id="917"/>
      <w:bookmarkEnd w:id="918"/>
      <w:bookmarkEnd w:id="919"/>
      <w:bookmarkEnd w:id="920"/>
      <w:bookmarkEnd w:id="921"/>
      <w:bookmarkEnd w:id="922"/>
      <w:r>
        <w:rPr>
          <w:rStyle w:val="CharDivText"/>
        </w:rPr>
        <w:t xml:space="preserve"> </w:t>
      </w:r>
    </w:p>
    <w:p>
      <w:pPr>
        <w:pStyle w:val="Heading5"/>
      </w:pPr>
      <w:bookmarkStart w:id="923" w:name="_Toc486150003"/>
      <w:bookmarkStart w:id="924" w:name="_Toc488740276"/>
      <w:bookmarkStart w:id="925" w:name="_Toc8623658"/>
      <w:bookmarkStart w:id="926" w:name="_Toc11229499"/>
      <w:bookmarkStart w:id="927" w:name="_Toc104276667"/>
      <w:bookmarkStart w:id="928" w:name="_Toc127087346"/>
      <w:bookmarkStart w:id="929" w:name="_Toc474633128"/>
      <w:r>
        <w:rPr>
          <w:rStyle w:val="CharSectno"/>
        </w:rPr>
        <w:t>85</w:t>
      </w:r>
      <w:r>
        <w:t>.</w:t>
      </w:r>
      <w:r>
        <w:tab/>
        <w:t>Interpretation of Division</w:t>
      </w:r>
      <w:bookmarkEnd w:id="923"/>
      <w:bookmarkEnd w:id="924"/>
      <w:bookmarkEnd w:id="925"/>
      <w:bookmarkEnd w:id="926"/>
      <w:bookmarkEnd w:id="927"/>
      <w:bookmarkEnd w:id="928"/>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xml:space="preserve">, in relation to a mineral, means — </w:t>
      </w:r>
    </w:p>
    <w:p>
      <w:pPr>
        <w:pStyle w:val="Defpara"/>
      </w:pPr>
      <w:r>
        <w:tab/>
        <w:t>(a)</w:t>
      </w:r>
      <w:r>
        <w:tab/>
        <w:t xml:space="preserve">the amount, in Australian currency, of any reasonable costs incurred in transporting the mineral, in the form in which it is first sold, where those costs —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xml:space="preserve">, in relation to a mineral, means —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spacing w:before="140"/>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930" w:name="_Toc486150004"/>
      <w:bookmarkStart w:id="931" w:name="_Toc488740277"/>
      <w:bookmarkStart w:id="932" w:name="_Toc8623659"/>
      <w:bookmarkStart w:id="933" w:name="_Toc11229500"/>
      <w:bookmarkStart w:id="934" w:name="_Toc104276668"/>
      <w:bookmarkStart w:id="935" w:name="_Toc127087347"/>
      <w:r>
        <w:rPr>
          <w:rStyle w:val="CharSectno"/>
        </w:rPr>
        <w:t>85AA</w:t>
      </w:r>
      <w:r>
        <w:t>.</w:t>
      </w:r>
      <w:r>
        <w:tab/>
        <w:t>Effect of GST etc. on royalties</w:t>
      </w:r>
      <w:bookmarkEnd w:id="930"/>
      <w:bookmarkEnd w:id="931"/>
      <w:bookmarkEnd w:id="932"/>
      <w:bookmarkEnd w:id="933"/>
      <w:bookmarkEnd w:id="934"/>
      <w:bookmarkEnd w:id="935"/>
    </w:p>
    <w:p>
      <w:pPr>
        <w:pStyle w:val="Subsection"/>
        <w:spacing w:before="14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936" w:name="_Toc8623660"/>
      <w:bookmarkStart w:id="937" w:name="_Toc11229501"/>
      <w:bookmarkStart w:id="938" w:name="_Toc104276669"/>
      <w:bookmarkStart w:id="939" w:name="_Toc127087348"/>
      <w:bookmarkStart w:id="940" w:name="_Toc488740278"/>
      <w:r>
        <w:rPr>
          <w:rStyle w:val="CharSectno"/>
        </w:rPr>
        <w:t>85AB</w:t>
      </w:r>
      <w:r>
        <w:t>.</w:t>
      </w:r>
      <w:r>
        <w:tab/>
        <w:t>Conversion to Australian currency</w:t>
      </w:r>
      <w:bookmarkEnd w:id="936"/>
      <w:bookmarkEnd w:id="937"/>
      <w:bookmarkEnd w:id="938"/>
      <w:bookmarkEnd w:id="939"/>
    </w:p>
    <w:p>
      <w:pPr>
        <w:pStyle w:val="Subsection"/>
        <w:keepNext/>
      </w:pPr>
      <w:r>
        <w:tab/>
        <w:t>(1)</w:t>
      </w:r>
      <w:r>
        <w:tab/>
        <w:t xml:space="preserve">In this regulation —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spacing w:before="140"/>
      </w:pPr>
      <w:r>
        <w:tab/>
        <w:t>(3)</w:t>
      </w:r>
      <w:r>
        <w:tab/>
        <w:t xml:space="preserve">Where, for the purposes of the definition of “gold spot price” in regulation 86AA(11), it is necessary to convert a price to Australian currency, the conversion is to be calculated —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941" w:name="_Toc104276670"/>
      <w:bookmarkStart w:id="942" w:name="_Toc127087349"/>
      <w:bookmarkStart w:id="943" w:name="_Toc474633129"/>
      <w:bookmarkStart w:id="944" w:name="_Toc488740279"/>
      <w:bookmarkStart w:id="945" w:name="_Toc8623662"/>
      <w:bookmarkStart w:id="946" w:name="_Toc11229503"/>
      <w:bookmarkEnd w:id="929"/>
      <w:bookmarkEnd w:id="940"/>
      <w:r>
        <w:rPr>
          <w:rStyle w:val="CharSectno"/>
        </w:rPr>
        <w:t>85A</w:t>
      </w:r>
      <w:r>
        <w:t>.</w:t>
      </w:r>
      <w:r>
        <w:tab/>
        <w:t>Quarterly production reports</w:t>
      </w:r>
      <w:bookmarkEnd w:id="941"/>
      <w:bookmarkEnd w:id="942"/>
    </w:p>
    <w:p>
      <w:pPr>
        <w:pStyle w:val="Subsection"/>
      </w:pPr>
      <w:r>
        <w:tab/>
        <w:t>(1)</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947" w:name="_Toc104276671"/>
      <w:bookmarkStart w:id="948" w:name="_Toc127087350"/>
      <w:r>
        <w:rPr>
          <w:rStyle w:val="CharSectno"/>
        </w:rPr>
        <w:t>85B</w:t>
      </w:r>
      <w:r>
        <w:rPr>
          <w:snapToGrid w:val="0"/>
        </w:rPr>
        <w:t>.</w:t>
      </w:r>
      <w:r>
        <w:rPr>
          <w:snapToGrid w:val="0"/>
        </w:rPr>
        <w:tab/>
        <w:t>Royalty return</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 xml:space="preserve">[Regulation 85B inserted in Gazette 20 May 1988 p. 1705; amended in Gazette 3 Oct 1997 p. 5530; 14 Dec 2001 p. 6405; 8 Feb 2002 p. 607.] </w:t>
      </w:r>
    </w:p>
    <w:p>
      <w:pPr>
        <w:pStyle w:val="Heading5"/>
        <w:rPr>
          <w:snapToGrid w:val="0"/>
        </w:rPr>
      </w:pPr>
      <w:bookmarkStart w:id="949" w:name="_Toc474633130"/>
      <w:bookmarkStart w:id="950" w:name="_Toc488740280"/>
      <w:bookmarkStart w:id="951" w:name="_Toc8623663"/>
      <w:bookmarkStart w:id="952" w:name="_Toc11229504"/>
      <w:bookmarkStart w:id="953" w:name="_Toc104276672"/>
      <w:bookmarkStart w:id="954" w:name="_Toc127087351"/>
      <w:r>
        <w:rPr>
          <w:rStyle w:val="CharSectno"/>
        </w:rPr>
        <w:t>86</w:t>
      </w:r>
      <w:r>
        <w:rPr>
          <w:snapToGrid w:val="0"/>
        </w:rPr>
        <w:t>.</w:t>
      </w:r>
      <w:r>
        <w:rPr>
          <w:snapToGrid w:val="0"/>
        </w:rPr>
        <w:tab/>
        <w:t>Rates of royalty</w:t>
      </w:r>
      <w:bookmarkEnd w:id="949"/>
      <w:bookmarkEnd w:id="950"/>
      <w:bookmarkEnd w:id="951"/>
      <w:bookmarkEnd w:id="952"/>
      <w:bookmarkEnd w:id="953"/>
      <w:bookmarkEnd w:id="954"/>
      <w:r>
        <w:rPr>
          <w:snapToGrid w:val="0"/>
        </w:rPr>
        <w:t xml:space="preserve"> </w:t>
      </w:r>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 xml:space="preserve">In the Table to this regulation — </w:t>
      </w:r>
    </w:p>
    <w:p>
      <w:pPr>
        <w:pStyle w:val="Defstart"/>
      </w:pPr>
      <w:r>
        <w:rPr>
          <w:b/>
        </w:rPr>
        <w:tab/>
        <w:t>“</w:t>
      </w:r>
      <w:r>
        <w:rPr>
          <w:rStyle w:val="CharDefText"/>
        </w:rPr>
        <w:t>Amount A</w:t>
      </w:r>
      <w:r>
        <w:rPr>
          <w:b/>
        </w:rPr>
        <w:t>”</w:t>
      </w:r>
      <w:r>
        <w:t xml:space="preserve"> means —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Defstart"/>
      </w:pPr>
      <w:r>
        <w:rPr>
          <w:b/>
        </w:rPr>
        <w:tab/>
        <w:t>“</w:t>
      </w:r>
      <w:r>
        <w:rPr>
          <w:rStyle w:val="CharDefText"/>
        </w:rPr>
        <w:t>Amount B</w:t>
      </w:r>
      <w:r>
        <w:rPr>
          <w:b/>
        </w:rPr>
        <w:t>”</w:t>
      </w:r>
      <w:r>
        <w:t xml:space="preserve"> means —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Subsection"/>
      </w:pPr>
      <w:r>
        <w:tab/>
        <w:t>(2b)</w:t>
      </w:r>
      <w:r>
        <w:tab/>
        <w:t xml:space="preserve">Subject to subregulations (2c) and (2d), the amount for the relevant period is the amount calculated using the formula — </w:t>
      </w:r>
    </w:p>
    <w:p>
      <w:pPr>
        <w:pStyle w:val="Equation"/>
        <w:ind w:left="851"/>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9" o:title=""/>
          </v:shape>
          <o:OLEObject Type="Embed" ProgID="Equation.3" ShapeID="_x0000_i1025" DrawAspect="Content" ObjectID="_1644288198" r:id="rId20"/>
        </w:object>
      </w:r>
    </w:p>
    <w:p>
      <w:pPr>
        <w:pStyle w:val="Subsection"/>
      </w:pPr>
      <w:r>
        <w:tab/>
      </w:r>
      <w:r>
        <w:tab/>
        <w:t xml:space="preserve">where — </w:t>
      </w:r>
    </w:p>
    <w:p>
      <w:pPr>
        <w:pStyle w:val="Indenta"/>
      </w:pPr>
      <w:r>
        <w:tab/>
        <w:t>R</w:t>
      </w:r>
      <w:r>
        <w:tab/>
        <w:t>is the amount;</w:t>
      </w:r>
    </w:p>
    <w:p>
      <w:pPr>
        <w:pStyle w:val="Indenta"/>
      </w:pPr>
      <w:r>
        <w:tab/>
        <w:t>C</w:t>
      </w:r>
      <w:r>
        <w:tab/>
        <w:t xml:space="preserve">is —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bCs/>
        </w:rPr>
        <w:t>“</w:t>
      </w:r>
      <w:r>
        <w:rPr>
          <w:rStyle w:val="CharDefText"/>
        </w:rPr>
        <w:t>existing amount</w:t>
      </w:r>
      <w:r>
        <w:rPr>
          <w:b/>
          <w:bCs/>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Coal</w:t>
            </w:r>
          </w:p>
          <w:p>
            <w:pPr>
              <w:pStyle w:val="Table"/>
              <w:spacing w:before="0" w:line="160" w:lineRule="atLeast"/>
              <w:ind w:left="-56"/>
              <w:rPr>
                <w:sz w:val="16"/>
              </w:rPr>
            </w:pPr>
            <w:r>
              <w:rPr>
                <w:sz w:val="16"/>
              </w:rPr>
              <w:t xml:space="preserve">  (including</w:t>
            </w:r>
          </w:p>
          <w:p>
            <w:pPr>
              <w:pStyle w:val="Table"/>
              <w:spacing w:before="0" w:line="160" w:lineRule="atLeast"/>
              <w:ind w:left="-56"/>
              <w:rPr>
                <w:sz w:val="16"/>
              </w:rPr>
            </w:pPr>
            <w:r>
              <w:rPr>
                <w:sz w:val="16"/>
              </w:rPr>
              <w:t xml:space="preserve">  lignite) </w:t>
            </w:r>
            <w:r>
              <w:rPr>
                <w:snapToGrid w:val="0"/>
                <w:sz w:val="16"/>
              </w:rPr>
              <w:t>—</w:t>
            </w:r>
          </w:p>
          <w:p>
            <w:pPr>
              <w:pStyle w:val="Table"/>
              <w:spacing w:before="0" w:line="160" w:lineRule="atLeast"/>
              <w:ind w:left="-56"/>
              <w:rPr>
                <w:sz w:val="16"/>
              </w:rPr>
            </w:pPr>
            <w:r>
              <w:rPr>
                <w:sz w:val="16"/>
              </w:rPr>
              <w:t xml:space="preserve">  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56"/>
              <w:rPr>
                <w:sz w:val="16"/>
              </w:rPr>
            </w:pPr>
            <w:r>
              <w:rPr>
                <w:sz w:val="16"/>
              </w:rPr>
              <w:t xml:space="preserve">  </w:t>
            </w: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18"/>
                <w:sz w:val="16"/>
              </w:rPr>
              <w:object w:dxaOrig="1980" w:dyaOrig="460">
                <v:shape id="_x0000_i1026" type="#_x0000_t75" style="width:99pt;height:23.25pt" o:ole="" fillcolor="window">
                  <v:imagedata r:id="rId21" o:title=""/>
                </v:shape>
                <o:OLEObject Type="Embed" ProgID="Equation.3" ShapeID="_x0000_i1026" DrawAspect="Content" ObjectID="_1644288199" r:id="rId22"/>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 xml:space="preserve">Where —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object w:dxaOrig="2000" w:dyaOrig="460">
                <v:shape id="_x0000_i1027" type="#_x0000_t75" style="width:99.75pt;height:23.25pt" o:ole="" fillcolor="window">
                  <v:imagedata r:id="rId23" o:title=""/>
                </v:shape>
                <o:OLEObject Type="Embed" ProgID="Equation.3" ShapeID="_x0000_i1027" DrawAspect="Content" ObjectID="_1644288200" r:id="rId24"/>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 xml:space="preserve">Where —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Ilmenite (other than ilmenite feedstock as defined in regulations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56"/>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object w:dxaOrig="1900" w:dyaOrig="620">
                <v:shape id="_x0000_i1028" type="#_x0000_t75" style="width:95.25pt;height:30.75pt" o:ole="" fillcolor="window">
                  <v:imagedata r:id="rId25" o:title=""/>
                </v:shape>
                <o:OLEObject Type="Embed" ProgID="Equation.3" ShapeID="_x0000_i1028" DrawAspect="Content" ObjectID="_1644288201" r:id="rId26"/>
              </w:obje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 xml:space="preserve">The rate is — </w:t>
            </w:r>
          </w:p>
          <w:p>
            <w:pPr>
              <w:pStyle w:val="Table"/>
              <w:tabs>
                <w:tab w:val="left" w:pos="280"/>
                <w:tab w:val="left" w:pos="699"/>
              </w:tabs>
              <w:spacing w:before="0" w:line="160" w:lineRule="atLeast"/>
              <w:ind w:left="714" w:hanging="714"/>
              <w:rPr>
                <w:sz w:val="16"/>
              </w:rPr>
            </w:pPr>
            <w:r>
              <w:rPr>
                <w:sz w:val="16"/>
              </w:rPr>
              <w:tab/>
              <w:t>(a)</w:t>
            </w:r>
            <w:r>
              <w:rPr>
                <w:sz w:val="16"/>
              </w:rPr>
              <w:tab/>
              <w:t xml:space="preserve">in the period beginning on 1 January 2003 and ending on 30 June 2003 —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 xml:space="preserve">in the period beginning on 1 July 2003 and ending on 30 June 2004 —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 xml:space="preserve">on or after 1 July 2004 —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Vanadium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rPr>
                <w:sz w:val="16"/>
              </w:rPr>
            </w:pPr>
            <w:r>
              <w:rPr>
                <w:sz w:val="16"/>
              </w:rPr>
              <w:t>The higher of —</w:t>
            </w:r>
          </w:p>
          <w:p>
            <w:pPr>
              <w:pStyle w:val="Table"/>
              <w:tabs>
                <w:tab w:val="left" w:pos="228"/>
              </w:tabs>
              <w:spacing w:before="0" w:line="160" w:lineRule="atLeast"/>
              <w:ind w:left="510" w:right="-57" w:hanging="510"/>
              <w:rPr>
                <w:sz w:val="16"/>
              </w:rPr>
            </w:pPr>
            <w:r>
              <w:rPr>
                <w:sz w:val="16"/>
              </w:rPr>
              <w:tab/>
              <w:t>(a)</w:t>
            </w:r>
            <w:r>
              <w:rPr>
                <w:sz w:val="16"/>
              </w:rPr>
              <w:tab/>
              <w:t>5% of the amount calculated by deducting from the royalty value of vanadium pentoxide produced from the vanadium such costs of producing that vanadium pentoxide as are allowed by the Minister after consultation with the person liable to pay the royalty; and</w:t>
            </w:r>
          </w:p>
          <w:p>
            <w:pPr>
              <w:pStyle w:val="Table"/>
              <w:tabs>
                <w:tab w:val="left" w:pos="228"/>
              </w:tabs>
              <w:spacing w:before="0" w:line="160" w:lineRule="atLeast"/>
              <w:ind w:left="510" w:right="-57" w:hanging="510"/>
              <w:rPr>
                <w:sz w:val="16"/>
              </w:rPr>
            </w:pPr>
            <w:r>
              <w:rPr>
                <w:sz w:val="16"/>
              </w:rPr>
              <w:tab/>
              <w:t>(b)</w:t>
            </w:r>
            <w:r>
              <w:rPr>
                <w:sz w:val="16"/>
              </w:rPr>
              <w:tab/>
              <w:t>1.5% of the gross invoice value of vanadium pentoxide produced from the vanadium.</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 xml:space="preserve">The rate is —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 xml:space="preserve">7; 13 Dec 2002 p. 5805; 20 Aug 2004 p. 3619-21; 28 Jan 2005 p. 360; 7 Feb 2006 p. 622-3.] </w:t>
      </w:r>
    </w:p>
    <w:p>
      <w:pPr>
        <w:pStyle w:val="Heading5"/>
        <w:rPr>
          <w:snapToGrid w:val="0"/>
        </w:rPr>
      </w:pPr>
      <w:bookmarkStart w:id="955" w:name="_Toc474633131"/>
      <w:bookmarkStart w:id="956" w:name="_Toc488740281"/>
      <w:bookmarkStart w:id="957" w:name="_Toc8623664"/>
      <w:bookmarkStart w:id="958" w:name="_Toc11229505"/>
      <w:bookmarkStart w:id="959" w:name="_Toc104276673"/>
      <w:bookmarkStart w:id="960" w:name="_Toc127087352"/>
      <w:r>
        <w:rPr>
          <w:rStyle w:val="CharSectno"/>
        </w:rPr>
        <w:t>86AA</w:t>
      </w:r>
      <w:r>
        <w:rPr>
          <w:snapToGrid w:val="0"/>
        </w:rPr>
        <w:t>.</w:t>
      </w:r>
      <w:r>
        <w:rPr>
          <w:snapToGrid w:val="0"/>
        </w:rPr>
        <w:tab/>
        <w:t>Rates of royalty in respect of gold</w:t>
      </w:r>
      <w:bookmarkEnd w:id="955"/>
      <w:bookmarkEnd w:id="956"/>
      <w:bookmarkEnd w:id="957"/>
      <w:bookmarkEnd w:id="958"/>
      <w:bookmarkEnd w:id="959"/>
      <w:bookmarkEnd w:id="960"/>
      <w:r>
        <w:rPr>
          <w:snapToGrid w:val="0"/>
        </w:rPr>
        <w:t xml:space="preserve"> </w:t>
      </w:r>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2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20"/>
        <w:rPr>
          <w:snapToGrid w:val="0"/>
        </w:rPr>
      </w:pPr>
      <w:r>
        <w:rPr>
          <w:snapToGrid w:val="0"/>
        </w:rPr>
        <w:tab/>
        <w:t>(8)</w:t>
      </w:r>
      <w:r>
        <w:rPr>
          <w:snapToGrid w:val="0"/>
        </w:rPr>
        <w:tab/>
        <w:t>If gold bearing material is delivered to a refinery within 3 months after it, or gold bearing material from which it was produced, was taken from the ground —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 </w:t>
      </w:r>
    </w:p>
    <w:p>
      <w:pPr>
        <w:pStyle w:val="Defpara"/>
      </w:pPr>
      <w:r>
        <w:tab/>
        <w:t>(a)</w:t>
      </w:r>
      <w:r>
        <w:tab/>
        <w:t>subject to subregulation (12), the mining tenement or, if there is more than one, all mining tenements from which anyone produces or obtains gold bearing material that is treated or processed at a common —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 xml:space="preserve">3; amended in Gazette 24 Apr 1998 p. 2153; 14 Apr 2000 p. 1891; 14 Dec 2001 p. 6406.] </w:t>
      </w:r>
    </w:p>
    <w:p>
      <w:pPr>
        <w:pStyle w:val="Heading5"/>
      </w:pPr>
      <w:bookmarkStart w:id="961" w:name="_Toc486150009"/>
      <w:bookmarkStart w:id="962" w:name="_Toc488740282"/>
      <w:bookmarkStart w:id="963" w:name="_Toc8623665"/>
      <w:bookmarkStart w:id="964" w:name="_Toc11229506"/>
      <w:bookmarkStart w:id="965" w:name="_Toc104276674"/>
      <w:bookmarkStart w:id="966" w:name="_Toc127087353"/>
      <w:bookmarkStart w:id="967" w:name="_Toc474633132"/>
      <w:r>
        <w:rPr>
          <w:rStyle w:val="CharSectno"/>
        </w:rPr>
        <w:t>86AB</w:t>
      </w:r>
      <w:r>
        <w:t>.</w:t>
      </w:r>
      <w:r>
        <w:tab/>
        <w:t>Optional royalty rate for cobalt sold as a nickel by</w:t>
      </w:r>
      <w:r>
        <w:noBreakHyphen/>
        <w:t>product</w:t>
      </w:r>
      <w:bookmarkEnd w:id="961"/>
      <w:bookmarkEnd w:id="962"/>
      <w:bookmarkEnd w:id="963"/>
      <w:bookmarkEnd w:id="964"/>
      <w:bookmarkEnd w:id="965"/>
      <w:bookmarkEnd w:id="966"/>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968" w:name="_Toc127087354"/>
      <w:bookmarkStart w:id="969" w:name="_Toc8623666"/>
      <w:bookmarkStart w:id="970" w:name="_Toc11229507"/>
      <w:bookmarkStart w:id="971" w:name="_Toc104276675"/>
      <w:bookmarkStart w:id="972" w:name="_Toc474633133"/>
      <w:bookmarkStart w:id="973" w:name="_Toc488740284"/>
      <w:bookmarkEnd w:id="967"/>
      <w:r>
        <w:t>86AC.</w:t>
      </w:r>
      <w:r>
        <w:tab/>
        <w:t>Rates of royalty for ilmenite feedstock</w:t>
      </w:r>
      <w:bookmarkEnd w:id="968"/>
    </w:p>
    <w:p>
      <w:pPr>
        <w:pStyle w:val="Subsection"/>
      </w:pPr>
      <w:r>
        <w:tab/>
        <w:t>(1)</w:t>
      </w:r>
      <w:r>
        <w:tab/>
        <w:t xml:space="preserve">In this regulation —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pPr>
      <w:r>
        <w:tab/>
        <w:t>(4)</w:t>
      </w:r>
      <w:r>
        <w:tab/>
        <w:t xml:space="preserve">The rate of royalty payable for ilmenite feedstock that is of marketable quality is —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974" w:name="_Toc127087355"/>
      <w:r>
        <w:rPr>
          <w:rStyle w:val="CharSectno"/>
        </w:rPr>
        <w:t>86A</w:t>
      </w:r>
      <w:r>
        <w:t>.</w:t>
      </w:r>
      <w:r>
        <w:tab/>
        <w:t>Payment of royalties</w:t>
      </w:r>
      <w:bookmarkEnd w:id="969"/>
      <w:bookmarkEnd w:id="970"/>
      <w:bookmarkEnd w:id="971"/>
      <w:bookmarkEnd w:id="974"/>
    </w:p>
    <w:p>
      <w:pPr>
        <w:pStyle w:val="Subsection"/>
        <w:spacing w:before="120"/>
      </w:pPr>
      <w:r>
        <w:tab/>
        <w:t>(1)</w:t>
      </w:r>
      <w:r>
        <w:tab/>
        <w:t>Royalties for a mineral shall be paid to the Department at Perth.</w:t>
      </w:r>
    </w:p>
    <w:p>
      <w:pPr>
        <w:pStyle w:val="Subsection"/>
        <w:spacing w:before="120"/>
      </w:pPr>
      <w:r>
        <w:tab/>
        <w:t>(2)</w:t>
      </w:r>
      <w:r>
        <w:tab/>
        <w:t>Subject to this regulation, royalties for a mineral shall be paid within 30 days after the end of the quarter during which the relevant amount of the mineral was produced or obtained.</w:t>
      </w:r>
    </w:p>
    <w:p>
      <w:pPr>
        <w:pStyle w:val="Subsection"/>
        <w:spacing w:before="120"/>
      </w:pPr>
      <w:r>
        <w:tab/>
        <w:t>(3)</w:t>
      </w:r>
      <w:r>
        <w:tab/>
        <w:t>In the case of gold metal, royalties shall be paid within 30 days after the end of the quarter during which the gold metal is to be regarded because of regulation 86AA as having been produced.</w:t>
      </w:r>
    </w:p>
    <w:p>
      <w:pPr>
        <w:pStyle w:val="Subsection"/>
        <w:spacing w:before="12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2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spacing w:before="120"/>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spacing w:before="120"/>
        <w:rPr>
          <w:snapToGrid w:val="0"/>
        </w:rPr>
      </w:pPr>
      <w:bookmarkStart w:id="975" w:name="_Toc8623667"/>
      <w:bookmarkStart w:id="976" w:name="_Toc11229508"/>
      <w:bookmarkStart w:id="977" w:name="_Toc104276676"/>
      <w:bookmarkStart w:id="978" w:name="_Toc127087356"/>
      <w:r>
        <w:rPr>
          <w:rStyle w:val="CharSectno"/>
        </w:rPr>
        <w:t>86B</w:t>
      </w:r>
      <w:r>
        <w:rPr>
          <w:snapToGrid w:val="0"/>
        </w:rPr>
        <w:t>.</w:t>
      </w:r>
      <w:r>
        <w:rPr>
          <w:snapToGrid w:val="0"/>
        </w:rPr>
        <w:tab/>
        <w:t>Tenement within Carnarvon Irrigation District</w:t>
      </w:r>
      <w:bookmarkEnd w:id="972"/>
      <w:bookmarkEnd w:id="973"/>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 xml:space="preserve">Repealed in Gazette 3 Oct 1997 p. 5533.] </w:t>
      </w:r>
    </w:p>
    <w:p>
      <w:pPr>
        <w:pStyle w:val="Heading5"/>
        <w:rPr>
          <w:snapToGrid w:val="0"/>
        </w:rPr>
      </w:pPr>
      <w:bookmarkStart w:id="979" w:name="_Toc474633134"/>
      <w:bookmarkStart w:id="980" w:name="_Toc488740285"/>
      <w:bookmarkStart w:id="981" w:name="_Toc8623668"/>
      <w:bookmarkStart w:id="982" w:name="_Toc11229509"/>
      <w:bookmarkStart w:id="983" w:name="_Toc104276677"/>
      <w:bookmarkStart w:id="984" w:name="_Toc127087357"/>
      <w:r>
        <w:rPr>
          <w:rStyle w:val="CharSectno"/>
        </w:rPr>
        <w:t>86D</w:t>
      </w:r>
      <w:r>
        <w:rPr>
          <w:snapToGrid w:val="0"/>
        </w:rPr>
        <w:t>.</w:t>
      </w:r>
      <w:r>
        <w:rPr>
          <w:snapToGrid w:val="0"/>
        </w:rPr>
        <w:tab/>
        <w:t>Exemption in respect of certain clay, gravel, limestone, rock or sand</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 xml:space="preserve">[Regulation 86D inserted in Gazette 12 Nov 1982 p. 4490.] </w:t>
      </w:r>
    </w:p>
    <w:p>
      <w:pPr>
        <w:pStyle w:val="Heading5"/>
        <w:rPr>
          <w:snapToGrid w:val="0"/>
        </w:rPr>
      </w:pPr>
      <w:bookmarkStart w:id="985" w:name="_Toc474633135"/>
      <w:bookmarkStart w:id="986" w:name="_Toc488740286"/>
      <w:bookmarkStart w:id="987" w:name="_Toc8623669"/>
      <w:bookmarkStart w:id="988" w:name="_Toc11229510"/>
      <w:bookmarkStart w:id="989" w:name="_Toc104276678"/>
      <w:bookmarkStart w:id="990" w:name="_Toc127087358"/>
      <w:r>
        <w:rPr>
          <w:rStyle w:val="CharSectno"/>
        </w:rPr>
        <w:t>86E</w:t>
      </w:r>
      <w:r>
        <w:rPr>
          <w:snapToGrid w:val="0"/>
        </w:rPr>
        <w:t>.</w:t>
      </w:r>
      <w:r>
        <w:rPr>
          <w:snapToGrid w:val="0"/>
        </w:rPr>
        <w:tab/>
        <w:t>Exemption in respect of rock for the Eyre Highway</w:t>
      </w:r>
      <w:bookmarkEnd w:id="985"/>
      <w:bookmarkEnd w:id="986"/>
      <w:bookmarkEnd w:id="987"/>
      <w:bookmarkEnd w:id="988"/>
      <w:bookmarkEnd w:id="989"/>
      <w:bookmarkEnd w:id="990"/>
      <w:r>
        <w:rPr>
          <w:snapToGrid w:val="0"/>
        </w:rPr>
        <w:t xml:space="preserve"> </w:t>
      </w:r>
    </w:p>
    <w:p>
      <w:pPr>
        <w:pStyle w:val="Subsection"/>
        <w:keepNext/>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 xml:space="preserve">[Regulation 86E inserted in Gazette 3 Jul 1992 p. 2973; amended in Gazette 4 Apr 1997 p. 1779.] </w:t>
      </w:r>
    </w:p>
    <w:p>
      <w:pPr>
        <w:pStyle w:val="Heading5"/>
      </w:pPr>
      <w:bookmarkStart w:id="991" w:name="_Toc486150014"/>
      <w:bookmarkStart w:id="992" w:name="_Toc488740287"/>
      <w:bookmarkStart w:id="993" w:name="_Toc8623670"/>
      <w:bookmarkStart w:id="994" w:name="_Toc11229511"/>
      <w:bookmarkStart w:id="995" w:name="_Toc104276679"/>
      <w:bookmarkStart w:id="996" w:name="_Toc127087359"/>
      <w:bookmarkStart w:id="997" w:name="_Toc474633137"/>
      <w:r>
        <w:rPr>
          <w:rStyle w:val="CharSectno"/>
        </w:rPr>
        <w:t>86F</w:t>
      </w:r>
      <w:r>
        <w:t>.</w:t>
      </w:r>
      <w:r>
        <w:tab/>
        <w:t>Royalty relief</w:t>
      </w:r>
      <w:bookmarkEnd w:id="991"/>
      <w:bookmarkEnd w:id="992"/>
      <w:bookmarkEnd w:id="993"/>
      <w:bookmarkEnd w:id="994"/>
      <w:bookmarkEnd w:id="995"/>
      <w:bookmarkEnd w:id="996"/>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 xml:space="preserve">under regulation 86, for any mineral produced or obtained while the determination is expressed to apply; </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spacing w:before="120"/>
      </w:pPr>
      <w:r>
        <w:tab/>
      </w:r>
      <w:r>
        <w:tab/>
        <w:t>is to be on the basis of a portion only, as specified in the determination, of the royalty base.</w:t>
      </w:r>
    </w:p>
    <w:p>
      <w:pPr>
        <w:pStyle w:val="Subsection"/>
        <w:spacing w:before="120"/>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spacing w:before="120"/>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998" w:name="_Toc488740288"/>
      <w:bookmarkStart w:id="999" w:name="_Toc8623671"/>
      <w:bookmarkStart w:id="1000" w:name="_Toc11229512"/>
      <w:bookmarkStart w:id="1001" w:name="_Toc104276680"/>
      <w:bookmarkStart w:id="1002" w:name="_Toc127087360"/>
      <w:r>
        <w:rPr>
          <w:rStyle w:val="CharSectno"/>
        </w:rPr>
        <w:t>87</w:t>
      </w:r>
      <w:r>
        <w:rPr>
          <w:snapToGrid w:val="0"/>
        </w:rPr>
        <w:t>.</w:t>
      </w:r>
      <w:r>
        <w:rPr>
          <w:snapToGrid w:val="0"/>
        </w:rPr>
        <w:tab/>
        <w:t>Minister may determine value of mineral for the purpose of calculating royalties</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spacing w:before="120"/>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 xml:space="preserve">[Regulation 87 inserted in Gazette 20 May 1988 p. 1706; amended in Gazette 3 Oct 1997 p. 5533; 14 Dec 2001 p. 6407; 13 Dec 2002 p. 5805.] </w:t>
      </w:r>
    </w:p>
    <w:p>
      <w:pPr>
        <w:pStyle w:val="Heading5"/>
        <w:spacing w:before="180"/>
        <w:rPr>
          <w:snapToGrid w:val="0"/>
        </w:rPr>
      </w:pPr>
      <w:bookmarkStart w:id="1003" w:name="_Toc474633138"/>
      <w:bookmarkStart w:id="1004" w:name="_Toc488740289"/>
      <w:bookmarkStart w:id="1005" w:name="_Toc8623672"/>
      <w:bookmarkStart w:id="1006" w:name="_Toc11229513"/>
      <w:bookmarkStart w:id="1007" w:name="_Toc104276681"/>
      <w:bookmarkStart w:id="1008" w:name="_Toc127087361"/>
      <w:r>
        <w:rPr>
          <w:rStyle w:val="CharSectno"/>
        </w:rPr>
        <w:t>87A</w:t>
      </w:r>
      <w:r>
        <w:rPr>
          <w:snapToGrid w:val="0"/>
        </w:rPr>
        <w:t>.</w:t>
      </w:r>
      <w:r>
        <w:rPr>
          <w:snapToGrid w:val="0"/>
        </w:rPr>
        <w:tab/>
        <w:t>Notice of determination and assessment under regulation 87</w:t>
      </w:r>
      <w:bookmarkEnd w:id="1003"/>
      <w:bookmarkEnd w:id="1004"/>
      <w:bookmarkEnd w:id="1005"/>
      <w:bookmarkEnd w:id="1006"/>
      <w:bookmarkEnd w:id="1007"/>
      <w:bookmarkEnd w:id="1008"/>
      <w:r>
        <w:rPr>
          <w:snapToGrid w:val="0"/>
        </w:rPr>
        <w:t xml:space="preserve"> </w:t>
      </w:r>
    </w:p>
    <w:p>
      <w:pPr>
        <w:pStyle w:val="Subsection"/>
        <w:spacing w:before="120"/>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spacing w:before="120"/>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 xml:space="preserve">[Regulation 87A inserted in Gazette 20 May 1988 p. 1706.] </w:t>
      </w:r>
    </w:p>
    <w:p>
      <w:pPr>
        <w:pStyle w:val="Heading5"/>
        <w:spacing w:before="180"/>
        <w:rPr>
          <w:snapToGrid w:val="0"/>
        </w:rPr>
      </w:pPr>
      <w:bookmarkStart w:id="1009" w:name="_Toc474633139"/>
      <w:bookmarkStart w:id="1010" w:name="_Toc488740290"/>
      <w:bookmarkStart w:id="1011" w:name="_Toc8623673"/>
      <w:bookmarkStart w:id="1012" w:name="_Toc11229514"/>
      <w:bookmarkStart w:id="1013" w:name="_Toc104276682"/>
      <w:bookmarkStart w:id="1014" w:name="_Toc127087362"/>
      <w:r>
        <w:rPr>
          <w:rStyle w:val="CharSectno"/>
        </w:rPr>
        <w:t>87B</w:t>
      </w:r>
      <w:r>
        <w:rPr>
          <w:snapToGrid w:val="0"/>
        </w:rPr>
        <w:t>.</w:t>
      </w:r>
      <w:r>
        <w:rPr>
          <w:snapToGrid w:val="0"/>
        </w:rPr>
        <w:tab/>
        <w:t>Records</w:t>
      </w:r>
      <w:bookmarkEnd w:id="1009"/>
      <w:bookmarkEnd w:id="1010"/>
      <w:bookmarkEnd w:id="1011"/>
      <w:bookmarkEnd w:id="1012"/>
      <w:bookmarkEnd w:id="1013"/>
      <w:bookmarkEnd w:id="1014"/>
      <w:r>
        <w:rPr>
          <w:snapToGrid w:val="0"/>
        </w:rPr>
        <w:t xml:space="preserve"> </w:t>
      </w:r>
    </w:p>
    <w:p>
      <w:pPr>
        <w:pStyle w:val="Subsection"/>
        <w:spacing w:before="120"/>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 </w:t>
      </w:r>
    </w:p>
    <w:p>
      <w:pPr>
        <w:pStyle w:val="Indenta"/>
        <w:spacing w:before="50"/>
        <w:rPr>
          <w:snapToGrid w:val="0"/>
        </w:rPr>
      </w:pPr>
      <w:r>
        <w:rPr>
          <w:snapToGrid w:val="0"/>
        </w:rPr>
        <w:tab/>
        <w:t>(a)</w:t>
      </w:r>
      <w:r>
        <w:rPr>
          <w:snapToGrid w:val="0"/>
        </w:rPr>
        <w:tab/>
        <w:t>to give a true and complete indication of —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 xml:space="preserve">8; 8 Feb 2002 p. 608.] </w:t>
      </w:r>
    </w:p>
    <w:p>
      <w:pPr>
        <w:pStyle w:val="Ednotesection"/>
      </w:pPr>
      <w:r>
        <w:t>[</w:t>
      </w:r>
      <w:r>
        <w:rPr>
          <w:b/>
        </w:rPr>
        <w:t>88.</w:t>
      </w:r>
      <w:r>
        <w:tab/>
        <w:t xml:space="preserve">Repealed in Gazette 31 May 1991 p. 2699.] </w:t>
      </w:r>
    </w:p>
    <w:p>
      <w:pPr>
        <w:pStyle w:val="Heading5"/>
        <w:rPr>
          <w:snapToGrid w:val="0"/>
        </w:rPr>
      </w:pPr>
      <w:bookmarkStart w:id="1015" w:name="_Toc474633140"/>
      <w:bookmarkStart w:id="1016" w:name="_Toc488740291"/>
      <w:bookmarkStart w:id="1017" w:name="_Toc8623674"/>
      <w:bookmarkStart w:id="1018" w:name="_Toc11229515"/>
      <w:bookmarkStart w:id="1019" w:name="_Toc104276683"/>
      <w:bookmarkStart w:id="1020" w:name="_Toc127087363"/>
      <w:r>
        <w:rPr>
          <w:rStyle w:val="CharSectno"/>
        </w:rPr>
        <w:t>89</w:t>
      </w:r>
      <w:r>
        <w:rPr>
          <w:snapToGrid w:val="0"/>
        </w:rPr>
        <w:t>.</w:t>
      </w:r>
      <w:r>
        <w:rPr>
          <w:snapToGrid w:val="0"/>
        </w:rPr>
        <w:tab/>
        <w:t>Recovery of royalty</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021" w:name="_Toc74978967"/>
      <w:bookmarkStart w:id="1022" w:name="_Toc74979231"/>
      <w:bookmarkStart w:id="1023" w:name="_Toc79976529"/>
      <w:bookmarkStart w:id="1024" w:name="_Toc80759800"/>
      <w:bookmarkStart w:id="1025" w:name="_Toc80783563"/>
      <w:bookmarkStart w:id="1026" w:name="_Toc94931230"/>
      <w:bookmarkStart w:id="1027" w:name="_Toc104275353"/>
      <w:bookmarkStart w:id="1028" w:name="_Toc104276684"/>
      <w:bookmarkStart w:id="1029" w:name="_Toc107198905"/>
      <w:bookmarkStart w:id="1030" w:name="_Toc107799357"/>
      <w:bookmarkStart w:id="1031" w:name="_Toc127087364"/>
      <w:r>
        <w:rPr>
          <w:rStyle w:val="CharDivNo"/>
        </w:rPr>
        <w:t>Division 5A</w:t>
      </w:r>
      <w:r>
        <w:t> — </w:t>
      </w:r>
      <w:r>
        <w:rPr>
          <w:rStyle w:val="CharDivText"/>
        </w:rPr>
        <w:t>Prescribed Australian datum</w:t>
      </w:r>
      <w:bookmarkEnd w:id="1021"/>
      <w:bookmarkEnd w:id="1022"/>
      <w:bookmarkEnd w:id="1023"/>
      <w:bookmarkEnd w:id="1024"/>
      <w:bookmarkEnd w:id="1025"/>
      <w:bookmarkEnd w:id="1026"/>
      <w:bookmarkEnd w:id="1027"/>
      <w:bookmarkEnd w:id="1028"/>
      <w:bookmarkEnd w:id="1029"/>
      <w:bookmarkEnd w:id="1030"/>
      <w:bookmarkEnd w:id="1031"/>
    </w:p>
    <w:p>
      <w:pPr>
        <w:pStyle w:val="Footnoteheading"/>
        <w:ind w:left="890"/>
      </w:pPr>
      <w:r>
        <w:tab/>
        <w:t>[Heading inserted in Gazette 15 Dec 2000 p. 7219.]</w:t>
      </w:r>
    </w:p>
    <w:p>
      <w:pPr>
        <w:pStyle w:val="Heading5"/>
      </w:pPr>
      <w:bookmarkStart w:id="1032" w:name="_Toc8623675"/>
      <w:bookmarkStart w:id="1033" w:name="_Toc11229516"/>
      <w:bookmarkStart w:id="1034" w:name="_Toc104276685"/>
      <w:bookmarkStart w:id="1035" w:name="_Toc127087365"/>
      <w:r>
        <w:rPr>
          <w:rStyle w:val="CharSectno"/>
        </w:rPr>
        <w:t>89A</w:t>
      </w:r>
      <w:r>
        <w:t>.</w:t>
      </w:r>
      <w:r>
        <w:tab/>
        <w:t>Geocentric Datum of Australia — section 9B</w:t>
      </w:r>
      <w:bookmarkEnd w:id="1032"/>
      <w:bookmarkEnd w:id="1033"/>
      <w:bookmarkEnd w:id="1034"/>
      <w:bookmarkEnd w:id="1035"/>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spacing w:before="140"/>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spacing w:before="140"/>
        <w:ind w:right="8"/>
      </w:pPr>
      <w:r>
        <w:tab/>
        <w:t>(4)</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rPr>
          <w:snapToGrid w:val="0"/>
        </w:rPr>
      </w:pPr>
      <w:bookmarkStart w:id="1036" w:name="_Toc74978969"/>
      <w:bookmarkStart w:id="1037" w:name="_Toc74979233"/>
      <w:bookmarkStart w:id="1038" w:name="_Toc79976531"/>
      <w:bookmarkStart w:id="1039" w:name="_Toc80759802"/>
      <w:bookmarkStart w:id="1040" w:name="_Toc80783565"/>
      <w:bookmarkStart w:id="1041" w:name="_Toc94931232"/>
      <w:bookmarkStart w:id="1042" w:name="_Toc104275355"/>
      <w:bookmarkStart w:id="1043" w:name="_Toc104276686"/>
      <w:bookmarkStart w:id="1044" w:name="_Toc107198907"/>
      <w:bookmarkStart w:id="1045" w:name="_Toc107799359"/>
      <w:bookmarkStart w:id="1046" w:name="_Toc127087366"/>
      <w:r>
        <w:rPr>
          <w:rStyle w:val="CharDivNo"/>
        </w:rPr>
        <w:t>Division 6</w:t>
      </w:r>
      <w:r>
        <w:rPr>
          <w:snapToGrid w:val="0"/>
        </w:rPr>
        <w:t> — </w:t>
      </w:r>
      <w:r>
        <w:rPr>
          <w:rStyle w:val="CharDivText"/>
        </w:rPr>
        <w:t>Miscellaneous</w:t>
      </w:r>
      <w:bookmarkEnd w:id="1036"/>
      <w:bookmarkEnd w:id="1037"/>
      <w:bookmarkEnd w:id="1038"/>
      <w:bookmarkEnd w:id="1039"/>
      <w:bookmarkEnd w:id="1040"/>
      <w:bookmarkEnd w:id="1041"/>
      <w:bookmarkEnd w:id="1042"/>
      <w:bookmarkEnd w:id="1043"/>
      <w:bookmarkEnd w:id="1044"/>
      <w:bookmarkEnd w:id="1045"/>
      <w:bookmarkEnd w:id="1046"/>
      <w:r>
        <w:rPr>
          <w:rStyle w:val="CharDivText"/>
        </w:rPr>
        <w:t xml:space="preserve"> </w:t>
      </w:r>
    </w:p>
    <w:p>
      <w:pPr>
        <w:pStyle w:val="Heading5"/>
      </w:pPr>
      <w:bookmarkStart w:id="1047" w:name="_Toc104276687"/>
      <w:bookmarkStart w:id="1048" w:name="_Toc127087367"/>
      <w:bookmarkStart w:id="1049" w:name="_Toc474633141"/>
      <w:bookmarkStart w:id="1050" w:name="_Toc488740292"/>
      <w:bookmarkStart w:id="1051" w:name="_Toc8623676"/>
      <w:bookmarkStart w:id="1052" w:name="_Toc11229517"/>
      <w:r>
        <w:rPr>
          <w:rStyle w:val="CharSectno"/>
        </w:rPr>
        <w:t>89B</w:t>
      </w:r>
      <w:r>
        <w:t>.</w:t>
      </w:r>
      <w:r>
        <w:tab/>
        <w:t>Prescribed office — section 8(1)</w:t>
      </w:r>
      <w:bookmarkEnd w:id="1047"/>
      <w:bookmarkEnd w:id="1048"/>
    </w:p>
    <w:p>
      <w:pPr>
        <w:pStyle w:val="Subsection"/>
      </w:pPr>
      <w:r>
        <w:tab/>
      </w:r>
      <w:r>
        <w:tab/>
        <w:t>For the purposes of the definition of “mining registrar” in section 8(1) the office of General Manager, Tenure and Native Title Branch, Mineral Titles Division of the Department is prescribed.</w:t>
      </w:r>
    </w:p>
    <w:p>
      <w:pPr>
        <w:pStyle w:val="Footnotesection"/>
      </w:pPr>
      <w:r>
        <w:tab/>
        <w:t>[Regulation 89B inserted in Gazette 17 Jan 2003 p. 106.]</w:t>
      </w:r>
    </w:p>
    <w:p>
      <w:pPr>
        <w:pStyle w:val="Heading5"/>
        <w:rPr>
          <w:snapToGrid w:val="0"/>
        </w:rPr>
      </w:pPr>
      <w:bookmarkStart w:id="1053" w:name="_Toc104276688"/>
      <w:bookmarkStart w:id="1054" w:name="_Toc127087368"/>
      <w:r>
        <w:rPr>
          <w:rStyle w:val="CharSectno"/>
        </w:rPr>
        <w:t>90</w:t>
      </w:r>
      <w:r>
        <w:rPr>
          <w:snapToGrid w:val="0"/>
        </w:rPr>
        <w:t>.</w:t>
      </w:r>
      <w:r>
        <w:rPr>
          <w:snapToGrid w:val="0"/>
        </w:rPr>
        <w:tab/>
        <w:t>Forms to be completed in accordance with directions</w:t>
      </w:r>
      <w:bookmarkEnd w:id="1049"/>
      <w:bookmarkEnd w:id="1050"/>
      <w:bookmarkEnd w:id="1051"/>
      <w:bookmarkEnd w:id="1052"/>
      <w:bookmarkEnd w:id="1053"/>
      <w:bookmarkEnd w:id="1054"/>
      <w:r>
        <w:rPr>
          <w:snapToGrid w:val="0"/>
        </w:rPr>
        <w:t xml:space="preserve"> </w:t>
      </w:r>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055" w:name="_Toc474633142"/>
      <w:bookmarkStart w:id="1056" w:name="_Toc488740293"/>
      <w:bookmarkStart w:id="1057" w:name="_Toc8623677"/>
      <w:bookmarkStart w:id="1058" w:name="_Toc11229518"/>
      <w:bookmarkStart w:id="1059" w:name="_Toc104276689"/>
      <w:bookmarkStart w:id="1060" w:name="_Toc127087369"/>
      <w:r>
        <w:rPr>
          <w:rStyle w:val="CharSectno"/>
        </w:rPr>
        <w:t>91</w:t>
      </w:r>
      <w:r>
        <w:rPr>
          <w:snapToGrid w:val="0"/>
        </w:rPr>
        <w:t>.</w:t>
      </w:r>
      <w:r>
        <w:rPr>
          <w:snapToGrid w:val="0"/>
        </w:rPr>
        <w:tab/>
        <w:t>Appeal to Minister</w:t>
      </w:r>
      <w:bookmarkEnd w:id="1055"/>
      <w:bookmarkEnd w:id="1056"/>
      <w:bookmarkEnd w:id="1057"/>
      <w:bookmarkEnd w:id="1058"/>
      <w:bookmarkEnd w:id="1059"/>
      <w:bookmarkEnd w:id="1060"/>
      <w:r>
        <w:rPr>
          <w:snapToGrid w:val="0"/>
        </w:rPr>
        <w:t xml:space="preserve"> </w:t>
      </w:r>
    </w:p>
    <w:p>
      <w:pPr>
        <w:pStyle w:val="Subsection"/>
        <w:spacing w:before="14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 xml:space="preserve">[Regulation 91 amended in Gazette 12 Nov 1982 p. 4490; 13 Oct 1995 p. 4819.] </w:t>
      </w:r>
    </w:p>
    <w:p>
      <w:pPr>
        <w:pStyle w:val="Heading5"/>
        <w:rPr>
          <w:snapToGrid w:val="0"/>
        </w:rPr>
      </w:pPr>
      <w:bookmarkStart w:id="1061" w:name="_Toc474633143"/>
      <w:bookmarkStart w:id="1062" w:name="_Toc488740294"/>
      <w:bookmarkStart w:id="1063" w:name="_Toc8623678"/>
      <w:bookmarkStart w:id="1064" w:name="_Toc11229519"/>
      <w:bookmarkStart w:id="1065" w:name="_Toc104276690"/>
      <w:bookmarkStart w:id="1066" w:name="_Toc127087370"/>
      <w:r>
        <w:rPr>
          <w:rStyle w:val="CharSectno"/>
        </w:rPr>
        <w:t>92</w:t>
      </w:r>
      <w:r>
        <w:rPr>
          <w:snapToGrid w:val="0"/>
        </w:rPr>
        <w:t>.</w:t>
      </w:r>
      <w:r>
        <w:rPr>
          <w:snapToGrid w:val="0"/>
        </w:rPr>
        <w:tab/>
        <w:t>Shape of tenement</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 xml:space="preserve">[Regulation 92 amended in Gazette 31 May 1991 p. 2699.] </w:t>
      </w:r>
    </w:p>
    <w:p>
      <w:pPr>
        <w:pStyle w:val="Ednotesection"/>
      </w:pPr>
      <w:r>
        <w:t>[</w:t>
      </w:r>
      <w:r>
        <w:rPr>
          <w:b/>
        </w:rPr>
        <w:t>93.</w:t>
      </w:r>
      <w:r>
        <w:tab/>
        <w:t>Repealed in Gazette 2 Feb 2001 p. 713.]</w:t>
      </w:r>
    </w:p>
    <w:p>
      <w:pPr>
        <w:pStyle w:val="Ednotesection"/>
      </w:pPr>
      <w:r>
        <w:t>[</w:t>
      </w:r>
      <w:r>
        <w:rPr>
          <w:b/>
        </w:rPr>
        <w:t>94, 94A.</w:t>
      </w:r>
      <w:r>
        <w:tab/>
        <w:t xml:space="preserve">Repealed in Gazette 24 Jun 1994 p. 2933.] </w:t>
      </w:r>
    </w:p>
    <w:p>
      <w:pPr>
        <w:pStyle w:val="Heading5"/>
        <w:rPr>
          <w:snapToGrid w:val="0"/>
        </w:rPr>
      </w:pPr>
      <w:bookmarkStart w:id="1067" w:name="_Toc474633145"/>
      <w:bookmarkStart w:id="1068" w:name="_Toc488740296"/>
      <w:bookmarkStart w:id="1069" w:name="_Toc8623679"/>
      <w:bookmarkStart w:id="1070" w:name="_Toc11229520"/>
      <w:bookmarkStart w:id="1071" w:name="_Toc104276691"/>
      <w:bookmarkStart w:id="1072" w:name="_Toc127087371"/>
      <w:r>
        <w:rPr>
          <w:rStyle w:val="CharSectno"/>
        </w:rPr>
        <w:t>95</w:t>
      </w:r>
      <w:r>
        <w:rPr>
          <w:snapToGrid w:val="0"/>
        </w:rPr>
        <w:t>.</w:t>
      </w:r>
      <w:r>
        <w:rPr>
          <w:snapToGrid w:val="0"/>
        </w:rPr>
        <w:tab/>
        <w:t>Tenements within more than one mineral field or district</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 xml:space="preserve">[Regulation 95 amended in Gazette 2 Oct 1987 p. 3837.] </w:t>
      </w:r>
    </w:p>
    <w:p>
      <w:pPr>
        <w:pStyle w:val="Heading5"/>
        <w:rPr>
          <w:snapToGrid w:val="0"/>
        </w:rPr>
      </w:pPr>
      <w:bookmarkStart w:id="1073" w:name="_Toc474633146"/>
      <w:bookmarkStart w:id="1074" w:name="_Toc488740297"/>
      <w:bookmarkStart w:id="1075" w:name="_Toc8623680"/>
      <w:bookmarkStart w:id="1076" w:name="_Toc11229521"/>
      <w:bookmarkStart w:id="1077" w:name="_Toc104276692"/>
      <w:bookmarkStart w:id="1078" w:name="_Toc127087372"/>
      <w:r>
        <w:rPr>
          <w:rStyle w:val="CharSectno"/>
        </w:rPr>
        <w:t>96</w:t>
      </w:r>
      <w:r>
        <w:rPr>
          <w:snapToGrid w:val="0"/>
        </w:rPr>
        <w:t>.</w:t>
      </w:r>
      <w:r>
        <w:rPr>
          <w:snapToGrid w:val="0"/>
        </w:rPr>
        <w:tab/>
        <w:t>Release of information contained in reports</w:t>
      </w:r>
      <w:bookmarkEnd w:id="1073"/>
      <w:bookmarkEnd w:id="1074"/>
      <w:bookmarkEnd w:id="1075"/>
      <w:bookmarkEnd w:id="1076"/>
      <w:bookmarkEnd w:id="1077"/>
      <w:bookmarkEnd w:id="107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spacing w:before="120"/>
        <w:rPr>
          <w:snapToGrid w:val="0"/>
        </w:rPr>
      </w:pPr>
      <w:r>
        <w:rPr>
          <w:snapToGrid w:val="0"/>
        </w:rPr>
        <w:tab/>
        <w:t>(2)</w:t>
      </w:r>
      <w:r>
        <w:rPr>
          <w:snapToGrid w:val="0"/>
        </w:rPr>
        <w:tab/>
        <w:t>The Minister may only release information contained in a mineral exploration report, an operations report or a report required under regulation 36(d) or 41(d) —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120"/>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120"/>
        <w:rPr>
          <w:snapToGrid w:val="0"/>
        </w:rPr>
      </w:pPr>
      <w:r>
        <w:rPr>
          <w:snapToGrid w:val="0"/>
        </w:rPr>
        <w:tab/>
        <w:t>(4)</w:t>
      </w:r>
      <w:r>
        <w:rPr>
          <w:snapToGrid w:val="0"/>
        </w:rPr>
        <w:tab/>
        <w:t>Subject to subregulation (5), the Minister may release information contained in a mineral exploration report, operations report or report required under regulation 36(d) or 41(d) that has been held at the Department for a period of 10 years or more.</w:t>
      </w:r>
    </w:p>
    <w:p>
      <w:pPr>
        <w:pStyle w:val="Subsection"/>
        <w:spacing w:before="120"/>
        <w:rPr>
          <w:snapToGrid w:val="0"/>
        </w:rPr>
      </w:pPr>
      <w:r>
        <w:rPr>
          <w:snapToGrid w:val="0"/>
        </w:rPr>
        <w:tab/>
        <w:t>(5)</w:t>
      </w:r>
      <w:r>
        <w:rPr>
          <w:snapToGrid w:val="0"/>
        </w:rPr>
        <w:tab/>
        <w:t>The Minister may, upon the written application of the holder of a mining tenement the subject of information in a report referred to in subregulation (4) or of a mining tenement granted in renewal of or substitution for such a mining tenement, refuse to release information contained in the report for a further period or further periods not exceeding 5 years in each case.</w:t>
      </w:r>
    </w:p>
    <w:p>
      <w:pPr>
        <w:pStyle w:val="Subsection"/>
        <w:spacing w:before="120"/>
        <w:rPr>
          <w:snapToGrid w:val="0"/>
        </w:rPr>
      </w:pPr>
      <w:r>
        <w:rPr>
          <w:snapToGrid w:val="0"/>
        </w:rPr>
        <w:tab/>
        <w:t>(6)</w:t>
      </w:r>
      <w:r>
        <w:rPr>
          <w:snapToGrid w:val="0"/>
        </w:rPr>
        <w:tab/>
        <w:t>An application under subregulation (5) shall set out the reasons why the information contained in the report should not be released immediately.</w:t>
      </w:r>
    </w:p>
    <w:p>
      <w:pPr>
        <w:pStyle w:val="Subsection"/>
        <w:spacing w:before="120"/>
        <w:rPr>
          <w:snapToGrid w:val="0"/>
        </w:rPr>
      </w:pPr>
      <w:r>
        <w:rPr>
          <w:snapToGrid w:val="0"/>
        </w:rPr>
        <w:tab/>
        <w:t>(7)</w:t>
      </w:r>
      <w:r>
        <w:rPr>
          <w:snapToGrid w:val="0"/>
        </w:rPr>
        <w:tab/>
        <w:t>If —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 xml:space="preserve">20; amended in Gazette 11 Jun 1999 p. 2544.] </w:t>
      </w:r>
    </w:p>
    <w:p>
      <w:pPr>
        <w:pStyle w:val="Heading5"/>
        <w:rPr>
          <w:snapToGrid w:val="0"/>
        </w:rPr>
      </w:pPr>
      <w:bookmarkStart w:id="1079" w:name="_Toc474633147"/>
      <w:bookmarkStart w:id="1080" w:name="_Toc488740298"/>
      <w:bookmarkStart w:id="1081" w:name="_Toc8623681"/>
      <w:bookmarkStart w:id="1082" w:name="_Toc11229522"/>
      <w:bookmarkStart w:id="1083" w:name="_Toc104276693"/>
      <w:bookmarkStart w:id="1084" w:name="_Toc127087373"/>
      <w:r>
        <w:rPr>
          <w:rStyle w:val="CharSectno"/>
        </w:rPr>
        <w:t>96A</w:t>
      </w:r>
      <w:r>
        <w:rPr>
          <w:snapToGrid w:val="0"/>
        </w:rPr>
        <w:t>.</w:t>
      </w:r>
      <w:r>
        <w:rPr>
          <w:snapToGrid w:val="0"/>
        </w:rPr>
        <w:tab/>
        <w:t>Authorisation for release of information in mineral exploration reports</w:t>
      </w:r>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 xml:space="preserve">[Regulation 96A inserted in Gazette 13 Oct 1995 p. 4820; amended in Gazette 15 Dec 1995 p. 6115.] </w:t>
      </w:r>
    </w:p>
    <w:p>
      <w:pPr>
        <w:pStyle w:val="Heading5"/>
        <w:rPr>
          <w:snapToGrid w:val="0"/>
        </w:rPr>
      </w:pPr>
      <w:bookmarkStart w:id="1085" w:name="_Toc474633148"/>
      <w:bookmarkStart w:id="1086" w:name="_Toc488740299"/>
      <w:bookmarkStart w:id="1087" w:name="_Toc8623682"/>
      <w:bookmarkStart w:id="1088" w:name="_Toc11229523"/>
      <w:bookmarkStart w:id="1089" w:name="_Toc104276694"/>
      <w:bookmarkStart w:id="1090" w:name="_Toc127087374"/>
      <w:r>
        <w:rPr>
          <w:rStyle w:val="CharSectno"/>
        </w:rPr>
        <w:t>96B</w:t>
      </w:r>
      <w:r>
        <w:rPr>
          <w:snapToGrid w:val="0"/>
        </w:rPr>
        <w:t>.</w:t>
      </w:r>
      <w:r>
        <w:rPr>
          <w:snapToGrid w:val="0"/>
        </w:rPr>
        <w:tab/>
        <w:t>Publication of guidelines — mineral exploration reports</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 xml:space="preserve">[Regulation 96B inserted in Gazette 13 Oct 1995 p. 4820.] </w:t>
      </w:r>
    </w:p>
    <w:p>
      <w:pPr>
        <w:pStyle w:val="Heading5"/>
      </w:pPr>
      <w:bookmarkStart w:id="1091" w:name="_Toc474633149"/>
      <w:bookmarkStart w:id="1092" w:name="_Toc488740300"/>
      <w:bookmarkStart w:id="1093" w:name="_Toc8623683"/>
      <w:bookmarkStart w:id="1094" w:name="_Toc11229524"/>
      <w:bookmarkStart w:id="1095" w:name="_Toc104276695"/>
      <w:bookmarkStart w:id="1096" w:name="_Toc127087375"/>
      <w:r>
        <w:rPr>
          <w:rStyle w:val="CharSectno"/>
        </w:rPr>
        <w:t>96C</w:t>
      </w:r>
      <w:r>
        <w:t>.</w:t>
      </w:r>
      <w:r>
        <w:tab/>
        <w:t>Specific expenditure provisions</w:t>
      </w:r>
      <w:bookmarkEnd w:id="1091"/>
      <w:bookmarkEnd w:id="1092"/>
      <w:bookmarkEnd w:id="1093"/>
      <w:bookmarkEnd w:id="1094"/>
      <w:bookmarkEnd w:id="1095"/>
      <w:bookmarkEnd w:id="1096"/>
    </w:p>
    <w:p>
      <w:pPr>
        <w:pStyle w:val="Subsection"/>
      </w:pPr>
      <w:r>
        <w:tab/>
        <w:t>(1)</w:t>
      </w:r>
      <w:r>
        <w:tab/>
        <w:t xml:space="preserve">The cost of an Aboriginal heritage survey conducted on land which is the subject of a mining tenement may be used in the calculation of expenditure expended on, or in connection with, mining on the mining tenement. </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w:t>
      </w:r>
    </w:p>
    <w:p>
      <w:pPr>
        <w:pStyle w:val="Heading5"/>
        <w:rPr>
          <w:snapToGrid w:val="0"/>
        </w:rPr>
      </w:pPr>
      <w:bookmarkStart w:id="1097" w:name="_Toc474633150"/>
      <w:bookmarkStart w:id="1098" w:name="_Toc488740301"/>
      <w:bookmarkStart w:id="1099" w:name="_Toc8623684"/>
      <w:bookmarkStart w:id="1100" w:name="_Toc11229525"/>
      <w:bookmarkStart w:id="1101" w:name="_Toc104276696"/>
      <w:bookmarkStart w:id="1102" w:name="_Toc127087376"/>
      <w:r>
        <w:rPr>
          <w:rStyle w:val="CharSectno"/>
        </w:rPr>
        <w:t>97</w:t>
      </w:r>
      <w:r>
        <w:rPr>
          <w:snapToGrid w:val="0"/>
        </w:rPr>
        <w:t>.</w:t>
      </w:r>
      <w:r>
        <w:rPr>
          <w:snapToGrid w:val="0"/>
        </w:rPr>
        <w:tab/>
        <w:t>No mining that obstructs public thoroughfares, etc.</w:t>
      </w:r>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103" w:name="_Toc474633151"/>
      <w:bookmarkStart w:id="1104" w:name="_Toc488740302"/>
      <w:bookmarkStart w:id="1105" w:name="_Toc8623685"/>
      <w:bookmarkStart w:id="1106" w:name="_Toc11229526"/>
      <w:bookmarkStart w:id="1107" w:name="_Toc104276697"/>
      <w:bookmarkStart w:id="1108" w:name="_Toc127087377"/>
      <w:r>
        <w:rPr>
          <w:rStyle w:val="CharSectno"/>
        </w:rPr>
        <w:t>98</w:t>
      </w:r>
      <w:r>
        <w:rPr>
          <w:snapToGrid w:val="0"/>
        </w:rPr>
        <w:t>.</w:t>
      </w:r>
      <w:r>
        <w:rPr>
          <w:snapToGrid w:val="0"/>
        </w:rPr>
        <w:tab/>
        <w:t>Control of detritus, dirt, etc.</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109" w:name="_Toc474633152"/>
      <w:bookmarkStart w:id="1110" w:name="_Toc488740303"/>
      <w:bookmarkStart w:id="1111" w:name="_Toc8623686"/>
      <w:bookmarkStart w:id="1112" w:name="_Toc11229527"/>
      <w:bookmarkStart w:id="1113" w:name="_Toc104276698"/>
      <w:bookmarkStart w:id="1114" w:name="_Toc127087378"/>
      <w:r>
        <w:rPr>
          <w:rStyle w:val="CharSectno"/>
        </w:rPr>
        <w:t>99</w:t>
      </w:r>
      <w:r>
        <w:rPr>
          <w:snapToGrid w:val="0"/>
        </w:rPr>
        <w:t>.</w:t>
      </w:r>
      <w:r>
        <w:rPr>
          <w:snapToGrid w:val="0"/>
        </w:rPr>
        <w:tab/>
        <w:t>Decency and sanitation</w:t>
      </w:r>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115" w:name="_Toc474633153"/>
      <w:bookmarkStart w:id="1116" w:name="_Toc488740304"/>
      <w:bookmarkStart w:id="1117" w:name="_Toc8623687"/>
      <w:bookmarkStart w:id="1118" w:name="_Toc11229528"/>
      <w:bookmarkStart w:id="1119" w:name="_Toc104276699"/>
      <w:bookmarkStart w:id="1120" w:name="_Toc127087379"/>
      <w:r>
        <w:rPr>
          <w:rStyle w:val="CharSectno"/>
        </w:rPr>
        <w:t>100</w:t>
      </w:r>
      <w:r>
        <w:rPr>
          <w:snapToGrid w:val="0"/>
        </w:rPr>
        <w:t>.</w:t>
      </w:r>
      <w:r>
        <w:rPr>
          <w:snapToGrid w:val="0"/>
        </w:rPr>
        <w:tab/>
        <w:t>Removal of fences, timbers, etc.</w:t>
      </w:r>
      <w:bookmarkEnd w:id="1115"/>
      <w:bookmarkEnd w:id="1116"/>
      <w:bookmarkEnd w:id="1117"/>
      <w:bookmarkEnd w:id="1118"/>
      <w:bookmarkEnd w:id="1119"/>
      <w:bookmarkEnd w:id="1120"/>
      <w:r>
        <w:rPr>
          <w:snapToGrid w:val="0"/>
        </w:rPr>
        <w:t xml:space="preserve"> </w:t>
      </w:r>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rPr>
          <w:snapToGrid w:val="0"/>
        </w:rPr>
      </w:pPr>
      <w:bookmarkStart w:id="1121" w:name="_Toc474633154"/>
      <w:bookmarkStart w:id="1122" w:name="_Toc488740305"/>
      <w:bookmarkStart w:id="1123" w:name="_Toc8623688"/>
      <w:bookmarkStart w:id="1124" w:name="_Toc11229529"/>
      <w:bookmarkStart w:id="1125" w:name="_Toc104276700"/>
      <w:bookmarkStart w:id="1126" w:name="_Toc127087380"/>
      <w:r>
        <w:rPr>
          <w:rStyle w:val="CharSectno"/>
        </w:rPr>
        <w:t>101</w:t>
      </w:r>
      <w:r>
        <w:rPr>
          <w:snapToGrid w:val="0"/>
        </w:rPr>
        <w:t>.</w:t>
      </w:r>
      <w:r>
        <w:rPr>
          <w:snapToGrid w:val="0"/>
        </w:rPr>
        <w:tab/>
        <w:t>Warden may cause inspections of mining operations</w:t>
      </w:r>
      <w:bookmarkEnd w:id="1121"/>
      <w:bookmarkEnd w:id="1122"/>
      <w:bookmarkEnd w:id="1123"/>
      <w:bookmarkEnd w:id="1124"/>
      <w:bookmarkEnd w:id="1125"/>
      <w:bookmarkEnd w:id="1126"/>
      <w:r>
        <w:rPr>
          <w:snapToGrid w:val="0"/>
        </w:rPr>
        <w:t xml:space="preserve"> </w:t>
      </w:r>
    </w:p>
    <w:p>
      <w:pPr>
        <w:pStyle w:val="Subsection"/>
        <w:spacing w:before="140"/>
        <w:rPr>
          <w:snapToGrid w:val="0"/>
        </w:rPr>
      </w:pPr>
      <w:r>
        <w:rPr>
          <w:snapToGrid w:val="0"/>
        </w:rPr>
        <w:tab/>
      </w:r>
      <w:r>
        <w:rPr>
          <w:snapToGrid w:val="0"/>
        </w:rPr>
        <w:tab/>
        <w:t>When any mining being carried out in accordance with the Act appears likely to endanger the safety of any person or animal, or when any accident occurs involving loss of life or serious bodily injury, the warden may cause any necessary inspections to be made as to the manner of mining or nature and cause of the accident and may make any order as he sees fit to remove the cause of any danger and may prohibit any further mining until the order is complied with.</w:t>
      </w:r>
    </w:p>
    <w:p>
      <w:pPr>
        <w:pStyle w:val="Heading5"/>
      </w:pPr>
      <w:bookmarkStart w:id="1127" w:name="_Toc104276701"/>
      <w:bookmarkStart w:id="1128" w:name="_Toc127087381"/>
      <w:bookmarkStart w:id="1129" w:name="_Toc474633155"/>
      <w:bookmarkStart w:id="1130" w:name="_Toc488740306"/>
      <w:bookmarkStart w:id="1131" w:name="_Toc8623689"/>
      <w:bookmarkStart w:id="1132" w:name="_Toc11229530"/>
      <w:r>
        <w:rPr>
          <w:rStyle w:val="CharSectno"/>
        </w:rPr>
        <w:t>101A</w:t>
      </w:r>
      <w:r>
        <w:t>.</w:t>
      </w:r>
      <w:r>
        <w:tab/>
        <w:t>Notice before mining under certain Crown land or private land</w:t>
      </w:r>
      <w:bookmarkEnd w:id="1127"/>
      <w:bookmarkEnd w:id="1128"/>
    </w:p>
    <w:p>
      <w:pPr>
        <w:pStyle w:val="Subsection"/>
      </w:pPr>
      <w:r>
        <w:tab/>
        <w:t>(1)</w:t>
      </w:r>
      <w:r>
        <w:tab/>
        <w:t xml:space="preserve">In this regulation —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 xml:space="preserve">The notice is to contain details of —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133" w:name="_Toc104276702"/>
      <w:bookmarkStart w:id="1134" w:name="_Toc127087382"/>
      <w:r>
        <w:rPr>
          <w:rStyle w:val="CharSectno"/>
        </w:rPr>
        <w:t>102</w:t>
      </w:r>
      <w:r>
        <w:rPr>
          <w:snapToGrid w:val="0"/>
        </w:rPr>
        <w:t>.</w:t>
      </w:r>
      <w:r>
        <w:rPr>
          <w:snapToGrid w:val="0"/>
        </w:rPr>
        <w:tab/>
        <w:t>Devolution on death, etc.</w:t>
      </w:r>
      <w:bookmarkEnd w:id="1129"/>
      <w:bookmarkEnd w:id="1130"/>
      <w:bookmarkEnd w:id="1131"/>
      <w:bookmarkEnd w:id="1132"/>
      <w:bookmarkEnd w:id="1133"/>
      <w:bookmarkEnd w:id="1134"/>
      <w:r>
        <w:rPr>
          <w:snapToGrid w:val="0"/>
        </w:rPr>
        <w:t xml:space="preserve"> </w:t>
      </w:r>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Heading5"/>
        <w:rPr>
          <w:snapToGrid w:val="0"/>
        </w:rPr>
      </w:pPr>
      <w:bookmarkStart w:id="1135" w:name="_Toc474633156"/>
      <w:bookmarkStart w:id="1136" w:name="_Toc488740307"/>
      <w:bookmarkStart w:id="1137" w:name="_Toc8623690"/>
      <w:bookmarkStart w:id="1138" w:name="_Toc11229531"/>
      <w:bookmarkStart w:id="1139" w:name="_Toc104276703"/>
      <w:bookmarkStart w:id="1140" w:name="_Toc127087383"/>
      <w:r>
        <w:rPr>
          <w:rStyle w:val="CharSectno"/>
        </w:rPr>
        <w:t>103</w:t>
      </w:r>
      <w:r>
        <w:rPr>
          <w:snapToGrid w:val="0"/>
        </w:rPr>
        <w:t>.</w:t>
      </w:r>
      <w:r>
        <w:rPr>
          <w:snapToGrid w:val="0"/>
        </w:rPr>
        <w:tab/>
        <w:t>Unregistered deeds, etc. void as against registered instruments</w:t>
      </w:r>
      <w:bookmarkEnd w:id="1135"/>
      <w:bookmarkEnd w:id="1136"/>
      <w:bookmarkEnd w:id="1137"/>
      <w:bookmarkEnd w:id="1138"/>
      <w:bookmarkEnd w:id="1139"/>
      <w:bookmarkEnd w:id="1140"/>
      <w:r>
        <w:rPr>
          <w:snapToGrid w:val="0"/>
        </w:rPr>
        <w:t xml:space="preserve"> </w:t>
      </w:r>
    </w:p>
    <w:p>
      <w:pPr>
        <w:pStyle w:val="Subsection"/>
        <w:spacing w:before="140"/>
        <w:rPr>
          <w:snapToGrid w:val="0"/>
        </w:rPr>
      </w:pPr>
      <w:r>
        <w:rPr>
          <w:snapToGrid w:val="0"/>
        </w:rPr>
        <w:tab/>
      </w:r>
      <w:r>
        <w:rPr>
          <w:snapToGrid w:val="0"/>
        </w:rPr>
        <w:tab/>
        <w:t>Every deed, contract or other instrument relating to the title to or transfer of any mining tenement required by the Act or these regulations to be registered, and which is not registered, shall, so far as regards any such property affected or to be affected thereby, be void as against any person claiming bona fide and for valuable consideration under any subsequent deed, contract or other instrument duly registered.</w:t>
      </w:r>
    </w:p>
    <w:p>
      <w:pPr>
        <w:pStyle w:val="Heading5"/>
        <w:rPr>
          <w:snapToGrid w:val="0"/>
        </w:rPr>
      </w:pPr>
      <w:bookmarkStart w:id="1141" w:name="_Toc474633157"/>
      <w:bookmarkStart w:id="1142" w:name="_Toc488740308"/>
      <w:bookmarkStart w:id="1143" w:name="_Toc8623691"/>
      <w:bookmarkStart w:id="1144" w:name="_Toc11229532"/>
      <w:bookmarkStart w:id="1145" w:name="_Toc104276704"/>
      <w:bookmarkStart w:id="1146" w:name="_Toc127087384"/>
      <w:r>
        <w:rPr>
          <w:rStyle w:val="CharSectno"/>
        </w:rPr>
        <w:t>104</w:t>
      </w:r>
      <w:r>
        <w:rPr>
          <w:snapToGrid w:val="0"/>
        </w:rPr>
        <w:t>.</w:t>
      </w:r>
      <w:r>
        <w:rPr>
          <w:snapToGrid w:val="0"/>
        </w:rPr>
        <w:tab/>
        <w:t>Time for any act may be extended</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147" w:name="_Toc474633158"/>
      <w:bookmarkStart w:id="1148" w:name="_Toc488740309"/>
      <w:bookmarkStart w:id="1149" w:name="_Toc8623692"/>
      <w:bookmarkStart w:id="1150" w:name="_Toc11229533"/>
      <w:bookmarkStart w:id="1151" w:name="_Toc104276705"/>
      <w:bookmarkStart w:id="1152" w:name="_Toc127087385"/>
      <w:r>
        <w:rPr>
          <w:rStyle w:val="CharSectno"/>
        </w:rPr>
        <w:t>105</w:t>
      </w:r>
      <w:r>
        <w:rPr>
          <w:snapToGrid w:val="0"/>
        </w:rPr>
        <w:t>.</w:t>
      </w:r>
      <w:r>
        <w:rPr>
          <w:snapToGrid w:val="0"/>
        </w:rPr>
        <w:tab/>
        <w:t>Application for copy document</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Heading5"/>
        <w:rPr>
          <w:snapToGrid w:val="0"/>
        </w:rPr>
      </w:pPr>
      <w:bookmarkStart w:id="1153" w:name="_Toc474633159"/>
      <w:bookmarkStart w:id="1154" w:name="_Toc488740310"/>
      <w:bookmarkStart w:id="1155" w:name="_Toc8623693"/>
      <w:bookmarkStart w:id="1156" w:name="_Toc11229534"/>
      <w:bookmarkStart w:id="1157" w:name="_Toc104276706"/>
      <w:bookmarkStart w:id="1158" w:name="_Toc127087386"/>
      <w:r>
        <w:rPr>
          <w:rStyle w:val="CharSectno"/>
        </w:rPr>
        <w:t>106</w:t>
      </w:r>
      <w:r>
        <w:rPr>
          <w:snapToGrid w:val="0"/>
        </w:rPr>
        <w:t>.</w:t>
      </w:r>
      <w:r>
        <w:rPr>
          <w:snapToGrid w:val="0"/>
        </w:rPr>
        <w:tab/>
        <w:t>Register to be kept and copy obtainable</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There shall be kept at the Department at Perth and at the office of the mining registrar a register wherein shall be recorded in relation to each application for a mining tenement — </w:t>
      </w:r>
    </w:p>
    <w:p>
      <w:pPr>
        <w:pStyle w:val="Indenta"/>
        <w:rPr>
          <w:snapToGrid w:val="0"/>
        </w:rPr>
      </w:pPr>
      <w:r>
        <w:rPr>
          <w:snapToGrid w:val="0"/>
        </w:rPr>
        <w:tab/>
        <w:t>(a)</w:t>
      </w:r>
      <w:r>
        <w:rPr>
          <w:snapToGrid w:val="0"/>
        </w:rPr>
        <w:tab/>
        <w:t>those particulars shown on the prescribed form of application;</w:t>
      </w:r>
    </w:p>
    <w:p>
      <w:pPr>
        <w:pStyle w:val="Indenta"/>
        <w:rPr>
          <w:snapToGrid w:val="0"/>
        </w:rPr>
      </w:pPr>
      <w:r>
        <w:rPr>
          <w:snapToGrid w:val="0"/>
        </w:rPr>
        <w:tab/>
        <w:t>(b)</w:t>
      </w:r>
      <w:r>
        <w:rPr>
          <w:snapToGrid w:val="0"/>
        </w:rPr>
        <w:tab/>
        <w:t>the approval of the application and the terms and conditions of that approval, or the refusal or withdrawal thereof as the case may be;</w:t>
      </w:r>
    </w:p>
    <w:p>
      <w:pPr>
        <w:pStyle w:val="Indenta"/>
        <w:rPr>
          <w:snapToGrid w:val="0"/>
        </w:rPr>
      </w:pPr>
      <w:r>
        <w:rPr>
          <w:snapToGrid w:val="0"/>
        </w:rPr>
        <w:tab/>
        <w:t>(c)</w:t>
      </w:r>
      <w:r>
        <w:rPr>
          <w:snapToGrid w:val="0"/>
        </w:rPr>
        <w:tab/>
        <w:t>all rental payments;</w:t>
      </w:r>
    </w:p>
    <w:p>
      <w:pPr>
        <w:pStyle w:val="Indenta"/>
        <w:rPr>
          <w:snapToGrid w:val="0"/>
        </w:rPr>
      </w:pPr>
      <w:r>
        <w:rPr>
          <w:snapToGrid w:val="0"/>
        </w:rPr>
        <w:tab/>
        <w:t>(d)</w:t>
      </w:r>
      <w:r>
        <w:rPr>
          <w:snapToGrid w:val="0"/>
        </w:rPr>
        <w:tab/>
        <w:t>moneys expended or deemed to be expended in mining on or in connection with mining on the tenement;</w:t>
      </w:r>
    </w:p>
    <w:p>
      <w:pPr>
        <w:pStyle w:val="Indenta"/>
        <w:rPr>
          <w:snapToGrid w:val="0"/>
        </w:rPr>
      </w:pPr>
      <w:r>
        <w:rPr>
          <w:snapToGrid w:val="0"/>
        </w:rPr>
        <w:tab/>
        <w:t>(e)</w:t>
      </w:r>
      <w:r>
        <w:rPr>
          <w:snapToGrid w:val="0"/>
        </w:rPr>
        <w:tab/>
        <w:t>particulars of exemptions;</w:t>
      </w:r>
    </w:p>
    <w:p>
      <w:pPr>
        <w:pStyle w:val="Indenta"/>
        <w:rPr>
          <w:snapToGrid w:val="0"/>
        </w:rPr>
      </w:pPr>
      <w:r>
        <w:rPr>
          <w:snapToGrid w:val="0"/>
        </w:rPr>
        <w:tab/>
        <w:t>(f)</w:t>
      </w:r>
      <w:r>
        <w:rPr>
          <w:snapToGrid w:val="0"/>
        </w:rPr>
        <w:tab/>
        <w:t>a memorial of all dealings affecting the tenement;</w:t>
      </w:r>
    </w:p>
    <w:p>
      <w:pPr>
        <w:pStyle w:val="Indenta"/>
        <w:rPr>
          <w:snapToGrid w:val="0"/>
        </w:rPr>
      </w:pPr>
      <w:r>
        <w:rPr>
          <w:snapToGrid w:val="0"/>
        </w:rPr>
        <w:tab/>
        <w:t>(g)</w:t>
      </w:r>
      <w:r>
        <w:rPr>
          <w:snapToGrid w:val="0"/>
        </w:rPr>
        <w:tab/>
        <w:t>the name of the registered holder and the number of shares held;</w:t>
      </w:r>
    </w:p>
    <w:p>
      <w:pPr>
        <w:pStyle w:val="Indenta"/>
        <w:rPr>
          <w:snapToGrid w:val="0"/>
        </w:rPr>
      </w:pPr>
      <w:r>
        <w:rPr>
          <w:snapToGrid w:val="0"/>
        </w:rPr>
        <w:tab/>
        <w:t>(h)</w:t>
      </w:r>
      <w:r>
        <w:rPr>
          <w:snapToGrid w:val="0"/>
        </w:rPr>
        <w:tab/>
        <w:t>the surrender, forfeiture or other cancellation of the tenement; and</w:t>
      </w:r>
    </w:p>
    <w:p>
      <w:pPr>
        <w:pStyle w:val="Indenta"/>
        <w:rPr>
          <w:snapToGrid w:val="0"/>
        </w:rPr>
      </w:pPr>
      <w:r>
        <w:rPr>
          <w:snapToGrid w:val="0"/>
        </w:rPr>
        <w:tab/>
        <w:t>(i)</w:t>
      </w:r>
      <w:r>
        <w:rPr>
          <w:snapToGrid w:val="0"/>
        </w:rPr>
        <w:tab/>
        <w:t>such further matters as the Minister may deem necessary or expedient for the purposes of the Act.</w:t>
      </w:r>
    </w:p>
    <w:p>
      <w:pPr>
        <w:pStyle w:val="Subsection"/>
        <w:rPr>
          <w:snapToGrid w:val="0"/>
        </w:rPr>
      </w:pPr>
      <w:r>
        <w:rPr>
          <w:snapToGrid w:val="0"/>
        </w:rPr>
        <w:tab/>
        <w:t>(1a)</w:t>
      </w:r>
      <w:r>
        <w:rPr>
          <w:snapToGrid w:val="0"/>
        </w:rPr>
        <w:tab/>
        <w:t>The register may be kept wholly or partly on paper, or may be wholly or partly recorded or stored by means of any mechanical, electronic or other device.</w:t>
      </w:r>
    </w:p>
    <w:p>
      <w:pPr>
        <w:pStyle w:val="Subsection"/>
        <w:rPr>
          <w:snapToGrid w:val="0"/>
        </w:rPr>
      </w:pPr>
      <w:r>
        <w:rPr>
          <w:snapToGrid w:val="0"/>
        </w:rPr>
        <w:tab/>
        <w:t>(2)</w:t>
      </w:r>
      <w:r>
        <w:rPr>
          <w:snapToGrid w:val="0"/>
        </w:rPr>
        <w:tab/>
        <w:t>Any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the register relating to any mining tenements or application therefor; and</w:t>
      </w:r>
    </w:p>
    <w:p>
      <w:pPr>
        <w:pStyle w:val="Indenta"/>
        <w:rPr>
          <w:snapToGrid w:val="0"/>
        </w:rPr>
      </w:pPr>
      <w:r>
        <w:rPr>
          <w:snapToGrid w:val="0"/>
        </w:rPr>
        <w:tab/>
        <w:t>(b)</w:t>
      </w:r>
      <w:r>
        <w:rPr>
          <w:snapToGrid w:val="0"/>
        </w:rPr>
        <w:tab/>
        <w:t>with the written consent of the registered holder or the applicant, or the approval of the Minister if such consent is not given within 30 days of a written request therefor, a copy of all dealings referred to in subregulation (1)(f).</w:t>
      </w:r>
    </w:p>
    <w:p>
      <w:pPr>
        <w:pStyle w:val="Subsection"/>
        <w:rPr>
          <w:snapToGrid w:val="0"/>
        </w:rPr>
      </w:pPr>
      <w:r>
        <w:rPr>
          <w:snapToGrid w:val="0"/>
        </w:rPr>
        <w:tab/>
        <w:t>(3)</w:t>
      </w:r>
      <w:r>
        <w:rPr>
          <w:snapToGrid w:val="0"/>
        </w:rPr>
        <w:tab/>
        <w:t>A copy for the purposes of subregulation (2) may, at the discretion of the Director General of Mines or a person authorised by him, be — </w:t>
      </w:r>
    </w:p>
    <w:p>
      <w:pPr>
        <w:pStyle w:val="Indenta"/>
        <w:spacing w:before="56"/>
        <w:rPr>
          <w:snapToGrid w:val="0"/>
        </w:rPr>
      </w:pPr>
      <w:r>
        <w:rPr>
          <w:snapToGrid w:val="0"/>
        </w:rPr>
        <w:tab/>
        <w:t>(a)</w:t>
      </w:r>
      <w:r>
        <w:rPr>
          <w:snapToGrid w:val="0"/>
        </w:rPr>
        <w:tab/>
        <w:t>in writing;</w:t>
      </w:r>
    </w:p>
    <w:p>
      <w:pPr>
        <w:pStyle w:val="Indenta"/>
        <w:spacing w:before="56"/>
        <w:rPr>
          <w:snapToGrid w:val="0"/>
        </w:rPr>
      </w:pPr>
      <w:r>
        <w:rPr>
          <w:snapToGrid w:val="0"/>
        </w:rPr>
        <w:tab/>
        <w:t>(b)</w:t>
      </w:r>
      <w:r>
        <w:rPr>
          <w:snapToGrid w:val="0"/>
        </w:rPr>
        <w:tab/>
        <w:t>a photographic reproduction;</w:t>
      </w:r>
    </w:p>
    <w:p>
      <w:pPr>
        <w:pStyle w:val="Indenta"/>
        <w:spacing w:before="56"/>
        <w:rPr>
          <w:snapToGrid w:val="0"/>
        </w:rPr>
      </w:pPr>
      <w:r>
        <w:rPr>
          <w:snapToGrid w:val="0"/>
        </w:rPr>
        <w:tab/>
        <w:t>(c)</w:t>
      </w:r>
      <w:r>
        <w:rPr>
          <w:snapToGrid w:val="0"/>
        </w:rPr>
        <w:tab/>
        <w:t>a printout produced by mechanical or electronic means; or</w:t>
      </w:r>
    </w:p>
    <w:p>
      <w:pPr>
        <w:pStyle w:val="Indenta"/>
        <w:spacing w:before="56"/>
        <w:rPr>
          <w:snapToGrid w:val="0"/>
        </w:rPr>
      </w:pPr>
      <w:r>
        <w:rPr>
          <w:snapToGrid w:val="0"/>
        </w:rPr>
        <w:tab/>
        <w:t>(d)</w:t>
      </w:r>
      <w:r>
        <w:rPr>
          <w:snapToGrid w:val="0"/>
        </w:rPr>
        <w:tab/>
        <w:t>a combination of any or all of the methods referred to in paragraphs (a), (b) and (c).</w:t>
      </w:r>
    </w:p>
    <w:p>
      <w:pPr>
        <w:pStyle w:val="Footnotesection"/>
        <w:spacing w:before="100"/>
        <w:ind w:left="890" w:hanging="890"/>
      </w:pPr>
      <w:r>
        <w:tab/>
        <w:t xml:space="preserve">[Regulation 106 amended in Gazette 31 May 1991 p. 2700; 4 Apr 1997 p. 1779.] </w:t>
      </w:r>
    </w:p>
    <w:p>
      <w:pPr>
        <w:pStyle w:val="Heading5"/>
        <w:spacing w:before="160"/>
        <w:rPr>
          <w:snapToGrid w:val="0"/>
        </w:rPr>
      </w:pPr>
      <w:bookmarkStart w:id="1159" w:name="_Toc474633160"/>
      <w:bookmarkStart w:id="1160" w:name="_Toc488740311"/>
      <w:bookmarkStart w:id="1161" w:name="_Toc8623694"/>
      <w:bookmarkStart w:id="1162" w:name="_Toc11229535"/>
      <w:bookmarkStart w:id="1163" w:name="_Toc104276707"/>
      <w:bookmarkStart w:id="1164" w:name="_Toc127087387"/>
      <w:r>
        <w:rPr>
          <w:rStyle w:val="CharSectno"/>
        </w:rPr>
        <w:t>107</w:t>
      </w:r>
      <w:r>
        <w:rPr>
          <w:snapToGrid w:val="0"/>
        </w:rPr>
        <w:t>.</w:t>
      </w:r>
      <w:r>
        <w:rPr>
          <w:snapToGrid w:val="0"/>
        </w:rPr>
        <w:tab/>
        <w:t>Amendment of particulars shown in register</w:t>
      </w:r>
      <w:bookmarkEnd w:id="1159"/>
      <w:bookmarkEnd w:id="1160"/>
      <w:bookmarkEnd w:id="1161"/>
      <w:bookmarkEnd w:id="1162"/>
      <w:bookmarkEnd w:id="1163"/>
      <w:bookmarkEnd w:id="1164"/>
      <w:r>
        <w:rPr>
          <w:snapToGrid w:val="0"/>
        </w:rPr>
        <w:t xml:space="preserve"> </w:t>
      </w:r>
    </w:p>
    <w:p>
      <w:pPr>
        <w:pStyle w:val="Subsection"/>
        <w:spacing w:before="100"/>
        <w:rPr>
          <w:snapToGrid w:val="0"/>
        </w:rPr>
      </w:pPr>
      <w:r>
        <w:rPr>
          <w:snapToGrid w:val="0"/>
        </w:rPr>
        <w:tab/>
      </w:r>
      <w:r>
        <w:rPr>
          <w:snapToGrid w:val="0"/>
        </w:rPr>
        <w:tab/>
        <w:t>An application to amend any particulars shown in the register for a mining tenement or application therefor shall be made in the form No. 30 in the First Schedule.</w:t>
      </w:r>
    </w:p>
    <w:p>
      <w:pPr>
        <w:pStyle w:val="Heading5"/>
        <w:spacing w:before="160"/>
        <w:rPr>
          <w:snapToGrid w:val="0"/>
        </w:rPr>
      </w:pPr>
      <w:bookmarkStart w:id="1165" w:name="_Toc474633161"/>
      <w:bookmarkStart w:id="1166" w:name="_Toc488740312"/>
      <w:bookmarkStart w:id="1167" w:name="_Toc8623695"/>
      <w:bookmarkStart w:id="1168" w:name="_Toc11229536"/>
      <w:bookmarkStart w:id="1169" w:name="_Toc104276708"/>
      <w:bookmarkStart w:id="1170" w:name="_Toc127087388"/>
      <w:r>
        <w:rPr>
          <w:rStyle w:val="CharSectno"/>
        </w:rPr>
        <w:t>107A</w:t>
      </w:r>
      <w:r>
        <w:rPr>
          <w:snapToGrid w:val="0"/>
        </w:rPr>
        <w:t>.</w:t>
      </w:r>
      <w:r>
        <w:rPr>
          <w:snapToGrid w:val="0"/>
        </w:rPr>
        <w:tab/>
        <w:t>Dating and effect to be given to provisional lodgement</w:t>
      </w:r>
      <w:bookmarkEnd w:id="1165"/>
      <w:bookmarkEnd w:id="1166"/>
      <w:bookmarkEnd w:id="1167"/>
      <w:bookmarkEnd w:id="1168"/>
      <w:bookmarkEnd w:id="1169"/>
      <w:bookmarkEnd w:id="1170"/>
      <w:r>
        <w:rPr>
          <w:snapToGrid w:val="0"/>
        </w:rPr>
        <w:t xml:space="preserve"> </w:t>
      </w:r>
    </w:p>
    <w:p>
      <w:pPr>
        <w:pStyle w:val="Subsection"/>
        <w:spacing w:before="100"/>
        <w:rPr>
          <w:snapToGrid w:val="0"/>
        </w:rPr>
      </w:pPr>
      <w:r>
        <w:rPr>
          <w:snapToGrid w:val="0"/>
        </w:rPr>
        <w:tab/>
        <w:t>(1)</w:t>
      </w:r>
      <w:r>
        <w:rPr>
          <w:snapToGrid w:val="0"/>
        </w:rPr>
        <w:tab/>
        <w:t>Where an instrument is accepted for provisional lodgement under section 103A(3) of the Act — </w:t>
      </w:r>
    </w:p>
    <w:p>
      <w:pPr>
        <w:pStyle w:val="Indenta"/>
        <w:spacing w:before="56"/>
        <w:rPr>
          <w:snapToGrid w:val="0"/>
        </w:rPr>
      </w:pPr>
      <w:r>
        <w:rPr>
          <w:snapToGrid w:val="0"/>
        </w:rPr>
        <w:tab/>
        <w:t>(a)</w:t>
      </w:r>
      <w:r>
        <w:rPr>
          <w:snapToGrid w:val="0"/>
        </w:rPr>
        <w:tab/>
        <w:t>the time and date of lodgement shall be entered in the register as the time and date at which registration was effected but the word “provisional” shall be entered in the register next to the entry specifying that time and date; and</w:t>
      </w:r>
    </w:p>
    <w:p>
      <w:pPr>
        <w:pStyle w:val="Indenta"/>
        <w:keepNext/>
        <w:keepLines/>
        <w:spacing w:before="56"/>
        <w:rPr>
          <w:snapToGrid w:val="0"/>
        </w:rPr>
      </w:pPr>
      <w:r>
        <w:rPr>
          <w:snapToGrid w:val="0"/>
        </w:rPr>
        <w:tab/>
        <w:t>(b)</w:t>
      </w:r>
      <w:r>
        <w:rPr>
          <w:snapToGrid w:val="0"/>
        </w:rPr>
        <w:tab/>
        <w:t>an authorised officer shall, by notice in writing to the person who lodged the instrument, direct the person to ensure that the error or defect in the instrument is, subject to subregulation (4), corrected on or before the date specified in the notice.</w:t>
      </w:r>
    </w:p>
    <w:p>
      <w:pPr>
        <w:pStyle w:val="Subsection"/>
        <w:spacing w:before="100"/>
        <w:rPr>
          <w:snapToGrid w:val="0"/>
        </w:rPr>
      </w:pPr>
      <w:r>
        <w:rPr>
          <w:snapToGrid w:val="0"/>
        </w:rPr>
        <w:tab/>
        <w:t>(2)</w:t>
      </w:r>
      <w:r>
        <w:rPr>
          <w:snapToGrid w:val="0"/>
        </w:rPr>
        <w:tab/>
        <w:t>Where a direction is given under subregulation (1)(b) in relation to an instrument — </w:t>
      </w:r>
    </w:p>
    <w:p>
      <w:pPr>
        <w:pStyle w:val="Indenta"/>
        <w:spacing w:before="56"/>
        <w:rPr>
          <w:snapToGrid w:val="0"/>
        </w:rPr>
      </w:pPr>
      <w:r>
        <w:rPr>
          <w:snapToGrid w:val="0"/>
        </w:rPr>
        <w:tab/>
        <w:t>(a)</w:t>
      </w:r>
      <w:r>
        <w:rPr>
          <w:snapToGrid w:val="0"/>
        </w:rPr>
        <w:tab/>
        <w:t>if the direction is complied with on or before the date specified in the notice containing the direction, the word “provisional” shall be deleted from the register;</w:t>
      </w:r>
    </w:p>
    <w:p>
      <w:pPr>
        <w:pStyle w:val="Indenta"/>
        <w:rPr>
          <w:snapToGrid w:val="0"/>
        </w:rPr>
      </w:pPr>
      <w:r>
        <w:rPr>
          <w:snapToGrid w:val="0"/>
        </w:rPr>
        <w:tab/>
        <w:t>(b)</w:t>
      </w:r>
      <w:r>
        <w:rPr>
          <w:snapToGrid w:val="0"/>
        </w:rPr>
        <w:tab/>
        <w:t>if the direction is not complied with on or before that date the instrument shall be deemed to have been rejected and the register shall be so endorsed.</w:t>
      </w:r>
    </w:p>
    <w:p>
      <w:pPr>
        <w:pStyle w:val="Subsection"/>
        <w:rPr>
          <w:snapToGrid w:val="0"/>
        </w:rPr>
      </w:pPr>
      <w:r>
        <w:rPr>
          <w:snapToGrid w:val="0"/>
        </w:rPr>
        <w:tab/>
        <w:t>(3)</w:t>
      </w:r>
      <w:r>
        <w:rPr>
          <w:snapToGrid w:val="0"/>
        </w:rPr>
        <w:tab/>
        <w:t>If the word “provisional” is entered in the register next to an entry specifying a time and date in relation to a time and date of lodgement of an instrument, the instrument shall be taken not to have been registered but where the word “provisional” is deleted from the register under subregulation (2)(a), the instrument shall be taken to be registered and to have been registered from and including the time and date specified in the register under subregulation (1)(a).</w:t>
      </w:r>
    </w:p>
    <w:p>
      <w:pPr>
        <w:pStyle w:val="Subsection"/>
        <w:rPr>
          <w:snapToGrid w:val="0"/>
        </w:rPr>
      </w:pPr>
      <w:r>
        <w:rPr>
          <w:snapToGrid w:val="0"/>
        </w:rPr>
        <w:tab/>
        <w:t>(4)</w:t>
      </w:r>
      <w:r>
        <w:rPr>
          <w:snapToGrid w:val="0"/>
        </w:rPr>
        <w:tab/>
        <w:t>An authorised officer — </w:t>
      </w:r>
    </w:p>
    <w:p>
      <w:pPr>
        <w:pStyle w:val="Indenta"/>
        <w:rPr>
          <w:snapToGrid w:val="0"/>
        </w:rPr>
      </w:pPr>
      <w:r>
        <w:rPr>
          <w:snapToGrid w:val="0"/>
        </w:rPr>
        <w:tab/>
        <w:t>(a)</w:t>
      </w:r>
      <w:r>
        <w:rPr>
          <w:snapToGrid w:val="0"/>
        </w:rPr>
        <w:tab/>
        <w:t>may, for reasonable cause, extend the time for the correction of any error or defect provided the request to extend is made, in writing by or on behalf of the person who lodged the instrument, before the date specified in the notice; and</w:t>
      </w:r>
    </w:p>
    <w:p>
      <w:pPr>
        <w:pStyle w:val="Indenta"/>
        <w:rPr>
          <w:snapToGrid w:val="0"/>
        </w:rPr>
      </w:pPr>
      <w:r>
        <w:rPr>
          <w:snapToGrid w:val="0"/>
        </w:rPr>
        <w:tab/>
        <w:t>(b)</w:t>
      </w:r>
      <w:r>
        <w:rPr>
          <w:snapToGrid w:val="0"/>
        </w:rPr>
        <w:tab/>
        <w:t>shall, by notice in writing to the person who requested the extension, advise whether an extension has been granted.</w:t>
      </w:r>
    </w:p>
    <w:p>
      <w:pPr>
        <w:pStyle w:val="Footnotesection"/>
      </w:pPr>
      <w:r>
        <w:tab/>
        <w:t>[Regulation 107A inserted in Gazette 2 Oct 1987 p. 3820</w:t>
      </w:r>
      <w:r>
        <w:noBreakHyphen/>
        <w:t xml:space="preserve">1.] </w:t>
      </w:r>
    </w:p>
    <w:p>
      <w:pPr>
        <w:pStyle w:val="Heading5"/>
      </w:pPr>
      <w:bookmarkStart w:id="1171" w:name="_Toc104276709"/>
      <w:bookmarkStart w:id="1172" w:name="_Toc127087389"/>
      <w:bookmarkStart w:id="1173" w:name="_Toc474633162"/>
      <w:bookmarkStart w:id="1174" w:name="_Toc488740313"/>
      <w:bookmarkStart w:id="1175" w:name="_Toc8623696"/>
      <w:bookmarkStart w:id="1176" w:name="_Toc11229537"/>
      <w:r>
        <w:rPr>
          <w:rStyle w:val="CharSectno"/>
        </w:rPr>
        <w:t>107AA</w:t>
      </w:r>
      <w:r>
        <w:t>.</w:t>
      </w:r>
      <w:r>
        <w:tab/>
        <w:t>Inclusion of information in register despite late lodgment of report</w:t>
      </w:r>
      <w:bookmarkEnd w:id="1171"/>
      <w:bookmarkEnd w:id="1172"/>
    </w:p>
    <w:p>
      <w:pPr>
        <w:pStyle w:val="Subsection"/>
        <w:spacing w:before="100"/>
      </w:pPr>
      <w:r>
        <w:tab/>
        <w:t>(1)</w:t>
      </w:r>
      <w:r>
        <w:tab/>
        <w:t xml:space="preserve">In this regulation — </w:t>
      </w:r>
    </w:p>
    <w:p>
      <w:pPr>
        <w:pStyle w:val="Defstart"/>
      </w:pPr>
      <w:r>
        <w:tab/>
      </w:r>
      <w:r>
        <w:rPr>
          <w:b/>
        </w:rPr>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spacing w:before="100"/>
      </w:pPr>
      <w:r>
        <w:tab/>
        <w:t>(2)</w:t>
      </w:r>
      <w:r>
        <w:tab/>
        <w:t>An officer of the Department may extract information from a report referred to in regulation 16, 22, 23E or 32 for the purpose of including it in the register under regulation 106(1) despite the fact that the report was received at the Department after the expiry of the prescribed period.</w:t>
      </w:r>
    </w:p>
    <w:p>
      <w:pPr>
        <w:pStyle w:val="Footnotesection"/>
      </w:pPr>
      <w:r>
        <w:tab/>
        <w:t>[Regulation 107AA inserted in Gazette 17 Jan 2003 p. 113</w:t>
      </w:r>
      <w:r>
        <w:noBreakHyphen/>
        <w:t>14.]</w:t>
      </w:r>
    </w:p>
    <w:p>
      <w:pPr>
        <w:pStyle w:val="Heading5"/>
        <w:spacing w:before="120"/>
        <w:rPr>
          <w:snapToGrid w:val="0"/>
        </w:rPr>
      </w:pPr>
      <w:bookmarkStart w:id="1177" w:name="_Toc104276710"/>
      <w:bookmarkStart w:id="1178" w:name="_Toc127087390"/>
      <w:r>
        <w:rPr>
          <w:rStyle w:val="CharSectno"/>
        </w:rPr>
        <w:t>108</w:t>
      </w:r>
      <w:r>
        <w:rPr>
          <w:snapToGrid w:val="0"/>
        </w:rPr>
        <w:t>.</w:t>
      </w:r>
      <w:r>
        <w:rPr>
          <w:snapToGrid w:val="0"/>
        </w:rPr>
        <w:tab/>
        <w:t>Appointment of attorney</w:t>
      </w:r>
      <w:bookmarkEnd w:id="1173"/>
      <w:bookmarkEnd w:id="1174"/>
      <w:bookmarkEnd w:id="1175"/>
      <w:bookmarkEnd w:id="1176"/>
      <w:bookmarkEnd w:id="1177"/>
      <w:bookmarkEnd w:id="1178"/>
      <w:r>
        <w:rPr>
          <w:snapToGrid w:val="0"/>
        </w:rPr>
        <w:t xml:space="preserve"> </w:t>
      </w:r>
    </w:p>
    <w:p>
      <w:pPr>
        <w:pStyle w:val="Subsection"/>
        <w:spacing w:before="100"/>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spacing w:before="120"/>
        <w:rPr>
          <w:snapToGrid w:val="0"/>
        </w:rPr>
      </w:pPr>
      <w:bookmarkStart w:id="1179" w:name="_Toc474633163"/>
      <w:bookmarkStart w:id="1180" w:name="_Toc488740314"/>
      <w:bookmarkStart w:id="1181" w:name="_Toc8623697"/>
      <w:bookmarkStart w:id="1182" w:name="_Toc11229538"/>
      <w:bookmarkStart w:id="1183" w:name="_Toc104276711"/>
      <w:bookmarkStart w:id="1184" w:name="_Toc127087391"/>
      <w:r>
        <w:rPr>
          <w:rStyle w:val="CharSectno"/>
        </w:rPr>
        <w:t>109</w:t>
      </w:r>
      <w:r>
        <w:rPr>
          <w:snapToGrid w:val="0"/>
        </w:rPr>
        <w:t>.</w:t>
      </w:r>
      <w:r>
        <w:rPr>
          <w:snapToGrid w:val="0"/>
        </w:rPr>
        <w:tab/>
        <w:t>Fees and rents</w:t>
      </w:r>
      <w:bookmarkEnd w:id="1179"/>
      <w:bookmarkEnd w:id="1180"/>
      <w:bookmarkEnd w:id="1181"/>
      <w:bookmarkEnd w:id="1182"/>
      <w:bookmarkEnd w:id="1183"/>
      <w:bookmarkEnd w:id="1184"/>
      <w:r>
        <w:rPr>
          <w:snapToGrid w:val="0"/>
        </w:rPr>
        <w:t xml:space="preserve"> </w:t>
      </w:r>
    </w:p>
    <w:p>
      <w:pPr>
        <w:pStyle w:val="Subsection"/>
        <w:spacing w:before="100"/>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spacing w:before="100"/>
        <w:rPr>
          <w:snapToGrid w:val="0"/>
        </w:rPr>
      </w:pPr>
      <w:r>
        <w:rPr>
          <w:snapToGrid w:val="0"/>
        </w:rPr>
        <w:tab/>
        <w:t>(2)</w:t>
      </w:r>
      <w:r>
        <w:rPr>
          <w:snapToGrid w:val="0"/>
        </w:rPr>
        <w:tab/>
        <w:t xml:space="preserve">The bailiff </w:t>
      </w:r>
      <w:r>
        <w:t>fees</w:t>
      </w:r>
      <w:r>
        <w:rPr>
          <w:snapToGrid w:val="0"/>
        </w:rPr>
        <w:t xml:space="preserve"> set out in Part II of the Appendix to the </w:t>
      </w:r>
      <w:r>
        <w:rPr>
          <w:i/>
          <w:snapToGrid w:val="0"/>
        </w:rPr>
        <w:t>Local Court Rules 1961</w:t>
      </w:r>
      <w:r>
        <w:rPr>
          <w:snapToGrid w:val="0"/>
        </w:rPr>
        <w:t xml:space="preserve"> are, so far as they are applicable, prescribed as the bailiff fees payable in relation to proceedings under the Act.</w:t>
      </w:r>
    </w:p>
    <w:p>
      <w:pPr>
        <w:pStyle w:val="Subsection"/>
        <w:spacing w:before="100"/>
      </w:pPr>
      <w:r>
        <w:tab/>
        <w:t>(3)</w:t>
      </w:r>
      <w:r>
        <w:tab/>
        <w:t>For the purposes of the Act, the prescribed rent, including GST, for a mining tenement for a year is that set out in item 1 of the Second Schedule for that tenement.</w:t>
      </w:r>
    </w:p>
    <w:p>
      <w:pPr>
        <w:pStyle w:val="Subsection"/>
        <w:spacing w:before="100"/>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 xml:space="preserve">14.] </w:t>
      </w:r>
    </w:p>
    <w:p>
      <w:pPr>
        <w:pStyle w:val="Heading5"/>
      </w:pPr>
      <w:bookmarkStart w:id="1185" w:name="_Toc8623698"/>
      <w:bookmarkStart w:id="1186" w:name="_Toc11229539"/>
      <w:bookmarkStart w:id="1187" w:name="_Toc104276712"/>
      <w:bookmarkStart w:id="1188" w:name="_Toc127087392"/>
      <w:bookmarkStart w:id="1189" w:name="_Toc474633165"/>
      <w:bookmarkStart w:id="1190" w:name="_Toc488740316"/>
      <w:r>
        <w:rPr>
          <w:rStyle w:val="CharSectno"/>
        </w:rPr>
        <w:t>109A</w:t>
      </w:r>
      <w:r>
        <w:t>.</w:t>
      </w:r>
      <w:r>
        <w:tab/>
        <w:t>GST to be paid on certain applications</w:t>
      </w:r>
      <w:bookmarkEnd w:id="1185"/>
      <w:bookmarkEnd w:id="1186"/>
      <w:bookmarkEnd w:id="1187"/>
      <w:bookmarkEnd w:id="1188"/>
    </w:p>
    <w:p>
      <w:pPr>
        <w:pStyle w:val="Subsection"/>
        <w:spacing w:before="140"/>
      </w:pPr>
      <w:r>
        <w:tab/>
        <w:t>(1)</w:t>
      </w:r>
      <w:r>
        <w:tab/>
        <w:t xml:space="preserve">This regulation applies to an application for a mining tenement if —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spacing w:before="140"/>
      </w:pPr>
      <w:r>
        <w:tab/>
        <w:t>(2)</w:t>
      </w:r>
      <w:r>
        <w:tab/>
        <w:t>An application to which this regulation applies shall not be granted unless the applicant pays an amount that is 10% of the rent that was paid at the time the application was made.</w:t>
      </w:r>
    </w:p>
    <w:p>
      <w:pPr>
        <w:pStyle w:val="Subsection"/>
        <w:spacing w:before="140"/>
      </w:pPr>
      <w:r>
        <w:tab/>
        <w:t>(3)</w:t>
      </w:r>
      <w:r>
        <w:tab/>
        <w:t>Written notice requiring the payment of the amount referred to in subregulation (2) within 30 days of the date of the issue of the notice may be given to the applicant.</w:t>
      </w:r>
    </w:p>
    <w:p>
      <w:pPr>
        <w:pStyle w:val="Subsection"/>
        <w:spacing w:before="140"/>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Heading5"/>
        <w:rPr>
          <w:snapToGrid w:val="0"/>
        </w:rPr>
      </w:pPr>
      <w:bookmarkStart w:id="1191" w:name="_Toc8623699"/>
      <w:bookmarkStart w:id="1192" w:name="_Toc11229540"/>
      <w:bookmarkStart w:id="1193" w:name="_Toc104276713"/>
      <w:bookmarkStart w:id="1194" w:name="_Toc127087393"/>
      <w:r>
        <w:rPr>
          <w:rStyle w:val="CharSectno"/>
        </w:rPr>
        <w:t>110</w:t>
      </w:r>
      <w:r>
        <w:rPr>
          <w:snapToGrid w:val="0"/>
        </w:rPr>
        <w:t>.</w:t>
      </w:r>
      <w:r>
        <w:rPr>
          <w:snapToGrid w:val="0"/>
        </w:rPr>
        <w:tab/>
        <w:t>Registration of dealings</w:t>
      </w:r>
      <w:bookmarkEnd w:id="1189"/>
      <w:bookmarkEnd w:id="1190"/>
      <w:bookmarkEnd w:id="1191"/>
      <w:bookmarkEnd w:id="1192"/>
      <w:bookmarkEnd w:id="1193"/>
      <w:bookmarkEnd w:id="1194"/>
      <w:r>
        <w:rPr>
          <w:snapToGrid w:val="0"/>
        </w:rPr>
        <w:t xml:space="preserve"> </w:t>
      </w:r>
    </w:p>
    <w:p>
      <w:pPr>
        <w:pStyle w:val="Subsection"/>
        <w:spacing w:before="140"/>
        <w:rPr>
          <w:snapToGrid w:val="0"/>
        </w:rPr>
      </w:pPr>
      <w:r>
        <w:rPr>
          <w:snapToGrid w:val="0"/>
        </w:rPr>
        <w:tab/>
        <w:t>(1)</w:t>
      </w:r>
      <w:r>
        <w:rPr>
          <w:snapToGrid w:val="0"/>
        </w:rPr>
        <w:tab/>
        <w:t>Unless otherwise provided in the Act or these regulations, all dealings affecting a mining tenement shall be lodged for registration with the prescribed fee, at the office of the mining registrar or the Department at Perth.</w:t>
      </w:r>
    </w:p>
    <w:p>
      <w:pPr>
        <w:pStyle w:val="Subsection"/>
        <w:spacing w:before="140"/>
        <w:rPr>
          <w:snapToGrid w:val="0"/>
        </w:rPr>
      </w:pPr>
      <w:r>
        <w:rPr>
          <w:snapToGrid w:val="0"/>
        </w:rPr>
        <w:tab/>
        <w:t>(2)</w:t>
      </w:r>
      <w:r>
        <w:rPr>
          <w:snapToGrid w:val="0"/>
        </w:rPr>
        <w:tab/>
        <w:t>The registration of all dealing shall be effected at the Department by an officer acting with the authority of the Minister.</w:t>
      </w:r>
    </w:p>
    <w:p>
      <w:pPr>
        <w:pStyle w:val="Subsection"/>
        <w:spacing w:before="140"/>
        <w:rPr>
          <w:snapToGrid w:val="0"/>
        </w:rPr>
      </w:pPr>
      <w:r>
        <w:rPr>
          <w:snapToGrid w:val="0"/>
        </w:rPr>
        <w:tab/>
        <w:t>(3)</w:t>
      </w:r>
      <w:r>
        <w:rPr>
          <w:snapToGrid w:val="0"/>
        </w:rPr>
        <w:tab/>
        <w:t>No dealings shall be effectual to pass any estate or interest in a mining tenement or in any way to charge or encumber a mining tenement until registered in accordance with subregulation (2).</w:t>
      </w:r>
    </w:p>
    <w:p>
      <w:pPr>
        <w:pStyle w:val="Footnotesection"/>
        <w:spacing w:before="100"/>
        <w:ind w:left="890" w:hanging="890"/>
      </w:pPr>
      <w:r>
        <w:tab/>
        <w:t xml:space="preserve">[Regulation 110 amended in Gazette 12 Nov 1982 p. 4491; 31 Jul 1992 p. 3776; 4 Apr 1997 p. 1779.] </w:t>
      </w:r>
    </w:p>
    <w:p>
      <w:pPr>
        <w:pStyle w:val="Heading5"/>
        <w:rPr>
          <w:snapToGrid w:val="0"/>
        </w:rPr>
      </w:pPr>
      <w:bookmarkStart w:id="1195" w:name="_Toc474633166"/>
      <w:bookmarkStart w:id="1196" w:name="_Toc488740317"/>
      <w:bookmarkStart w:id="1197" w:name="_Toc8623700"/>
      <w:bookmarkStart w:id="1198" w:name="_Toc11229541"/>
      <w:bookmarkStart w:id="1199" w:name="_Toc104276714"/>
      <w:bookmarkStart w:id="1200" w:name="_Toc127087394"/>
      <w:r>
        <w:rPr>
          <w:rStyle w:val="CharSectno"/>
        </w:rPr>
        <w:t>111</w:t>
      </w:r>
      <w:r>
        <w:rPr>
          <w:snapToGrid w:val="0"/>
        </w:rPr>
        <w:t>.</w:t>
      </w:r>
      <w:r>
        <w:rPr>
          <w:snapToGrid w:val="0"/>
        </w:rPr>
        <w:tab/>
        <w:t>Service of notices</w:t>
      </w:r>
      <w:bookmarkEnd w:id="1195"/>
      <w:bookmarkEnd w:id="1196"/>
      <w:bookmarkEnd w:id="1197"/>
      <w:bookmarkEnd w:id="1198"/>
      <w:bookmarkEnd w:id="1199"/>
      <w:bookmarkEnd w:id="1200"/>
      <w:r>
        <w:rPr>
          <w:snapToGrid w:val="0"/>
        </w:rPr>
        <w:t xml:space="preserve"> </w:t>
      </w:r>
    </w:p>
    <w:p>
      <w:pPr>
        <w:pStyle w:val="Subsection"/>
        <w:spacing w:before="130"/>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w:t>
      </w:r>
    </w:p>
    <w:p>
      <w:pPr>
        <w:pStyle w:val="Indenta"/>
        <w:spacing w:before="60"/>
        <w:rPr>
          <w:snapToGrid w:val="0"/>
        </w:rPr>
      </w:pPr>
      <w:r>
        <w:rPr>
          <w:snapToGrid w:val="0"/>
        </w:rPr>
        <w:tab/>
        <w:t>(c)</w:t>
      </w:r>
      <w:r>
        <w:rPr>
          <w:snapToGrid w:val="0"/>
        </w:rPr>
        <w:tab/>
        <w:t>by forwarding it by post in a certified or prepaid registered letter addressed to such person at his last known place of abode or business;</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spacing w:before="120"/>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spacing w:before="120"/>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spacing w:before="120"/>
        <w:rPr>
          <w:snapToGrid w:val="0"/>
        </w:rPr>
      </w:pPr>
      <w:r>
        <w:rPr>
          <w:snapToGrid w:val="0"/>
        </w:rPr>
        <w:tab/>
        <w:t>(4)</w:t>
      </w:r>
      <w:r>
        <w:rPr>
          <w:snapToGrid w:val="0"/>
        </w:rPr>
        <w:tab/>
        <w:t>Where in any case the practice and procedure for service of notices is not sufficiently defined in this regulation, the practice and procedure of Local Courts shall be adopted as far as possible.</w:t>
      </w:r>
    </w:p>
    <w:p>
      <w:pPr>
        <w:pStyle w:val="Heading5"/>
        <w:spacing w:before="180"/>
        <w:rPr>
          <w:snapToGrid w:val="0"/>
        </w:rPr>
      </w:pPr>
      <w:bookmarkStart w:id="1201" w:name="_Toc474633167"/>
      <w:bookmarkStart w:id="1202" w:name="_Toc488740318"/>
      <w:bookmarkStart w:id="1203" w:name="_Toc8623701"/>
      <w:bookmarkStart w:id="1204" w:name="_Toc11229542"/>
      <w:bookmarkStart w:id="1205" w:name="_Toc104276715"/>
      <w:bookmarkStart w:id="1206" w:name="_Toc127087395"/>
      <w:r>
        <w:rPr>
          <w:rStyle w:val="CharSectno"/>
        </w:rPr>
        <w:t>112</w:t>
      </w:r>
      <w:r>
        <w:rPr>
          <w:snapToGrid w:val="0"/>
        </w:rPr>
        <w:t>.</w:t>
      </w:r>
      <w:r>
        <w:rPr>
          <w:snapToGrid w:val="0"/>
        </w:rPr>
        <w:tab/>
        <w:t>Securities</w:t>
      </w:r>
      <w:bookmarkEnd w:id="1201"/>
      <w:bookmarkEnd w:id="1202"/>
      <w:bookmarkEnd w:id="1203"/>
      <w:bookmarkEnd w:id="1204"/>
      <w:bookmarkEnd w:id="1205"/>
      <w:bookmarkEnd w:id="1206"/>
      <w:r>
        <w:rPr>
          <w:snapToGrid w:val="0"/>
        </w:rPr>
        <w:t xml:space="preserve"> </w:t>
      </w:r>
    </w:p>
    <w:p>
      <w:pPr>
        <w:pStyle w:val="Subsection"/>
        <w:spacing w:before="120"/>
        <w:rPr>
          <w:snapToGrid w:val="0"/>
        </w:rPr>
      </w:pPr>
      <w:r>
        <w:rPr>
          <w:snapToGrid w:val="0"/>
        </w:rPr>
        <w:tab/>
        <w:t>(1)</w:t>
      </w:r>
      <w:r>
        <w:rPr>
          <w:snapToGrid w:val="0"/>
        </w:rPr>
        <w:tab/>
        <w:t>For the purposes of section 126, a security shall unless otherwise approved by the Minister be in the form No. 32 in the First Schedule and shall be in the following amounts — </w:t>
      </w:r>
    </w:p>
    <w:p>
      <w:pPr>
        <w:pStyle w:val="Indenta"/>
        <w:spacing w:before="60"/>
        <w:rPr>
          <w:snapToGrid w:val="0"/>
        </w:rPr>
      </w:pPr>
      <w:r>
        <w:rPr>
          <w:snapToGrid w:val="0"/>
        </w:rPr>
        <w:tab/>
        <w:t>(a)</w:t>
      </w:r>
      <w:r>
        <w:rPr>
          <w:snapToGrid w:val="0"/>
        </w:rPr>
        <w:tab/>
        <w:t>under section 26 or 70F a sum approved by the Minister;</w:t>
      </w:r>
    </w:p>
    <w:p>
      <w:pPr>
        <w:pStyle w:val="Indenta"/>
        <w:rPr>
          <w:snapToGrid w:val="0"/>
        </w:rPr>
      </w:pPr>
      <w:r>
        <w:rPr>
          <w:snapToGrid w:val="0"/>
        </w:rPr>
        <w:tab/>
        <w:t>(b)</w:t>
      </w:r>
      <w:r>
        <w:rPr>
          <w:snapToGrid w:val="0"/>
        </w:rPr>
        <w:tab/>
        <w:t>under section 52 $500; and</w:t>
      </w:r>
    </w:p>
    <w:p>
      <w:pPr>
        <w:pStyle w:val="Indenta"/>
        <w:rPr>
          <w:snapToGrid w:val="0"/>
        </w:rPr>
      </w:pPr>
      <w:r>
        <w:rPr>
          <w:snapToGrid w:val="0"/>
        </w:rPr>
        <w:tab/>
        <w:t>(c)</w:t>
      </w:r>
      <w:r>
        <w:rPr>
          <w:snapToGrid w:val="0"/>
        </w:rPr>
        <w:tab/>
        <w:t>under section 60 $5 000.</w:t>
      </w:r>
    </w:p>
    <w:p>
      <w:pPr>
        <w:pStyle w:val="Subsection"/>
        <w:spacing w:before="140"/>
        <w:rPr>
          <w:snapToGrid w:val="0"/>
        </w:rPr>
      </w:pPr>
      <w:r>
        <w:rPr>
          <w:snapToGrid w:val="0"/>
        </w:rPr>
        <w:tab/>
        <w:t>(2)</w:t>
      </w:r>
      <w:r>
        <w:rPr>
          <w:snapToGrid w:val="0"/>
        </w:rPr>
        <w:tab/>
        <w:t>For the purposes of sections 52 and 60, the applicant shall lodge a security within 28 days of lodging the application to which the security relates.</w:t>
      </w:r>
    </w:p>
    <w:p>
      <w:pPr>
        <w:pStyle w:val="Footnotesection"/>
        <w:spacing w:before="100"/>
        <w:ind w:left="890" w:hanging="890"/>
      </w:pPr>
      <w:r>
        <w:tab/>
        <w:t xml:space="preserve">[Regulation 112 amended in Gazette 13 Oct 1995 p. 4821; 4 Apr 1997 p. 1779.] </w:t>
      </w:r>
    </w:p>
    <w:p>
      <w:pPr>
        <w:pStyle w:val="Heading5"/>
        <w:rPr>
          <w:snapToGrid w:val="0"/>
        </w:rPr>
      </w:pPr>
      <w:bookmarkStart w:id="1207" w:name="_Toc474633168"/>
      <w:bookmarkStart w:id="1208" w:name="_Toc488740319"/>
      <w:bookmarkStart w:id="1209" w:name="_Toc8623702"/>
      <w:bookmarkStart w:id="1210" w:name="_Toc11229543"/>
      <w:bookmarkStart w:id="1211" w:name="_Toc104276716"/>
      <w:bookmarkStart w:id="1212" w:name="_Toc127087396"/>
      <w:r>
        <w:rPr>
          <w:rStyle w:val="CharSectno"/>
        </w:rPr>
        <w:t>112A</w:t>
      </w:r>
      <w:r>
        <w:rPr>
          <w:snapToGrid w:val="0"/>
        </w:rPr>
        <w:t>.</w:t>
      </w:r>
      <w:r>
        <w:rPr>
          <w:snapToGrid w:val="0"/>
        </w:rPr>
        <w:tab/>
        <w:t>Discharge of security</w:t>
      </w:r>
      <w:bookmarkEnd w:id="1207"/>
      <w:bookmarkEnd w:id="1208"/>
      <w:bookmarkEnd w:id="1209"/>
      <w:bookmarkEnd w:id="1210"/>
      <w:bookmarkEnd w:id="1211"/>
      <w:bookmarkEnd w:id="1212"/>
      <w:r>
        <w:rPr>
          <w:snapToGrid w:val="0"/>
        </w:rPr>
        <w:t xml:space="preserve"> </w:t>
      </w:r>
    </w:p>
    <w:p>
      <w:pPr>
        <w:pStyle w:val="Subsection"/>
        <w:spacing w:before="140"/>
        <w:rPr>
          <w:snapToGrid w:val="0"/>
        </w:rPr>
      </w:pPr>
      <w:r>
        <w:rPr>
          <w:snapToGrid w:val="0"/>
        </w:rPr>
        <w:tab/>
      </w:r>
      <w:r>
        <w:rPr>
          <w:snapToGrid w:val="0"/>
        </w:rPr>
        <w:tab/>
        <w:t>An application for discharge of a security under section 126(7) shall be accompanied by —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rPr>
          <w:snapToGrid w:val="0"/>
        </w:rPr>
      </w:pPr>
      <w:r>
        <w:rPr>
          <w:snapToGrid w:val="0"/>
        </w:rPr>
        <w:tab/>
        <w:t>(b)</w:t>
      </w:r>
      <w:r>
        <w:rPr>
          <w:snapToGrid w:val="0"/>
        </w:rPr>
        <w:tab/>
        <w:t>a map showing —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 xml:space="preserve">[Regulation 112A inserted in Gazette 2 Oct 1987 p. 3821.] </w:t>
      </w:r>
    </w:p>
    <w:p>
      <w:pPr>
        <w:pStyle w:val="Heading5"/>
        <w:rPr>
          <w:snapToGrid w:val="0"/>
        </w:rPr>
      </w:pPr>
      <w:bookmarkStart w:id="1213" w:name="_Toc474633169"/>
      <w:bookmarkStart w:id="1214" w:name="_Toc488740320"/>
      <w:bookmarkStart w:id="1215" w:name="_Toc8623703"/>
      <w:bookmarkStart w:id="1216" w:name="_Toc11229544"/>
      <w:bookmarkStart w:id="1217" w:name="_Toc104276717"/>
      <w:bookmarkStart w:id="1218" w:name="_Toc127087397"/>
      <w:r>
        <w:rPr>
          <w:rStyle w:val="CharSectno"/>
        </w:rPr>
        <w:t>113</w:t>
      </w:r>
      <w:r>
        <w:rPr>
          <w:snapToGrid w:val="0"/>
        </w:rPr>
        <w:t>.</w:t>
      </w:r>
      <w:r>
        <w:rPr>
          <w:snapToGrid w:val="0"/>
        </w:rPr>
        <w:tab/>
        <w:t>Employees not to use information</w:t>
      </w:r>
      <w:bookmarkEnd w:id="1213"/>
      <w:bookmarkEnd w:id="1214"/>
      <w:bookmarkEnd w:id="1215"/>
      <w:bookmarkEnd w:id="1216"/>
      <w:bookmarkEnd w:id="1217"/>
      <w:bookmarkEnd w:id="1218"/>
      <w:r>
        <w:rPr>
          <w:snapToGrid w:val="0"/>
        </w:rPr>
        <w:t xml:space="preserve"> </w:t>
      </w:r>
    </w:p>
    <w:p>
      <w:pPr>
        <w:pStyle w:val="Subsection"/>
        <w:spacing w:before="14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219" w:name="_Toc474633170"/>
      <w:bookmarkStart w:id="1220" w:name="_Toc488740321"/>
      <w:bookmarkStart w:id="1221" w:name="_Toc8623704"/>
      <w:bookmarkStart w:id="1222" w:name="_Toc11229545"/>
      <w:bookmarkStart w:id="1223" w:name="_Toc104276718"/>
      <w:bookmarkStart w:id="1224" w:name="_Toc127087398"/>
      <w:r>
        <w:rPr>
          <w:rStyle w:val="CharSectno"/>
        </w:rPr>
        <w:t>113A</w:t>
      </w:r>
      <w:r>
        <w:t>.</w:t>
      </w:r>
      <w:r>
        <w:tab/>
        <w:t>General power for wardens to administer oaths</w:t>
      </w:r>
      <w:bookmarkEnd w:id="1219"/>
      <w:bookmarkEnd w:id="1220"/>
      <w:bookmarkEnd w:id="1221"/>
      <w:bookmarkEnd w:id="1222"/>
      <w:bookmarkEnd w:id="1223"/>
      <w:bookmarkEnd w:id="1224"/>
    </w:p>
    <w:p>
      <w:pPr>
        <w:pStyle w:val="Subsection"/>
        <w:spacing w:before="140"/>
      </w:pPr>
      <w:r>
        <w:tab/>
      </w:r>
      <w:r>
        <w:tab/>
        <w:t xml:space="preserve">In addition to the powers set out in section 138 of the Act </w:t>
      </w:r>
      <w:r>
        <w:rPr>
          <w:i/>
        </w:rPr>
        <w:t>(permitting a warden, etc., to administer an oath in relation to “proceedings in a warden’s court”)</w:t>
      </w:r>
      <w:r>
        <w:t>, a warden, the mining registrar or other person acting as the clerk of the warden’s court may also administer an oath for the purposes of taking evidence in proceedings that are not “proceedings in a warden’s court”.</w:t>
      </w:r>
    </w:p>
    <w:p>
      <w:pPr>
        <w:pStyle w:val="Footnotesection"/>
      </w:pPr>
      <w:r>
        <w:tab/>
        <w:t>[Regulation 113A inserted in Gazette 21 Jan 2000 p. 344</w:t>
      </w:r>
      <w:r>
        <w:noBreakHyphen/>
        <w:t>5.]</w:t>
      </w:r>
    </w:p>
    <w:p>
      <w:pPr>
        <w:pStyle w:val="Heading5"/>
        <w:rPr>
          <w:snapToGrid w:val="0"/>
        </w:rPr>
      </w:pPr>
      <w:bookmarkStart w:id="1225" w:name="_Toc474633171"/>
      <w:bookmarkStart w:id="1226" w:name="_Toc488740322"/>
      <w:bookmarkStart w:id="1227" w:name="_Toc8623705"/>
      <w:bookmarkStart w:id="1228" w:name="_Toc11229546"/>
      <w:bookmarkStart w:id="1229" w:name="_Toc104276719"/>
      <w:bookmarkStart w:id="1230" w:name="_Toc127087399"/>
      <w:r>
        <w:rPr>
          <w:rStyle w:val="CharSectno"/>
        </w:rPr>
        <w:t>114</w:t>
      </w:r>
      <w:r>
        <w:rPr>
          <w:snapToGrid w:val="0"/>
        </w:rPr>
        <w:t>.</w:t>
      </w:r>
      <w:r>
        <w:rPr>
          <w:snapToGrid w:val="0"/>
        </w:rPr>
        <w:tab/>
        <w:t>Warden’s order not to be disobeyed</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A person who disobeys a lawful order of a warden or a warden’s court commits an offence.</w:t>
      </w:r>
    </w:p>
    <w:p>
      <w:pPr>
        <w:pStyle w:val="Heading5"/>
        <w:rPr>
          <w:snapToGrid w:val="0"/>
        </w:rPr>
      </w:pPr>
      <w:bookmarkStart w:id="1231" w:name="_Toc474633172"/>
      <w:bookmarkStart w:id="1232" w:name="_Toc488740323"/>
      <w:bookmarkStart w:id="1233" w:name="_Toc8623706"/>
      <w:bookmarkStart w:id="1234" w:name="_Toc11229547"/>
      <w:bookmarkStart w:id="1235" w:name="_Toc104276720"/>
      <w:bookmarkStart w:id="1236" w:name="_Toc127087400"/>
      <w:r>
        <w:rPr>
          <w:rStyle w:val="CharSectno"/>
        </w:rPr>
        <w:t>115</w:t>
      </w:r>
      <w:r>
        <w:rPr>
          <w:snapToGrid w:val="0"/>
        </w:rPr>
        <w:t>.</w:t>
      </w:r>
      <w:r>
        <w:rPr>
          <w:snapToGrid w:val="0"/>
        </w:rPr>
        <w:tab/>
        <w:t>General penalty</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 xml:space="preserve">[Regulation 115 amended in Gazette 31 Jul 1992 p. 3776; 17 Jan 2003 p. 107.] </w:t>
      </w:r>
    </w:p>
    <w:p>
      <w:pPr>
        <w:pStyle w:val="Heading2"/>
      </w:pPr>
      <w:bookmarkStart w:id="1237" w:name="_Toc74979004"/>
      <w:bookmarkStart w:id="1238" w:name="_Toc74979268"/>
      <w:bookmarkStart w:id="1239" w:name="_Toc79976566"/>
      <w:bookmarkStart w:id="1240" w:name="_Toc80759837"/>
      <w:bookmarkStart w:id="1241" w:name="_Toc80783600"/>
      <w:bookmarkStart w:id="1242" w:name="_Toc94931267"/>
      <w:bookmarkStart w:id="1243" w:name="_Toc104275390"/>
      <w:bookmarkStart w:id="1244" w:name="_Toc104276721"/>
      <w:bookmarkStart w:id="1245" w:name="_Toc107198942"/>
      <w:bookmarkStart w:id="1246" w:name="_Toc107799394"/>
      <w:bookmarkStart w:id="1247" w:name="_Toc127087401"/>
      <w:r>
        <w:rPr>
          <w:rStyle w:val="CharPartNo"/>
        </w:rPr>
        <w:t>Part VI</w:t>
      </w:r>
      <w:r>
        <w:rPr>
          <w:rStyle w:val="CharDivNo"/>
        </w:rPr>
        <w:t> </w:t>
      </w:r>
      <w:r>
        <w:t>—</w:t>
      </w:r>
      <w:r>
        <w:rPr>
          <w:rStyle w:val="CharDivText"/>
        </w:rPr>
        <w:t> </w:t>
      </w:r>
      <w:r>
        <w:rPr>
          <w:rStyle w:val="CharPartText"/>
        </w:rPr>
        <w:t>Surveys</w:t>
      </w:r>
      <w:bookmarkEnd w:id="1237"/>
      <w:bookmarkEnd w:id="1238"/>
      <w:bookmarkEnd w:id="1239"/>
      <w:bookmarkEnd w:id="1240"/>
      <w:bookmarkEnd w:id="1241"/>
      <w:bookmarkEnd w:id="1242"/>
      <w:bookmarkEnd w:id="1243"/>
      <w:bookmarkEnd w:id="1244"/>
      <w:bookmarkEnd w:id="1245"/>
      <w:bookmarkEnd w:id="1246"/>
      <w:bookmarkEnd w:id="1247"/>
      <w:r>
        <w:rPr>
          <w:rStyle w:val="CharPartText"/>
        </w:rPr>
        <w:t xml:space="preserve"> </w:t>
      </w:r>
    </w:p>
    <w:p>
      <w:pPr>
        <w:pStyle w:val="Footnoteheading"/>
        <w:ind w:left="890"/>
        <w:rPr>
          <w:snapToGrid w:val="0"/>
        </w:rPr>
      </w:pPr>
      <w:r>
        <w:rPr>
          <w:snapToGrid w:val="0"/>
        </w:rPr>
        <w:tab/>
        <w:t xml:space="preserve">[Heading inserted in Gazette 30 May 1986 p. 1840.] </w:t>
      </w:r>
    </w:p>
    <w:p>
      <w:pPr>
        <w:pStyle w:val="Heading5"/>
        <w:rPr>
          <w:snapToGrid w:val="0"/>
        </w:rPr>
      </w:pPr>
      <w:bookmarkStart w:id="1248" w:name="_Toc474633173"/>
      <w:bookmarkStart w:id="1249" w:name="_Toc488740324"/>
      <w:bookmarkStart w:id="1250" w:name="_Toc8623707"/>
      <w:bookmarkStart w:id="1251" w:name="_Toc11229548"/>
      <w:bookmarkStart w:id="1252" w:name="_Toc104276722"/>
      <w:bookmarkStart w:id="1253" w:name="_Toc127087402"/>
      <w:r>
        <w:rPr>
          <w:rStyle w:val="CharSectno"/>
        </w:rPr>
        <w:t>116</w:t>
      </w:r>
      <w:r>
        <w:rPr>
          <w:snapToGrid w:val="0"/>
        </w:rPr>
        <w:t>.</w:t>
      </w:r>
      <w:r>
        <w:rPr>
          <w:snapToGrid w:val="0"/>
        </w:rPr>
        <w:tab/>
        <w:t>Interpretation in Part VI</w:t>
      </w:r>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 xml:space="preserve">[Regulation 116 inserted in Gazette 30 May 1986 p. 1840; amended in Gazette 13 Oct 1995 p. 4821.] </w:t>
      </w:r>
    </w:p>
    <w:p>
      <w:pPr>
        <w:pStyle w:val="Heading5"/>
        <w:rPr>
          <w:snapToGrid w:val="0"/>
        </w:rPr>
      </w:pPr>
      <w:bookmarkStart w:id="1254" w:name="_Toc474633174"/>
      <w:bookmarkStart w:id="1255" w:name="_Toc488740325"/>
      <w:bookmarkStart w:id="1256" w:name="_Toc8623708"/>
      <w:bookmarkStart w:id="1257" w:name="_Toc11229549"/>
      <w:bookmarkStart w:id="1258" w:name="_Toc104276723"/>
      <w:bookmarkStart w:id="1259" w:name="_Toc127087403"/>
      <w:r>
        <w:rPr>
          <w:rStyle w:val="CharSectno"/>
        </w:rPr>
        <w:t>117</w:t>
      </w:r>
      <w:r>
        <w:rPr>
          <w:snapToGrid w:val="0"/>
        </w:rPr>
        <w:t>.</w:t>
      </w:r>
      <w:r>
        <w:rPr>
          <w:snapToGrid w:val="0"/>
        </w:rPr>
        <w:tab/>
        <w:t>Approved surveyors</w:t>
      </w:r>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The Minister may from time to time —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 xml:space="preserve">[Regulation 117 inserted in Gazette 30 May 1986 p. 1840; amended in Gazette 2 Jul 1993 p. 3272.] </w:t>
      </w:r>
    </w:p>
    <w:p>
      <w:pPr>
        <w:pStyle w:val="Heading5"/>
        <w:rPr>
          <w:snapToGrid w:val="0"/>
        </w:rPr>
      </w:pPr>
      <w:bookmarkStart w:id="1260" w:name="_Toc474633175"/>
      <w:bookmarkStart w:id="1261" w:name="_Toc488740326"/>
      <w:bookmarkStart w:id="1262" w:name="_Toc8623709"/>
      <w:bookmarkStart w:id="1263" w:name="_Toc11229550"/>
      <w:bookmarkStart w:id="1264" w:name="_Toc104276724"/>
      <w:bookmarkStart w:id="1265" w:name="_Toc127087404"/>
      <w:r>
        <w:rPr>
          <w:rStyle w:val="CharSectno"/>
        </w:rPr>
        <w:t>118</w:t>
      </w:r>
      <w:r>
        <w:rPr>
          <w:snapToGrid w:val="0"/>
        </w:rPr>
        <w:t>.</w:t>
      </w:r>
      <w:r>
        <w:rPr>
          <w:snapToGrid w:val="0"/>
        </w:rPr>
        <w:tab/>
        <w:t>Initiation of mining surveys</w:t>
      </w:r>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Subject to subregulation (2), the Director shall — </w:t>
      </w:r>
    </w:p>
    <w:p>
      <w:pPr>
        <w:pStyle w:val="Indenta"/>
        <w:rPr>
          <w:snapToGrid w:val="0"/>
        </w:rPr>
      </w:pPr>
      <w:r>
        <w:rPr>
          <w:snapToGrid w:val="0"/>
        </w:rPr>
        <w:tab/>
        <w:t>(a)</w:t>
      </w:r>
      <w:r>
        <w:rPr>
          <w:snapToGrid w:val="0"/>
        </w:rPr>
        <w:tab/>
        <w:t>when a mining survey is ordered to be made under section 47(1), 58(2)(b) or 70G(1) of the Act;</w:t>
      </w:r>
    </w:p>
    <w:p>
      <w:pPr>
        <w:pStyle w:val="Indenta"/>
        <w:rPr>
          <w:snapToGrid w:val="0"/>
        </w:rPr>
      </w:pPr>
      <w:r>
        <w:rPr>
          <w:snapToGrid w:val="0"/>
        </w:rPr>
        <w:tab/>
        <w:t>(b)</w:t>
      </w:r>
      <w:r>
        <w:rPr>
          <w:snapToGrid w:val="0"/>
        </w:rPr>
        <w:tab/>
        <w:t>subject to section 80 of the Act, after the lodging of an application for a mining lease;</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when a mining survey is requested by the Minister or a warden 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 xml:space="preserve">[Regulation 118 inserted in Gazette 30 May 1986 p. 1840; amended in Gazette 21 Jun 1991 p. 3056; 24 Jun 1994 p. 2933.] </w:t>
      </w:r>
    </w:p>
    <w:p>
      <w:pPr>
        <w:pStyle w:val="Heading5"/>
        <w:rPr>
          <w:snapToGrid w:val="0"/>
        </w:rPr>
      </w:pPr>
      <w:bookmarkStart w:id="1266" w:name="_Toc474633176"/>
      <w:bookmarkStart w:id="1267" w:name="_Toc488740327"/>
      <w:bookmarkStart w:id="1268" w:name="_Toc8623710"/>
      <w:bookmarkStart w:id="1269" w:name="_Toc11229551"/>
      <w:bookmarkStart w:id="1270" w:name="_Toc104276725"/>
      <w:bookmarkStart w:id="1271" w:name="_Toc127087405"/>
      <w:r>
        <w:rPr>
          <w:rStyle w:val="CharSectno"/>
        </w:rPr>
        <w:t>118A</w:t>
      </w:r>
      <w:r>
        <w:rPr>
          <w:snapToGrid w:val="0"/>
        </w:rPr>
        <w:t>.</w:t>
      </w:r>
      <w:r>
        <w:rPr>
          <w:snapToGrid w:val="0"/>
        </w:rPr>
        <w:tab/>
        <w:t>Notice of proposed mining surveys</w:t>
      </w:r>
      <w:bookmarkEnd w:id="1266"/>
      <w:bookmarkEnd w:id="1267"/>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Where the Director proposes to carry out a mining survey of a tenement, the Director shall serve by post notice of that fact on —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 xml:space="preserve">[Regulation 118A inserted in Gazette 16 Nov 1990 p. 5729; amended in Gazette 21 Jun 1991 p. 3056.] </w:t>
      </w:r>
    </w:p>
    <w:p>
      <w:pPr>
        <w:pStyle w:val="Heading5"/>
        <w:rPr>
          <w:snapToGrid w:val="0"/>
        </w:rPr>
      </w:pPr>
      <w:bookmarkStart w:id="1272" w:name="_Toc474633177"/>
      <w:bookmarkStart w:id="1273" w:name="_Toc488740328"/>
      <w:bookmarkStart w:id="1274" w:name="_Toc8623711"/>
      <w:bookmarkStart w:id="1275" w:name="_Toc11229552"/>
      <w:bookmarkStart w:id="1276" w:name="_Toc104276726"/>
      <w:bookmarkStart w:id="1277" w:name="_Toc127087406"/>
      <w:r>
        <w:rPr>
          <w:rStyle w:val="CharSectno"/>
        </w:rPr>
        <w:t>118B</w:t>
      </w:r>
      <w:r>
        <w:rPr>
          <w:snapToGrid w:val="0"/>
        </w:rPr>
        <w:t>.</w:t>
      </w:r>
      <w:r>
        <w:rPr>
          <w:snapToGrid w:val="0"/>
        </w:rPr>
        <w:tab/>
        <w:t>When mining surveys are to be carried out</w:t>
      </w:r>
      <w:bookmarkEnd w:id="1272"/>
      <w:bookmarkEnd w:id="1273"/>
      <w:bookmarkEnd w:id="1274"/>
      <w:bookmarkEnd w:id="1275"/>
      <w:bookmarkEnd w:id="1276"/>
      <w:bookmarkEnd w:id="1277"/>
      <w:r>
        <w:rPr>
          <w:snapToGrid w:val="0"/>
        </w:rPr>
        <w:t xml:space="preserve"> </w:t>
      </w:r>
    </w:p>
    <w:p>
      <w:pPr>
        <w:pStyle w:val="Subsection"/>
        <w:rPr>
          <w:snapToGrid w:val="0"/>
        </w:rPr>
      </w:pPr>
      <w:r>
        <w:rPr>
          <w:snapToGrid w:val="0"/>
        </w:rPr>
        <w:tab/>
      </w:r>
      <w:r>
        <w:rPr>
          <w:snapToGrid w:val="0"/>
        </w:rPr>
        <w:tab/>
        <w:t>A mining survey, in relation to a lease application lodged after 1 July 1991 —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 xml:space="preserve">[Regulation 118B inserted in Gazette 21 Jun 1991 p. 3056.] </w:t>
      </w:r>
    </w:p>
    <w:p>
      <w:pPr>
        <w:pStyle w:val="Heading5"/>
        <w:rPr>
          <w:snapToGrid w:val="0"/>
        </w:rPr>
      </w:pPr>
      <w:bookmarkStart w:id="1278" w:name="_Toc474633178"/>
      <w:bookmarkStart w:id="1279" w:name="_Toc488740329"/>
      <w:bookmarkStart w:id="1280" w:name="_Toc8623712"/>
      <w:bookmarkStart w:id="1281" w:name="_Toc11229553"/>
      <w:bookmarkStart w:id="1282" w:name="_Toc104276727"/>
      <w:bookmarkStart w:id="1283" w:name="_Toc127087407"/>
      <w:r>
        <w:rPr>
          <w:rStyle w:val="CharSectno"/>
        </w:rPr>
        <w:t>118C</w:t>
      </w:r>
      <w:r>
        <w:rPr>
          <w:snapToGrid w:val="0"/>
        </w:rPr>
        <w:t>.</w:t>
      </w:r>
      <w:r>
        <w:rPr>
          <w:snapToGrid w:val="0"/>
        </w:rPr>
        <w:tab/>
        <w:t>Refund of certain survey fees</w:t>
      </w:r>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 xml:space="preserve">4.] </w:t>
      </w:r>
    </w:p>
    <w:p>
      <w:pPr>
        <w:pStyle w:val="Heading5"/>
        <w:rPr>
          <w:snapToGrid w:val="0"/>
        </w:rPr>
      </w:pPr>
      <w:bookmarkStart w:id="1284" w:name="_Toc474633179"/>
      <w:bookmarkStart w:id="1285" w:name="_Toc488740330"/>
      <w:bookmarkStart w:id="1286" w:name="_Toc8623713"/>
      <w:bookmarkStart w:id="1287" w:name="_Toc11229554"/>
      <w:bookmarkStart w:id="1288" w:name="_Toc104276728"/>
      <w:bookmarkStart w:id="1289" w:name="_Toc127087408"/>
      <w:r>
        <w:rPr>
          <w:rStyle w:val="CharSectno"/>
        </w:rPr>
        <w:t>119</w:t>
      </w:r>
      <w:r>
        <w:rPr>
          <w:snapToGrid w:val="0"/>
        </w:rPr>
        <w:t>.</w:t>
      </w:r>
      <w:r>
        <w:rPr>
          <w:snapToGrid w:val="0"/>
        </w:rPr>
        <w:tab/>
        <w:t>Boundary marks to be pointed out</w:t>
      </w:r>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 xml:space="preserve">[Regulation 119 inserted in Gazette 30 May 1986 p. 1840; amended in Gazette 21 Jun 1991 p. 3056.] </w:t>
      </w:r>
    </w:p>
    <w:p>
      <w:pPr>
        <w:pStyle w:val="Heading5"/>
        <w:spacing w:before="180"/>
        <w:rPr>
          <w:snapToGrid w:val="0"/>
        </w:rPr>
      </w:pPr>
      <w:bookmarkStart w:id="1290" w:name="_Toc474633180"/>
      <w:bookmarkStart w:id="1291" w:name="_Toc488740331"/>
      <w:bookmarkStart w:id="1292" w:name="_Toc8623714"/>
      <w:bookmarkStart w:id="1293" w:name="_Toc11229555"/>
      <w:bookmarkStart w:id="1294" w:name="_Toc104276729"/>
      <w:bookmarkStart w:id="1295" w:name="_Toc127087409"/>
      <w:r>
        <w:rPr>
          <w:rStyle w:val="CharSectno"/>
        </w:rPr>
        <w:t>120</w:t>
      </w:r>
      <w:r>
        <w:rPr>
          <w:snapToGrid w:val="0"/>
        </w:rPr>
        <w:t>.</w:t>
      </w:r>
      <w:r>
        <w:rPr>
          <w:snapToGrid w:val="0"/>
        </w:rPr>
        <w:tab/>
        <w:t>Adjustment of boundaries</w:t>
      </w:r>
      <w:bookmarkEnd w:id="1290"/>
      <w:bookmarkEnd w:id="1291"/>
      <w:bookmarkEnd w:id="1292"/>
      <w:bookmarkEnd w:id="1293"/>
      <w:bookmarkEnd w:id="1294"/>
      <w:bookmarkEnd w:id="1295"/>
      <w:r>
        <w:rPr>
          <w:snapToGrid w:val="0"/>
        </w:rPr>
        <w:t xml:space="preserve"> </w:t>
      </w:r>
    </w:p>
    <w:p>
      <w:pPr>
        <w:pStyle w:val="Subsection"/>
        <w:spacing w:before="110"/>
        <w:rPr>
          <w:snapToGrid w:val="0"/>
        </w:rPr>
      </w:pPr>
      <w:r>
        <w:rPr>
          <w:snapToGrid w:val="0"/>
        </w:rPr>
        <w:tab/>
        <w:t>(1)</w:t>
      </w:r>
      <w:r>
        <w:rPr>
          <w:snapToGrid w:val="0"/>
        </w:rPr>
        <w:tab/>
        <w:t>Subject to this regulation, an approved surveyor shall carry out a mining survey in respect of — </w:t>
      </w:r>
    </w:p>
    <w:p>
      <w:pPr>
        <w:pStyle w:val="Indenta"/>
        <w:spacing w:before="60"/>
        <w:rPr>
          <w:snapToGrid w:val="0"/>
        </w:rPr>
      </w:pPr>
      <w:r>
        <w:rPr>
          <w:snapToGrid w:val="0"/>
        </w:rPr>
        <w:tab/>
        <w:t>(a)</w:t>
      </w:r>
      <w:r>
        <w:rPr>
          <w:snapToGrid w:val="0"/>
        </w:rPr>
        <w:tab/>
        <w:t>a tenement other than an exploration licence so as to conform with —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1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1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1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 xml:space="preserve">[Regulation 120 inserted in Gazette 30 May 1986 p. 1840; amended in Gazette 21 Jun 1991 p. 3057.] </w:t>
      </w:r>
    </w:p>
    <w:p>
      <w:pPr>
        <w:pStyle w:val="Heading5"/>
        <w:rPr>
          <w:snapToGrid w:val="0"/>
        </w:rPr>
      </w:pPr>
      <w:bookmarkStart w:id="1296" w:name="_Toc474633181"/>
      <w:bookmarkStart w:id="1297" w:name="_Toc488740332"/>
      <w:bookmarkStart w:id="1298" w:name="_Toc8623715"/>
      <w:bookmarkStart w:id="1299" w:name="_Toc11229556"/>
      <w:bookmarkStart w:id="1300" w:name="_Toc104276730"/>
      <w:bookmarkStart w:id="1301" w:name="_Toc127087410"/>
      <w:r>
        <w:rPr>
          <w:rStyle w:val="CharSectno"/>
        </w:rPr>
        <w:t>120A</w:t>
      </w:r>
      <w:r>
        <w:rPr>
          <w:snapToGrid w:val="0"/>
        </w:rPr>
        <w:t>.</w:t>
      </w:r>
      <w:r>
        <w:rPr>
          <w:snapToGrid w:val="0"/>
        </w:rPr>
        <w:tab/>
        <w:t>Disputes and objections in mining survey</w:t>
      </w:r>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Subject to section 135 of the Act, a dispute or objection referred or lodged under this regulation shall be heard by the warden’s court.</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 xml:space="preserve">1; amended in Gazette 16 Nov 1990 p. 5729; 21 Jun 1991 p. 3057; 24 Dec 1993 p. 6829.] </w:t>
      </w:r>
    </w:p>
    <w:p>
      <w:pPr>
        <w:pStyle w:val="Heading5"/>
        <w:spacing w:before="180"/>
        <w:rPr>
          <w:snapToGrid w:val="0"/>
        </w:rPr>
      </w:pPr>
      <w:bookmarkStart w:id="1302" w:name="_Toc474633182"/>
      <w:bookmarkStart w:id="1303" w:name="_Toc488740333"/>
      <w:bookmarkStart w:id="1304" w:name="_Toc8623716"/>
      <w:bookmarkStart w:id="1305" w:name="_Toc11229557"/>
      <w:bookmarkStart w:id="1306" w:name="_Toc104276731"/>
      <w:bookmarkStart w:id="1307" w:name="_Toc127087411"/>
      <w:r>
        <w:rPr>
          <w:rStyle w:val="CharSectno"/>
        </w:rPr>
        <w:t>120B</w:t>
      </w:r>
      <w:r>
        <w:rPr>
          <w:snapToGrid w:val="0"/>
        </w:rPr>
        <w:t>.</w:t>
      </w:r>
      <w:r>
        <w:rPr>
          <w:snapToGrid w:val="0"/>
        </w:rPr>
        <w:tab/>
        <w:t>Cost of travelling</w:t>
      </w:r>
      <w:bookmarkEnd w:id="1302"/>
      <w:bookmarkEnd w:id="1303"/>
      <w:bookmarkEnd w:id="1304"/>
      <w:bookmarkEnd w:id="1305"/>
      <w:bookmarkEnd w:id="1306"/>
      <w:bookmarkEnd w:id="1307"/>
      <w:r>
        <w:rPr>
          <w:snapToGrid w:val="0"/>
        </w:rPr>
        <w:t xml:space="preserve"> </w:t>
      </w:r>
    </w:p>
    <w:p>
      <w:pPr>
        <w:pStyle w:val="Subsection"/>
        <w:spacing w:before="140"/>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 xml:space="preserve">[Regulation 120B inserted in Gazette 30 May 1986 p. 1841.] </w:t>
      </w:r>
    </w:p>
    <w:p>
      <w:pPr>
        <w:pStyle w:val="Heading5"/>
        <w:spacing w:before="180"/>
        <w:rPr>
          <w:snapToGrid w:val="0"/>
        </w:rPr>
      </w:pPr>
      <w:bookmarkStart w:id="1308" w:name="_Toc474633183"/>
      <w:bookmarkStart w:id="1309" w:name="_Toc488740334"/>
      <w:bookmarkStart w:id="1310" w:name="_Toc8623717"/>
      <w:bookmarkStart w:id="1311" w:name="_Toc11229558"/>
      <w:bookmarkStart w:id="1312" w:name="_Toc104276732"/>
      <w:bookmarkStart w:id="1313" w:name="_Toc127087412"/>
      <w:r>
        <w:rPr>
          <w:rStyle w:val="CharSectno"/>
        </w:rPr>
        <w:t>120C</w:t>
      </w:r>
      <w:r>
        <w:rPr>
          <w:snapToGrid w:val="0"/>
        </w:rPr>
        <w:t>.</w:t>
      </w:r>
      <w:r>
        <w:rPr>
          <w:snapToGrid w:val="0"/>
        </w:rPr>
        <w:tab/>
        <w:t>Correction of errors or omissions</w:t>
      </w:r>
      <w:bookmarkEnd w:id="1308"/>
      <w:bookmarkEnd w:id="1309"/>
      <w:bookmarkEnd w:id="1310"/>
      <w:bookmarkEnd w:id="1311"/>
      <w:bookmarkEnd w:id="1312"/>
      <w:bookmarkEnd w:id="1313"/>
      <w:r>
        <w:rPr>
          <w:snapToGrid w:val="0"/>
        </w:rPr>
        <w:t xml:space="preserve"> </w:t>
      </w:r>
    </w:p>
    <w:p>
      <w:pPr>
        <w:pStyle w:val="Subsection"/>
        <w:spacing w:before="130"/>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spacing w:before="130"/>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spacing w:before="130"/>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spacing w:before="130"/>
        <w:rPr>
          <w:snapToGrid w:val="0"/>
        </w:rPr>
      </w:pPr>
      <w:r>
        <w:rPr>
          <w:snapToGrid w:val="0"/>
        </w:rPr>
        <w:tab/>
        <w:t>(4)</w:t>
      </w:r>
      <w:r>
        <w:rPr>
          <w:snapToGrid w:val="0"/>
        </w:rPr>
        <w:tab/>
        <w:t>The cost of correction or completion in compliance with a request made under subregulation (2) or (3) is a debt due to the Minister by the approved surveyor —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 xml:space="preserve">[Regulation 120C inserted in Gazette 30 May 1986 p. 1841; amended in Gazette 21 Jun 1991 p. 3057.] </w:t>
      </w:r>
    </w:p>
    <w:p>
      <w:pPr>
        <w:pStyle w:val="Heading5"/>
        <w:rPr>
          <w:snapToGrid w:val="0"/>
        </w:rPr>
      </w:pPr>
      <w:bookmarkStart w:id="1314" w:name="_Toc474633184"/>
      <w:bookmarkStart w:id="1315" w:name="_Toc488740335"/>
      <w:bookmarkStart w:id="1316" w:name="_Toc8623718"/>
      <w:bookmarkStart w:id="1317" w:name="_Toc11229559"/>
      <w:bookmarkStart w:id="1318" w:name="_Toc104276733"/>
      <w:bookmarkStart w:id="1319" w:name="_Toc127087413"/>
      <w:r>
        <w:rPr>
          <w:rStyle w:val="CharSectno"/>
        </w:rPr>
        <w:t>120D</w:t>
      </w:r>
      <w:r>
        <w:rPr>
          <w:snapToGrid w:val="0"/>
        </w:rPr>
        <w:t>.</w:t>
      </w:r>
      <w:r>
        <w:rPr>
          <w:snapToGrid w:val="0"/>
        </w:rPr>
        <w:tab/>
        <w:t>Cost of check surveys and of correction of errors to be met by approved surveyors</w:t>
      </w:r>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 xml:space="preserve">[Regulation 120D inserted in Gazette 30 May 1986 p. 1841.] </w:t>
      </w:r>
    </w:p>
    <w:p>
      <w:pPr>
        <w:pStyle w:val="Heading5"/>
        <w:rPr>
          <w:snapToGrid w:val="0"/>
        </w:rPr>
      </w:pPr>
      <w:bookmarkStart w:id="1320" w:name="_Toc474633185"/>
      <w:bookmarkStart w:id="1321" w:name="_Toc488740336"/>
      <w:bookmarkStart w:id="1322" w:name="_Toc8623719"/>
      <w:bookmarkStart w:id="1323" w:name="_Toc11229560"/>
      <w:bookmarkStart w:id="1324" w:name="_Toc104276734"/>
      <w:bookmarkStart w:id="1325" w:name="_Toc127087414"/>
      <w:r>
        <w:rPr>
          <w:rStyle w:val="CharSectno"/>
        </w:rPr>
        <w:t>120E</w:t>
      </w:r>
      <w:r>
        <w:rPr>
          <w:snapToGrid w:val="0"/>
        </w:rPr>
        <w:t>.</w:t>
      </w:r>
      <w:r>
        <w:rPr>
          <w:snapToGrid w:val="0"/>
        </w:rPr>
        <w:tab/>
        <w:t>Report of surveyed tenements to be prepared</w:t>
      </w:r>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 xml:space="preserve">[Regulation 120E inserted in Gazette 5 Jul 1991 p. 3359.] </w:t>
      </w:r>
    </w:p>
    <w:p>
      <w:pPr>
        <w:pStyle w:val="Heading2"/>
      </w:pPr>
      <w:bookmarkStart w:id="1326" w:name="_Toc74979018"/>
      <w:bookmarkStart w:id="1327" w:name="_Toc74979282"/>
      <w:bookmarkStart w:id="1328" w:name="_Toc79976580"/>
      <w:bookmarkStart w:id="1329" w:name="_Toc80759851"/>
      <w:bookmarkStart w:id="1330" w:name="_Toc80783614"/>
      <w:bookmarkStart w:id="1331" w:name="_Toc94931281"/>
      <w:bookmarkStart w:id="1332" w:name="_Toc104275404"/>
      <w:bookmarkStart w:id="1333" w:name="_Toc104276735"/>
      <w:bookmarkStart w:id="1334" w:name="_Toc107198956"/>
      <w:bookmarkStart w:id="1335" w:name="_Toc107799408"/>
      <w:bookmarkStart w:id="1336" w:name="_Toc127087415"/>
      <w:r>
        <w:rPr>
          <w:rStyle w:val="CharPartNo"/>
        </w:rPr>
        <w:t>Part VIA</w:t>
      </w:r>
      <w:r>
        <w:t> — </w:t>
      </w:r>
      <w:r>
        <w:rPr>
          <w:rStyle w:val="CharPartText"/>
        </w:rPr>
        <w:t>Inspectors</w:t>
      </w:r>
      <w:bookmarkEnd w:id="1326"/>
      <w:bookmarkEnd w:id="1327"/>
      <w:bookmarkEnd w:id="1328"/>
      <w:bookmarkEnd w:id="1329"/>
      <w:bookmarkEnd w:id="1330"/>
      <w:bookmarkEnd w:id="1331"/>
      <w:bookmarkEnd w:id="1332"/>
      <w:bookmarkEnd w:id="1333"/>
      <w:bookmarkEnd w:id="1334"/>
      <w:bookmarkEnd w:id="1335"/>
      <w:bookmarkEnd w:id="1336"/>
      <w:r>
        <w:rPr>
          <w:rStyle w:val="CharPartText"/>
        </w:rPr>
        <w:t xml:space="preserve"> </w:t>
      </w:r>
    </w:p>
    <w:p>
      <w:pPr>
        <w:pStyle w:val="Footnoteheading"/>
        <w:ind w:left="890"/>
        <w:rPr>
          <w:snapToGrid w:val="0"/>
        </w:rPr>
      </w:pPr>
      <w:r>
        <w:rPr>
          <w:snapToGrid w:val="0"/>
        </w:rPr>
        <w:tab/>
        <w:t>[Heading inserted in Gazette 24 Jun 1994 p. 2934.]</w:t>
      </w:r>
    </w:p>
    <w:p>
      <w:pPr>
        <w:pStyle w:val="Heading3"/>
        <w:rPr>
          <w:snapToGrid w:val="0"/>
        </w:rPr>
      </w:pPr>
      <w:bookmarkStart w:id="1337" w:name="_Toc74979019"/>
      <w:bookmarkStart w:id="1338" w:name="_Toc74979283"/>
      <w:bookmarkStart w:id="1339" w:name="_Toc79976581"/>
      <w:bookmarkStart w:id="1340" w:name="_Toc80759852"/>
      <w:bookmarkStart w:id="1341" w:name="_Toc80783615"/>
      <w:bookmarkStart w:id="1342" w:name="_Toc94931282"/>
      <w:bookmarkStart w:id="1343" w:name="_Toc104275405"/>
      <w:bookmarkStart w:id="1344" w:name="_Toc104276736"/>
      <w:bookmarkStart w:id="1345" w:name="_Toc107198957"/>
      <w:bookmarkStart w:id="1346" w:name="_Toc107799409"/>
      <w:bookmarkStart w:id="1347" w:name="_Toc127087416"/>
      <w:r>
        <w:rPr>
          <w:rStyle w:val="CharDivNo"/>
        </w:rPr>
        <w:t>Division 1</w:t>
      </w:r>
      <w:r>
        <w:rPr>
          <w:snapToGrid w:val="0"/>
        </w:rPr>
        <w:t> — </w:t>
      </w:r>
      <w:r>
        <w:rPr>
          <w:rStyle w:val="CharDivText"/>
        </w:rPr>
        <w:t>Inspectors</w:t>
      </w:r>
      <w:bookmarkEnd w:id="1337"/>
      <w:bookmarkEnd w:id="1338"/>
      <w:bookmarkEnd w:id="1339"/>
      <w:bookmarkEnd w:id="1340"/>
      <w:bookmarkEnd w:id="1341"/>
      <w:bookmarkEnd w:id="1342"/>
      <w:bookmarkEnd w:id="1343"/>
      <w:bookmarkEnd w:id="1344"/>
      <w:bookmarkEnd w:id="1345"/>
      <w:bookmarkEnd w:id="1346"/>
      <w:bookmarkEnd w:id="1347"/>
      <w:r>
        <w:rPr>
          <w:rStyle w:val="CharDivText"/>
        </w:rPr>
        <w:t xml:space="preserve"> </w:t>
      </w:r>
    </w:p>
    <w:p>
      <w:pPr>
        <w:pStyle w:val="Footnoteheading"/>
        <w:ind w:left="890"/>
        <w:rPr>
          <w:snapToGrid w:val="0"/>
        </w:rPr>
      </w:pPr>
      <w:r>
        <w:rPr>
          <w:snapToGrid w:val="0"/>
        </w:rPr>
        <w:tab/>
        <w:t>[Heading inserted in Gazette 24 Jun 1994 p. 2934.]</w:t>
      </w:r>
    </w:p>
    <w:p>
      <w:pPr>
        <w:pStyle w:val="Heading5"/>
        <w:rPr>
          <w:snapToGrid w:val="0"/>
        </w:rPr>
      </w:pPr>
      <w:bookmarkStart w:id="1348" w:name="_Toc474633186"/>
      <w:bookmarkStart w:id="1349" w:name="_Toc488740337"/>
      <w:bookmarkStart w:id="1350" w:name="_Toc8623720"/>
      <w:bookmarkStart w:id="1351" w:name="_Toc11229561"/>
      <w:bookmarkStart w:id="1352" w:name="_Toc104276737"/>
      <w:bookmarkStart w:id="1353" w:name="_Toc127087417"/>
      <w:r>
        <w:rPr>
          <w:rStyle w:val="CharSectno"/>
        </w:rPr>
        <w:t>120F</w:t>
      </w:r>
      <w:r>
        <w:rPr>
          <w:snapToGrid w:val="0"/>
        </w:rPr>
        <w:t>.</w:t>
      </w:r>
      <w:r>
        <w:rPr>
          <w:snapToGrid w:val="0"/>
        </w:rPr>
        <w:tab/>
        <w:t>Assignment of inspectors for environmental purpose</w:t>
      </w:r>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 xml:space="preserve">[Regulation 120F inserted in Gazette 24 Jun 1994 p. 2934.] </w:t>
      </w:r>
    </w:p>
    <w:p>
      <w:pPr>
        <w:pStyle w:val="Heading5"/>
        <w:rPr>
          <w:snapToGrid w:val="0"/>
        </w:rPr>
      </w:pPr>
      <w:bookmarkStart w:id="1354" w:name="_Toc474633187"/>
      <w:bookmarkStart w:id="1355" w:name="_Toc488740338"/>
      <w:bookmarkStart w:id="1356" w:name="_Toc8623721"/>
      <w:bookmarkStart w:id="1357" w:name="_Toc11229562"/>
      <w:bookmarkStart w:id="1358" w:name="_Toc104276738"/>
      <w:bookmarkStart w:id="1359" w:name="_Toc127087418"/>
      <w:r>
        <w:rPr>
          <w:rStyle w:val="CharSectno"/>
        </w:rPr>
        <w:t>120G</w:t>
      </w:r>
      <w:r>
        <w:rPr>
          <w:snapToGrid w:val="0"/>
        </w:rPr>
        <w:t>.</w:t>
      </w:r>
      <w:r>
        <w:rPr>
          <w:snapToGrid w:val="0"/>
        </w:rPr>
        <w:tab/>
        <w:t>Inspectors may enter mining tenement or mine</w:t>
      </w:r>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An inspector or a senior inspector may enter, inspect and inquire in respect of any mining tenement or mine —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rPr>
          <w:snapToGrid w:val="0"/>
        </w:rPr>
      </w:pPr>
      <w:bookmarkStart w:id="1360" w:name="_Toc74979022"/>
      <w:bookmarkStart w:id="1361" w:name="_Toc74979286"/>
      <w:bookmarkStart w:id="1362" w:name="_Toc79976584"/>
      <w:bookmarkStart w:id="1363" w:name="_Toc80759855"/>
      <w:bookmarkStart w:id="1364" w:name="_Toc80783618"/>
      <w:bookmarkStart w:id="1365" w:name="_Toc94931285"/>
      <w:bookmarkStart w:id="1366" w:name="_Toc104275408"/>
      <w:bookmarkStart w:id="1367" w:name="_Toc104276739"/>
      <w:bookmarkStart w:id="1368" w:name="_Toc107198960"/>
      <w:bookmarkStart w:id="1369" w:name="_Toc107799412"/>
      <w:bookmarkStart w:id="1370" w:name="_Toc127087419"/>
      <w:r>
        <w:rPr>
          <w:rStyle w:val="CharDivNo"/>
        </w:rPr>
        <w:t>Division 2</w:t>
      </w:r>
      <w:r>
        <w:rPr>
          <w:snapToGrid w:val="0"/>
        </w:rPr>
        <w:t> — </w:t>
      </w:r>
      <w:r>
        <w:rPr>
          <w:rStyle w:val="CharDivText"/>
        </w:rPr>
        <w:t>Directions to modify mining operations</w:t>
      </w:r>
      <w:bookmarkEnd w:id="1360"/>
      <w:bookmarkEnd w:id="1361"/>
      <w:bookmarkEnd w:id="1362"/>
      <w:bookmarkEnd w:id="1363"/>
      <w:bookmarkEnd w:id="1364"/>
      <w:bookmarkEnd w:id="1365"/>
      <w:bookmarkEnd w:id="1366"/>
      <w:bookmarkEnd w:id="1367"/>
      <w:bookmarkEnd w:id="1368"/>
      <w:bookmarkEnd w:id="1369"/>
      <w:bookmarkEnd w:id="1370"/>
      <w:r>
        <w:rPr>
          <w:rStyle w:val="CharDivText"/>
        </w:rPr>
        <w:t xml:space="preserve"> </w:t>
      </w:r>
    </w:p>
    <w:p>
      <w:pPr>
        <w:pStyle w:val="Footnoteheading"/>
        <w:ind w:left="890"/>
        <w:rPr>
          <w:snapToGrid w:val="0"/>
        </w:rPr>
      </w:pPr>
      <w:r>
        <w:rPr>
          <w:snapToGrid w:val="0"/>
        </w:rPr>
        <w:tab/>
        <w:t>[Heading inserted in Gazette 24 Jun 1994 p. 2935.]</w:t>
      </w:r>
    </w:p>
    <w:p>
      <w:pPr>
        <w:pStyle w:val="Heading5"/>
        <w:rPr>
          <w:snapToGrid w:val="0"/>
        </w:rPr>
      </w:pPr>
      <w:bookmarkStart w:id="1371" w:name="_Toc474633188"/>
      <w:bookmarkStart w:id="1372" w:name="_Toc488740339"/>
      <w:bookmarkStart w:id="1373" w:name="_Toc8623722"/>
      <w:bookmarkStart w:id="1374" w:name="_Toc11229563"/>
      <w:bookmarkStart w:id="1375" w:name="_Toc104276740"/>
      <w:bookmarkStart w:id="1376" w:name="_Toc127087420"/>
      <w:r>
        <w:rPr>
          <w:rStyle w:val="CharSectno"/>
        </w:rPr>
        <w:t>120H</w:t>
      </w:r>
      <w:r>
        <w:rPr>
          <w:snapToGrid w:val="0"/>
        </w:rPr>
        <w:t>.</w:t>
      </w:r>
      <w:r>
        <w:rPr>
          <w:snapToGrid w:val="0"/>
        </w:rPr>
        <w:tab/>
        <w:t>Inspectors may issue directions</w:t>
      </w:r>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 xml:space="preserve">[Regulation 120H inserted in Gazette 24 Jun 1994 p. 2935.] </w:t>
      </w:r>
    </w:p>
    <w:p>
      <w:pPr>
        <w:pStyle w:val="Heading5"/>
        <w:rPr>
          <w:snapToGrid w:val="0"/>
        </w:rPr>
      </w:pPr>
      <w:bookmarkStart w:id="1377" w:name="_Toc474633189"/>
      <w:bookmarkStart w:id="1378" w:name="_Toc488740340"/>
      <w:bookmarkStart w:id="1379" w:name="_Toc8623723"/>
      <w:bookmarkStart w:id="1380" w:name="_Toc11229564"/>
      <w:bookmarkStart w:id="1381" w:name="_Toc104276741"/>
      <w:bookmarkStart w:id="1382" w:name="_Toc127087421"/>
      <w:r>
        <w:rPr>
          <w:rStyle w:val="CharSectno"/>
        </w:rPr>
        <w:t>120I</w:t>
      </w:r>
      <w:r>
        <w:rPr>
          <w:snapToGrid w:val="0"/>
        </w:rPr>
        <w:t>.</w:t>
      </w:r>
      <w:r>
        <w:rPr>
          <w:snapToGrid w:val="0"/>
        </w:rPr>
        <w:tab/>
        <w:t>Directions</w:t>
      </w:r>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r>
      <w:r>
        <w:rPr>
          <w:snapToGrid w:val="0"/>
        </w:rPr>
        <w:tab/>
        <w:t>A direction to modify mining operations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 xml:space="preserve">[Regulation 120I inserted in Gazette 24 Jun 1994 p. 2935.] </w:t>
      </w:r>
    </w:p>
    <w:p>
      <w:pPr>
        <w:pStyle w:val="Heading5"/>
        <w:rPr>
          <w:snapToGrid w:val="0"/>
        </w:rPr>
      </w:pPr>
      <w:bookmarkStart w:id="1383" w:name="_Toc474633190"/>
      <w:bookmarkStart w:id="1384" w:name="_Toc488740341"/>
      <w:bookmarkStart w:id="1385" w:name="_Toc8623724"/>
      <w:bookmarkStart w:id="1386" w:name="_Toc11229565"/>
      <w:bookmarkStart w:id="1387" w:name="_Toc104276742"/>
      <w:bookmarkStart w:id="1388" w:name="_Toc127087422"/>
      <w:r>
        <w:rPr>
          <w:rStyle w:val="CharSectno"/>
        </w:rPr>
        <w:t>120J</w:t>
      </w:r>
      <w:r>
        <w:rPr>
          <w:snapToGrid w:val="0"/>
        </w:rPr>
        <w:t>.</w:t>
      </w:r>
      <w:r>
        <w:rPr>
          <w:snapToGrid w:val="0"/>
        </w:rPr>
        <w:tab/>
        <w:t>Review of direction</w:t>
      </w:r>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 State Mining Engineer,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When reviewing a direction, the State Mining Engineer may take into account any active measures that have been taken by the mining tenement holder which result in substantial compliance with the direction and the State Mining Engineer may extend the time period for compliance with the direction if the State Mining Engineer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Upon the review of a direction, the State Mining Engineer is to determine that review by —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 xml:space="preserve">6.] </w:t>
      </w:r>
    </w:p>
    <w:p>
      <w:pPr>
        <w:pStyle w:val="Heading5"/>
        <w:rPr>
          <w:snapToGrid w:val="0"/>
        </w:rPr>
      </w:pPr>
      <w:bookmarkStart w:id="1389" w:name="_Toc474633191"/>
      <w:bookmarkStart w:id="1390" w:name="_Toc488740342"/>
      <w:bookmarkStart w:id="1391" w:name="_Toc8623725"/>
      <w:bookmarkStart w:id="1392" w:name="_Toc11229566"/>
      <w:bookmarkStart w:id="1393" w:name="_Toc104276743"/>
      <w:bookmarkStart w:id="1394" w:name="_Toc127087423"/>
      <w:r>
        <w:rPr>
          <w:rStyle w:val="CharSectno"/>
        </w:rPr>
        <w:t>120K</w:t>
      </w:r>
      <w:r>
        <w:rPr>
          <w:snapToGrid w:val="0"/>
        </w:rPr>
        <w:t>.</w:t>
      </w:r>
      <w:r>
        <w:rPr>
          <w:snapToGrid w:val="0"/>
        </w:rPr>
        <w:tab/>
        <w:t>Compliance with directions</w:t>
      </w:r>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rPr>
          <w:snapToGrid w:val="0"/>
        </w:rPr>
      </w:pPr>
      <w:bookmarkStart w:id="1395" w:name="_Toc74979027"/>
      <w:bookmarkStart w:id="1396" w:name="_Toc74979291"/>
      <w:bookmarkStart w:id="1397" w:name="_Toc79976589"/>
      <w:bookmarkStart w:id="1398" w:name="_Toc80759860"/>
      <w:bookmarkStart w:id="1399" w:name="_Toc80783623"/>
      <w:bookmarkStart w:id="1400" w:name="_Toc94931290"/>
      <w:bookmarkStart w:id="1401" w:name="_Toc104275413"/>
      <w:bookmarkStart w:id="1402" w:name="_Toc104276744"/>
      <w:bookmarkStart w:id="1403" w:name="_Toc107198965"/>
      <w:bookmarkStart w:id="1404" w:name="_Toc107799417"/>
      <w:bookmarkStart w:id="1405" w:name="_Toc127087424"/>
      <w:r>
        <w:rPr>
          <w:rStyle w:val="CharDivNo"/>
        </w:rPr>
        <w:t>Division 3</w:t>
      </w:r>
      <w:r>
        <w:rPr>
          <w:snapToGrid w:val="0"/>
        </w:rPr>
        <w:t> — </w:t>
      </w:r>
      <w:r>
        <w:rPr>
          <w:rStyle w:val="CharDivText"/>
        </w:rPr>
        <w:t>Stop Work Orders</w:t>
      </w:r>
      <w:bookmarkEnd w:id="1395"/>
      <w:bookmarkEnd w:id="1396"/>
      <w:bookmarkEnd w:id="1397"/>
      <w:bookmarkEnd w:id="1398"/>
      <w:bookmarkEnd w:id="1399"/>
      <w:bookmarkEnd w:id="1400"/>
      <w:bookmarkEnd w:id="1401"/>
      <w:bookmarkEnd w:id="1402"/>
      <w:bookmarkEnd w:id="1403"/>
      <w:bookmarkEnd w:id="1404"/>
      <w:bookmarkEnd w:id="1405"/>
      <w:r>
        <w:rPr>
          <w:rStyle w:val="CharDivText"/>
        </w:rPr>
        <w:t xml:space="preserve"> </w:t>
      </w:r>
    </w:p>
    <w:p>
      <w:pPr>
        <w:pStyle w:val="Footnoteheading"/>
        <w:ind w:left="890"/>
        <w:rPr>
          <w:snapToGrid w:val="0"/>
        </w:rPr>
      </w:pPr>
      <w:r>
        <w:rPr>
          <w:snapToGrid w:val="0"/>
        </w:rPr>
        <w:tab/>
        <w:t>[Heading inserted in Gazette 24 Jun 1994 p. 2936.]</w:t>
      </w:r>
    </w:p>
    <w:p>
      <w:pPr>
        <w:pStyle w:val="Heading5"/>
        <w:rPr>
          <w:snapToGrid w:val="0"/>
        </w:rPr>
      </w:pPr>
      <w:bookmarkStart w:id="1406" w:name="_Toc474633192"/>
      <w:bookmarkStart w:id="1407" w:name="_Toc488740343"/>
      <w:bookmarkStart w:id="1408" w:name="_Toc8623726"/>
      <w:bookmarkStart w:id="1409" w:name="_Toc11229567"/>
      <w:bookmarkStart w:id="1410" w:name="_Toc104276745"/>
      <w:bookmarkStart w:id="1411" w:name="_Toc127087425"/>
      <w:r>
        <w:rPr>
          <w:rStyle w:val="CharSectno"/>
        </w:rPr>
        <w:t>120L</w:t>
      </w:r>
      <w:r>
        <w:rPr>
          <w:snapToGrid w:val="0"/>
        </w:rPr>
        <w:t>.</w:t>
      </w:r>
      <w:r>
        <w:rPr>
          <w:snapToGrid w:val="0"/>
        </w:rPr>
        <w:tab/>
        <w:t>Inspectors may issue Stop Work Orders</w:t>
      </w:r>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If an inspector or a senior inspector is of the opinion that —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1412" w:name="_Toc474633193"/>
      <w:bookmarkStart w:id="1413" w:name="_Toc488740344"/>
      <w:bookmarkStart w:id="1414" w:name="_Toc8623727"/>
      <w:bookmarkStart w:id="1415" w:name="_Toc11229568"/>
      <w:bookmarkStart w:id="1416" w:name="_Toc104276746"/>
      <w:bookmarkStart w:id="1417" w:name="_Toc127087426"/>
      <w:r>
        <w:rPr>
          <w:rStyle w:val="CharSectno"/>
        </w:rPr>
        <w:t>120M</w:t>
      </w:r>
      <w:r>
        <w:rPr>
          <w:snapToGrid w:val="0"/>
        </w:rPr>
        <w:t>.</w:t>
      </w:r>
      <w:r>
        <w:rPr>
          <w:snapToGrid w:val="0"/>
        </w:rPr>
        <w:tab/>
        <w:t>Stop Work Orders</w:t>
      </w:r>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r>
      <w:r>
        <w:rPr>
          <w:snapToGrid w:val="0"/>
        </w:rPr>
        <w:tab/>
        <w:t>A Stop Work Order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 xml:space="preserve">[Regulation 120M inserted in Gazette 24 Jun 1994 p. 2937.] </w:t>
      </w:r>
    </w:p>
    <w:p>
      <w:pPr>
        <w:pStyle w:val="Heading5"/>
        <w:rPr>
          <w:snapToGrid w:val="0"/>
        </w:rPr>
      </w:pPr>
      <w:bookmarkStart w:id="1418" w:name="_Toc474633194"/>
      <w:bookmarkStart w:id="1419" w:name="_Toc488740345"/>
      <w:bookmarkStart w:id="1420" w:name="_Toc8623728"/>
      <w:bookmarkStart w:id="1421" w:name="_Toc11229569"/>
      <w:bookmarkStart w:id="1422" w:name="_Toc104276747"/>
      <w:bookmarkStart w:id="1423" w:name="_Toc127087427"/>
      <w:r>
        <w:rPr>
          <w:rStyle w:val="CharSectno"/>
        </w:rPr>
        <w:t>120N</w:t>
      </w:r>
      <w:r>
        <w:rPr>
          <w:snapToGrid w:val="0"/>
        </w:rPr>
        <w:t>.</w:t>
      </w:r>
      <w:r>
        <w:rPr>
          <w:snapToGrid w:val="0"/>
        </w:rPr>
        <w:tab/>
        <w:t>Review of a Stop Work Order</w:t>
      </w:r>
      <w:bookmarkEnd w:id="1418"/>
      <w:bookmarkEnd w:id="1419"/>
      <w:bookmarkEnd w:id="1420"/>
      <w:bookmarkEnd w:id="1421"/>
      <w:bookmarkEnd w:id="1422"/>
      <w:bookmarkEnd w:id="1423"/>
      <w:r>
        <w:rPr>
          <w:snapToGrid w:val="0"/>
        </w:rPr>
        <w:t xml:space="preserve"> </w:t>
      </w:r>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Upon receiving a request for a review of a Stop Work Order, the Minister shall obtain a report from the State Mining Engineer setting out details of the reasons given by the inspector or senior inspector for issuing the Order, together with the State Mining Engineer’s recommendations on the matter.</w:t>
      </w:r>
    </w:p>
    <w:p>
      <w:pPr>
        <w:pStyle w:val="Subsection"/>
        <w:rPr>
          <w:snapToGrid w:val="0"/>
        </w:rPr>
      </w:pPr>
      <w:r>
        <w:rPr>
          <w:snapToGrid w:val="0"/>
        </w:rPr>
        <w:tab/>
        <w:t>(4)</w:t>
      </w:r>
      <w:r>
        <w:rPr>
          <w:snapToGrid w:val="0"/>
        </w:rPr>
        <w:tab/>
        <w:t>Upon receiving the State Mining Engineer’s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w:t>
      </w:r>
    </w:p>
    <w:p>
      <w:pPr>
        <w:pStyle w:val="Heading5"/>
        <w:rPr>
          <w:snapToGrid w:val="0"/>
        </w:rPr>
      </w:pPr>
      <w:bookmarkStart w:id="1424" w:name="_Toc474633195"/>
      <w:bookmarkStart w:id="1425" w:name="_Toc488740346"/>
      <w:bookmarkStart w:id="1426" w:name="_Toc8623729"/>
      <w:bookmarkStart w:id="1427" w:name="_Toc11229570"/>
      <w:bookmarkStart w:id="1428" w:name="_Toc104276748"/>
      <w:bookmarkStart w:id="1429" w:name="_Toc127087428"/>
      <w:r>
        <w:rPr>
          <w:rStyle w:val="CharSectno"/>
        </w:rPr>
        <w:t>120O</w:t>
      </w:r>
      <w:r>
        <w:rPr>
          <w:snapToGrid w:val="0"/>
        </w:rPr>
        <w:t>.</w:t>
      </w:r>
      <w:r>
        <w:rPr>
          <w:snapToGrid w:val="0"/>
        </w:rPr>
        <w:tab/>
        <w:t>Compliance with Stop Work Orders</w:t>
      </w:r>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1430" w:name="_Toc74979032"/>
      <w:bookmarkStart w:id="1431" w:name="_Toc74979296"/>
      <w:bookmarkStart w:id="1432" w:name="_Toc79976594"/>
      <w:bookmarkStart w:id="1433" w:name="_Toc80759865"/>
      <w:bookmarkStart w:id="1434" w:name="_Toc80783628"/>
      <w:bookmarkStart w:id="1435" w:name="_Toc94931295"/>
      <w:bookmarkStart w:id="1436" w:name="_Toc104275418"/>
      <w:bookmarkStart w:id="1437" w:name="_Toc104276749"/>
      <w:bookmarkStart w:id="1438" w:name="_Toc107198970"/>
      <w:bookmarkStart w:id="1439" w:name="_Toc107799422"/>
      <w:bookmarkStart w:id="1440" w:name="_Toc127087429"/>
      <w:r>
        <w:rPr>
          <w:rStyle w:val="CharPartNo"/>
        </w:rPr>
        <w:t>Part VIB</w:t>
      </w:r>
      <w:r>
        <w:rPr>
          <w:rStyle w:val="CharDivNo"/>
        </w:rPr>
        <w:t> </w:t>
      </w:r>
      <w:r>
        <w:t>—</w:t>
      </w:r>
      <w:r>
        <w:rPr>
          <w:rStyle w:val="CharDivText"/>
        </w:rPr>
        <w:t> </w:t>
      </w:r>
      <w:r>
        <w:rPr>
          <w:rStyle w:val="CharPartText"/>
        </w:rPr>
        <w:t>Aerial photography</w:t>
      </w:r>
      <w:bookmarkEnd w:id="1430"/>
      <w:bookmarkEnd w:id="1431"/>
      <w:bookmarkEnd w:id="1432"/>
      <w:bookmarkEnd w:id="1433"/>
      <w:bookmarkEnd w:id="1434"/>
      <w:bookmarkEnd w:id="1435"/>
      <w:bookmarkEnd w:id="1436"/>
      <w:bookmarkEnd w:id="1437"/>
      <w:bookmarkEnd w:id="1438"/>
      <w:bookmarkEnd w:id="1439"/>
      <w:bookmarkEnd w:id="1440"/>
      <w:r>
        <w:rPr>
          <w:rStyle w:val="CharPartText"/>
        </w:rPr>
        <w:t xml:space="preserve"> </w:t>
      </w:r>
    </w:p>
    <w:p>
      <w:pPr>
        <w:pStyle w:val="Footnoteheading"/>
        <w:ind w:left="890"/>
      </w:pPr>
      <w:r>
        <w:tab/>
        <w:t xml:space="preserve">[Heading inserted in Gazette 13 Oct 1995 p. 4821.] </w:t>
      </w:r>
    </w:p>
    <w:p>
      <w:pPr>
        <w:pStyle w:val="Heading5"/>
        <w:rPr>
          <w:snapToGrid w:val="0"/>
        </w:rPr>
      </w:pPr>
      <w:bookmarkStart w:id="1441" w:name="_Toc474633196"/>
      <w:bookmarkStart w:id="1442" w:name="_Toc488740347"/>
      <w:bookmarkStart w:id="1443" w:name="_Toc8623730"/>
      <w:bookmarkStart w:id="1444" w:name="_Toc11229571"/>
      <w:bookmarkStart w:id="1445" w:name="_Toc104276750"/>
      <w:bookmarkStart w:id="1446" w:name="_Toc127087430"/>
      <w:r>
        <w:rPr>
          <w:rStyle w:val="CharSectno"/>
        </w:rPr>
        <w:t>120P</w:t>
      </w:r>
      <w:r>
        <w:rPr>
          <w:snapToGrid w:val="0"/>
        </w:rPr>
        <w:t>.</w:t>
      </w:r>
      <w:r>
        <w:rPr>
          <w:snapToGrid w:val="0"/>
        </w:rPr>
        <w:tab/>
        <w:t>Interpretation in Part VIB</w:t>
      </w:r>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the Director</w:t>
      </w:r>
      <w:r>
        <w:rPr>
          <w:b/>
        </w:rPr>
        <w:t>”</w:t>
      </w:r>
      <w:r>
        <w:t xml:space="preserve"> means the person for the time being holding or acting in the office of the Director of the Geological Survey Division of the Department.</w:t>
      </w:r>
    </w:p>
    <w:p>
      <w:pPr>
        <w:pStyle w:val="Footnotesection"/>
      </w:pPr>
      <w:r>
        <w:tab/>
        <w:t xml:space="preserve">[Regulation 120P inserted in Gazette 13 Oct 1995 p. 4821.] </w:t>
      </w:r>
    </w:p>
    <w:p>
      <w:pPr>
        <w:pStyle w:val="Heading5"/>
        <w:rPr>
          <w:snapToGrid w:val="0"/>
        </w:rPr>
      </w:pPr>
      <w:bookmarkStart w:id="1447" w:name="_Toc474633197"/>
      <w:bookmarkStart w:id="1448" w:name="_Toc488740348"/>
      <w:bookmarkStart w:id="1449" w:name="_Toc8623731"/>
      <w:bookmarkStart w:id="1450" w:name="_Toc11229572"/>
      <w:bookmarkStart w:id="1451" w:name="_Toc104276751"/>
      <w:bookmarkStart w:id="1452" w:name="_Toc127087431"/>
      <w:r>
        <w:rPr>
          <w:rStyle w:val="CharSectno"/>
        </w:rPr>
        <w:t>120Q</w:t>
      </w:r>
      <w:r>
        <w:rPr>
          <w:snapToGrid w:val="0"/>
        </w:rPr>
        <w:t>.</w:t>
      </w:r>
      <w:r>
        <w:rPr>
          <w:snapToGrid w:val="0"/>
        </w:rPr>
        <w:tab/>
        <w:t>Information to be provided as to aerial photography</w:t>
      </w:r>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A contractor shall within one year of undertaking aerial photography provide the Director with the following information —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 xml:space="preserve">2.] </w:t>
      </w:r>
    </w:p>
    <w:p>
      <w:pPr>
        <w:pStyle w:val="Heading5"/>
        <w:rPr>
          <w:snapToGrid w:val="0"/>
        </w:rPr>
      </w:pPr>
      <w:bookmarkStart w:id="1453" w:name="_Toc474633198"/>
      <w:bookmarkStart w:id="1454" w:name="_Toc488740349"/>
      <w:bookmarkStart w:id="1455" w:name="_Toc8623732"/>
      <w:bookmarkStart w:id="1456" w:name="_Toc11229573"/>
      <w:bookmarkStart w:id="1457" w:name="_Toc104276752"/>
      <w:bookmarkStart w:id="1458" w:name="_Toc127087432"/>
      <w:r>
        <w:rPr>
          <w:rStyle w:val="CharSectno"/>
        </w:rPr>
        <w:t>120R</w:t>
      </w:r>
      <w:r>
        <w:rPr>
          <w:snapToGrid w:val="0"/>
        </w:rPr>
        <w:t>.</w:t>
      </w:r>
      <w:r>
        <w:rPr>
          <w:snapToGrid w:val="0"/>
        </w:rPr>
        <w:tab/>
        <w:t>Register</w:t>
      </w:r>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 xml:space="preserve">[Regulation 120R inserted in Gazette 13 Oct 1995 p. 4822.] </w:t>
      </w:r>
    </w:p>
    <w:p>
      <w:pPr>
        <w:pStyle w:val="Heading5"/>
        <w:rPr>
          <w:snapToGrid w:val="0"/>
        </w:rPr>
      </w:pPr>
      <w:bookmarkStart w:id="1459" w:name="_Toc474633199"/>
      <w:bookmarkStart w:id="1460" w:name="_Toc488740350"/>
      <w:bookmarkStart w:id="1461" w:name="_Toc8623733"/>
      <w:bookmarkStart w:id="1462" w:name="_Toc11229574"/>
      <w:bookmarkStart w:id="1463" w:name="_Toc104276753"/>
      <w:bookmarkStart w:id="1464" w:name="_Toc127087433"/>
      <w:r>
        <w:rPr>
          <w:rStyle w:val="CharSectno"/>
        </w:rPr>
        <w:t>120S</w:t>
      </w:r>
      <w:r>
        <w:rPr>
          <w:snapToGrid w:val="0"/>
        </w:rPr>
        <w:t>.</w:t>
      </w:r>
      <w:r>
        <w:rPr>
          <w:snapToGrid w:val="0"/>
        </w:rPr>
        <w:tab/>
        <w:t>Confidentiality of information</w:t>
      </w:r>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 xml:space="preserve">[Regulation 120S inserted in Gazette 13 Oct 1995 p. 4822.] </w:t>
      </w:r>
    </w:p>
    <w:p>
      <w:pPr>
        <w:pStyle w:val="Heading2"/>
      </w:pPr>
      <w:bookmarkStart w:id="1465" w:name="_Toc74979037"/>
      <w:bookmarkStart w:id="1466" w:name="_Toc74979301"/>
      <w:bookmarkStart w:id="1467" w:name="_Toc79976599"/>
      <w:bookmarkStart w:id="1468" w:name="_Toc80759870"/>
      <w:bookmarkStart w:id="1469" w:name="_Toc80783633"/>
      <w:bookmarkStart w:id="1470" w:name="_Toc94931300"/>
      <w:bookmarkStart w:id="1471" w:name="_Toc104275423"/>
      <w:bookmarkStart w:id="1472" w:name="_Toc104276754"/>
      <w:bookmarkStart w:id="1473" w:name="_Toc107198975"/>
      <w:bookmarkStart w:id="1474" w:name="_Toc107799427"/>
      <w:bookmarkStart w:id="1475" w:name="_Toc127087434"/>
      <w:r>
        <w:rPr>
          <w:rStyle w:val="CharPartNo"/>
        </w:rPr>
        <w:t>Part VII</w:t>
      </w:r>
      <w:r>
        <w:rPr>
          <w:rStyle w:val="CharDivNo"/>
        </w:rPr>
        <w:t> </w:t>
      </w:r>
      <w:r>
        <w:t>—</w:t>
      </w:r>
      <w:r>
        <w:rPr>
          <w:rStyle w:val="CharDivText"/>
        </w:rPr>
        <w:t> </w:t>
      </w:r>
      <w:r>
        <w:rPr>
          <w:rStyle w:val="CharPartText"/>
        </w:rPr>
        <w:t>Legal proceedings</w:t>
      </w:r>
      <w:bookmarkEnd w:id="1465"/>
      <w:bookmarkEnd w:id="1466"/>
      <w:bookmarkEnd w:id="1467"/>
      <w:bookmarkEnd w:id="1468"/>
      <w:bookmarkEnd w:id="1469"/>
      <w:bookmarkEnd w:id="1470"/>
      <w:bookmarkEnd w:id="1471"/>
      <w:bookmarkEnd w:id="1472"/>
      <w:bookmarkEnd w:id="1473"/>
      <w:bookmarkEnd w:id="1474"/>
      <w:bookmarkEnd w:id="1475"/>
      <w:r>
        <w:rPr>
          <w:rStyle w:val="CharPartText"/>
        </w:rPr>
        <w:t xml:space="preserve"> </w:t>
      </w:r>
    </w:p>
    <w:p>
      <w:pPr>
        <w:pStyle w:val="Heading5"/>
        <w:spacing w:before="120"/>
        <w:rPr>
          <w:snapToGrid w:val="0"/>
        </w:rPr>
      </w:pPr>
      <w:bookmarkStart w:id="1476" w:name="_Toc474633200"/>
      <w:bookmarkStart w:id="1477" w:name="_Toc488740351"/>
      <w:bookmarkStart w:id="1478" w:name="_Toc8623734"/>
      <w:bookmarkStart w:id="1479" w:name="_Toc11229575"/>
      <w:bookmarkStart w:id="1480" w:name="_Toc104276755"/>
      <w:bookmarkStart w:id="1481" w:name="_Toc127087435"/>
      <w:r>
        <w:rPr>
          <w:rStyle w:val="CharSectno"/>
        </w:rPr>
        <w:t>121</w:t>
      </w:r>
      <w:r>
        <w:rPr>
          <w:snapToGrid w:val="0"/>
        </w:rPr>
        <w:t>.</w:t>
      </w:r>
      <w:r>
        <w:rPr>
          <w:snapToGrid w:val="0"/>
        </w:rPr>
        <w:tab/>
        <w:t>Proceedings</w:t>
      </w:r>
      <w:bookmarkEnd w:id="1476"/>
      <w:bookmarkEnd w:id="1477"/>
      <w:bookmarkEnd w:id="1478"/>
      <w:bookmarkEnd w:id="1479"/>
      <w:bookmarkEnd w:id="1480"/>
      <w:bookmarkEnd w:id="1481"/>
      <w:r>
        <w:rPr>
          <w:snapToGrid w:val="0"/>
        </w:rPr>
        <w:t xml:space="preserve"> </w:t>
      </w:r>
    </w:p>
    <w:p>
      <w:pPr>
        <w:pStyle w:val="Subsection"/>
        <w:spacing w:before="10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00"/>
        <w:rPr>
          <w:snapToGrid w:val="0"/>
        </w:rPr>
      </w:pPr>
      <w:r>
        <w:rPr>
          <w:snapToGrid w:val="0"/>
        </w:rPr>
        <w:tab/>
        <w:t>(2)</w:t>
      </w:r>
      <w:r>
        <w:rPr>
          <w:snapToGrid w:val="0"/>
        </w:rPr>
        <w:tab/>
        <w:t>Fees payable in respect of such proceedings are respectively set out in the Second Schedule.</w:t>
      </w:r>
    </w:p>
    <w:p>
      <w:pPr>
        <w:pStyle w:val="Heading5"/>
        <w:spacing w:before="120"/>
        <w:rPr>
          <w:snapToGrid w:val="0"/>
        </w:rPr>
      </w:pPr>
      <w:bookmarkStart w:id="1482" w:name="_Toc474633201"/>
      <w:bookmarkStart w:id="1483" w:name="_Toc488740352"/>
      <w:bookmarkStart w:id="1484" w:name="_Toc8623735"/>
      <w:bookmarkStart w:id="1485" w:name="_Toc11229576"/>
      <w:bookmarkStart w:id="1486" w:name="_Toc104276756"/>
      <w:bookmarkStart w:id="1487" w:name="_Toc127087436"/>
      <w:r>
        <w:rPr>
          <w:rStyle w:val="CharSectno"/>
        </w:rPr>
        <w:t>122</w:t>
      </w:r>
      <w:r>
        <w:rPr>
          <w:snapToGrid w:val="0"/>
        </w:rPr>
        <w:t>.</w:t>
      </w:r>
      <w:r>
        <w:rPr>
          <w:snapToGrid w:val="0"/>
        </w:rPr>
        <w:tab/>
        <w:t>Lodgement, withdrawal of plaint</w:t>
      </w:r>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rPr>
          <w:snapToGrid w:val="0"/>
        </w:rPr>
      </w:pPr>
      <w:r>
        <w:rPr>
          <w:snapToGrid w:val="0"/>
        </w:rPr>
        <w:tab/>
        <w:t>(2)</w:t>
      </w:r>
      <w:r>
        <w:rPr>
          <w:snapToGrid w:val="0"/>
        </w:rPr>
        <w:tab/>
        <w:t>A plaint shall not be withdrawn or proceedings stayed after a summons has been served without the written consent of the defendant or by leave of the warden.</w:t>
      </w:r>
    </w:p>
    <w:p>
      <w:pPr>
        <w:pStyle w:val="Heading5"/>
        <w:rPr>
          <w:snapToGrid w:val="0"/>
        </w:rPr>
      </w:pPr>
      <w:bookmarkStart w:id="1488" w:name="_Toc474633202"/>
      <w:bookmarkStart w:id="1489" w:name="_Toc488740353"/>
      <w:bookmarkStart w:id="1490" w:name="_Toc8623736"/>
      <w:bookmarkStart w:id="1491" w:name="_Toc11229577"/>
      <w:bookmarkStart w:id="1492" w:name="_Toc104276757"/>
      <w:bookmarkStart w:id="1493" w:name="_Toc127087437"/>
      <w:r>
        <w:rPr>
          <w:rStyle w:val="CharSectno"/>
        </w:rPr>
        <w:t>123</w:t>
      </w:r>
      <w:r>
        <w:rPr>
          <w:snapToGrid w:val="0"/>
        </w:rPr>
        <w:t>.</w:t>
      </w:r>
      <w:r>
        <w:rPr>
          <w:snapToGrid w:val="0"/>
        </w:rPr>
        <w:tab/>
        <w:t>Issue of summons</w:t>
      </w:r>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r>
      <w:r>
        <w:rPr>
          <w:snapToGrid w:val="0"/>
        </w:rPr>
        <w:tab/>
        <w:t>On receipt of a plaint, the mining registrar shall — </w:t>
      </w:r>
    </w:p>
    <w:p>
      <w:pPr>
        <w:pStyle w:val="Indenta"/>
        <w:rPr>
          <w:snapToGrid w:val="0"/>
        </w:rPr>
      </w:pPr>
      <w:r>
        <w:rPr>
          <w:snapToGrid w:val="0"/>
        </w:rPr>
        <w:tab/>
        <w:t>(a)</w:t>
      </w:r>
      <w:r>
        <w:rPr>
          <w:snapToGrid w:val="0"/>
        </w:rPr>
        <w:tab/>
        <w:t>fix a date and time for hearing in the warden’s court being not less than </w:t>
      </w:r>
      <w:r>
        <w:t>45</w:t>
      </w:r>
      <w:r>
        <w:rPr>
          <w:snapToGrid w:val="0"/>
        </w:rPr>
        <w:t> days from the date of lodgement, unless all parties to the action consent to an earlier hearing date;</w:t>
      </w:r>
    </w:p>
    <w:p>
      <w:pPr>
        <w:pStyle w:val="Indenta"/>
        <w:rPr>
          <w:snapToGrid w:val="0"/>
        </w:rPr>
      </w:pPr>
      <w:r>
        <w:rPr>
          <w:snapToGrid w:val="0"/>
        </w:rPr>
        <w:tab/>
        <w:t>(b)</w:t>
      </w:r>
      <w:r>
        <w:rPr>
          <w:snapToGrid w:val="0"/>
        </w:rPr>
        <w:tab/>
        <w:t>advise the plaintiff of the hearing date; and</w:t>
      </w:r>
    </w:p>
    <w:p>
      <w:pPr>
        <w:pStyle w:val="Indenta"/>
        <w:rPr>
          <w:snapToGrid w:val="0"/>
        </w:rPr>
      </w:pPr>
      <w:r>
        <w:rPr>
          <w:snapToGrid w:val="0"/>
        </w:rPr>
        <w:tab/>
        <w:t>(c)</w:t>
      </w:r>
      <w:r>
        <w:rPr>
          <w:snapToGrid w:val="0"/>
        </w:rPr>
        <w:tab/>
        <w:t>issue a summons in the form No. 34 in the First Schedule in duplicate addressed to each defendant and forward it for service to — </w:t>
      </w:r>
    </w:p>
    <w:p>
      <w:pPr>
        <w:pStyle w:val="Indenti"/>
        <w:rPr>
          <w:snapToGrid w:val="0"/>
        </w:rPr>
      </w:pPr>
      <w:r>
        <w:rPr>
          <w:snapToGrid w:val="0"/>
        </w:rPr>
        <w:tab/>
        <w:t>(i)</w:t>
      </w:r>
      <w:r>
        <w:rPr>
          <w:snapToGrid w:val="0"/>
        </w:rPr>
        <w:tab/>
        <w:t>the plaintiff;</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Footnotesection"/>
      </w:pPr>
      <w:r>
        <w:tab/>
        <w:t>[Regulation 123 amended in Gazette 17 Jan 2003 p. 114.]</w:t>
      </w:r>
    </w:p>
    <w:p>
      <w:pPr>
        <w:pStyle w:val="Heading5"/>
        <w:rPr>
          <w:snapToGrid w:val="0"/>
        </w:rPr>
      </w:pPr>
      <w:bookmarkStart w:id="1494" w:name="_Toc474633203"/>
      <w:bookmarkStart w:id="1495" w:name="_Toc488740354"/>
      <w:bookmarkStart w:id="1496" w:name="_Toc8623737"/>
      <w:bookmarkStart w:id="1497" w:name="_Toc11229578"/>
      <w:bookmarkStart w:id="1498" w:name="_Toc104276758"/>
      <w:bookmarkStart w:id="1499" w:name="_Toc127087438"/>
      <w:r>
        <w:rPr>
          <w:rStyle w:val="CharSectno"/>
        </w:rPr>
        <w:t>124</w:t>
      </w:r>
      <w:r>
        <w:rPr>
          <w:snapToGrid w:val="0"/>
        </w:rPr>
        <w:t>.</w:t>
      </w:r>
      <w:r>
        <w:rPr>
          <w:snapToGrid w:val="0"/>
        </w:rPr>
        <w:tab/>
        <w:t>Affidavit of service</w:t>
      </w:r>
      <w:bookmarkEnd w:id="1494"/>
      <w:bookmarkEnd w:id="1495"/>
      <w:bookmarkEnd w:id="1496"/>
      <w:bookmarkEnd w:id="1497"/>
      <w:bookmarkEnd w:id="1498"/>
      <w:bookmarkEnd w:id="1499"/>
      <w:r>
        <w:rPr>
          <w:snapToGrid w:val="0"/>
        </w:rPr>
        <w:t xml:space="preserve"> </w:t>
      </w:r>
    </w:p>
    <w:p>
      <w:pPr>
        <w:pStyle w:val="Subsection"/>
        <w:rPr>
          <w:snapToGrid w:val="0"/>
        </w:rPr>
      </w:pPr>
      <w:r>
        <w:rPr>
          <w:snapToGrid w:val="0"/>
        </w:rPr>
        <w:tab/>
      </w:r>
      <w:r>
        <w:rPr>
          <w:snapToGrid w:val="0"/>
        </w:rPr>
        <w:tab/>
        <w:t>The person to whom the summonses are delivered shall serve them without delay, and thereupon shall make an affidavit of service, in the form No. 35 in the First Schedule and deliver it to the mining registrar.</w:t>
      </w:r>
    </w:p>
    <w:p>
      <w:pPr>
        <w:pStyle w:val="Heading5"/>
        <w:rPr>
          <w:snapToGrid w:val="0"/>
        </w:rPr>
      </w:pPr>
      <w:bookmarkStart w:id="1500" w:name="_Toc474633204"/>
      <w:bookmarkStart w:id="1501" w:name="_Toc488740355"/>
      <w:bookmarkStart w:id="1502" w:name="_Toc8623738"/>
      <w:bookmarkStart w:id="1503" w:name="_Toc11229579"/>
      <w:bookmarkStart w:id="1504" w:name="_Toc104276759"/>
      <w:bookmarkStart w:id="1505" w:name="_Toc127087439"/>
      <w:r>
        <w:rPr>
          <w:rStyle w:val="CharSectno"/>
        </w:rPr>
        <w:t>125</w:t>
      </w:r>
      <w:r>
        <w:rPr>
          <w:snapToGrid w:val="0"/>
        </w:rPr>
        <w:t>.</w:t>
      </w:r>
      <w:r>
        <w:rPr>
          <w:snapToGrid w:val="0"/>
        </w:rPr>
        <w:tab/>
        <w:t>Time for service</w:t>
      </w:r>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Where a summons has not been served within the prescribed time, the warden or mining registrar may, on giving notice to the plaintiff, extend the date of hearing and issue an amended summons.</w:t>
      </w:r>
    </w:p>
    <w:p>
      <w:pPr>
        <w:pStyle w:val="Footnotesection"/>
      </w:pPr>
      <w:r>
        <w:tab/>
        <w:t>[Regulation 125 amended in Gazette 17 Jan 2003 p. 114.]</w:t>
      </w:r>
    </w:p>
    <w:p>
      <w:pPr>
        <w:pStyle w:val="Heading5"/>
        <w:spacing w:before="120"/>
        <w:rPr>
          <w:snapToGrid w:val="0"/>
        </w:rPr>
      </w:pPr>
      <w:bookmarkStart w:id="1506" w:name="_Toc474633205"/>
      <w:bookmarkStart w:id="1507" w:name="_Toc488740356"/>
      <w:bookmarkStart w:id="1508" w:name="_Toc8623739"/>
      <w:bookmarkStart w:id="1509" w:name="_Toc11229580"/>
      <w:bookmarkStart w:id="1510" w:name="_Toc104276760"/>
      <w:bookmarkStart w:id="1511" w:name="_Toc127087440"/>
      <w:r>
        <w:rPr>
          <w:rStyle w:val="CharSectno"/>
        </w:rPr>
        <w:t>126</w:t>
      </w:r>
      <w:r>
        <w:rPr>
          <w:snapToGrid w:val="0"/>
        </w:rPr>
        <w:t>.</w:t>
      </w:r>
      <w:r>
        <w:rPr>
          <w:snapToGrid w:val="0"/>
        </w:rPr>
        <w:tab/>
        <w:t>Notice of defence</w:t>
      </w:r>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r>
      <w:r>
        <w:rPr>
          <w:snapToGrid w:val="0"/>
        </w:rPr>
        <w:tab/>
        <w:t xml:space="preserve">When the defendant intends to dispute the claim he shall lodge at the office of the mining registrar not less than </w:t>
      </w:r>
      <w:r>
        <w:t>21</w:t>
      </w:r>
      <w:r>
        <w:rPr>
          <w:snapToGrid w:val="0"/>
        </w:rPr>
        <w:t> days before the date fixed for the hearing or at any subsequent time prior to the hearing as the warden may allow a notice of defence in the form No. 36 in the First Schedule with the prescribed fee, and the mining registrar shall forward a copy of the notice to the plaintiff.</w:t>
      </w:r>
    </w:p>
    <w:p>
      <w:pPr>
        <w:pStyle w:val="Footnotesection"/>
      </w:pPr>
      <w:r>
        <w:tab/>
        <w:t xml:space="preserve">[Regulation 126 amended in Gazette 24 Jun 1994 p. 2938; 11 Jun 1999 p. 2545; 17 Jan 2003 p. 114.] </w:t>
      </w:r>
    </w:p>
    <w:p>
      <w:pPr>
        <w:pStyle w:val="Heading5"/>
        <w:spacing w:before="120"/>
        <w:rPr>
          <w:snapToGrid w:val="0"/>
        </w:rPr>
      </w:pPr>
      <w:bookmarkStart w:id="1512" w:name="_Toc474633206"/>
      <w:bookmarkStart w:id="1513" w:name="_Toc488740357"/>
      <w:bookmarkStart w:id="1514" w:name="_Toc8623740"/>
      <w:bookmarkStart w:id="1515" w:name="_Toc11229581"/>
      <w:bookmarkStart w:id="1516" w:name="_Toc104276761"/>
      <w:bookmarkStart w:id="1517" w:name="_Toc127087441"/>
      <w:r>
        <w:rPr>
          <w:rStyle w:val="CharSectno"/>
        </w:rPr>
        <w:t>127</w:t>
      </w:r>
      <w:r>
        <w:rPr>
          <w:snapToGrid w:val="0"/>
        </w:rPr>
        <w:t>.</w:t>
      </w:r>
      <w:r>
        <w:rPr>
          <w:snapToGrid w:val="0"/>
        </w:rPr>
        <w:tab/>
        <w:t>Subpoena of witness</w:t>
      </w:r>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t>(1)</w:t>
      </w:r>
      <w:r>
        <w:rPr>
          <w:snapToGrid w:val="0"/>
        </w:rPr>
        <w:tab/>
        <w:t>Each party may procure the attendance of witnesses by means of a subpoena in the form No. 37 in the First Schedule.</w:t>
      </w:r>
    </w:p>
    <w:p>
      <w:pPr>
        <w:pStyle w:val="Subsection"/>
        <w:rPr>
          <w:snapToGrid w:val="0"/>
        </w:rPr>
      </w:pPr>
      <w:r>
        <w:rPr>
          <w:snapToGrid w:val="0"/>
        </w:rPr>
        <w:tab/>
        <w:t>(2)</w:t>
      </w:r>
      <w:r>
        <w:rPr>
          <w:snapToGrid w:val="0"/>
        </w:rPr>
        <w:tab/>
        <w:t xml:space="preserve">A witness who attends in answer to a subpoena shall be entitled to the allowances prescribed in the </w:t>
      </w:r>
      <w:r>
        <w:rPr>
          <w:i/>
          <w:snapToGrid w:val="0"/>
        </w:rPr>
        <w:t>Local Court Rules 1961</w:t>
      </w:r>
      <w:r>
        <w:rPr>
          <w:snapToGrid w:val="0"/>
        </w:rPr>
        <w:t>.</w:t>
      </w:r>
    </w:p>
    <w:p>
      <w:pPr>
        <w:pStyle w:val="Subsection"/>
        <w:rPr>
          <w:snapToGrid w:val="0"/>
        </w:rPr>
      </w:pPr>
      <w:r>
        <w:rPr>
          <w:snapToGrid w:val="0"/>
        </w:rPr>
        <w:tab/>
        <w:t>(3)</w:t>
      </w:r>
      <w:r>
        <w:rPr>
          <w:snapToGrid w:val="0"/>
        </w:rPr>
        <w:tab/>
        <w:t>A witness is not required to attend unless at the time of the service of the subpoena a reasonable sum as conduct money is tendered to him.</w:t>
      </w:r>
    </w:p>
    <w:p>
      <w:pPr>
        <w:pStyle w:val="Heading5"/>
        <w:rPr>
          <w:snapToGrid w:val="0"/>
        </w:rPr>
      </w:pPr>
      <w:bookmarkStart w:id="1518" w:name="_Toc474633207"/>
      <w:bookmarkStart w:id="1519" w:name="_Toc488740358"/>
      <w:bookmarkStart w:id="1520" w:name="_Toc8623741"/>
      <w:bookmarkStart w:id="1521" w:name="_Toc11229582"/>
      <w:bookmarkStart w:id="1522" w:name="_Toc104276762"/>
      <w:bookmarkStart w:id="1523" w:name="_Toc127087442"/>
      <w:r>
        <w:rPr>
          <w:rStyle w:val="CharSectno"/>
        </w:rPr>
        <w:t>127A</w:t>
      </w:r>
      <w:r>
        <w:rPr>
          <w:snapToGrid w:val="0"/>
        </w:rPr>
        <w:t>.</w:t>
      </w:r>
      <w:r>
        <w:rPr>
          <w:snapToGrid w:val="0"/>
        </w:rPr>
        <w:tab/>
        <w:t>Persons before whom affidavit may be sworn</w:t>
      </w:r>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r>
      <w:r>
        <w:rPr>
          <w:snapToGrid w:val="0"/>
        </w:rPr>
        <w:tab/>
        <w:t>For the purposes of section 144(e) of the Act, the offices of — </w:t>
      </w:r>
    </w:p>
    <w:p>
      <w:pPr>
        <w:pStyle w:val="Indenta"/>
      </w:pPr>
      <w:r>
        <w:tab/>
        <w:t>(a)</w:t>
      </w:r>
      <w:r>
        <w:tab/>
        <w:t>Director;</w:t>
      </w:r>
    </w:p>
    <w:p>
      <w:pPr>
        <w:pStyle w:val="Indenta"/>
      </w:pPr>
      <w:r>
        <w:tab/>
        <w:t>(b)</w:t>
      </w:r>
      <w:r>
        <w:tab/>
        <w:t>General Manager;</w:t>
      </w:r>
    </w:p>
    <w:p>
      <w:pPr>
        <w:pStyle w:val="Indenta"/>
      </w:pPr>
      <w:r>
        <w:tab/>
        <w:t>(c)</w:t>
      </w:r>
      <w:r>
        <w:tab/>
        <w:t>Manager; and</w:t>
      </w:r>
    </w:p>
    <w:p>
      <w:pPr>
        <w:pStyle w:val="Indenta"/>
        <w:rPr>
          <w:snapToGrid w:val="0"/>
        </w:rPr>
      </w:pPr>
      <w:r>
        <w:tab/>
        <w:t>(d)</w:t>
      </w:r>
      <w:r>
        <w:tab/>
        <w:t>Co</w:t>
      </w:r>
      <w:r>
        <w:noBreakHyphen/>
        <w:t>ordinator,</w:t>
      </w:r>
    </w:p>
    <w:p>
      <w:pPr>
        <w:pStyle w:val="Subsection"/>
        <w:rPr>
          <w:snapToGrid w:val="0"/>
        </w:rPr>
      </w:pPr>
      <w:r>
        <w:rPr>
          <w:snapToGrid w:val="0"/>
        </w:rPr>
        <w:tab/>
      </w:r>
      <w:r>
        <w:rPr>
          <w:snapToGrid w:val="0"/>
        </w:rP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 xml:space="preserve">[Regulation 127A inserted in Gazette 24 Jun 1994 p. 2938; amended in Gazette 13 Oct 1995 p. 4822; 4 Apr 1997 p. 1779; 21 Jan 2000 p. 345.] </w:t>
      </w:r>
    </w:p>
    <w:p>
      <w:pPr>
        <w:pStyle w:val="Heading5"/>
        <w:rPr>
          <w:snapToGrid w:val="0"/>
        </w:rPr>
      </w:pPr>
      <w:bookmarkStart w:id="1524" w:name="_Toc474633208"/>
      <w:bookmarkStart w:id="1525" w:name="_Toc488740359"/>
      <w:bookmarkStart w:id="1526" w:name="_Toc8623742"/>
      <w:bookmarkStart w:id="1527" w:name="_Toc11229583"/>
      <w:bookmarkStart w:id="1528" w:name="_Toc104276763"/>
      <w:bookmarkStart w:id="1529" w:name="_Toc127087443"/>
      <w:r>
        <w:rPr>
          <w:rStyle w:val="CharSectno"/>
        </w:rPr>
        <w:t>128</w:t>
      </w:r>
      <w:r>
        <w:rPr>
          <w:snapToGrid w:val="0"/>
        </w:rPr>
        <w:t>.</w:t>
      </w:r>
      <w:r>
        <w:rPr>
          <w:snapToGrid w:val="0"/>
        </w:rPr>
        <w:tab/>
        <w:t>Costs</w:t>
      </w:r>
      <w:bookmarkEnd w:id="1524"/>
      <w:bookmarkEnd w:id="1525"/>
      <w:bookmarkEnd w:id="1526"/>
      <w:bookmarkEnd w:id="1527"/>
      <w:bookmarkEnd w:id="1528"/>
      <w:bookmarkEnd w:id="1529"/>
      <w:r>
        <w:rPr>
          <w:snapToGrid w:val="0"/>
        </w:rPr>
        <w:t xml:space="preserve"> </w:t>
      </w:r>
    </w:p>
    <w:p>
      <w:pPr>
        <w:pStyle w:val="Subsection"/>
        <w:rPr>
          <w:snapToGrid w:val="0"/>
        </w:rPr>
      </w:pPr>
      <w:r>
        <w:rPr>
          <w:snapToGrid w:val="0"/>
        </w:rPr>
        <w:tab/>
        <w:t>(1)</w:t>
      </w:r>
      <w:r>
        <w:rPr>
          <w:snapToGrid w:val="0"/>
        </w:rPr>
        <w:tab/>
        <w:t xml:space="preserve">Where the warden’s court orders costs to be paid by any party, those costs shall be in accordance with the costs allowed under the </w:t>
      </w:r>
      <w:r>
        <w:rPr>
          <w:i/>
          <w:snapToGrid w:val="0"/>
        </w:rPr>
        <w:t>Local Court Rules 1961</w:t>
      </w:r>
      <w:r>
        <w:rPr>
          <w:snapToGrid w:val="0"/>
        </w:rPr>
        <w:t>.</w:t>
      </w:r>
    </w:p>
    <w:p>
      <w:pPr>
        <w:pStyle w:val="Subsection"/>
        <w:rPr>
          <w:snapToGrid w:val="0"/>
        </w:rPr>
      </w:pPr>
      <w:r>
        <w:rPr>
          <w:snapToGrid w:val="0"/>
        </w:rPr>
        <w:tab/>
        <w:t>(2)</w:t>
      </w:r>
      <w:r>
        <w:rPr>
          <w:snapToGrid w:val="0"/>
        </w:rPr>
        <w:tab/>
        <w:t>Where there is no money demanded, the warden’s court shall determine under which scale the costs are to be awarded.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allowance under the </w:t>
      </w:r>
      <w:r>
        <w:rPr>
          <w:i/>
          <w:snapToGrid w:val="0"/>
        </w:rPr>
        <w:t>Local Court Rules 1961</w:t>
      </w:r>
      <w:r>
        <w:rPr>
          <w:snapToGrid w:val="0"/>
        </w:rPr>
        <w:t xml:space="preserve"> is inadequate in that regard, the warden may, upon application at the trial (to which the party against whom the order is sought is entitled to be heard in reply) fix —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Heading5"/>
        <w:rPr>
          <w:snapToGrid w:val="0"/>
        </w:rPr>
      </w:pPr>
      <w:bookmarkStart w:id="1530" w:name="_Toc474633209"/>
      <w:bookmarkStart w:id="1531" w:name="_Toc488740360"/>
      <w:bookmarkStart w:id="1532" w:name="_Toc8623743"/>
      <w:bookmarkStart w:id="1533" w:name="_Toc11229584"/>
      <w:bookmarkStart w:id="1534" w:name="_Toc104276764"/>
      <w:bookmarkStart w:id="1535" w:name="_Toc127087444"/>
      <w:r>
        <w:rPr>
          <w:rStyle w:val="CharSectno"/>
        </w:rPr>
        <w:t>129</w:t>
      </w:r>
      <w:r>
        <w:rPr>
          <w:snapToGrid w:val="0"/>
        </w:rPr>
        <w:t>.</w:t>
      </w:r>
      <w:r>
        <w:rPr>
          <w:snapToGrid w:val="0"/>
        </w:rPr>
        <w:tab/>
        <w:t>Copy of judgment</w:t>
      </w:r>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When the decision of any plaint has been delivered by the warden’s court, a judgment in the form No. 38 in the First Schedule may be signed by the warden or mining registrar and filed 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Heading5"/>
        <w:rPr>
          <w:snapToGrid w:val="0"/>
        </w:rPr>
      </w:pPr>
      <w:bookmarkStart w:id="1536" w:name="_Toc474633210"/>
      <w:bookmarkStart w:id="1537" w:name="_Toc488740361"/>
      <w:bookmarkStart w:id="1538" w:name="_Toc8623744"/>
      <w:bookmarkStart w:id="1539" w:name="_Toc11229585"/>
      <w:bookmarkStart w:id="1540" w:name="_Toc104276765"/>
      <w:bookmarkStart w:id="1541" w:name="_Toc127087445"/>
      <w:r>
        <w:rPr>
          <w:rStyle w:val="CharSectno"/>
        </w:rPr>
        <w:t>130</w:t>
      </w:r>
      <w:r>
        <w:rPr>
          <w:snapToGrid w:val="0"/>
        </w:rPr>
        <w:t>.</w:t>
      </w:r>
      <w:r>
        <w:rPr>
          <w:snapToGrid w:val="0"/>
        </w:rPr>
        <w:tab/>
        <w:t>Warrant of execution</w:t>
      </w:r>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Where the plaintiff or defendant has made default in the payment of any sum of money ordered by the warden’s court to be paid by him, the party to whom such sum is payable may, on application to the mining registrar, and on payment of the prescribed fee, obtain a warrant of execution against any property of the party making such default.</w:t>
      </w:r>
    </w:p>
    <w:p>
      <w:pPr>
        <w:pStyle w:val="Subsection"/>
        <w:rPr>
          <w:snapToGrid w:val="0"/>
        </w:rPr>
      </w:pPr>
      <w:r>
        <w:rPr>
          <w:snapToGrid w:val="0"/>
        </w:rPr>
        <w:tab/>
        <w:t>(2)</w:t>
      </w:r>
      <w:r>
        <w:rPr>
          <w:snapToGrid w:val="0"/>
        </w:rPr>
        <w:tab/>
        <w:t>The warrant shall be in the form No. 39 in the First Schedule.</w:t>
      </w:r>
    </w:p>
    <w:p>
      <w:pPr>
        <w:pStyle w:val="Subsection"/>
        <w:rPr>
          <w:snapToGrid w:val="0"/>
        </w:rPr>
      </w:pPr>
      <w:r>
        <w:rPr>
          <w:snapToGrid w:val="0"/>
        </w:rPr>
        <w:tab/>
        <w:t>(3)</w:t>
      </w:r>
      <w:r>
        <w:rPr>
          <w:snapToGrid w:val="0"/>
        </w:rPr>
        <w:tab/>
        <w:t>The warrant may remain in force for a period of 12 calendar months.</w:t>
      </w:r>
    </w:p>
    <w:p>
      <w:pPr>
        <w:pStyle w:val="Subsection"/>
        <w:rPr>
          <w:snapToGrid w:val="0"/>
        </w:rPr>
      </w:pPr>
      <w:r>
        <w:rPr>
          <w:snapToGrid w:val="0"/>
        </w:rPr>
        <w:tab/>
        <w:t>(4)</w:t>
      </w:r>
      <w:r>
        <w:rPr>
          <w:snapToGrid w:val="0"/>
        </w:rPr>
        <w:tab/>
        <w:t>Application for renewal of the warrant shall be made to the warden or mining registrar in writing, supported by a statutory declaration as to default having been made in payment of the sum awarded, or any portion thereof.</w:t>
      </w:r>
    </w:p>
    <w:p>
      <w:pPr>
        <w:pStyle w:val="Heading5"/>
        <w:rPr>
          <w:snapToGrid w:val="0"/>
        </w:rPr>
      </w:pPr>
      <w:bookmarkStart w:id="1542" w:name="_Toc474633211"/>
      <w:bookmarkStart w:id="1543" w:name="_Toc488740362"/>
      <w:bookmarkStart w:id="1544" w:name="_Toc8623745"/>
      <w:bookmarkStart w:id="1545" w:name="_Toc11229586"/>
      <w:bookmarkStart w:id="1546" w:name="_Toc104276766"/>
      <w:bookmarkStart w:id="1547" w:name="_Toc127087446"/>
      <w:r>
        <w:rPr>
          <w:rStyle w:val="CharSectno"/>
        </w:rPr>
        <w:t>131</w:t>
      </w:r>
      <w:r>
        <w:rPr>
          <w:snapToGrid w:val="0"/>
        </w:rPr>
        <w:t>.</w:t>
      </w:r>
      <w:r>
        <w:rPr>
          <w:snapToGrid w:val="0"/>
        </w:rPr>
        <w:tab/>
        <w:t>Warrant for recovery of possession</w:t>
      </w:r>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r>
      <w:r>
        <w:rPr>
          <w:snapToGrid w:val="0"/>
        </w:rPr>
        <w:tab/>
        <w:t>A warrant for recovery of possession pursuant to section 141 of the Act shall be in the form No. 40 in the First Schedule.</w:t>
      </w:r>
    </w:p>
    <w:p>
      <w:pPr>
        <w:pStyle w:val="Heading5"/>
        <w:rPr>
          <w:snapToGrid w:val="0"/>
        </w:rPr>
      </w:pPr>
      <w:bookmarkStart w:id="1548" w:name="_Toc474633212"/>
      <w:bookmarkStart w:id="1549" w:name="_Toc488740363"/>
      <w:bookmarkStart w:id="1550" w:name="_Toc8623746"/>
      <w:bookmarkStart w:id="1551" w:name="_Toc11229587"/>
      <w:bookmarkStart w:id="1552" w:name="_Toc104276767"/>
      <w:bookmarkStart w:id="1553" w:name="_Toc127087447"/>
      <w:r>
        <w:rPr>
          <w:rStyle w:val="CharSectno"/>
        </w:rPr>
        <w:t>132</w:t>
      </w:r>
      <w:r>
        <w:rPr>
          <w:snapToGrid w:val="0"/>
        </w:rPr>
        <w:t>.</w:t>
      </w:r>
      <w:r>
        <w:rPr>
          <w:snapToGrid w:val="0"/>
        </w:rPr>
        <w:tab/>
        <w:t>Notice of seizure</w:t>
      </w:r>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On seizure of any mining tenement or interest therein, under a writ of fi. fa. or a warrant issued out of the warden’s court or any other court, notice thereof in the form No. 41 in the First Schedule shall be given to the mining registrar with the prescribed fee, and a copy of the writ of fi. fa. or warrant shall be attached to the notice.</w:t>
      </w:r>
    </w:p>
    <w:p>
      <w:pPr>
        <w:pStyle w:val="Heading5"/>
        <w:rPr>
          <w:snapToGrid w:val="0"/>
        </w:rPr>
      </w:pPr>
      <w:bookmarkStart w:id="1554" w:name="_Toc474633213"/>
      <w:bookmarkStart w:id="1555" w:name="_Toc488740364"/>
      <w:bookmarkStart w:id="1556" w:name="_Toc8623747"/>
      <w:bookmarkStart w:id="1557" w:name="_Toc11229588"/>
      <w:bookmarkStart w:id="1558" w:name="_Toc104276768"/>
      <w:bookmarkStart w:id="1559" w:name="_Toc127087448"/>
      <w:r>
        <w:rPr>
          <w:rStyle w:val="CharSectno"/>
        </w:rPr>
        <w:t>133</w:t>
      </w:r>
      <w:r>
        <w:rPr>
          <w:snapToGrid w:val="0"/>
        </w:rPr>
        <w:t>.</w:t>
      </w:r>
      <w:r>
        <w:rPr>
          <w:snapToGrid w:val="0"/>
        </w:rPr>
        <w:tab/>
        <w:t>Sale under warrant of execution</w:t>
      </w:r>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Notice of sale and of the intended place and day of sale under a warrant of execution issued out of the warden’s court shall be given at least 7 days before the day of sale by — </w:t>
      </w:r>
    </w:p>
    <w:p>
      <w:pPr>
        <w:pStyle w:val="Indenta"/>
        <w:rPr>
          <w:snapToGrid w:val="0"/>
        </w:rPr>
      </w:pPr>
      <w:r>
        <w:rPr>
          <w:snapToGrid w:val="0"/>
        </w:rPr>
        <w:tab/>
        <w:t>(a)</w:t>
      </w:r>
      <w:r>
        <w:rPr>
          <w:snapToGrid w:val="0"/>
        </w:rPr>
        <w:tab/>
        <w:t>affixing a notice conspicuously at or near the place where the sale is to take place;</w:t>
      </w:r>
    </w:p>
    <w:p>
      <w:pPr>
        <w:pStyle w:val="Indenta"/>
        <w:rPr>
          <w:snapToGrid w:val="0"/>
        </w:rPr>
      </w:pPr>
      <w:r>
        <w:rPr>
          <w:snapToGrid w:val="0"/>
        </w:rPr>
        <w:tab/>
        <w:t>(b)</w:t>
      </w:r>
      <w:r>
        <w:rPr>
          <w:snapToGrid w:val="0"/>
        </w:rPr>
        <w:tab/>
        <w:t>posting a copy of the notice on the notice board at the office of the mining registrar; and</w:t>
      </w:r>
    </w:p>
    <w:p>
      <w:pPr>
        <w:pStyle w:val="Indenta"/>
        <w:rPr>
          <w:snapToGrid w:val="0"/>
        </w:rPr>
      </w:pPr>
      <w:r>
        <w:rPr>
          <w:snapToGrid w:val="0"/>
        </w:rPr>
        <w:tab/>
        <w:t>(c)</w:t>
      </w:r>
      <w:r>
        <w:rPr>
          <w:snapToGrid w:val="0"/>
        </w:rPr>
        <w:tab/>
        <w:t>advertising particulars of the sale in a newspaper circulating in the district wherein the warden’s court is situated.</w:t>
      </w:r>
    </w:p>
    <w:p>
      <w:pPr>
        <w:pStyle w:val="Subsection"/>
        <w:rPr>
          <w:snapToGrid w:val="0"/>
        </w:rPr>
      </w:pPr>
      <w:r>
        <w:rPr>
          <w:snapToGrid w:val="0"/>
        </w:rPr>
        <w:tab/>
        <w:t>(2)</w:t>
      </w:r>
      <w:r>
        <w:rPr>
          <w:snapToGrid w:val="0"/>
        </w:rPr>
        <w:tab/>
        <w:t>The sale shall be conducted publicly and everything shall be sold for ready money to the highest bidder.</w:t>
      </w:r>
    </w:p>
    <w:p>
      <w:pPr>
        <w:pStyle w:val="Heading5"/>
        <w:rPr>
          <w:snapToGrid w:val="0"/>
        </w:rPr>
      </w:pPr>
      <w:bookmarkStart w:id="1560" w:name="_Toc474633214"/>
      <w:bookmarkStart w:id="1561" w:name="_Toc488740365"/>
      <w:bookmarkStart w:id="1562" w:name="_Toc8623748"/>
      <w:bookmarkStart w:id="1563" w:name="_Toc11229589"/>
      <w:bookmarkStart w:id="1564" w:name="_Toc104276769"/>
      <w:bookmarkStart w:id="1565" w:name="_Toc127087449"/>
      <w:r>
        <w:rPr>
          <w:rStyle w:val="CharSectno"/>
        </w:rPr>
        <w:t>134</w:t>
      </w:r>
      <w:r>
        <w:rPr>
          <w:snapToGrid w:val="0"/>
        </w:rPr>
        <w:t>.</w:t>
      </w:r>
      <w:r>
        <w:rPr>
          <w:snapToGrid w:val="0"/>
        </w:rPr>
        <w:tab/>
        <w:t>Transfer upon sale</w:t>
      </w:r>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Upon sale under a warrant of execution the officer executing such warrant shall sign a transfer in the form No. 23 in the First Schedule to the purchaser of the mining tenement or interest therein sold under the warrant.</w:t>
      </w:r>
    </w:p>
    <w:p>
      <w:pPr>
        <w:pStyle w:val="Heading5"/>
        <w:rPr>
          <w:snapToGrid w:val="0"/>
        </w:rPr>
      </w:pPr>
      <w:bookmarkStart w:id="1566" w:name="_Toc474633215"/>
      <w:bookmarkStart w:id="1567" w:name="_Toc488740366"/>
      <w:bookmarkStart w:id="1568" w:name="_Toc8623749"/>
      <w:bookmarkStart w:id="1569" w:name="_Toc11229590"/>
      <w:bookmarkStart w:id="1570" w:name="_Toc104276770"/>
      <w:bookmarkStart w:id="1571" w:name="_Toc127087450"/>
      <w:r>
        <w:rPr>
          <w:rStyle w:val="CharSectno"/>
        </w:rPr>
        <w:t>135</w:t>
      </w:r>
      <w:r>
        <w:rPr>
          <w:snapToGrid w:val="0"/>
        </w:rPr>
        <w:t>.</w:t>
      </w:r>
      <w:r>
        <w:rPr>
          <w:snapToGrid w:val="0"/>
        </w:rPr>
        <w:tab/>
        <w:t>Appeal to Supreme Court</w:t>
      </w:r>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1572" w:name="_Toc474633216"/>
      <w:bookmarkStart w:id="1573" w:name="_Toc488740367"/>
      <w:bookmarkStart w:id="1574" w:name="_Toc8623750"/>
      <w:bookmarkStart w:id="1575" w:name="_Toc11229591"/>
      <w:bookmarkStart w:id="1576" w:name="_Toc104276771"/>
      <w:bookmarkStart w:id="1577" w:name="_Toc127087451"/>
      <w:r>
        <w:rPr>
          <w:rStyle w:val="CharSectno"/>
        </w:rPr>
        <w:t>136</w:t>
      </w:r>
      <w:r>
        <w:rPr>
          <w:snapToGrid w:val="0"/>
        </w:rPr>
        <w:t>.</w:t>
      </w:r>
      <w:r>
        <w:rPr>
          <w:snapToGrid w:val="0"/>
        </w:rPr>
        <w:tab/>
        <w:t>Injunction</w:t>
      </w:r>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r>
      <w:r>
        <w:rPr>
          <w:snapToGrid w:val="0"/>
        </w:rPr>
        <w:tab/>
        <w:t>An order of the warden’s court for an injunction shall be in the form No. 43 in the First Schedule.</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pPr>
      <w:bookmarkStart w:id="1578" w:name="_Toc104276772"/>
      <w:bookmarkStart w:id="1579" w:name="_Toc127087452"/>
      <w:r>
        <w:rPr>
          <w:rStyle w:val="CharSchNo"/>
        </w:rPr>
        <w:t>First Schedule</w:t>
      </w:r>
      <w:bookmarkEnd w:id="1578"/>
      <w:bookmarkEnd w:id="1579"/>
    </w:p>
    <w:p>
      <w:pPr>
        <w:pStyle w:val="MiscellaneousHeading"/>
        <w:rPr>
          <w:b/>
          <w:snapToGrid w:val="0"/>
        </w:rPr>
      </w:pPr>
      <w:r>
        <w:rPr>
          <w:b/>
          <w:snapToGrid w:val="0"/>
        </w:rPr>
        <w:t>Schedule of Forms</w:t>
      </w:r>
    </w:p>
    <w:p>
      <w:pPr>
        <w:pStyle w:val="yTable"/>
        <w:ind w:left="567" w:hanging="567"/>
        <w:rPr>
          <w:b/>
          <w:snapToGrid w:val="0"/>
        </w:rPr>
      </w:pPr>
      <w:r>
        <w:rPr>
          <w:b/>
          <w:snapToGrid w:val="0"/>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keepNext/>
        <w:spacing w:after="60"/>
        <w:ind w:left="567" w:hanging="567"/>
        <w:rPr>
          <w:b/>
          <w:snapToGrid w:val="0"/>
        </w:rPr>
      </w:pPr>
      <w:r>
        <w:rPr>
          <w:b/>
          <w:snapToGrid w:val="0"/>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 xml:space="preserve">36. </w:t>
      </w:r>
      <w:r>
        <w:rPr>
          <w:snapToGrid w:val="0"/>
        </w:rPr>
        <w:tab/>
        <w:t>Notice of Defence.</w:t>
      </w:r>
    </w:p>
    <w:p>
      <w:pPr>
        <w:pStyle w:val="yTable"/>
        <w:spacing w:before="0"/>
        <w:ind w:left="709" w:hanging="709"/>
        <w:rPr>
          <w:snapToGrid w:val="0"/>
        </w:rPr>
      </w:pPr>
      <w:r>
        <w:rPr>
          <w:snapToGrid w:val="0"/>
        </w:rPr>
        <w:t xml:space="preserve">37. </w:t>
      </w:r>
      <w:r>
        <w:rPr>
          <w:snapToGrid w:val="0"/>
        </w:rPr>
        <w:tab/>
        <w:t>Subpoena for Witness.</w:t>
      </w:r>
    </w:p>
    <w:p>
      <w:pPr>
        <w:pStyle w:val="yTable"/>
        <w:spacing w:before="0"/>
        <w:ind w:left="709" w:hanging="709"/>
        <w:rPr>
          <w:snapToGrid w:val="0"/>
        </w:rPr>
      </w:pPr>
      <w:r>
        <w:rPr>
          <w:snapToGrid w:val="0"/>
        </w:rPr>
        <w:t xml:space="preserve">38. </w:t>
      </w:r>
      <w:r>
        <w:rPr>
          <w:snapToGrid w:val="0"/>
        </w:rPr>
        <w:tab/>
        <w:t>Judgment/Order of Warden’s Court.</w:t>
      </w:r>
    </w:p>
    <w:p>
      <w:pPr>
        <w:pStyle w:val="yTable"/>
        <w:spacing w:before="0"/>
        <w:ind w:left="709" w:hanging="709"/>
        <w:rPr>
          <w:snapToGrid w:val="0"/>
        </w:rPr>
      </w:pPr>
      <w:r>
        <w:rPr>
          <w:snapToGrid w:val="0"/>
        </w:rPr>
        <w:t xml:space="preserve">39. </w:t>
      </w:r>
      <w:r>
        <w:rPr>
          <w:snapToGrid w:val="0"/>
        </w:rPr>
        <w:tab/>
        <w:t>Warrant of Execution.</w:t>
      </w:r>
    </w:p>
    <w:p>
      <w:pPr>
        <w:pStyle w:val="yTable"/>
        <w:spacing w:before="0"/>
        <w:ind w:left="709" w:hanging="709"/>
        <w:rPr>
          <w:snapToGrid w:val="0"/>
        </w:rPr>
      </w:pPr>
      <w:r>
        <w:rPr>
          <w:snapToGrid w:val="0"/>
        </w:rPr>
        <w:t xml:space="preserve">40. </w:t>
      </w:r>
      <w:r>
        <w:rPr>
          <w:snapToGrid w:val="0"/>
        </w:rPr>
        <w:tab/>
        <w:t>Warrant for Recovery of Possession.</w:t>
      </w:r>
    </w:p>
    <w:p>
      <w:pPr>
        <w:pStyle w:val="yTable"/>
        <w:spacing w:before="0"/>
        <w:ind w:left="709" w:hanging="709"/>
        <w:rPr>
          <w:snapToGrid w:val="0"/>
        </w:rPr>
      </w:pPr>
      <w:r>
        <w:rPr>
          <w:snapToGrid w:val="0"/>
        </w:rPr>
        <w:t xml:space="preserve">41. </w:t>
      </w:r>
      <w:r>
        <w:rPr>
          <w:snapToGrid w:val="0"/>
        </w:rPr>
        <w:tab/>
        <w:t>Notice of Seizure.</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xml:space="preserve">. It is your responsibility </w:t>
            </w:r>
          </w:p>
          <w:p>
            <w:pPr>
              <w:tabs>
                <w:tab w:val="left" w:pos="1701"/>
              </w:tabs>
              <w:ind w:left="113" w:right="113"/>
              <w:rPr>
                <w:sz w:val="16"/>
              </w:rPr>
            </w:pPr>
            <w:r>
              <w:rPr>
                <w:sz w:val="16"/>
              </w:rPr>
              <w:tab/>
            </w:r>
            <w:r>
              <w:rPr>
                <w:sz w:val="16"/>
              </w:rPr>
              <w:tab/>
            </w:r>
            <w:r>
              <w:rPr>
                <w:sz w:val="16"/>
              </w:rPr>
              <w:tab/>
              <w:t xml:space="preserve">to ascertain your rights and obligations under that section. Information in respect of those </w:t>
            </w:r>
          </w:p>
          <w:p>
            <w:pPr>
              <w:tabs>
                <w:tab w:val="left" w:pos="1701"/>
              </w:tabs>
              <w:ind w:left="113" w:right="113"/>
              <w:rPr>
                <w:lang w:val="en-US"/>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 xml:space="preserve">No.          </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 xml:space="preserve">No.          </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 xml:space="preserve">Mineral Field      </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 xml:space="preserve">Conditions, </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i/>
                <w:spacing w:val="-2"/>
                <w:sz w:val="18"/>
              </w:rPr>
              <w:tab/>
              <w:t>Mining Act 1978</w:t>
            </w:r>
          </w:p>
          <w:p>
            <w:pPr>
              <w:pStyle w:val="yTable"/>
              <w:tabs>
                <w:tab w:val="left" w:pos="1014"/>
              </w:tabs>
              <w:spacing w:before="0" w:line="180" w:lineRule="atLeast"/>
              <w:rPr>
                <w:spacing w:val="-2"/>
                <w:sz w:val="18"/>
              </w:rPr>
            </w:pPr>
            <w:r>
              <w:rPr>
                <w:spacing w:val="-2"/>
                <w:sz w:val="18"/>
              </w:rPr>
              <w:tab/>
              <w:t xml:space="preserve">(Sec. 123(3)(a), </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 xml:space="preserve">State whether pastoral lease, Crown grant or other designation </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 xml:space="preserve">Mineral Field           </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lodgement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keepNext/>
        <w:pageBreakBefore/>
        <w:spacing w:before="0"/>
        <w:jc w:val="right"/>
        <w:rPr>
          <w:i/>
          <w:sz w:val="18"/>
        </w:rPr>
      </w:pPr>
      <w:r>
        <w:rPr>
          <w:i/>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 xml:space="preserve">Note: </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spacing w:before="0"/>
        <w:rPr>
          <w:b/>
          <w:sz w:val="13"/>
          <w:u w:val="single"/>
        </w:rPr>
      </w:pPr>
      <w:r>
        <w:rPr>
          <w:b/>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5"/>
        <w:rPr>
          <w:b/>
          <w:sz w:val="13"/>
        </w:rPr>
      </w:pPr>
      <w:r>
        <w:rPr>
          <w:b/>
          <w:sz w:val="13"/>
        </w:rPr>
        <w:t>Feasibility study activities:</w:t>
      </w:r>
    </w:p>
    <w:p>
      <w:pPr>
        <w:pStyle w:val="yTable"/>
        <w:tabs>
          <w:tab w:val="left" w:pos="426"/>
        </w:tabs>
        <w:spacing w:before="36"/>
        <w:ind w:left="425"/>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r>
        <w:rPr>
          <w:sz w:val="13"/>
        </w:rPr>
        <w:t xml:space="preserve"> </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lodgement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ind w:left="425" w:hanging="425"/>
        <w:rPr>
          <w:b/>
          <w:sz w:val="13"/>
        </w:rPr>
      </w:pPr>
      <w:r>
        <w:rPr>
          <w:b/>
          <w:sz w:val="13"/>
        </w:rPr>
        <w:t>NON</w:t>
      </w:r>
      <w:r>
        <w:rPr>
          <w:b/>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 xml:space="preserve">acquisition costs of tenements and associated expenses; </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4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349"/>
        <w:gridCol w:w="218"/>
        <w:gridCol w:w="425"/>
        <w:gridCol w:w="709"/>
        <w:gridCol w:w="141"/>
        <w:gridCol w:w="284"/>
        <w:gridCol w:w="142"/>
        <w:gridCol w:w="141"/>
        <w:gridCol w:w="142"/>
        <w:gridCol w:w="425"/>
        <w:gridCol w:w="142"/>
        <w:gridCol w:w="142"/>
        <w:gridCol w:w="283"/>
        <w:gridCol w:w="284"/>
        <w:gridCol w:w="992"/>
        <w:gridCol w:w="284"/>
        <w:gridCol w:w="283"/>
        <w:gridCol w:w="142"/>
      </w:tblGrid>
      <w:tr>
        <w:trPr>
          <w:gridAfter w:val="1"/>
          <w:wAfter w:w="142" w:type="dxa"/>
          <w:cantSplit/>
          <w:trHeight w:hRule="exact" w:val="80"/>
        </w:trPr>
        <w:tc>
          <w:tcPr>
            <w:tcW w:w="6946" w:type="dxa"/>
            <w:gridSpan w:val="19"/>
            <w:tcBorders>
              <w:bottom w:val="nil"/>
            </w:tcBorders>
          </w:tcPr>
          <w:p>
            <w:pPr>
              <w:pStyle w:val="yTable"/>
              <w:spacing w:before="0"/>
              <w:rPr>
                <w:sz w:val="12"/>
                <w:lang w:val="en-US"/>
              </w:rPr>
            </w:pPr>
          </w:p>
        </w:tc>
      </w:tr>
      <w:tr>
        <w:trPr>
          <w:gridAfter w:val="1"/>
          <w:wAfter w:w="142" w:type="dxa"/>
        </w:trP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8"/>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trPr>
        <w:tc>
          <w:tcPr>
            <w:tcW w:w="2552" w:type="dxa"/>
            <w:gridSpan w:val="5"/>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Costeaning/trenching:</w:t>
            </w:r>
          </w:p>
        </w:tc>
      </w:tr>
      <w:tr>
        <w:trPr>
          <w:gridAfter w:val="1"/>
          <w:wAfter w:w="142" w:type="dxa"/>
          <w:cantSplit/>
        </w:trPr>
        <w:tc>
          <w:tcPr>
            <w:tcW w:w="1560" w:type="dxa"/>
            <w:gridSpan w:val="2"/>
            <w:tcBorders>
              <w:top w:val="nil"/>
              <w:bottom w:val="nil"/>
            </w:tcBorders>
          </w:tcPr>
          <w:p>
            <w:pPr>
              <w:pStyle w:val="yTable"/>
              <w:spacing w:before="0"/>
              <w:rPr>
                <w:sz w:val="14"/>
              </w:rPr>
            </w:pPr>
            <w:r>
              <w:rPr>
                <w:sz w:val="14"/>
              </w:rPr>
              <w:t>No. excavated</w:t>
            </w:r>
          </w:p>
        </w:tc>
        <w:tc>
          <w:tcPr>
            <w:tcW w:w="567" w:type="dxa"/>
            <w:gridSpan w:val="2"/>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Other activities (specify):</w:t>
            </w: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b/>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left w:val="nil"/>
              <w:bottom w:val="nil"/>
              <w:right w:val="nil"/>
            </w:tcBorders>
          </w:tcPr>
          <w:p>
            <w:pPr>
              <w:pStyle w:val="yTable"/>
              <w:spacing w:before="0"/>
              <w:jc w:val="center"/>
              <w:rPr>
                <w:b/>
                <w:sz w:val="14"/>
              </w:rPr>
            </w:pPr>
            <w:r>
              <w:rPr>
                <w:b/>
                <w:sz w:val="14"/>
              </w:rPr>
              <w:t>AND/OR</w:t>
            </w:r>
          </w:p>
        </w:tc>
      </w:tr>
      <w:tr>
        <w:trPr>
          <w:gridAfter w:val="1"/>
          <w:wAfter w:w="142" w:type="dxa"/>
          <w:cantSplit/>
        </w:trPr>
        <w:tc>
          <w:tcPr>
            <w:tcW w:w="6946" w:type="dxa"/>
            <w:gridSpan w:val="19"/>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Development:</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3402" w:type="dxa"/>
            <w:gridSpan w:val="7"/>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3686" w:type="dxa"/>
            <w:gridSpan w:val="8"/>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gridAfter w:val="1"/>
          <w:wAfter w:w="142" w:type="dxa"/>
          <w:cantSplit/>
          <w:trHeight w:hRule="exact" w:val="120"/>
        </w:trPr>
        <w:tc>
          <w:tcPr>
            <w:tcW w:w="3686" w:type="dxa"/>
            <w:gridSpan w:val="8"/>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4536" w:type="dxa"/>
            <w:gridSpan w:val="12"/>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2"/>
              </w:rPr>
            </w:pPr>
          </w:p>
        </w:tc>
      </w:tr>
      <w:tr>
        <w:trPr>
          <w:gridAfter w:val="1"/>
          <w:wAfter w:w="142" w:type="dxa"/>
          <w:cantSplit/>
        </w:trPr>
        <w:tc>
          <w:tcPr>
            <w:tcW w:w="4678" w:type="dxa"/>
            <w:gridSpan w:val="13"/>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b/>
                <w:spacing w:val="-4"/>
                <w:sz w:val="14"/>
              </w:rPr>
            </w:pPr>
          </w:p>
        </w:tc>
      </w:tr>
      <w:tr>
        <w:trPr>
          <w:gridAfter w:val="1"/>
          <w:wAfter w:w="142" w:type="dxa"/>
          <w:cantSplit/>
        </w:trPr>
        <w:tc>
          <w:tcPr>
            <w:tcW w:w="6946" w:type="dxa"/>
            <w:gridSpan w:val="19"/>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gridSpan w:val="17"/>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120"/>
              <w:rPr>
                <w:spacing w:val="-2"/>
                <w:sz w:val="18"/>
              </w:rPr>
            </w:pPr>
          </w:p>
        </w:tc>
        <w:tc>
          <w:tcPr>
            <w:tcW w:w="5179" w:type="dxa"/>
            <w:gridSpan w:val="17"/>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gridSpan w:val="17"/>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gridSpan w:val="17"/>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gridSpan w:val="17"/>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gridSpan w:val="17"/>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gridSpan w:val="17"/>
          </w:tcPr>
          <w:p>
            <w:pPr>
              <w:pStyle w:val="yTable"/>
              <w:spacing w:line="180" w:lineRule="atLeast"/>
              <w:rPr>
                <w:spacing w:val="-2"/>
                <w:sz w:val="18"/>
              </w:rPr>
            </w:pPr>
            <w:r>
              <w:rPr>
                <w:spacing w:val="-2"/>
                <w:sz w:val="18"/>
              </w:rPr>
              <w: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gridSpan w:val="17"/>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Table"/>
        <w:pageBreakBefore/>
        <w:tabs>
          <w:tab w:val="left" w:pos="1985"/>
        </w:tabs>
        <w:spacing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1985"/>
        </w:tabs>
        <w:spacing w:before="0" w:line="180" w:lineRule="atLeast"/>
        <w:rPr>
          <w:snapToGrid w:val="0"/>
          <w:sz w:val="18"/>
        </w:rPr>
      </w:pPr>
      <w:r>
        <w:rPr>
          <w:snapToGrid w:val="0"/>
          <w:sz w:val="18"/>
        </w:rPr>
        <w:tab/>
        <w:t>(Sec. 116 Reg. 26)</w:t>
      </w:r>
    </w:p>
    <w:p>
      <w:pPr>
        <w:pStyle w:val="yTable"/>
        <w:spacing w:line="180" w:lineRule="atLeast"/>
        <w:rPr>
          <w:snapToGrid w:val="0"/>
          <w:sz w:val="18"/>
        </w:rPr>
      </w:pPr>
      <w:r>
        <w:rPr>
          <w:b/>
          <w:snapToGrid w:val="0"/>
          <w:sz w:val="18"/>
        </w:rPr>
        <w:t>MINING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not exceeding $1 000 as an alternative to forfeiture of this lease. The covenants and conditions hereinbefore referred to are that the Lessee shall — </w:t>
      </w:r>
    </w:p>
    <w:p>
      <w:pPr>
        <w:pStyle w:val="yTable"/>
        <w:spacing w:before="44"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44"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44" w:line="180" w:lineRule="atLeast"/>
        <w:ind w:left="425" w:hanging="425"/>
        <w:rPr>
          <w:snapToGrid w:val="0"/>
          <w:sz w:val="18"/>
        </w:rPr>
      </w:pPr>
      <w:r>
        <w:rPr>
          <w:snapToGrid w:val="0"/>
          <w:sz w:val="18"/>
        </w:rPr>
        <w:t xml:space="preserve">4. </w:t>
      </w:r>
      <w:r>
        <w:rPr>
          <w:snapToGrid w:val="0"/>
          <w:sz w:val="18"/>
        </w:rPr>
        <w:tab/>
        <w:t>not assign, underlet or part with possession of such land or any part thereof without the prior written consent of the Minister, or of an officer of the Department acting with the authority of the Minister</w:t>
      </w:r>
    </w:p>
    <w:p>
      <w:pPr>
        <w:pStyle w:val="yTable"/>
        <w:spacing w:before="44"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44"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44"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44"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44"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10. </w:t>
      </w:r>
      <w:r>
        <w:rPr>
          <w:snapToGrid w:val="0"/>
          <w:sz w:val="18"/>
        </w:rPr>
        <w:tab/>
        <w:t>cause all holes, pits, trenches and other disturbances to the surface of the land and subject of this lease made whilst mining and which in the opinion of the State Mining Engineer are likely to endanger the safety of any person or animal to be filled in or otherwise made safe to the satisfaction of the State Mining Engineer.</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line="180" w:lineRule="atLeast"/>
        <w:jc w:val="center"/>
        <w:rPr>
          <w:b/>
          <w:snapToGrid w:val="0"/>
          <w:sz w:val="18"/>
        </w:rPr>
      </w:pPr>
      <w:r>
        <w:rPr>
          <w:b/>
          <w:snapToGrid w:val="0"/>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line="180" w:lineRule="atLeast"/>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line="180" w:lineRule="atLeast"/>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00" w:line="180" w:lineRule="atLeast"/>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line="180" w:lineRule="atLeast"/>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line="180" w:lineRule="atLeast"/>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line="180" w:lineRule="atLeast"/>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      </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pageBreakBefore/>
              <w:tabs>
                <w:tab w:val="left" w:pos="1588"/>
              </w:tabs>
              <w:spacing w:line="180" w:lineRule="atLeast"/>
              <w:ind w:left="-119"/>
              <w:rPr>
                <w:spacing w:val="-2"/>
                <w:sz w:val="18"/>
              </w:rPr>
            </w:pPr>
            <w:r>
              <w:rPr>
                <w:spacing w:val="-2"/>
                <w:sz w:val="18"/>
              </w:rPr>
              <w:t>Form 9</w:t>
            </w:r>
            <w:r>
              <w:rPr>
                <w:spacing w:val="-2"/>
                <w:sz w:val="18"/>
              </w:rPr>
              <w:tab/>
              <w:t>WESTERN AUSTRALIA</w:t>
            </w:r>
          </w:p>
          <w:p>
            <w:pPr>
              <w:pStyle w:val="yTable"/>
              <w:tabs>
                <w:tab w:val="left" w:pos="1588"/>
              </w:tabs>
              <w:spacing w:before="0" w:line="180" w:lineRule="atLeast"/>
              <w:rPr>
                <w:spacing w:val="-2"/>
                <w:sz w:val="18"/>
              </w:rPr>
            </w:pPr>
            <w:r>
              <w:rPr>
                <w:i/>
                <w:spacing w:val="-2"/>
                <w:sz w:val="18"/>
              </w:rPr>
              <w:tab/>
              <w:t>Mining Act 1978</w:t>
            </w:r>
          </w:p>
          <w:p>
            <w:pPr>
              <w:pStyle w:val="yTable"/>
              <w:tabs>
                <w:tab w:val="left" w:pos="1588"/>
              </w:tabs>
              <w:spacing w:before="0" w:line="180" w:lineRule="atLeast"/>
              <w:rPr>
                <w:spacing w:val="-2"/>
                <w:sz w:val="18"/>
              </w:rPr>
            </w:pPr>
            <w:r>
              <w:rPr>
                <w:spacing w:val="-2"/>
                <w:sz w:val="18"/>
              </w:rPr>
              <w:tab/>
              <w:t>(Secs. 45, 61, 70E, 78, 88, 91A, 91B)</w:t>
            </w:r>
          </w:p>
          <w:p>
            <w:pPr>
              <w:pStyle w:val="yTable"/>
              <w:tabs>
                <w:tab w:val="left" w:pos="1588"/>
              </w:tabs>
              <w:spacing w:before="0" w:line="180" w:lineRule="atLeast"/>
              <w:rPr>
                <w:spacing w:val="-2"/>
                <w:sz w:val="18"/>
              </w:rPr>
            </w:pPr>
            <w:r>
              <w:rPr>
                <w:spacing w:val="-2"/>
                <w:sz w:val="18"/>
              </w:rPr>
              <w:tab/>
              <w:t>(Regs. 16A,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rPr>
            </w:pPr>
            <w:r>
              <w:rPr>
                <w:b/>
                <w:spacing w:val="-3"/>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8"/>
              </w:rPr>
            </w:pPr>
            <w:r>
              <w:rPr>
                <w:spacing w:val="-2"/>
                <w:sz w:val="18"/>
              </w:rPr>
              <w:t>(a)</w:t>
            </w:r>
            <w:r>
              <w:rPr>
                <w:spacing w:val="-2"/>
                <w:sz w:val="18"/>
              </w:rPr>
              <w:tab/>
              <w:t xml:space="preserve">Type of Tenement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(b)</w:t>
            </w:r>
            <w:r>
              <w:rPr>
                <w:spacing w:val="-2"/>
                <w:sz w:val="18"/>
              </w:rPr>
              <w:tab/>
              <w:t xml:space="preserve">Number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(c)</w:t>
            </w:r>
            <w:r>
              <w:rPr>
                <w:spacing w:val="-2"/>
                <w:sz w:val="18"/>
              </w:rPr>
              <w:tab/>
              <w:t>Mineral field</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(d)</w:t>
            </w:r>
            <w:r>
              <w:rPr>
                <w:spacing w:val="-2"/>
                <w:sz w:val="18"/>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20" w:line="180" w:lineRule="atLeast"/>
              <w:rPr>
                <w:spacing w:val="-2"/>
                <w:sz w:val="16"/>
              </w:rPr>
            </w:pPr>
          </w:p>
          <w:p>
            <w:pPr>
              <w:pStyle w:val="yTable"/>
              <w:spacing w:before="20" w:line="180" w:lineRule="atLeast"/>
              <w:rPr>
                <w:spacing w:val="-2"/>
                <w:sz w:val="18"/>
              </w:rPr>
            </w:pPr>
            <w:r>
              <w:rPr>
                <w:spacing w:val="-2"/>
                <w:sz w:val="18"/>
              </w:rPr>
              <w:t>(a)</w:t>
            </w:r>
            <w:r>
              <w:rPr>
                <w:spacing w:val="-2"/>
                <w:sz w:val="18"/>
              </w:rPr>
              <w:tab/>
            </w:r>
            <w:r>
              <w:rPr>
                <w:spacing w:val="-2"/>
                <w:sz w:val="18"/>
              </w:rPr>
              <w:tab/>
              <w:t>(b)</w:t>
            </w:r>
          </w:p>
          <w:p>
            <w:pPr>
              <w:pStyle w:val="yTable"/>
              <w:spacing w:before="20" w:line="180" w:lineRule="atLeast"/>
              <w:rPr>
                <w:spacing w:val="-2"/>
                <w:sz w:val="16"/>
              </w:rPr>
            </w:pPr>
          </w:p>
          <w:p>
            <w:pPr>
              <w:pStyle w:val="yTable"/>
              <w:spacing w:before="20" w:line="180" w:lineRule="atLeast"/>
              <w:rPr>
                <w:spacing w:val="-2"/>
                <w:sz w:val="18"/>
              </w:rPr>
            </w:pPr>
            <w:r>
              <w:rPr>
                <w:spacing w:val="-2"/>
                <w:sz w:val="18"/>
              </w:rPr>
              <w:t>(c)</w:t>
            </w:r>
          </w:p>
          <w:p>
            <w:pPr>
              <w:pStyle w:val="yTable"/>
              <w:spacing w:before="0" w:line="180" w:lineRule="atLeast"/>
              <w:rPr>
                <w:spacing w:val="-2"/>
                <w:sz w:val="16"/>
              </w:rPr>
            </w:pPr>
          </w:p>
          <w:p>
            <w:pPr>
              <w:pStyle w:val="yTable"/>
              <w:spacing w:before="0" w:line="180" w:lineRule="atLeast"/>
              <w:rPr>
                <w:spacing w:val="-2"/>
                <w:sz w:val="18"/>
              </w:rPr>
            </w:pPr>
            <w:r>
              <w:rPr>
                <w:spacing w:val="-2"/>
                <w:sz w:val="18"/>
              </w:rPr>
              <w:t>(d)</w:t>
            </w:r>
          </w:p>
        </w:tc>
      </w:tr>
      <w:tr>
        <w:tc>
          <w:tcPr>
            <w:tcW w:w="1560" w:type="dxa"/>
          </w:tcPr>
          <w:p>
            <w:pPr>
              <w:pStyle w:val="yTable"/>
              <w:spacing w:line="180" w:lineRule="atLeast"/>
              <w:ind w:left="306" w:hanging="426"/>
              <w:rPr>
                <w:spacing w:val="-2"/>
                <w:sz w:val="14"/>
              </w:rPr>
            </w:pPr>
          </w:p>
        </w:tc>
        <w:tc>
          <w:tcPr>
            <w:tcW w:w="5528" w:type="dxa"/>
          </w:tcPr>
          <w:p>
            <w:pPr>
              <w:pStyle w:val="yTable"/>
              <w:spacing w:line="180" w:lineRule="atLeast"/>
              <w:rPr>
                <w:spacing w:val="-2"/>
                <w:sz w:val="14"/>
              </w:rPr>
            </w:pPr>
          </w:p>
        </w:tc>
      </w:tr>
      <w:tr>
        <w:tc>
          <w:tcPr>
            <w:tcW w:w="1560" w:type="dxa"/>
          </w:tcPr>
          <w:p>
            <w:pPr>
              <w:pStyle w:val="yTable"/>
              <w:spacing w:line="180" w:lineRule="atLeast"/>
              <w:ind w:left="306" w:hanging="426"/>
              <w:rPr>
                <w:spacing w:val="-2"/>
                <w:sz w:val="18"/>
              </w:rPr>
            </w:pPr>
            <w:r>
              <w:rPr>
                <w:spacing w:val="-2"/>
                <w:sz w:val="18"/>
              </w:rPr>
              <w:t>(e)</w:t>
            </w:r>
            <w:r>
              <w:rPr>
                <w:spacing w:val="-2"/>
                <w:sz w:val="18"/>
              </w:rPr>
              <w:tab/>
              <w:t>Full name and address of holder(s)</w:t>
            </w:r>
          </w:p>
          <w:p>
            <w:pPr>
              <w:pStyle w:val="yTable"/>
              <w:spacing w:line="180" w:lineRule="atLeast"/>
              <w:ind w:left="306" w:hanging="426"/>
              <w:rPr>
                <w:spacing w:val="-2"/>
                <w:sz w:val="12"/>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4"/>
              </w:rPr>
            </w:pPr>
          </w:p>
          <w:p>
            <w:pPr>
              <w:pStyle w:val="yTable"/>
              <w:spacing w:before="0" w:line="180" w:lineRule="atLeast"/>
              <w:rPr>
                <w:spacing w:val="-2"/>
                <w:sz w:val="18"/>
              </w:rPr>
            </w:pPr>
            <w:r>
              <w:rPr>
                <w:spacing w:val="-2"/>
                <w:sz w:val="18"/>
              </w:rPr>
              <w:t>(e)</w:t>
            </w:r>
          </w:p>
          <w:p>
            <w:pPr>
              <w:pStyle w:val="yTable"/>
              <w:spacing w:before="0" w:line="180" w:lineRule="atLeast"/>
              <w:rPr>
                <w:spacing w:val="-2"/>
                <w:sz w:val="12"/>
              </w:rPr>
            </w:pPr>
          </w:p>
        </w:tc>
      </w:tr>
      <w:tr>
        <w:tc>
          <w:tcPr>
            <w:tcW w:w="1560"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80" w:line="180" w:lineRule="atLeast"/>
              <w:ind w:left="317" w:hanging="432"/>
              <w:rPr>
                <w:spacing w:val="-2"/>
                <w:sz w:val="18"/>
              </w:rPr>
            </w:pPr>
            <w:r>
              <w:rPr>
                <w:spacing w:val="-2"/>
                <w:sz w:val="18"/>
              </w:rPr>
              <w:t>(f)</w:t>
            </w:r>
            <w:r>
              <w:rPr>
                <w:spacing w:val="-2"/>
                <w:sz w:val="18"/>
              </w:rPr>
              <w:tab/>
              <w:t>Signature of holder or agent</w:t>
            </w:r>
          </w:p>
        </w:tc>
        <w:tc>
          <w:tcPr>
            <w:tcW w:w="5528" w:type="dxa"/>
          </w:tcPr>
          <w:p>
            <w:pPr>
              <w:pStyle w:val="yTable"/>
              <w:spacing w:line="180" w:lineRule="atLeast"/>
              <w:rPr>
                <w:spacing w:val="-2"/>
                <w:sz w:val="18"/>
              </w:rPr>
            </w:pPr>
            <w:r>
              <w:rPr>
                <w:spacing w:val="-2"/>
                <w:sz w:val="18"/>
              </w:rPr>
              <w:t>THE HOLDER of the abovementioned mining tenement hereby applies for extension/renewal thereof for a further period of      years.</w:t>
            </w:r>
          </w:p>
          <w:p>
            <w:pPr>
              <w:pStyle w:val="yTable"/>
              <w:spacing w:before="40" w:line="180" w:lineRule="atLeast"/>
              <w:rPr>
                <w:spacing w:val="-2"/>
                <w:sz w:val="18"/>
              </w:rPr>
            </w:pPr>
            <w:r>
              <w:rPr>
                <w:spacing w:val="-2"/>
                <w:sz w:val="18"/>
              </w:rPr>
              <w:t>DATED THIS            day of             20</w:t>
            </w:r>
          </w:p>
          <w:p>
            <w:pPr>
              <w:pStyle w:val="yTable"/>
              <w:spacing w:before="40" w:line="180" w:lineRule="atLeast"/>
              <w:rPr>
                <w:spacing w:val="-2"/>
                <w:sz w:val="18"/>
              </w:rPr>
            </w:pPr>
            <w:r>
              <w:rPr>
                <w:spacing w:val="-2"/>
                <w:sz w:val="18"/>
              </w:rPr>
              <w:t>Signed (f)    ....................................................................................................</w:t>
            </w:r>
          </w:p>
        </w:tc>
      </w:tr>
    </w:tbl>
    <w:p>
      <w:pPr>
        <w:pStyle w:val="yTable"/>
        <w:spacing w:before="0" w:line="180" w:lineRule="atLeast"/>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1623"/>
        <w:gridCol w:w="4717"/>
        <w:gridCol w:w="284"/>
      </w:tblGrid>
      <w:tr>
        <w:tc>
          <w:tcPr>
            <w:tcW w:w="426" w:type="dxa"/>
            <w:tcBorders>
              <w:top w:val="single" w:sz="7" w:space="0" w:color="auto"/>
              <w:left w:val="single" w:sz="7" w:space="0" w:color="auto"/>
              <w:bottom w:val="single" w:sz="7" w:space="0" w:color="auto"/>
            </w:tcBorders>
          </w:tcPr>
          <w:p>
            <w:pPr>
              <w:pStyle w:val="yTable"/>
              <w:spacing w:line="180" w:lineRule="atLeast"/>
              <w:ind w:left="-284" w:right="-223"/>
              <w:jc w:val="center"/>
              <w:rPr>
                <w:spacing w:val="-2"/>
                <w:sz w:val="18"/>
              </w:rPr>
            </w:pPr>
            <w:r>
              <w:rPr>
                <w:spacing w:val="-2"/>
                <w:sz w:val="18"/>
              </w:rPr>
              <w:t>O</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I</w:t>
            </w:r>
          </w:p>
          <w:p>
            <w:pPr>
              <w:pStyle w:val="yTable"/>
              <w:spacing w:before="0" w:line="180" w:lineRule="atLeast"/>
              <w:ind w:left="-284" w:right="-223"/>
              <w:jc w:val="center"/>
              <w:rPr>
                <w:spacing w:val="-2"/>
                <w:sz w:val="18"/>
              </w:rPr>
            </w:pPr>
            <w:r>
              <w:rPr>
                <w:spacing w:val="-2"/>
                <w:sz w:val="18"/>
              </w:rPr>
              <w:t>C</w:t>
            </w:r>
          </w:p>
          <w:p>
            <w:pPr>
              <w:pStyle w:val="yTable"/>
              <w:spacing w:before="0" w:line="180" w:lineRule="atLeast"/>
              <w:ind w:left="-284" w:right="-223"/>
              <w:jc w:val="center"/>
              <w:rPr>
                <w:spacing w:val="-2"/>
                <w:sz w:val="18"/>
              </w:rPr>
            </w:pPr>
            <w:r>
              <w:rPr>
                <w:spacing w:val="-2"/>
                <w:sz w:val="18"/>
              </w:rPr>
              <w:t>E</w:t>
            </w:r>
          </w:p>
          <w:p>
            <w:pPr>
              <w:pStyle w:val="yTable"/>
              <w:spacing w:before="0" w:line="180" w:lineRule="atLeast"/>
              <w:ind w:left="-284" w:right="-223"/>
              <w:jc w:val="center"/>
              <w:rPr>
                <w:spacing w:val="-2"/>
                <w:sz w:val="18"/>
              </w:rPr>
            </w:pPr>
          </w:p>
          <w:p>
            <w:pPr>
              <w:pStyle w:val="yTable"/>
              <w:spacing w:before="0" w:line="180" w:lineRule="atLeast"/>
              <w:ind w:left="-284" w:right="-223"/>
              <w:jc w:val="center"/>
              <w:rPr>
                <w:spacing w:val="-2"/>
                <w:sz w:val="18"/>
              </w:rPr>
            </w:pPr>
            <w:r>
              <w:rPr>
                <w:spacing w:val="-2"/>
                <w:sz w:val="18"/>
              </w:rPr>
              <w:t>U</w:t>
            </w:r>
          </w:p>
          <w:p>
            <w:pPr>
              <w:pStyle w:val="yTable"/>
              <w:spacing w:before="0" w:line="180" w:lineRule="atLeast"/>
              <w:ind w:left="-284" w:right="-223"/>
              <w:jc w:val="center"/>
              <w:rPr>
                <w:spacing w:val="-2"/>
                <w:sz w:val="18"/>
              </w:rPr>
            </w:pPr>
            <w:r>
              <w:rPr>
                <w:spacing w:val="-2"/>
                <w:sz w:val="18"/>
              </w:rPr>
              <w:t>S</w:t>
            </w:r>
          </w:p>
          <w:p>
            <w:pPr>
              <w:pStyle w:val="yTable"/>
              <w:spacing w:before="0" w:after="60" w:line="180" w:lineRule="atLeast"/>
              <w:ind w:left="-288" w:right="-216"/>
              <w:jc w:val="center"/>
              <w:rPr>
                <w:spacing w:val="-2"/>
                <w:sz w:val="18"/>
              </w:rPr>
            </w:pPr>
            <w:r>
              <w:rPr>
                <w:spacing w:val="-2"/>
                <w:sz w:val="18"/>
              </w:rPr>
              <w:t>E</w:t>
            </w:r>
          </w:p>
        </w:tc>
        <w:tc>
          <w:tcPr>
            <w:tcW w:w="1623"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4717" w:type="dxa"/>
            <w:tcBorders>
              <w:top w:val="single" w:sz="7" w:space="0" w:color="auto"/>
              <w:left w:val="single" w:sz="7" w:space="0" w:color="auto"/>
              <w:bottom w:val="single" w:sz="7" w:space="0" w:color="auto"/>
            </w:tcBorders>
          </w:tcPr>
          <w:p>
            <w:pPr>
              <w:pStyle w:val="yTable"/>
              <w:tabs>
                <w:tab w:val="right" w:leader="dot" w:pos="2613"/>
              </w:tabs>
              <w:spacing w:line="180" w:lineRule="atLeast"/>
              <w:rPr>
                <w:spacing w:val="-2"/>
                <w:sz w:val="18"/>
              </w:rPr>
            </w:pPr>
            <w:r>
              <w:rPr>
                <w:spacing w:val="-2"/>
                <w:sz w:val="18"/>
              </w:rPr>
              <w:t>Received at ....................................m.</w:t>
            </w:r>
          </w:p>
          <w:p>
            <w:pPr>
              <w:pStyle w:val="yTable"/>
              <w:tabs>
                <w:tab w:val="right" w:leader="dot" w:pos="2613"/>
              </w:tabs>
              <w:spacing w:line="180" w:lineRule="atLeast"/>
              <w:rPr>
                <w:spacing w:val="-2"/>
                <w:sz w:val="18"/>
              </w:rPr>
            </w:pPr>
            <w:r>
              <w:rPr>
                <w:spacing w:val="-2"/>
                <w:sz w:val="18"/>
              </w:rPr>
              <w:t>on ........................................................</w:t>
            </w:r>
          </w:p>
          <w:p>
            <w:pPr>
              <w:pStyle w:val="yTable"/>
              <w:tabs>
                <w:tab w:val="right" w:leader="dot" w:pos="2613"/>
              </w:tabs>
              <w:spacing w:before="0" w:line="180" w:lineRule="atLeast"/>
              <w:rPr>
                <w:spacing w:val="-2"/>
                <w:sz w:val="18"/>
              </w:rPr>
            </w:pPr>
            <w:r>
              <w:rPr>
                <w:spacing w:val="-2"/>
                <w:sz w:val="18"/>
              </w:rPr>
              <w:t>together with rent of</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r>
              <w:rPr>
                <w:spacing w:val="-2"/>
                <w:sz w:val="18"/>
              </w:rPr>
              <w:t>for the year ending</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ind w:right="1864"/>
              <w:jc w:val="center"/>
              <w:rPr>
                <w:spacing w:val="-2"/>
                <w:sz w:val="18"/>
              </w:rPr>
            </w:pPr>
            <w:r>
              <w:rPr>
                <w:spacing w:val="-2"/>
                <w:sz w:val="18"/>
              </w:rPr>
              <w:t>(Mining Registrar)</w:t>
            </w:r>
          </w:p>
        </w:tc>
        <w:tc>
          <w:tcPr>
            <w:tcW w:w="284" w:type="dxa"/>
            <w:tcBorders>
              <w:top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1138" w:hanging="1138"/>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40" w:line="180" w:lineRule="atLeast"/>
        <w:ind w:left="1138" w:hanging="1138"/>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40" w:line="180" w:lineRule="atLeast"/>
        <w:ind w:left="1138" w:hanging="1138"/>
        <w:rPr>
          <w:snapToGrid w:val="0"/>
          <w:sz w:val="18"/>
        </w:rPr>
      </w:pPr>
      <w:r>
        <w:rPr>
          <w:snapToGrid w:val="0"/>
          <w:sz w:val="18"/>
        </w:rPr>
        <w:tab/>
        <w:t xml:space="preserve">3. </w:t>
      </w:r>
      <w:r>
        <w:rPr>
          <w:snapToGrid w:val="0"/>
          <w:sz w:val="18"/>
        </w:rPr>
        <w:tab/>
        <w:t>If this application is for an extension of an exploration licence a detailed report of the exceptional circumstances giving rise to the application, a summary of work already carried out under the licence and a detailed programme of work proposed to be carried out under the licence must be attached.</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2410"/>
        </w:tabs>
        <w:spacing w:before="0" w:line="180" w:lineRule="atLeast"/>
        <w:rPr>
          <w:snapToGrid w:val="0"/>
          <w:sz w:val="18"/>
        </w:rPr>
      </w:pPr>
      <w:r>
        <w:rPr>
          <w:snapToGrid w:val="0"/>
          <w:sz w:val="18"/>
        </w:rPr>
        <w:tab/>
        <w:t>(Sec. 116 Reg. 35)</w:t>
      </w:r>
    </w:p>
    <w:p>
      <w:pPr>
        <w:pStyle w:val="yTable"/>
        <w:tabs>
          <w:tab w:val="left" w:pos="2410"/>
        </w:tabs>
        <w:spacing w:before="180" w:line="180" w:lineRule="atLeast"/>
        <w:rPr>
          <w:snapToGrid w:val="0"/>
          <w:sz w:val="18"/>
        </w:rPr>
      </w:pPr>
      <w:r>
        <w:rPr>
          <w:b/>
          <w:snapToGrid w:val="0"/>
          <w:sz w:val="18"/>
        </w:rPr>
        <w:t>GENERAL PURPOSE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assign, underlet or part with possession of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60" w:line="180" w:lineRule="atLeast"/>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60" w:line="180" w:lineRule="atLeast"/>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60" w:line="180" w:lineRule="atLeast"/>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60" w:line="180" w:lineRule="atLeast"/>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60" w:line="180" w:lineRule="atLeast"/>
        <w:jc w:val="center"/>
        <w:rPr>
          <w:b/>
          <w:snapToGrid w:val="0"/>
          <w:sz w:val="18"/>
        </w:rPr>
      </w:pPr>
      <w:r>
        <w:rPr>
          <w:b/>
          <w:snapToGrid w:val="0"/>
          <w:sz w:val="18"/>
        </w:rPr>
        <w:t>FIFTH SCHEDULE</w:t>
      </w:r>
    </w:p>
    <w:p>
      <w:pPr>
        <w:pStyle w:val="yTable"/>
        <w:spacing w:line="180" w:lineRule="atLeast"/>
        <w:rPr>
          <w:snapToGrid w:val="0"/>
          <w:sz w:val="18"/>
        </w:rPr>
      </w:pPr>
      <w:r>
        <w:rPr>
          <w:snapToGrid w:val="0"/>
          <w:sz w:val="18"/>
        </w:rPr>
        <w:t>The term of the lease is</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Date of commencement of the lease.</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Any further endorsements/conditions or stipulations</w:t>
      </w:r>
    </w:p>
    <w:p>
      <w:pPr>
        <w:pStyle w:val="yTable"/>
        <w:spacing w:before="160" w:line="180" w:lineRule="atLeast"/>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 xml:space="preserve">Mineral Field and     </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r>
              <w:rPr>
                <w:spacing w:val="-2"/>
                <w:sz w:val="18"/>
              </w:rPr>
              <w:t> </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Table"/>
        <w:spacing w:line="180" w:lineRule="atLeast"/>
        <w:rPr>
          <w:spacing w:val="-2"/>
          <w:sz w:val="18"/>
        </w:rPr>
      </w:pP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i/>
          <w:snapToGrid w:val="0"/>
          <w:sz w:val="18"/>
        </w:rPr>
        <w:tab/>
        <w:t xml:space="preserve">Mining Act 1978 </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3" w:hanging="993"/>
        <w:rPr>
          <w:b/>
          <w:snapToGrid w:val="0"/>
          <w:sz w:val="18"/>
        </w:rPr>
      </w:pPr>
      <w:r>
        <w:rPr>
          <w:b/>
          <w:snapToGrid w:val="0"/>
          <w:sz w:val="18"/>
        </w:rPr>
        <w:tab/>
        <w:t>APPLICATION FOR FORFEITURE</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6"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 xml:space="preserve">The date on which I intend to hear an application for forfeiture is </w:t>
      </w:r>
      <w:r>
        <w:rPr>
          <w:snapToGrid w:val="0"/>
          <w:sz w:val="18"/>
        </w:rPr>
        <w:br/>
        <w:t>........../ ........../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r>
        <w:rPr>
          <w:snapToGrid w:val="0"/>
          <w:sz w:val="18"/>
        </w:rPr>
        <w:t xml:space="preserve"> </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651"/>
        <w:gridCol w:w="4471"/>
      </w:tblGrid>
      <w:tr>
        <w:tc>
          <w:tcPr>
            <w:tcW w:w="2651" w:type="dxa"/>
          </w:tcPr>
          <w:p>
            <w:pPr>
              <w:pStyle w:val="yTable"/>
              <w:pageBreakBefore/>
              <w:spacing w:line="180" w:lineRule="atLeast"/>
              <w:ind w:left="-119"/>
              <w:rPr>
                <w:spacing w:val="-2"/>
                <w:sz w:val="18"/>
              </w:rPr>
            </w:pPr>
            <w:r>
              <w:rPr>
                <w:spacing w:val="-2"/>
                <w:sz w:val="18"/>
              </w:rPr>
              <w:t>Form 16</w:t>
            </w:r>
          </w:p>
        </w:tc>
        <w:tc>
          <w:tcPr>
            <w:tcW w:w="447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(Secs. 42, 59, 70D, 75, 97A Regs. 49, 51B, 55, 67, 120A)</w:t>
            </w:r>
          </w:p>
        </w:tc>
      </w:tr>
      <w:tr>
        <w:tc>
          <w:tcPr>
            <w:tcW w:w="2651" w:type="dxa"/>
          </w:tcPr>
          <w:p>
            <w:pPr>
              <w:pStyle w:val="yTable"/>
              <w:spacing w:line="180" w:lineRule="atLeast"/>
              <w:ind w:left="-120"/>
              <w:rPr>
                <w:spacing w:val="-2"/>
                <w:sz w:val="18"/>
              </w:rPr>
            </w:pPr>
          </w:p>
        </w:tc>
        <w:tc>
          <w:tcPr>
            <w:tcW w:w="4471" w:type="dxa"/>
          </w:tcPr>
          <w:p>
            <w:pPr>
              <w:pStyle w:val="yTable"/>
              <w:spacing w:before="120" w:after="60" w:line="180" w:lineRule="atLeast"/>
              <w:rPr>
                <w:spacing w:val="-2"/>
                <w:sz w:val="18"/>
              </w:rPr>
            </w:pPr>
            <w:r>
              <w:rPr>
                <w:b/>
                <w:spacing w:val="-3"/>
              </w:rPr>
              <w:t>OBJECTION</w:t>
            </w:r>
            <w:r>
              <w:rPr>
                <w:spacing w:val="-2"/>
                <w:sz w:val="18"/>
              </w:rPr>
              <w:tab/>
            </w:r>
            <w:r>
              <w:rPr>
                <w:spacing w:val="-2"/>
                <w:sz w:val="18"/>
              </w:rPr>
              <w:tab/>
              <w:t>No.</w:t>
            </w:r>
          </w:p>
          <w:p>
            <w:pPr>
              <w:pStyle w:val="yTable"/>
              <w:spacing w:line="180" w:lineRule="atLeast"/>
              <w:rPr>
                <w:spacing w:val="-2"/>
                <w:sz w:val="18"/>
              </w:rPr>
            </w:pPr>
            <w:r>
              <w:rPr>
                <w:spacing w:val="-2"/>
                <w:sz w:val="18"/>
              </w:rPr>
              <w:t>To:  The Warden</w:t>
            </w:r>
          </w:p>
        </w:tc>
      </w:tr>
      <w:tr>
        <w:tc>
          <w:tcPr>
            <w:tcW w:w="2651" w:type="dxa"/>
          </w:tcPr>
          <w:p>
            <w:pPr>
              <w:pStyle w:val="yTable"/>
              <w:spacing w:line="180" w:lineRule="atLeast"/>
              <w:ind w:left="306" w:hanging="426"/>
              <w:rPr>
                <w:spacing w:val="-2"/>
                <w:sz w:val="18"/>
              </w:rPr>
            </w:pPr>
            <w:r>
              <w:rPr>
                <w:spacing w:val="-2"/>
                <w:sz w:val="18"/>
              </w:rPr>
              <w:t>(a)</w:t>
            </w:r>
            <w:r>
              <w:rPr>
                <w:spacing w:val="-2"/>
                <w:sz w:val="18"/>
              </w:rPr>
              <w:tab/>
              <w:t>Mineral Field</w:t>
            </w:r>
          </w:p>
          <w:p>
            <w:pPr>
              <w:pStyle w:val="yTable"/>
              <w:spacing w:line="180" w:lineRule="atLeast"/>
              <w:ind w:left="306" w:hanging="426"/>
              <w:rPr>
                <w:spacing w:val="-2"/>
                <w:sz w:val="18"/>
              </w:rPr>
            </w:pPr>
          </w:p>
        </w:tc>
        <w:tc>
          <w:tcPr>
            <w:tcW w:w="4471" w:type="dxa"/>
          </w:tcPr>
          <w:p>
            <w:pPr>
              <w:pStyle w:val="yTable"/>
              <w:tabs>
                <w:tab w:val="left" w:pos="2629"/>
              </w:tabs>
              <w:spacing w:line="180" w:lineRule="atLeast"/>
              <w:rPr>
                <w:spacing w:val="-2"/>
                <w:sz w:val="18"/>
              </w:rPr>
            </w:pPr>
            <w:r>
              <w:rPr>
                <w:spacing w:val="-2"/>
                <w:sz w:val="18"/>
              </w:rPr>
              <w:t>(a)</w:t>
            </w:r>
            <w:r>
              <w:rPr>
                <w:spacing w:val="-2"/>
                <w:sz w:val="18"/>
              </w:rPr>
              <w:tab/>
              <w:t xml:space="preserve">Mineral Field        </w:t>
            </w:r>
          </w:p>
          <w:p>
            <w:pPr>
              <w:pStyle w:val="yTable"/>
              <w:spacing w:line="180" w:lineRule="atLeast"/>
              <w:rPr>
                <w:spacing w:val="-2"/>
                <w:sz w:val="18"/>
              </w:rPr>
            </w:pPr>
            <w:r>
              <w:rPr>
                <w:spacing w:val="-2"/>
                <w:sz w:val="18"/>
              </w:rPr>
              <w:t>The undersigned objects to</w:t>
            </w:r>
          </w:p>
        </w:tc>
      </w:tr>
      <w:tr>
        <w:tc>
          <w:tcPr>
            <w:tcW w:w="2651" w:type="dxa"/>
          </w:tcPr>
          <w:p>
            <w:pPr>
              <w:pStyle w:val="yTable"/>
              <w:spacing w:line="180" w:lineRule="atLeast"/>
              <w:ind w:left="306" w:hanging="426"/>
              <w:rPr>
                <w:spacing w:val="-2"/>
                <w:sz w:val="18"/>
              </w:rPr>
            </w:pPr>
            <w:r>
              <w:rPr>
                <w:spacing w:val="-2"/>
                <w:sz w:val="18"/>
              </w:rPr>
              <w:t>(b)</w:t>
            </w:r>
            <w:r>
              <w:rPr>
                <w:spacing w:val="-2"/>
                <w:sz w:val="18"/>
              </w:rPr>
              <w:tab/>
              <w:t>Insert particulars of the matter objected to and mining tenement affected</w:t>
            </w:r>
          </w:p>
        </w:tc>
        <w:tc>
          <w:tcPr>
            <w:tcW w:w="4471" w:type="dxa"/>
          </w:tcPr>
          <w:p>
            <w:pPr>
              <w:pStyle w:val="yTable"/>
              <w:spacing w:line="180" w:lineRule="atLeast"/>
              <w:rPr>
                <w:spacing w:val="-2"/>
                <w:sz w:val="18"/>
              </w:rPr>
            </w:pPr>
            <w:r>
              <w:rPr>
                <w:spacing w:val="-2"/>
                <w:sz w:val="18"/>
              </w:rPr>
              <w:t>(b)</w:t>
            </w:r>
          </w:p>
          <w:p>
            <w:pPr>
              <w:pStyle w:val="yTable"/>
              <w:spacing w:line="180" w:lineRule="atLeast"/>
              <w:rPr>
                <w:spacing w:val="-2"/>
                <w:sz w:val="18"/>
              </w:rPr>
            </w:pPr>
          </w:p>
          <w:p>
            <w:pPr>
              <w:pStyle w:val="yTable"/>
              <w:spacing w:line="180" w:lineRule="atLeast"/>
              <w:rPr>
                <w:spacing w:val="-2"/>
                <w:sz w:val="18"/>
              </w:rPr>
            </w:pPr>
            <w:r>
              <w:rPr>
                <w:spacing w:val="-2"/>
                <w:sz w:val="18"/>
              </w:rPr>
              <w:t>for the following reasons </w:t>
            </w:r>
            <w:r>
              <w:rPr>
                <w:snapToGrid w:val="0"/>
                <w:sz w:val="18"/>
              </w:rPr>
              <w:t>—</w:t>
            </w:r>
            <w:r>
              <w:rPr>
                <w:spacing w:val="-2"/>
                <w:sz w:val="18"/>
              </w:rPr>
              <w:t> </w:t>
            </w:r>
          </w:p>
        </w:tc>
      </w:tr>
      <w:tr>
        <w:tc>
          <w:tcPr>
            <w:tcW w:w="2651" w:type="dxa"/>
          </w:tcPr>
          <w:p>
            <w:pPr>
              <w:pStyle w:val="yTable"/>
              <w:spacing w:line="180" w:lineRule="atLeast"/>
              <w:ind w:left="306" w:hanging="426"/>
              <w:rPr>
                <w:spacing w:val="-2"/>
                <w:sz w:val="18"/>
              </w:rPr>
            </w:pPr>
            <w:r>
              <w:rPr>
                <w:spacing w:val="-2"/>
                <w:sz w:val="18"/>
              </w:rPr>
              <w:t>(c)</w:t>
            </w:r>
            <w:r>
              <w:rPr>
                <w:spacing w:val="-2"/>
                <w:sz w:val="18"/>
              </w:rPr>
              <w:tab/>
              <w:t>Set out grounds for objection</w:t>
            </w:r>
          </w:p>
          <w:p>
            <w:pPr>
              <w:pStyle w:val="yTable"/>
              <w:spacing w:line="180" w:lineRule="atLeast"/>
              <w:ind w:left="306" w:hanging="426"/>
              <w:rPr>
                <w:spacing w:val="-2"/>
                <w:sz w:val="18"/>
              </w:rPr>
            </w:pPr>
          </w:p>
        </w:tc>
        <w:tc>
          <w:tcPr>
            <w:tcW w:w="4471" w:type="dxa"/>
          </w:tcPr>
          <w:p>
            <w:pPr>
              <w:pStyle w:val="yTable"/>
              <w:spacing w:line="180" w:lineRule="atLeast"/>
              <w:rPr>
                <w:spacing w:val="-2"/>
                <w:sz w:val="18"/>
              </w:rPr>
            </w:pPr>
            <w:r>
              <w:rPr>
                <w:spacing w:val="-2"/>
                <w:sz w:val="18"/>
              </w:rPr>
              <w:t>(c)</w:t>
            </w:r>
          </w:p>
          <w:p>
            <w:pPr>
              <w:pStyle w:val="yTable"/>
              <w:spacing w:line="180" w:lineRule="atLeast"/>
              <w:rPr>
                <w:spacing w:val="-2"/>
                <w:sz w:val="18"/>
              </w:rPr>
            </w:pPr>
            <w:r>
              <w:rPr>
                <w:spacing w:val="-2"/>
                <w:sz w:val="18"/>
              </w:rPr>
              <w:t>And pending the hearing of this objection, require you to</w:t>
            </w:r>
          </w:p>
        </w:tc>
      </w:tr>
      <w:tr>
        <w:tc>
          <w:tcPr>
            <w:tcW w:w="2651" w:type="dxa"/>
          </w:tcPr>
          <w:p>
            <w:pPr>
              <w:pStyle w:val="yTable"/>
              <w:spacing w:line="180" w:lineRule="atLeast"/>
              <w:ind w:left="306" w:hanging="426"/>
              <w:rPr>
                <w:spacing w:val="-2"/>
                <w:sz w:val="18"/>
              </w:rPr>
            </w:pPr>
            <w:r>
              <w:rPr>
                <w:spacing w:val="-2"/>
                <w:sz w:val="18"/>
              </w:rPr>
              <w:t>(d)</w:t>
            </w:r>
            <w:r>
              <w:rPr>
                <w:spacing w:val="-2"/>
                <w:sz w:val="18"/>
              </w:rPr>
              <w:tab/>
              <w:t>“Withhold your recommendation” OR as the case may be</w:t>
            </w:r>
          </w:p>
        </w:tc>
        <w:tc>
          <w:tcPr>
            <w:tcW w:w="4471" w:type="dxa"/>
          </w:tcPr>
          <w:p>
            <w:pPr>
              <w:pStyle w:val="yTable"/>
              <w:spacing w:line="180" w:lineRule="atLeast"/>
              <w:rPr>
                <w:spacing w:val="-2"/>
                <w:sz w:val="18"/>
              </w:rPr>
            </w:pPr>
            <w:r>
              <w:rPr>
                <w:spacing w:val="-2"/>
                <w:sz w:val="18"/>
              </w:rPr>
              <w:t>(d)</w:t>
            </w:r>
          </w:p>
        </w:tc>
      </w:tr>
      <w:tr>
        <w:tc>
          <w:tcPr>
            <w:tcW w:w="2651" w:type="dxa"/>
          </w:tcPr>
          <w:p>
            <w:pPr>
              <w:pStyle w:val="yTable"/>
              <w:spacing w:line="180" w:lineRule="atLeast"/>
              <w:ind w:left="306" w:hanging="426"/>
              <w:rPr>
                <w:spacing w:val="-2"/>
                <w:sz w:val="18"/>
              </w:rPr>
            </w:pPr>
            <w:r>
              <w:rPr>
                <w:spacing w:val="-2"/>
                <w:sz w:val="18"/>
              </w:rPr>
              <w:t>(e)</w:t>
            </w:r>
            <w:r>
              <w:rPr>
                <w:spacing w:val="-2"/>
                <w:sz w:val="18"/>
              </w:rPr>
              <w:tab/>
              <w:t>Full name and address of objector</w:t>
            </w:r>
          </w:p>
        </w:tc>
        <w:tc>
          <w:tcPr>
            <w:tcW w:w="4471" w:type="dxa"/>
          </w:tcPr>
          <w:p>
            <w:pPr>
              <w:pStyle w:val="yTable"/>
              <w:spacing w:line="180" w:lineRule="atLeast"/>
              <w:rPr>
                <w:spacing w:val="-2"/>
                <w:sz w:val="18"/>
              </w:rPr>
            </w:pPr>
            <w:r>
              <w:rPr>
                <w:spacing w:val="-2"/>
                <w:sz w:val="18"/>
              </w:rPr>
              <w:t>(e)</w:t>
            </w:r>
          </w:p>
          <w:p>
            <w:pPr>
              <w:pStyle w:val="yTable"/>
              <w:spacing w:line="180" w:lineRule="atLeast"/>
              <w:rPr>
                <w:spacing w:val="-2"/>
                <w:sz w:val="18"/>
              </w:rPr>
            </w:pPr>
          </w:p>
        </w:tc>
      </w:tr>
      <w:tr>
        <w:tc>
          <w:tcPr>
            <w:tcW w:w="2651"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objector or agent</w:t>
            </w:r>
          </w:p>
        </w:tc>
        <w:tc>
          <w:tcPr>
            <w:tcW w:w="4471" w:type="dxa"/>
          </w:tcPr>
          <w:p>
            <w:pPr>
              <w:pStyle w:val="yTable"/>
              <w:spacing w:line="180" w:lineRule="atLeast"/>
              <w:rPr>
                <w:spacing w:val="-2"/>
                <w:sz w:val="18"/>
              </w:rPr>
            </w:pPr>
            <w:r>
              <w:rPr>
                <w:spacing w:val="-2"/>
                <w:sz w:val="18"/>
              </w:rPr>
              <w:t>DATED this               day of                      20</w:t>
            </w:r>
          </w:p>
          <w:p>
            <w:pPr>
              <w:pStyle w:val="yTable"/>
              <w:tabs>
                <w:tab w:val="left" w:leader="dot" w:pos="2268"/>
              </w:tabs>
              <w:spacing w:line="180" w:lineRule="atLeast"/>
              <w:rPr>
                <w:spacing w:val="-2"/>
                <w:sz w:val="18"/>
              </w:rPr>
            </w:pPr>
            <w:r>
              <w:rPr>
                <w:spacing w:val="-2"/>
                <w:sz w:val="18"/>
              </w:rPr>
              <w:t>(f)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1652"/>
        <w:gridCol w:w="637"/>
        <w:gridCol w:w="2552"/>
        <w:gridCol w:w="1801"/>
        <w:gridCol w:w="20"/>
      </w:tblGrid>
      <w:tr>
        <w:trPr>
          <w:gridAfter w:val="1"/>
          <w:wAfter w:w="20" w:type="dxa"/>
        </w:trPr>
        <w:tc>
          <w:tcPr>
            <w:tcW w:w="426" w:type="dxa"/>
            <w:tcBorders>
              <w:top w:val="double" w:sz="7" w:space="0" w:color="auto"/>
              <w:left w:val="single" w:sz="7" w:space="0" w:color="auto"/>
            </w:tcBorders>
          </w:tcPr>
          <w:p>
            <w:pPr>
              <w:pStyle w:val="yTable"/>
              <w:spacing w:line="180" w:lineRule="atLeast"/>
              <w:jc w:val="center"/>
              <w:rPr>
                <w:spacing w:val="-2"/>
                <w:sz w:val="18"/>
              </w:rPr>
            </w:pPr>
          </w:p>
        </w:tc>
        <w:tc>
          <w:tcPr>
            <w:tcW w:w="6642" w:type="dxa"/>
            <w:gridSpan w:val="4"/>
            <w:tcBorders>
              <w:top w:val="double" w:sz="7" w:space="0" w:color="auto"/>
              <w:left w:val="single" w:sz="7" w:space="0" w:color="auto"/>
              <w:right w:val="single" w:sz="7" w:space="0" w:color="auto"/>
            </w:tcBorders>
          </w:tcPr>
          <w:p>
            <w:pPr>
              <w:pStyle w:val="yTable"/>
              <w:tabs>
                <w:tab w:val="left" w:pos="5691"/>
              </w:tabs>
              <w:spacing w:line="180" w:lineRule="atLeast"/>
              <w:rPr>
                <w:spacing w:val="-2"/>
                <w:sz w:val="18"/>
              </w:rPr>
            </w:pPr>
            <w:r>
              <w:rPr>
                <w:spacing w:val="-2"/>
                <w:sz w:val="18"/>
              </w:rPr>
              <w:t xml:space="preserve">This objection will be heard in the Warden’s Court at </w:t>
            </w:r>
            <w:r>
              <w:rPr>
                <w:spacing w:val="-2"/>
                <w:sz w:val="18"/>
              </w:rPr>
              <w:tab/>
              <w:t xml:space="preserve">at   </w:t>
            </w:r>
          </w:p>
          <w:p>
            <w:pPr>
              <w:pStyle w:val="yTable"/>
              <w:spacing w:before="0" w:line="180" w:lineRule="atLeast"/>
              <w:rPr>
                <w:spacing w:val="-2"/>
                <w:sz w:val="18"/>
              </w:rPr>
            </w:pPr>
            <w:r>
              <w:rPr>
                <w:spacing w:val="-2"/>
                <w:sz w:val="18"/>
              </w:rPr>
              <w:t xml:space="preserve">the hour of                       .m. on the             day of          </w:t>
            </w:r>
            <w:r>
              <w:rPr>
                <w:spacing w:val="-2"/>
                <w:sz w:val="18"/>
              </w:rPr>
              <w:tab/>
              <w:t xml:space="preserve">      20</w:t>
            </w:r>
          </w:p>
        </w:tc>
      </w:tr>
      <w:tr>
        <w:trPr>
          <w:gridAfter w:val="1"/>
          <w:wAfter w:w="20" w:type="dxa"/>
        </w:trPr>
        <w:tc>
          <w:tcPr>
            <w:tcW w:w="426" w:type="dxa"/>
            <w:tcBorders>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2289" w:type="dxa"/>
            <w:gridSpan w:val="2"/>
            <w:tcBorders>
              <w:top w:val="double" w:sz="7" w:space="0" w:color="auto"/>
              <w:left w:val="single" w:sz="7" w:space="0" w:color="auto"/>
              <w:bottom w:val="single" w:sz="7" w:space="0" w:color="auto"/>
            </w:tcBorders>
          </w:tcPr>
          <w:p>
            <w:pPr>
              <w:pStyle w:val="yTable"/>
              <w:spacing w:line="180" w:lineRule="atLeast"/>
              <w:rPr>
                <w:spacing w:val="-2"/>
                <w:sz w:val="18"/>
              </w:rPr>
            </w:pPr>
          </w:p>
        </w:tc>
        <w:tc>
          <w:tcPr>
            <w:tcW w:w="2552" w:type="dxa"/>
            <w:tcBorders>
              <w:top w:val="doub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2290"/>
              </w:tabs>
              <w:spacing w:before="0" w:line="180" w:lineRule="atLeast"/>
              <w:rPr>
                <w:spacing w:val="-2"/>
                <w:sz w:val="18"/>
              </w:rPr>
            </w:pPr>
            <w:r>
              <w:rPr>
                <w:spacing w:val="-2"/>
                <w:sz w:val="18"/>
              </w:rPr>
              <w:t>Received at ............................ m.</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on ................................................</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p>
            <w:pPr>
              <w:pStyle w:val="yTable"/>
              <w:spacing w:line="180" w:lineRule="atLeast"/>
              <w:rPr>
                <w:spacing w:val="-2"/>
                <w:sz w:val="18"/>
              </w:rPr>
            </w:pPr>
          </w:p>
        </w:tc>
        <w:tc>
          <w:tcPr>
            <w:tcW w:w="1801" w:type="dxa"/>
            <w:tcBorders>
              <w:top w:val="doub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r>
        <w:tc>
          <w:tcPr>
            <w:tcW w:w="2078" w:type="dxa"/>
            <w:gridSpan w:val="2"/>
          </w:tcPr>
          <w:p>
            <w:pPr>
              <w:pStyle w:val="yTable"/>
              <w:pageBreakBefore/>
              <w:spacing w:line="180" w:lineRule="atLeast"/>
              <w:ind w:left="-119"/>
              <w:rPr>
                <w:spacing w:val="-2"/>
                <w:sz w:val="18"/>
              </w:rPr>
            </w:pPr>
            <w:r>
              <w:rPr>
                <w:spacing w:val="-2"/>
                <w:sz w:val="18"/>
              </w:rPr>
              <w:t>Form 17</w:t>
            </w:r>
          </w:p>
        </w:tc>
        <w:tc>
          <w:tcPr>
            <w:tcW w:w="5010"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10" w:type="dxa"/>
            <w:gridSpan w:val="4"/>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10"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r>
              <w:rPr>
                <w:spacing w:val="-2"/>
                <w:sz w:val="18"/>
              </w:rPr>
              <w:t> </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r>
              <w:rPr>
                <w:spacing w:val="-2"/>
                <w:sz w:val="18"/>
              </w:rPr>
              <w:t> </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 xml:space="preserve">DATED this ....................... day of .................................. 20........... </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Table"/>
        <w:spacing w:line="180" w:lineRule="atLeast"/>
        <w:rPr>
          <w:spacing w:val="-2"/>
          <w:sz w:val="18"/>
        </w:rPr>
      </w:pP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307"/>
        <w:gridCol w:w="231"/>
        <w:gridCol w:w="194"/>
        <w:gridCol w:w="344"/>
        <w:gridCol w:w="649"/>
        <w:gridCol w:w="283"/>
        <w:gridCol w:w="2460"/>
        <w:gridCol w:w="375"/>
        <w:gridCol w:w="507"/>
        <w:gridCol w:w="627"/>
      </w:tblGrid>
      <w:tr>
        <w:tc>
          <w:tcPr>
            <w:tcW w:w="2127" w:type="dxa"/>
            <w:gridSpan w:val="7"/>
          </w:tcPr>
          <w:p>
            <w:pPr>
              <w:pStyle w:val="yTable"/>
              <w:keepNext/>
              <w:keepLines/>
              <w:spacing w:line="180" w:lineRule="atLeast"/>
              <w:ind w:left="-119"/>
              <w:rPr>
                <w:spacing w:val="-2"/>
                <w:sz w:val="18"/>
              </w:rPr>
            </w:pPr>
            <w:r>
              <w:rPr>
                <w:spacing w:val="-2"/>
                <w:sz w:val="18"/>
              </w:rPr>
              <w:t>Form 18</w:t>
            </w:r>
          </w:p>
        </w:tc>
        <w:tc>
          <w:tcPr>
            <w:tcW w:w="3118" w:type="dxa"/>
            <w:gridSpan w:val="3"/>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3"/>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7"/>
          </w:tcPr>
          <w:p>
            <w:pPr>
              <w:pStyle w:val="yTable"/>
              <w:keepNext/>
              <w:spacing w:line="180" w:lineRule="atLeast"/>
              <w:rPr>
                <w:spacing w:val="-2"/>
                <w:sz w:val="18"/>
              </w:rPr>
            </w:pPr>
          </w:p>
        </w:tc>
        <w:tc>
          <w:tcPr>
            <w:tcW w:w="4252"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7"/>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7"/>
          </w:tcPr>
          <w:p>
            <w:pPr>
              <w:pStyle w:val="yTable"/>
              <w:spacing w:line="180" w:lineRule="atLeast"/>
              <w:ind w:left="306" w:hanging="426"/>
              <w:rPr>
                <w:spacing w:val="-2"/>
                <w:sz w:val="18"/>
              </w:rPr>
            </w:pPr>
          </w:p>
        </w:tc>
        <w:tc>
          <w:tcPr>
            <w:tcW w:w="3625" w:type="dxa"/>
            <w:gridSpan w:val="4"/>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7"/>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7"/>
          </w:tcPr>
          <w:p>
            <w:pPr>
              <w:pStyle w:val="yTable"/>
              <w:spacing w:line="180" w:lineRule="atLeast"/>
              <w:ind w:left="306" w:hanging="426"/>
              <w:rPr>
                <w:spacing w:val="-2"/>
                <w:sz w:val="18"/>
              </w:rPr>
            </w:pPr>
          </w:p>
        </w:tc>
        <w:tc>
          <w:tcPr>
            <w:tcW w:w="4252" w:type="dxa"/>
            <w:gridSpan w:val="5"/>
            <w:tcBorders>
              <w:top w:val="single" w:sz="7" w:space="0" w:color="auto"/>
            </w:tcBorders>
          </w:tcPr>
          <w:p>
            <w:pPr>
              <w:pStyle w:val="yTable"/>
              <w:spacing w:line="180" w:lineRule="atLeast"/>
              <w:rPr>
                <w:spacing w:val="-2"/>
                <w:sz w:val="18"/>
              </w:rPr>
            </w:pPr>
          </w:p>
        </w:tc>
      </w:tr>
      <w:tr>
        <w:tc>
          <w:tcPr>
            <w:tcW w:w="2127" w:type="dxa"/>
            <w:gridSpan w:val="7"/>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w:t>
            </w:r>
          </w:p>
        </w:tc>
        <w:tc>
          <w:tcPr>
            <w:tcW w:w="4252"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7"/>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7"/>
          </w:tcPr>
          <w:p>
            <w:pPr>
              <w:pStyle w:val="yTable"/>
              <w:spacing w:line="180" w:lineRule="atLeast"/>
              <w:ind w:left="306" w:hanging="426"/>
              <w:rPr>
                <w:spacing w:val="-2"/>
                <w:sz w:val="18"/>
              </w:rPr>
            </w:pPr>
          </w:p>
        </w:tc>
        <w:tc>
          <w:tcPr>
            <w:tcW w:w="4252" w:type="dxa"/>
            <w:gridSpan w:val="5"/>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11"/>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            </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r>
        <w:tc>
          <w:tcPr>
            <w:tcW w:w="2127" w:type="dxa"/>
            <w:gridSpan w:val="7"/>
          </w:tcPr>
          <w:p>
            <w:pPr>
              <w:pStyle w:val="yTable"/>
              <w:spacing w:line="180" w:lineRule="atLeast"/>
              <w:ind w:left="306" w:hanging="426"/>
              <w:rPr>
                <w:spacing w:val="-2"/>
                <w:sz w:val="18"/>
              </w:rPr>
            </w:pPr>
          </w:p>
        </w:tc>
        <w:tc>
          <w:tcPr>
            <w:tcW w:w="4252" w:type="dxa"/>
            <w:gridSpan w:val="5"/>
          </w:tcPr>
          <w:p>
            <w:pPr>
              <w:pStyle w:val="yTable"/>
              <w:spacing w:line="180" w:lineRule="atLeast"/>
              <w:rPr>
                <w:spacing w:val="-2"/>
                <w:sz w:val="18"/>
              </w:rPr>
            </w:pPr>
          </w:p>
        </w:tc>
      </w:tr>
      <w:tr>
        <w:tc>
          <w:tcPr>
            <w:tcW w:w="2410" w:type="dxa"/>
            <w:gridSpan w:val="8"/>
          </w:tcPr>
          <w:p>
            <w:pPr>
              <w:pStyle w:val="yTable"/>
              <w:keepNext/>
              <w:pageBreakBefore/>
              <w:rPr>
                <w:sz w:val="20"/>
              </w:rPr>
            </w:pPr>
            <w:r>
              <w:rPr>
                <w:sz w:val="20"/>
              </w:rPr>
              <w:t>Form 19</w:t>
            </w:r>
          </w:p>
        </w:tc>
        <w:tc>
          <w:tcPr>
            <w:tcW w:w="3969" w:type="dxa"/>
            <w:gridSpan w:val="4"/>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8"/>
          </w:tcPr>
          <w:p>
            <w:pPr>
              <w:pStyle w:val="yTable"/>
              <w:rPr>
                <w:sz w:val="20"/>
              </w:rPr>
            </w:pPr>
          </w:p>
        </w:tc>
        <w:tc>
          <w:tcPr>
            <w:tcW w:w="3969" w:type="dxa"/>
            <w:gridSpan w:val="4"/>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gridSpan w:val="3"/>
          </w:tcPr>
          <w:p>
            <w:pPr>
              <w:pStyle w:val="yTable"/>
              <w:rPr>
                <w:sz w:val="20"/>
              </w:rPr>
            </w:pPr>
            <w:r>
              <w:rPr>
                <w:sz w:val="20"/>
              </w:rPr>
              <w:t>(a)</w:t>
            </w:r>
          </w:p>
        </w:tc>
        <w:tc>
          <w:tcPr>
            <w:tcW w:w="1701" w:type="dxa"/>
            <w:gridSpan w:val="5"/>
          </w:tcPr>
          <w:p>
            <w:pPr>
              <w:pStyle w:val="yTable"/>
              <w:rPr>
                <w:sz w:val="20"/>
              </w:rPr>
            </w:pPr>
            <w:r>
              <w:rPr>
                <w:sz w:val="20"/>
              </w:rPr>
              <w:t>Type of tenement/s Number/s and Mineral Field</w:t>
            </w:r>
          </w:p>
        </w:tc>
        <w:tc>
          <w:tcPr>
            <w:tcW w:w="3969" w:type="dxa"/>
            <w:gridSpan w:val="4"/>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gridSpan w:val="3"/>
          </w:tcPr>
          <w:p>
            <w:pPr>
              <w:pStyle w:val="yTable"/>
              <w:rPr>
                <w:sz w:val="20"/>
              </w:rPr>
            </w:pPr>
            <w:r>
              <w:rPr>
                <w:sz w:val="20"/>
              </w:rPr>
              <w:t>(b)</w:t>
            </w:r>
          </w:p>
        </w:tc>
        <w:tc>
          <w:tcPr>
            <w:tcW w:w="1701" w:type="dxa"/>
            <w:gridSpan w:val="5"/>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gridSpan w:val="4"/>
          </w:tcPr>
          <w:p>
            <w:pPr>
              <w:pStyle w:val="yTable"/>
              <w:rPr>
                <w:sz w:val="20"/>
              </w:rPr>
            </w:pPr>
            <w:r>
              <w:rPr>
                <w:sz w:val="20"/>
              </w:rPr>
              <w:t>(b)</w:t>
            </w:r>
            <w:r>
              <w:rPr>
                <w:sz w:val="20"/>
              </w:rPr>
              <w:tab/>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gridSpan w:val="3"/>
          </w:tcPr>
          <w:p>
            <w:pPr>
              <w:pStyle w:val="yTable"/>
              <w:rPr>
                <w:sz w:val="20"/>
              </w:rPr>
            </w:pPr>
            <w:r>
              <w:rPr>
                <w:sz w:val="20"/>
              </w:rPr>
              <w:t>(c)</w:t>
            </w:r>
            <w:r>
              <w:rPr>
                <w:sz w:val="20"/>
              </w:rPr>
              <w:tab/>
            </w:r>
          </w:p>
        </w:tc>
        <w:tc>
          <w:tcPr>
            <w:tcW w:w="1701" w:type="dxa"/>
            <w:gridSpan w:val="5"/>
          </w:tcPr>
          <w:p>
            <w:pPr>
              <w:pStyle w:val="yTable"/>
              <w:rPr>
                <w:sz w:val="20"/>
              </w:rPr>
            </w:pPr>
            <w:r>
              <w:rPr>
                <w:sz w:val="20"/>
              </w:rPr>
              <w:t>Amount of expenditure (for each mining tenement affected)</w:t>
            </w:r>
          </w:p>
        </w:tc>
        <w:tc>
          <w:tcPr>
            <w:tcW w:w="3969" w:type="dxa"/>
            <w:gridSpan w:val="4"/>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 xml:space="preserve">for the above mining tenement/s during the year/s of the term of the tenement/s ending on — </w:t>
            </w:r>
          </w:p>
          <w:p>
            <w:pPr>
              <w:pStyle w:val="yTable"/>
              <w:rPr>
                <w:sz w:val="20"/>
              </w:rPr>
            </w:pPr>
          </w:p>
        </w:tc>
      </w:tr>
      <w:tr>
        <w:trPr>
          <w:cantSplit/>
        </w:trPr>
        <w:tc>
          <w:tcPr>
            <w:tcW w:w="709" w:type="dxa"/>
            <w:gridSpan w:val="3"/>
          </w:tcPr>
          <w:p>
            <w:pPr>
              <w:pStyle w:val="yTable"/>
              <w:rPr>
                <w:sz w:val="20"/>
              </w:rPr>
            </w:pPr>
            <w:r>
              <w:rPr>
                <w:sz w:val="20"/>
              </w:rPr>
              <w:t>(d)</w:t>
            </w:r>
            <w:r>
              <w:rPr>
                <w:sz w:val="20"/>
              </w:rPr>
              <w:tab/>
            </w:r>
          </w:p>
        </w:tc>
        <w:tc>
          <w:tcPr>
            <w:tcW w:w="1701" w:type="dxa"/>
            <w:gridSpan w:val="5"/>
          </w:tcPr>
          <w:p>
            <w:pPr>
              <w:pStyle w:val="yTable"/>
              <w:rPr>
                <w:sz w:val="20"/>
              </w:rPr>
            </w:pPr>
            <w:r>
              <w:rPr>
                <w:sz w:val="20"/>
              </w:rPr>
              <w:t>Expiry date/s of year/s to which exemption relates</w:t>
            </w:r>
          </w:p>
        </w:tc>
        <w:tc>
          <w:tcPr>
            <w:tcW w:w="3969" w:type="dxa"/>
            <w:gridSpan w:val="4"/>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 xml:space="preserve">DATED this             day of                     20    </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 xml:space="preserve">NOTICE IS given that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r>
              <w:rPr>
                <w:spacing w:val="-2"/>
                <w:sz w:val="18"/>
              </w:rPr>
              <w: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 xml:space="preserve">Full Name </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w:t>
            </w:r>
            <w:r>
              <w:rPr>
                <w:spacing w:val="-1"/>
                <w:sz w:val="14"/>
              </w:rPr>
              <w:noBreakHyphen/>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 xml:space="preserve">on or before the .......................................... day of ......................................................... 20 ................... (see Note 4) </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lodgement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93"/>
        <w:gridCol w:w="31"/>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6"/>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6"/>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6"/>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6"/>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6"/>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8"/>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8"/>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8"/>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6"/>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6"/>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6"/>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10795" t="10795" r="13970" b="762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7620" t="12700" r="7620" b="571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381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blPrEx>
          <w:tblCellMar>
            <w:left w:w="120" w:type="dxa"/>
            <w:right w:w="120" w:type="dxa"/>
          </w:tblCellMar>
        </w:tblPrEx>
        <w:tc>
          <w:tcPr>
            <w:tcW w:w="2078" w:type="dxa"/>
            <w:gridSpan w:val="10"/>
          </w:tcPr>
          <w:p>
            <w:pPr>
              <w:pStyle w:val="yTable"/>
              <w:pageBreakBefore/>
              <w:spacing w:line="180" w:lineRule="atLeast"/>
              <w:ind w:left="-119"/>
              <w:rPr>
                <w:sz w:val="18"/>
              </w:rPr>
            </w:pPr>
            <w:r>
              <w:rPr>
                <w:sz w:val="18"/>
              </w:rPr>
              <w:t>Form 22</w:t>
            </w:r>
          </w:p>
        </w:tc>
        <w:tc>
          <w:tcPr>
            <w:tcW w:w="5011" w:type="dxa"/>
            <w:gridSpan w:val="46"/>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before="120" w:after="60" w:line="180" w:lineRule="atLeast"/>
            </w:pPr>
            <w:r>
              <w:rPr>
                <w:b/>
              </w:rPr>
              <w:t>WITHDRAWAL</w:t>
            </w: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blPrEx>
          <w:tblCellMar>
            <w:left w:w="120" w:type="dxa"/>
            <w:right w:w="120" w:type="dxa"/>
          </w:tblCellMar>
        </w:tblPrEx>
        <w:trPr>
          <w:trHeight w:hRule="exact" w:val="198"/>
        </w:trPr>
        <w:tc>
          <w:tcPr>
            <w:tcW w:w="2078" w:type="dxa"/>
            <w:gridSpan w:val="10"/>
          </w:tcPr>
          <w:p>
            <w:pPr>
              <w:pStyle w:val="yTable"/>
              <w:spacing w:line="180" w:lineRule="atLeast"/>
              <w:ind w:left="306" w:hanging="426"/>
              <w:rPr>
                <w:sz w:val="18"/>
              </w:rPr>
            </w:pP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blPrEx>
          <w:tblCellMar>
            <w:left w:w="120" w:type="dxa"/>
            <w:right w:w="120" w:type="dxa"/>
          </w:tblCellMar>
        </w:tblPrEx>
        <w:tc>
          <w:tcPr>
            <w:tcW w:w="2078" w:type="dxa"/>
            <w:gridSpan w:val="10"/>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blPrEx>
          <w:tblCellMar>
            <w:left w:w="120" w:type="dxa"/>
            <w:right w:w="120" w:type="dxa"/>
          </w:tblCellMar>
        </w:tblPrEx>
        <w:trPr>
          <w:trHeight w:hRule="exact" w:val="198"/>
        </w:trPr>
        <w:tc>
          <w:tcPr>
            <w:tcW w:w="2078" w:type="dxa"/>
            <w:gridSpan w:val="10"/>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364"/>
        <w:gridCol w:w="2646"/>
      </w:tblGrid>
      <w:tr>
        <w:tc>
          <w:tcPr>
            <w:tcW w:w="2078" w:type="dxa"/>
          </w:tcPr>
          <w:p>
            <w:pPr>
              <w:pStyle w:val="yTable"/>
              <w:pageBreakBefore/>
              <w:spacing w:line="180" w:lineRule="atLeast"/>
              <w:ind w:left="-115"/>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 &amp; 134)</w:t>
            </w:r>
          </w:p>
          <w:p>
            <w:pPr>
              <w:pStyle w:val="yTable"/>
              <w:spacing w:after="60" w:line="180" w:lineRule="atLeast"/>
              <w:rPr>
                <w:sz w:val="18"/>
              </w:rPr>
            </w:pPr>
            <w:r>
              <w:rPr>
                <w:b/>
              </w:rPr>
              <w:t>TRANSFER</w:t>
            </w:r>
            <w:r>
              <w:rPr>
                <w:sz w:val="18"/>
              </w:rPr>
              <w:tab/>
              <w:t>No.</w:t>
            </w:r>
          </w:p>
        </w:tc>
      </w:tr>
      <w:tr>
        <w:tc>
          <w:tcPr>
            <w:tcW w:w="2078"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spacing w:before="0" w:line="140" w:lineRule="atLeast"/>
              <w:rPr>
                <w:sz w:val="14"/>
              </w:rPr>
            </w:pPr>
            <w:r>
              <w:rPr>
                <w:sz w:val="14"/>
              </w:rPr>
              <w:t>(a)</w:t>
            </w:r>
            <w:r>
              <w:rPr>
                <w:sz w:val="14"/>
              </w:rPr>
              <w:tab/>
            </w:r>
            <w:r>
              <w:rPr>
                <w:sz w:val="14"/>
              </w:rPr>
              <w:tab/>
            </w:r>
            <w:r>
              <w:rPr>
                <w:sz w:val="14"/>
              </w:rPr>
              <w:tab/>
              <w:t>(b)</w:t>
            </w:r>
          </w:p>
          <w:p>
            <w:pPr>
              <w:pStyle w:val="yTable"/>
              <w:spacing w:before="0" w:line="140" w:lineRule="atLeast"/>
              <w:rPr>
                <w:sz w:val="14"/>
              </w:rPr>
            </w:pPr>
          </w:p>
          <w:p>
            <w:pPr>
              <w:pStyle w:val="yTable"/>
              <w:spacing w:before="0" w:line="140" w:lineRule="atLeast"/>
              <w:rPr>
                <w:sz w:val="14"/>
              </w:rPr>
            </w:pPr>
          </w:p>
          <w:p>
            <w:pPr>
              <w:pStyle w:val="yTable"/>
              <w:spacing w:before="0" w:line="140" w:lineRule="atLeast"/>
              <w:rPr>
                <w:sz w:val="14"/>
              </w:rPr>
            </w:pPr>
            <w:r>
              <w:rPr>
                <w:sz w:val="14"/>
              </w:rPr>
              <w:t>(c)</w:t>
            </w:r>
            <w:r>
              <w:rPr>
                <w:sz w:val="14"/>
              </w:rPr>
              <w:tab/>
            </w:r>
            <w:r>
              <w:rPr>
                <w:sz w:val="14"/>
              </w:rPr>
              <w:tab/>
            </w:r>
            <w:r>
              <w:rPr>
                <w:sz w:val="14"/>
              </w:rPr>
              <w:tab/>
              <w:t>(d)</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p>
            <w:pPr>
              <w:pStyle w:val="yTable"/>
              <w:spacing w:before="0" w:after="60" w:line="140" w:lineRule="atLeast"/>
              <w:rPr>
                <w:sz w:val="14"/>
              </w:rPr>
            </w:pPr>
            <w:r>
              <w:rPr>
                <w:sz w:val="14"/>
              </w:rPr>
              <w:t>DATED this                  day of                   20       .</w:t>
            </w:r>
          </w:p>
        </w:tc>
      </w:tr>
      <w:tr>
        <w:tc>
          <w:tcPr>
            <w:tcW w:w="2078" w:type="dxa"/>
          </w:tcPr>
          <w:p>
            <w:pPr>
              <w:pStyle w:val="yTable"/>
              <w:spacing w:line="140" w:lineRule="atLeast"/>
              <w:ind w:left="-120"/>
              <w:rPr>
                <w:sz w:val="14"/>
              </w:rPr>
            </w:pPr>
          </w:p>
          <w:p>
            <w:pPr>
              <w:pStyle w:val="yTable"/>
              <w:spacing w:line="140" w:lineRule="atLeast"/>
              <w:ind w:left="306" w:hanging="426"/>
              <w:rPr>
                <w:sz w:val="14"/>
              </w:rPr>
            </w:pPr>
            <w:r>
              <w:rPr>
                <w:sz w:val="14"/>
              </w:rPr>
              <w:t>(i)</w:t>
            </w:r>
            <w:r>
              <w:rPr>
                <w:sz w:val="14"/>
              </w:rPr>
              <w:tab/>
              <w:t>Signature of transferor</w:t>
            </w:r>
          </w:p>
          <w:p>
            <w:pPr>
              <w:pStyle w:val="yTable"/>
              <w:spacing w:line="140" w:lineRule="atLeast"/>
              <w:ind w:left="306" w:hanging="426"/>
              <w:rPr>
                <w:sz w:val="14"/>
              </w:rPr>
            </w:pPr>
            <w:r>
              <w:rPr>
                <w:sz w:val="14"/>
              </w:rPr>
              <w:t>(j)</w:t>
            </w:r>
            <w:r>
              <w:rPr>
                <w:sz w:val="14"/>
              </w:rPr>
              <w:tab/>
              <w:t>Signature of transferee</w:t>
            </w:r>
          </w:p>
          <w:p>
            <w:pPr>
              <w:pStyle w:val="yTable"/>
              <w:spacing w:line="140" w:lineRule="atLeast"/>
              <w:ind w:left="306" w:hanging="426"/>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pStyle w:val="yTable"/>
        <w:spacing w:line="140" w:lineRule="atLeast"/>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715"/>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rPr>
                <w:sz w:val="18"/>
              </w:rPr>
            </w:pPr>
          </w:p>
          <w:p>
            <w:pPr>
              <w:pStyle w:val="yTable"/>
              <w:spacing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p>
      <w:pPr>
        <w:pStyle w:val="yTable"/>
        <w:tabs>
          <w:tab w:val="left" w:pos="709"/>
          <w:tab w:val="left" w:pos="993"/>
        </w:tabs>
        <w:spacing w:line="180" w:lineRule="atLeast"/>
        <w:ind w:left="993" w:hanging="993"/>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993"/>
        <w:rPr>
          <w:snapToGrid w:val="0"/>
          <w:sz w:val="18"/>
        </w:rPr>
      </w:pPr>
      <w:r>
        <w:rPr>
          <w:snapToGrid w:val="0"/>
          <w:sz w:val="18"/>
        </w:rPr>
        <w:tab/>
        <w:t xml:space="preserve">2. </w:t>
      </w:r>
      <w:r>
        <w:rPr>
          <w:snapToGrid w:val="0"/>
          <w:sz w:val="18"/>
        </w:rPr>
        <w:tab/>
        <w:t>If a mortgage is registered with the Department of Mines</w:t>
      </w:r>
      <w:r>
        <w:rPr>
          <w:snapToGrid w:val="0"/>
          <w:sz w:val="18"/>
          <w:vertAlign w:val="superscript"/>
        </w:rPr>
        <w:t xml:space="preserve"> 4</w:t>
      </w:r>
      <w:r>
        <w:rPr>
          <w:snapToGrid w:val="0"/>
          <w:sz w:val="18"/>
        </w:rPr>
        <w:t xml:space="preserve"> and will continue after the transfer, insert the required details.</w:t>
      </w:r>
    </w:p>
    <w:p>
      <w:pPr>
        <w:pStyle w:val="yTable"/>
        <w:tabs>
          <w:tab w:val="left" w:pos="709"/>
          <w:tab w:val="left" w:pos="993"/>
        </w:tabs>
        <w:spacing w:line="180" w:lineRule="atLeast"/>
        <w:ind w:left="993" w:hanging="993"/>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993"/>
        <w:rPr>
          <w:sz w:val="18"/>
        </w:rPr>
      </w:pPr>
      <w:r>
        <w:rPr>
          <w:sz w:val="18"/>
        </w:rPr>
        <w:tab/>
      </w:r>
      <w:r>
        <w:rPr>
          <w:sz w:val="18"/>
        </w:rPr>
        <w:tab/>
        <w:t>The consent of the mortgagee to the transfer must be lodged with this Form.</w:t>
      </w:r>
    </w:p>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121 Reg. 76)</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2078" w:type="dxa"/>
          </w:tcPr>
          <w:p>
            <w:pPr>
              <w:pStyle w:val="yTable"/>
              <w:spacing w:line="160" w:lineRule="atLeast"/>
              <w:ind w:left="306" w:hanging="426"/>
              <w:rPr>
                <w:sz w:val="16"/>
              </w:rPr>
            </w:pPr>
          </w:p>
        </w:tc>
        <w:tc>
          <w:tcPr>
            <w:tcW w:w="5010" w:type="dxa"/>
          </w:tcPr>
          <w:p>
            <w:pPr>
              <w:pStyle w:val="yTable"/>
              <w:spacing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306" w:hanging="426"/>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Caveator</w:t>
            </w:r>
          </w:p>
          <w:p>
            <w:pPr>
              <w:pStyle w:val="yTable"/>
              <w:spacing w:before="0" w:after="60" w:line="160" w:lineRule="atLeast"/>
              <w:rPr>
                <w:sz w:val="16"/>
              </w:rPr>
            </w:pPr>
            <w:r>
              <w:rPr>
                <w:sz w:val="16"/>
              </w:rPr>
              <w:t>(f)</w:t>
            </w:r>
          </w:p>
        </w:tc>
      </w:tr>
      <w:tr>
        <w:tc>
          <w:tcPr>
            <w:tcW w:w="2078"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120"/>
              <w:rPr>
                <w:sz w:val="16"/>
              </w:rPr>
            </w:pPr>
          </w:p>
          <w:p>
            <w:pPr>
              <w:pStyle w:val="yTable"/>
              <w:spacing w:line="160" w:lineRule="atLeast"/>
              <w:ind w:left="306" w:hanging="426"/>
              <w:rPr>
                <w:sz w:val="16"/>
              </w:rPr>
            </w:pPr>
            <w:r>
              <w:rPr>
                <w:sz w:val="16"/>
              </w:rPr>
              <w:t>(i)</w:t>
            </w:r>
            <w:r>
              <w:rPr>
                <w:sz w:val="16"/>
              </w:rPr>
              <w:tab/>
              <w:t>Signature of caveator</w:t>
            </w: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Caveator or agent signs here</w:t>
            </w:r>
            <w:r>
              <w:rPr>
                <w:b/>
                <w:sz w:val="16"/>
              </w:rPr>
              <w:tab/>
              <w:t>Witness signs here</w:t>
            </w:r>
          </w:p>
          <w:p>
            <w:pPr>
              <w:pStyle w:val="yTable"/>
              <w:tabs>
                <w:tab w:val="left" w:leader="dot" w:pos="2055"/>
                <w:tab w:val="right" w:leader="dot" w:pos="4748"/>
              </w:tabs>
              <w:spacing w:line="160" w:lineRule="atLeast"/>
              <w:rPr>
                <w:sz w:val="16"/>
              </w:rPr>
            </w:pPr>
            <w:r>
              <w:rPr>
                <w:sz w:val="16"/>
              </w:rPr>
              <w:t xml:space="preserve">Signed (i) </w:t>
            </w:r>
            <w:r>
              <w:rPr>
                <w:sz w:val="16"/>
              </w:rPr>
              <w:tab/>
              <w:t xml:space="preserve"> in the presence of (j) </w:t>
            </w:r>
            <w:r>
              <w:rPr>
                <w:sz w:val="16"/>
              </w:rPr>
              <w:tab/>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120"/>
              <w:rPr>
                <w:sz w:val="16"/>
              </w:rPr>
            </w:pPr>
            <w:r>
              <w:rPr>
                <w:sz w:val="16"/>
              </w:rPr>
              <w:t>LODGING PARTY</w:t>
            </w:r>
          </w:p>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s>
        <w:spacing w:line="180" w:lineRule="atLeast"/>
        <w:ind w:left="709" w:hanging="709"/>
        <w:rPr>
          <w:sz w:val="18"/>
        </w:rPr>
      </w:pPr>
      <w:r>
        <w:rPr>
          <w:sz w:val="18"/>
        </w:rPr>
        <w:t>Note 1:</w:t>
      </w:r>
      <w:r>
        <w:rPr>
          <w:sz w:val="18"/>
        </w:rPr>
        <w:tab/>
        <w:t>If the caveat is lodged pursuant to section 122(2) of the Act the term of the caveat must be stated and a copy of the agreement attached.</w:t>
      </w:r>
    </w:p>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24A</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 Reg. 76A)</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WITHDRAWAL OF CAVEAT</w:t>
            </w:r>
            <w:r>
              <w:rPr>
                <w:sz w:val="18"/>
              </w:rPr>
              <w:tab/>
              <w:t xml:space="preserve">No.(s)          </w:t>
            </w:r>
          </w:p>
        </w:tc>
      </w:tr>
      <w:tr>
        <w:tc>
          <w:tcPr>
            <w:tcW w:w="2078" w:type="dxa"/>
          </w:tcPr>
          <w:p>
            <w:pPr>
              <w:pStyle w:val="yTable"/>
              <w:spacing w:line="180" w:lineRule="atLeast"/>
              <w:ind w:left="306" w:hanging="426"/>
              <w:rPr>
                <w:sz w:val="18"/>
              </w:rPr>
            </w:pPr>
            <w:r>
              <w:rPr>
                <w:sz w:val="18"/>
              </w:rPr>
              <w:t>(a)</w:t>
            </w:r>
            <w:r>
              <w:rPr>
                <w:sz w:val="18"/>
              </w:rPr>
              <w:tab/>
              <w:t>Full name &amp;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p>
          <w:p>
            <w:pPr>
              <w:pStyle w:val="yTable"/>
              <w:spacing w:before="0" w:after="60" w:line="180" w:lineRule="atLeast"/>
              <w:rPr>
                <w:sz w:val="18"/>
              </w:rPr>
            </w:pPr>
            <w:r>
              <w:rPr>
                <w:sz w:val="18"/>
              </w:rPr>
              <w:t>(a)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 Number(s) and mining tenement(s) affected</w:t>
            </w:r>
          </w:p>
          <w:p>
            <w:pPr>
              <w:pStyle w:val="yTable"/>
              <w:spacing w:before="0" w:line="180" w:lineRule="atLeast"/>
              <w:rPr>
                <w:sz w:val="18"/>
              </w:rPr>
            </w:pP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2078"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6"/>
              <w:rPr>
                <w:sz w:val="18"/>
              </w:rPr>
            </w:pPr>
            <w:r>
              <w:rPr>
                <w:sz w:val="18"/>
              </w:rPr>
              <w:t>(d)</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tab/>
              <w:t>Witness signs here</w:t>
            </w:r>
          </w:p>
          <w:p>
            <w:pPr>
              <w:pStyle w:val="yTable"/>
              <w:spacing w:before="0" w:line="180" w:lineRule="atLeast"/>
              <w:rPr>
                <w:sz w:val="18"/>
              </w:rPr>
            </w:pPr>
          </w:p>
          <w:p>
            <w:pPr>
              <w:pStyle w:val="yTable"/>
              <w:tabs>
                <w:tab w:val="left" w:leader="dot" w:pos="2055"/>
                <w:tab w:val="right" w:leader="dot" w:pos="4748"/>
              </w:tabs>
              <w:spacing w:after="60" w:line="180" w:lineRule="atLeast"/>
              <w:rPr>
                <w:sz w:val="18"/>
              </w:rPr>
            </w:pPr>
            <w:r>
              <w:rPr>
                <w:sz w:val="18"/>
              </w:rPr>
              <w:t xml:space="preserve">Signed (c) </w:t>
            </w:r>
            <w:r>
              <w:rPr>
                <w:sz w:val="18"/>
              </w:rPr>
              <w:tab/>
              <w:t xml:space="preserve"> in the presence of (d)</w:t>
            </w:r>
            <w:r>
              <w:rPr>
                <w:sz w:val="18"/>
              </w:rPr>
              <w:tab/>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line="180" w:lineRule="atLeast"/>
              <w:ind w:left="306" w:hanging="426"/>
              <w:rPr>
                <w:sz w:val="18"/>
              </w:rPr>
            </w:pPr>
            <w:r>
              <w:rPr>
                <w:sz w:val="18"/>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06"/>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0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367"/>
        <w:gridCol w:w="464"/>
        <w:gridCol w:w="2179"/>
      </w:tblGrid>
      <w:t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r>
              <w:rPr>
                <w:sz w:val="14"/>
              </w:rPr>
              <w:t> </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tcPr>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b/>
                <w:sz w:val="14"/>
              </w:rPr>
              <w:t>MORTGAGOR/S sign here</w:t>
            </w:r>
          </w:p>
          <w:p>
            <w:pPr>
              <w:pStyle w:val="yTable"/>
              <w:spacing w:line="140" w:lineRule="atLeast"/>
              <w:rPr>
                <w:sz w:val="14"/>
              </w:rPr>
            </w:pPr>
          </w:p>
          <w:p>
            <w:pPr>
              <w:pStyle w:val="yTable"/>
              <w:spacing w:line="140" w:lineRule="atLeast"/>
              <w:rPr>
                <w:sz w:val="14"/>
              </w:rPr>
            </w:pPr>
            <w:r>
              <w:rPr>
                <w:sz w:val="14"/>
              </w:rPr>
              <w:t>Signed (a)</w:t>
            </w:r>
          </w:p>
          <w:p>
            <w:pPr>
              <w:pStyle w:val="yTable"/>
              <w:spacing w:line="140" w:lineRule="atLeast"/>
              <w:rPr>
                <w:sz w:val="14"/>
              </w:rPr>
            </w:pPr>
            <w:r>
              <w:rPr>
                <w:sz w:val="14"/>
              </w:rPr>
              <w:t>in the presence of (b)</w:t>
            </w:r>
          </w:p>
          <w:p>
            <w:pPr>
              <w:pStyle w:val="yTable"/>
              <w:spacing w:line="140" w:lineRule="atLeast"/>
              <w:rPr>
                <w:sz w:val="14"/>
              </w:rPr>
            </w:pPr>
          </w:p>
          <w:p>
            <w:pPr>
              <w:pStyle w:val="yTable"/>
              <w:spacing w:line="140" w:lineRule="atLeast"/>
              <w:rPr>
                <w:sz w:val="14"/>
              </w:rPr>
            </w:pPr>
            <w:r>
              <w:rPr>
                <w:sz w:val="14"/>
              </w:rPr>
              <w:t>Signed (a)</w:t>
            </w:r>
          </w:p>
          <w:p>
            <w:pPr>
              <w:pStyle w:val="yTable"/>
              <w:spacing w:line="140" w:lineRule="atLeast"/>
              <w:rPr>
                <w:sz w:val="14"/>
              </w:rPr>
            </w:pPr>
            <w:r>
              <w:rPr>
                <w:sz w:val="14"/>
              </w:rPr>
              <w:t>in the presence of (b)</w:t>
            </w:r>
          </w:p>
        </w:tc>
      </w:tr>
      <w:tr>
        <w:trPr>
          <w:trHeight w:hRule="exact" w:val="198"/>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r>
        <w:trPr>
          <w:trHeight w:hRule="exact" w:val="198"/>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bl>
    <w:p>
      <w:pPr>
        <w:pStyle w:val="yTable"/>
        <w:spacing w:line="140" w:lineRule="atLeast"/>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732"/>
        <w:gridCol w:w="2367"/>
        <w:gridCol w:w="2525"/>
      </w:tblGrid>
      <w:tr>
        <w:tc>
          <w:tcPr>
            <w:tcW w:w="464"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25"/>
        <w:gridCol w:w="1276"/>
        <w:gridCol w:w="992"/>
        <w:gridCol w:w="992"/>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Mineral Produced/Sold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(Holder/Applicant)</w:t>
            </w:r>
          </w:p>
        </w:tc>
      </w:tr>
      <w:tr>
        <w:trPr>
          <w:cantSplit/>
          <w:trHeight w:val="1267"/>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pP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Material Mined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i/>
          <w:snapToGrid w:val="0"/>
          <w:sz w:val="18"/>
        </w:rPr>
        <w:tab/>
        <w:t xml:space="preserve">Mining Act 1978 </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applicant</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applicant</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107)</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26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gridSpan w:val="2"/>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31</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gridSpan w:val="3"/>
          </w:tcPr>
          <w:p>
            <w:pPr>
              <w:pStyle w:val="yTable"/>
              <w:spacing w:line="180" w:lineRule="atLeast"/>
              <w:ind w:left="-120"/>
              <w:rPr>
                <w:sz w:val="18"/>
              </w:rPr>
            </w:pPr>
          </w:p>
        </w:tc>
        <w:tc>
          <w:tcPr>
            <w:tcW w:w="5010" w:type="dxa"/>
            <w:gridSpan w:val="2"/>
          </w:tcPr>
          <w:p>
            <w:pPr>
              <w:pStyle w:val="yTable"/>
              <w:tabs>
                <w:tab w:val="left" w:pos="3189"/>
              </w:tabs>
              <w:spacing w:before="180" w:line="180" w:lineRule="atLeast"/>
              <w:rPr>
                <w:sz w:val="18"/>
              </w:rPr>
            </w:pPr>
            <w:r>
              <w:rPr>
                <w:b/>
              </w:rPr>
              <w:t>POWER OF ATTORNEY</w:t>
            </w:r>
            <w:r>
              <w:rPr>
                <w:sz w:val="18"/>
              </w:rPr>
              <w:tab/>
              <w:t xml:space="preserve">No.          </w:t>
            </w:r>
          </w:p>
          <w:p>
            <w:pPr>
              <w:pStyle w:val="yTable"/>
              <w:spacing w:before="0" w:line="180" w:lineRule="atLeast"/>
              <w:rPr>
                <w:sz w:val="18"/>
              </w:rPr>
            </w:pPr>
          </w:p>
        </w:tc>
      </w:tr>
      <w:tr>
        <w:tc>
          <w:tcPr>
            <w:tcW w:w="2078" w:type="dxa"/>
            <w:gridSpan w:val="3"/>
          </w:tcPr>
          <w:p>
            <w:pPr>
              <w:pStyle w:val="yTable"/>
              <w:spacing w:line="180" w:lineRule="atLeast"/>
              <w:ind w:left="306" w:hanging="426"/>
              <w:rPr>
                <w:sz w:val="18"/>
              </w:rPr>
            </w:pPr>
            <w:r>
              <w:rPr>
                <w:sz w:val="18"/>
              </w:rPr>
              <w:t>(a)</w:t>
            </w:r>
            <w:r>
              <w:rPr>
                <w:sz w:val="18"/>
              </w:rPr>
              <w:tab/>
              <w:t>Full name and address of donor</w:t>
            </w:r>
          </w:p>
        </w:tc>
        <w:tc>
          <w:tcPr>
            <w:tcW w:w="5010" w:type="dxa"/>
            <w:gridSpan w:val="2"/>
          </w:tcPr>
          <w:p>
            <w:pPr>
              <w:pStyle w:val="yTable"/>
              <w:spacing w:line="180" w:lineRule="atLeast"/>
              <w:rPr>
                <w:sz w:val="18"/>
              </w:rPr>
            </w:pPr>
            <w:r>
              <w:rPr>
                <w:sz w:val="18"/>
              </w:rPr>
              <w:t>I, (a)</w:t>
            </w:r>
          </w:p>
        </w:tc>
      </w:tr>
      <w:tr>
        <w:tc>
          <w:tcPr>
            <w:tcW w:w="2078" w:type="dxa"/>
            <w:gridSpan w:val="3"/>
          </w:tcPr>
          <w:p>
            <w:pPr>
              <w:pStyle w:val="yTable"/>
              <w:spacing w:line="180" w:lineRule="atLeast"/>
              <w:ind w:left="306" w:hanging="426"/>
              <w:rPr>
                <w:sz w:val="18"/>
              </w:rPr>
            </w:pPr>
          </w:p>
        </w:tc>
        <w:tc>
          <w:tcPr>
            <w:tcW w:w="5010" w:type="dxa"/>
            <w:gridSpan w:val="2"/>
          </w:tcPr>
          <w:p>
            <w:pPr>
              <w:pStyle w:val="yTable"/>
              <w:spacing w:line="180" w:lineRule="atLeast"/>
              <w:rPr>
                <w:sz w:val="18"/>
              </w:rPr>
            </w:pPr>
          </w:p>
        </w:tc>
      </w:tr>
      <w:tr>
        <w:tc>
          <w:tcPr>
            <w:tcW w:w="2078" w:type="dxa"/>
            <w:gridSpan w:val="3"/>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gridSpan w:val="2"/>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gridSpan w:val="3"/>
          </w:tcPr>
          <w:p>
            <w:pPr>
              <w:pStyle w:val="yTable"/>
              <w:spacing w:line="180" w:lineRule="atLeast"/>
              <w:ind w:left="-34" w:hanging="85"/>
              <w:rPr>
                <w:sz w:val="18"/>
              </w:rPr>
            </w:pPr>
            <w:r>
              <w:rPr>
                <w:sz w:val="18"/>
              </w:rPr>
              <w:t>*or otherwise according to the nature and extent of the powers intended to be conferred</w:t>
            </w:r>
          </w:p>
        </w:tc>
        <w:tc>
          <w:tcPr>
            <w:tcW w:w="5010" w:type="dxa"/>
            <w:gridSpan w:val="2"/>
          </w:tcPr>
          <w:p>
            <w:pPr>
              <w:pStyle w:val="yTable"/>
              <w:spacing w:line="180" w:lineRule="atLeast"/>
              <w:rPr>
                <w:sz w:val="18"/>
              </w:rPr>
            </w:pPr>
            <w:r>
              <w:rPr>
                <w:sz w:val="18"/>
              </w:rPr>
              <w:t>*</w:t>
            </w:r>
          </w:p>
        </w:tc>
      </w:tr>
      <w:tr>
        <w:tc>
          <w:tcPr>
            <w:tcW w:w="2078" w:type="dxa"/>
            <w:gridSpan w:val="3"/>
          </w:tcPr>
          <w:p>
            <w:pPr>
              <w:pStyle w:val="yTable"/>
              <w:keepNext/>
              <w:spacing w:line="180" w:lineRule="atLeast"/>
              <w:ind w:left="-120"/>
              <w:rPr>
                <w:sz w:val="18"/>
              </w:rPr>
            </w:pPr>
          </w:p>
        </w:tc>
        <w:tc>
          <w:tcPr>
            <w:tcW w:w="5010" w:type="dxa"/>
            <w:gridSpan w:val="2"/>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gridSpan w:val="3"/>
          </w:tcPr>
          <w:p>
            <w:pPr>
              <w:pStyle w:val="yTable"/>
              <w:pageBreakBefore/>
              <w:spacing w:line="180" w:lineRule="atLeast"/>
              <w:rPr>
                <w:sz w:val="18"/>
              </w:rPr>
            </w:pPr>
          </w:p>
        </w:tc>
        <w:tc>
          <w:tcPr>
            <w:tcW w:w="5010" w:type="dxa"/>
            <w:gridSpan w:val="2"/>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gridSpan w:val="3"/>
          </w:tcPr>
          <w:p>
            <w:pPr>
              <w:pStyle w:val="yTable"/>
              <w:spacing w:line="180" w:lineRule="atLeast"/>
              <w:rPr>
                <w:sz w:val="18"/>
              </w:rPr>
            </w:pPr>
          </w:p>
          <w:p>
            <w:pPr>
              <w:pStyle w:val="yTable"/>
              <w:spacing w:line="180" w:lineRule="atLeast"/>
              <w:rPr>
                <w:sz w:val="18"/>
              </w:rPr>
            </w:pPr>
          </w:p>
        </w:tc>
        <w:tc>
          <w:tcPr>
            <w:tcW w:w="5010" w:type="dxa"/>
            <w:gridSpan w:val="2"/>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 xml:space="preserve">(e)                                 </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 xml:space="preserve">20 ....................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(Regs. 48 &amp;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 xml:space="preserve">No.   </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defendant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 xml:space="preserve">S </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 xml:space="preserve">Summons and </w:t>
            </w:r>
          </w:p>
          <w:p>
            <w:pPr>
              <w:pStyle w:val="yTable"/>
              <w:spacing w:before="0" w:line="180" w:lineRule="atLeast"/>
              <w:rPr>
                <w:sz w:val="18"/>
              </w:rPr>
            </w:pPr>
            <w:r>
              <w:rPr>
                <w:sz w:val="18"/>
              </w:rPr>
              <w:t>Subpoena)</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Defendant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 xml:space="preserve">at (c)                .m. on the          day of             20    </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subpoena compelling the attendance of any witnesses, and production of any books, plans, documents, etc.</w:t>
            </w:r>
          </w:p>
          <w:p>
            <w:pPr>
              <w:pStyle w:val="yTable"/>
              <w:spacing w:line="180" w:lineRule="atLeast"/>
              <w:rPr>
                <w:sz w:val="18"/>
              </w:rPr>
            </w:pPr>
            <w:r>
              <w:rPr>
                <w:sz w:val="18"/>
              </w:rPr>
              <w:t>If you intend to dispute the plaintiff</w:t>
            </w:r>
            <w:r>
              <w:rPr>
                <w:sz w:val="18"/>
              </w:rPr>
              <w:fldChar w:fldCharType="begin"/>
            </w:r>
            <w:r>
              <w:rPr>
                <w:sz w:val="18"/>
              </w:rPr>
              <w:instrText>ADVANCE \R 1.40</w:instrText>
            </w:r>
            <w:r>
              <w:rPr>
                <w:sz w:val="18"/>
              </w:rPr>
              <w:fldChar w:fldCharType="end"/>
            </w:r>
            <w:r>
              <w:rPr>
                <w:sz w:val="18"/>
              </w:rPr>
              <w:t>‘s claim you must file a notice of defence in accordance with regulation 126</w:t>
            </w:r>
          </w:p>
          <w:p>
            <w:pPr>
              <w:pStyle w:val="yTable"/>
              <w:spacing w:line="180" w:lineRule="atLeast"/>
              <w:rPr>
                <w:sz w:val="18"/>
              </w:rPr>
            </w:pPr>
            <w:r>
              <w:rPr>
                <w:sz w:val="18"/>
              </w:rPr>
              <w:t xml:space="preserve">DATED at             </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451"/>
        <w:gridCol w:w="141"/>
        <w:gridCol w:w="1418"/>
      </w:tblGrid>
      <w:tr>
        <w:tc>
          <w:tcPr>
            <w:tcW w:w="2078" w:type="dxa"/>
          </w:tcPr>
          <w:p>
            <w:pPr>
              <w:pStyle w:val="yTable"/>
              <w:pageBreakBefore/>
              <w:spacing w:line="180" w:lineRule="atLeast"/>
              <w:ind w:left="-115"/>
              <w:rPr>
                <w:sz w:val="18"/>
              </w:rPr>
            </w:pPr>
            <w:r>
              <w:rPr>
                <w:sz w:val="18"/>
              </w:rPr>
              <w:t>Form 35</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124)</w:t>
            </w:r>
          </w:p>
          <w:p>
            <w:pPr>
              <w:pStyle w:val="yTable"/>
              <w:spacing w:line="180" w:lineRule="atLeast"/>
              <w:rPr>
                <w:sz w:val="18"/>
              </w:rPr>
            </w:pPr>
          </w:p>
          <w:p>
            <w:pPr>
              <w:pStyle w:val="yTable"/>
              <w:spacing w:line="180" w:lineRule="atLeast"/>
            </w:pPr>
            <w:r>
              <w:rPr>
                <w:b/>
              </w:rPr>
              <w:t>AFFIDAVIT OF SERVICE</w:t>
            </w:r>
          </w:p>
          <w:p>
            <w:pPr>
              <w:pStyle w:val="yTable"/>
              <w:spacing w:line="180" w:lineRule="atLeast"/>
              <w:rPr>
                <w:sz w:val="18"/>
              </w:rPr>
            </w:pP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tcPr>
          <w:p>
            <w:pPr>
              <w:pStyle w:val="yTable"/>
              <w:spacing w:line="180" w:lineRule="atLeast"/>
              <w:rPr>
                <w:sz w:val="18"/>
              </w:rPr>
            </w:pP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p>
            <w:pPr>
              <w:pStyle w:val="yTable"/>
              <w:spacing w:before="0" w:line="180" w:lineRule="atLeast"/>
              <w:ind w:left="317" w:hanging="432"/>
              <w:rPr>
                <w:sz w:val="18"/>
              </w:rPr>
            </w:pP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before="0" w:line="180" w:lineRule="atLeast"/>
              <w:rPr>
                <w:sz w:val="18"/>
              </w:rPr>
            </w:pP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Full name and address</w:t>
            </w:r>
          </w:p>
        </w:tc>
        <w:tc>
          <w:tcPr>
            <w:tcW w:w="5010" w:type="dxa"/>
            <w:gridSpan w:val="3"/>
          </w:tcPr>
          <w:p>
            <w:pPr>
              <w:pStyle w:val="yTable"/>
              <w:spacing w:line="180" w:lineRule="atLeast"/>
              <w:rPr>
                <w:sz w:val="18"/>
              </w:rPr>
            </w:pPr>
          </w:p>
          <w:p>
            <w:pPr>
              <w:pStyle w:val="yTable"/>
              <w:spacing w:line="180" w:lineRule="atLeast"/>
              <w:rPr>
                <w:sz w:val="18"/>
              </w:rPr>
            </w:pPr>
            <w:r>
              <w:rPr>
                <w:sz w:val="18"/>
              </w:rPr>
              <w:t xml:space="preserve">(c) 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make oath and say that I did on the              day of                                 20         , duly serve a copy of the summons (which is marked “A” and annexed hereto) as follows </w:t>
            </w:r>
            <w:r>
              <w:rPr>
                <w:snapToGrid w:val="0"/>
                <w:sz w:val="18"/>
              </w:rPr>
              <w:t>—</w:t>
            </w:r>
            <w:r>
              <w:rPr>
                <w:sz w:val="18"/>
              </w:rPr>
              <w:t> </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Full name of person on</w:t>
            </w:r>
          </w:p>
          <w:p>
            <w:pPr>
              <w:pStyle w:val="yTable"/>
              <w:tabs>
                <w:tab w:val="left" w:pos="2338"/>
              </w:tabs>
              <w:spacing w:before="0" w:line="180" w:lineRule="atLeast"/>
              <w:rPr>
                <w:sz w:val="18"/>
              </w:rPr>
            </w:pPr>
            <w:r>
              <w:rPr>
                <w:sz w:val="18"/>
              </w:rPr>
              <w:t xml:space="preserve">    whom service effected</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Manner of service</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Address where service</w:t>
            </w:r>
          </w:p>
          <w:p>
            <w:pPr>
              <w:pStyle w:val="yTable"/>
              <w:tabs>
                <w:tab w:val="left" w:pos="2338"/>
              </w:tabs>
              <w:spacing w:before="0" w:line="180" w:lineRule="atLeast"/>
              <w:rPr>
                <w:sz w:val="18"/>
              </w:rPr>
            </w:pPr>
            <w:r>
              <w:rPr>
                <w:sz w:val="18"/>
              </w:rPr>
              <w:t xml:space="preserve">    effected</w:t>
            </w:r>
            <w:r>
              <w:rPr>
                <w:sz w:val="18"/>
              </w:rPr>
              <w:tab/>
              <w:t>:</w:t>
            </w:r>
          </w:p>
          <w:p>
            <w:pPr>
              <w:pStyle w:val="yTable"/>
              <w:spacing w:before="0" w:line="180" w:lineRule="atLeast"/>
              <w:rPr>
                <w:sz w:val="18"/>
              </w:rPr>
            </w:pP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day of                   20    .</w:t>
            </w:r>
          </w:p>
          <w:p>
            <w:pPr>
              <w:pStyle w:val="yTable"/>
              <w:spacing w:before="0" w:line="180" w:lineRule="atLeast"/>
              <w:rPr>
                <w:sz w:val="14"/>
              </w:rPr>
            </w:pP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(Commissioner for taking affidavits in the Supreme Court/Warden/Mining Registrar/Justice of the Peace).</w:t>
            </w:r>
          </w:p>
        </w:tc>
      </w:tr>
      <w:tr>
        <w:tc>
          <w:tcPr>
            <w:tcW w:w="2078" w:type="dxa"/>
          </w:tcPr>
          <w:p>
            <w:pPr>
              <w:pStyle w:val="yTable"/>
              <w:pageBreakBefore/>
              <w:spacing w:line="180" w:lineRule="atLeast"/>
              <w:ind w:left="-115"/>
              <w:rPr>
                <w:sz w:val="18"/>
              </w:rPr>
            </w:pPr>
            <w:r>
              <w:rPr>
                <w:sz w:val="18"/>
              </w:rPr>
              <w:t>Form 36</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126)</w:t>
            </w:r>
          </w:p>
          <w:p>
            <w:pPr>
              <w:pStyle w:val="yTable"/>
              <w:spacing w:before="120" w:line="180" w:lineRule="atLeast"/>
            </w:pPr>
            <w:r>
              <w:rPr>
                <w:b/>
              </w:rPr>
              <w:t>NOTICE OF DEFENCE</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gridSpan w:val="2"/>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306" w:hanging="425"/>
              <w:rPr>
                <w:sz w:val="18"/>
              </w:rPr>
            </w:pPr>
            <w:r>
              <w:rPr>
                <w:sz w:val="18"/>
              </w:rPr>
              <w:t>(c)</w:t>
            </w:r>
            <w:r>
              <w:rPr>
                <w:sz w:val="18"/>
              </w:rPr>
              <w:tab/>
              <w:t>Grounds of defence</w:t>
            </w:r>
          </w:p>
        </w:tc>
        <w:tc>
          <w:tcPr>
            <w:tcW w:w="5010" w:type="dxa"/>
            <w:gridSpan w:val="3"/>
          </w:tcPr>
          <w:p>
            <w:pPr>
              <w:pStyle w:val="yTable"/>
              <w:spacing w:before="120" w:line="180" w:lineRule="atLeast"/>
              <w:rPr>
                <w:sz w:val="18"/>
              </w:rPr>
            </w:pPr>
            <w:r>
              <w:rPr>
                <w:sz w:val="18"/>
              </w:rPr>
              <w:t>TAKE NOTICE that I intend to defend the plaintiff’s claim in this action on the following grounds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 xml:space="preserve">+Delete if not applicable </w:t>
            </w:r>
          </w:p>
          <w:p>
            <w:pPr>
              <w:pStyle w:val="yTable"/>
              <w:spacing w:before="0" w:line="180" w:lineRule="atLeast"/>
              <w:ind w:left="306" w:hanging="425"/>
              <w:rPr>
                <w:sz w:val="18"/>
              </w:rPr>
            </w:pPr>
            <w:r>
              <w:rPr>
                <w:sz w:val="18"/>
              </w:rPr>
              <w:t>(see Note 1)</w:t>
            </w: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defendant</w:t>
            </w:r>
          </w:p>
        </w:tc>
        <w:tc>
          <w:tcPr>
            <w:tcW w:w="5010" w:type="dxa"/>
            <w:gridSpan w:val="3"/>
          </w:tcPr>
          <w:p>
            <w:pPr>
              <w:pStyle w:val="yTable"/>
              <w:spacing w:line="180" w:lineRule="atLeast"/>
              <w:rPr>
                <w:sz w:val="18"/>
              </w:rPr>
            </w:pPr>
            <w:r>
              <w:rPr>
                <w:sz w:val="18"/>
              </w:rPr>
              <w:t>+and the defendant claims</w:t>
            </w:r>
          </w:p>
          <w:p>
            <w:pPr>
              <w:pStyle w:val="yTable"/>
              <w:spacing w:before="0" w:line="180" w:lineRule="atLeast"/>
              <w:jc w:val="center"/>
              <w:rPr>
                <w:sz w:val="18"/>
              </w:rPr>
            </w:pPr>
            <w:r>
              <w:rPr>
                <w:sz w:val="18"/>
              </w:rPr>
              <w:t>_______________</w:t>
            </w:r>
          </w:p>
          <w:p>
            <w:pPr>
              <w:pStyle w:val="yTable"/>
              <w:spacing w:before="120" w:line="180" w:lineRule="atLeast"/>
              <w:rPr>
                <w:sz w:val="18"/>
              </w:rPr>
            </w:pPr>
            <w:r>
              <w:rPr>
                <w:sz w:val="18"/>
              </w:rPr>
              <w:t>DATED at        this        day of               20   .</w:t>
            </w:r>
          </w:p>
          <w:p>
            <w:pPr>
              <w:pStyle w:val="yTable"/>
              <w:tabs>
                <w:tab w:val="left" w:leader="dot" w:pos="4748"/>
              </w:tabs>
              <w:spacing w:line="180" w:lineRule="atLeast"/>
              <w:rPr>
                <w:sz w:val="18"/>
              </w:rPr>
            </w:pPr>
            <w:r>
              <w:rPr>
                <w:sz w:val="18"/>
              </w:rPr>
              <w:t>(d) ....................................................................................................</w:t>
            </w:r>
          </w:p>
        </w:tc>
      </w:tr>
    </w:tbl>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38"/>
              </w:tabs>
              <w:spacing w:line="180" w:lineRule="atLeast"/>
              <w:rPr>
                <w:sz w:val="18"/>
              </w:rPr>
            </w:pPr>
            <w:r>
              <w:rPr>
                <w:sz w:val="18"/>
              </w:rPr>
              <w:t>Received at ...............................m.</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on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t>
            </w:r>
          </w:p>
          <w:p>
            <w:pPr>
              <w:pStyle w:val="yTable"/>
              <w:tabs>
                <w:tab w:val="right" w:leader="dot" w:pos="2438"/>
              </w:tabs>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r>
        <w:rPr>
          <w:sz w:val="18"/>
        </w:rPr>
        <w:t>NOTE 1: If the defendant claims a set off or asks for cross relief, particulars of the relief sought should be stated.</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3"/>
        <w:gridCol w:w="36"/>
        <w:gridCol w:w="3402"/>
        <w:gridCol w:w="1559"/>
      </w:tblGrid>
      <w:tr>
        <w:trPr>
          <w:cantSplit/>
          <w:trHeight w:val="240"/>
        </w:trPr>
        <w:tc>
          <w:tcPr>
            <w:tcW w:w="2127" w:type="dxa"/>
            <w:gridSpan w:val="3"/>
          </w:tcPr>
          <w:p>
            <w:pPr>
              <w:pStyle w:val="yTable"/>
              <w:pageBreakBefore/>
              <w:spacing w:line="180" w:lineRule="atLeast"/>
              <w:ind w:left="-115"/>
              <w:rPr>
                <w:sz w:val="18"/>
              </w:rPr>
            </w:pPr>
            <w:r>
              <w:rPr>
                <w:sz w:val="18"/>
              </w:rPr>
              <w:t>Form 37</w:t>
            </w:r>
          </w:p>
        </w:tc>
        <w:tc>
          <w:tcPr>
            <w:tcW w:w="496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127)</w:t>
            </w:r>
          </w:p>
          <w:p>
            <w:pPr>
              <w:pStyle w:val="yTable"/>
              <w:spacing w:before="80" w:line="180" w:lineRule="atLeast"/>
            </w:pPr>
            <w:r>
              <w:rPr>
                <w:b/>
              </w:rPr>
              <w:t>SUBPOENA FOR WITNESS</w:t>
            </w:r>
          </w:p>
          <w:p>
            <w:pPr>
              <w:pStyle w:val="yTable"/>
              <w:spacing w:before="40" w:line="180" w:lineRule="atLeast"/>
              <w:rPr>
                <w:sz w:val="18"/>
              </w:rPr>
            </w:pPr>
            <w:r>
              <w:rPr>
                <w:sz w:val="18"/>
              </w:rPr>
              <w:t>In the Warden’s Court at</w:t>
            </w:r>
          </w:p>
        </w:tc>
      </w:tr>
      <w:tr>
        <w:trPr>
          <w:cantSplit/>
          <w:trHeight w:val="240"/>
        </w:trPr>
        <w:tc>
          <w:tcPr>
            <w:tcW w:w="2127" w:type="dxa"/>
            <w:gridSpan w:val="3"/>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02" w:type="dxa"/>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730"/>
                <w:tab w:val="left" w:leader="dot" w:pos="1155"/>
              </w:tabs>
              <w:spacing w:before="0" w:line="180" w:lineRule="atLeast"/>
              <w:jc w:val="center"/>
              <w:rPr>
                <w:sz w:val="18"/>
              </w:rPr>
            </w:pPr>
            <w:r>
              <w:rPr>
                <w:sz w:val="18"/>
              </w:rPr>
              <w:t>No............. / .....</w:t>
            </w:r>
          </w:p>
        </w:tc>
      </w:tr>
      <w:tr>
        <w:trPr>
          <w:cantSplit/>
          <w:trHeight w:val="240"/>
        </w:trPr>
        <w:tc>
          <w:tcPr>
            <w:tcW w:w="2127" w:type="dxa"/>
            <w:gridSpan w:val="3"/>
          </w:tcPr>
          <w:p>
            <w:pPr>
              <w:pStyle w:val="yTable"/>
              <w:spacing w:line="180" w:lineRule="atLeast"/>
              <w:ind w:left="-120"/>
              <w:rPr>
                <w:sz w:val="14"/>
              </w:rPr>
            </w:pPr>
          </w:p>
        </w:tc>
        <w:tc>
          <w:tcPr>
            <w:tcW w:w="4961" w:type="dxa"/>
            <w:gridSpan w:val="2"/>
          </w:tcPr>
          <w:p>
            <w:pPr>
              <w:pStyle w:val="yTable"/>
              <w:spacing w:line="180" w:lineRule="atLeast"/>
              <w:rPr>
                <w:sz w:val="14"/>
              </w:rPr>
            </w:pP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cantSplit/>
          <w:trHeight w:val="240"/>
        </w:trPr>
        <w:tc>
          <w:tcPr>
            <w:tcW w:w="2127" w:type="dxa"/>
            <w:gridSpan w:val="3"/>
          </w:tcPr>
          <w:p>
            <w:pPr>
              <w:pStyle w:val="yTable"/>
              <w:spacing w:before="30" w:line="180" w:lineRule="atLeast"/>
              <w:ind w:left="306" w:hanging="426"/>
              <w:rPr>
                <w:sz w:val="18"/>
              </w:rPr>
            </w:pPr>
          </w:p>
        </w:tc>
        <w:tc>
          <w:tcPr>
            <w:tcW w:w="4961" w:type="dxa"/>
            <w:gridSpan w:val="2"/>
          </w:tcPr>
          <w:p>
            <w:pPr>
              <w:pStyle w:val="yTable"/>
              <w:spacing w:before="3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240"/>
        </w:trPr>
        <w:tc>
          <w:tcPr>
            <w:tcW w:w="2127" w:type="dxa"/>
            <w:gridSpan w:val="3"/>
          </w:tcPr>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17" w:hanging="432"/>
              <w:rPr>
                <w:sz w:val="18"/>
              </w:rPr>
            </w:pPr>
            <w:r>
              <w:rPr>
                <w:sz w:val="18"/>
              </w:rPr>
              <w:t>(c)</w:t>
            </w:r>
            <w:r>
              <w:rPr>
                <w:sz w:val="18"/>
              </w:rPr>
              <w:tab/>
              <w:t>Place of hearing</w:t>
            </w:r>
          </w:p>
          <w:p>
            <w:pPr>
              <w:pStyle w:val="yTable"/>
              <w:spacing w:line="180" w:lineRule="atLeast"/>
              <w:ind w:left="306" w:hanging="425"/>
              <w:rPr>
                <w:sz w:val="18"/>
              </w:rPr>
            </w:pPr>
            <w:r>
              <w:rPr>
                <w:sz w:val="18"/>
              </w:rPr>
              <w:t>(d)</w:t>
            </w:r>
            <w:r>
              <w:rPr>
                <w:sz w:val="18"/>
              </w:rPr>
              <w:tab/>
              <w:t>Time and date of hearing</w:t>
            </w:r>
          </w:p>
          <w:p>
            <w:pPr>
              <w:pStyle w:val="yTable"/>
              <w:spacing w:before="120" w:line="180" w:lineRule="atLeast"/>
              <w:ind w:left="306" w:hanging="425"/>
              <w:rPr>
                <w:sz w:val="18"/>
              </w:rPr>
            </w:pPr>
            <w:r>
              <w:rPr>
                <w:sz w:val="18"/>
              </w:rPr>
              <w:t>(e)</w:t>
            </w:r>
            <w:r>
              <w:rPr>
                <w:sz w:val="18"/>
              </w:rPr>
              <w:tab/>
              <w:t>Plaintiff/</w:t>
            </w:r>
          </w:p>
          <w:p>
            <w:pPr>
              <w:pStyle w:val="yTable"/>
              <w:spacing w:before="0" w:line="180" w:lineRule="atLeast"/>
              <w:ind w:left="317" w:hanging="432"/>
              <w:rPr>
                <w:sz w:val="18"/>
              </w:rPr>
            </w:pPr>
            <w:r>
              <w:rPr>
                <w:sz w:val="18"/>
              </w:rPr>
              <w:tab/>
              <w:t>Defendant</w:t>
            </w:r>
          </w:p>
          <w:p>
            <w:pPr>
              <w:pStyle w:val="yTable"/>
              <w:spacing w:before="120" w:line="180" w:lineRule="atLeast"/>
              <w:ind w:left="306" w:hanging="425"/>
              <w:rPr>
                <w:sz w:val="18"/>
              </w:rPr>
            </w:pPr>
            <w:r>
              <w:rPr>
                <w:sz w:val="18"/>
              </w:rPr>
              <w:t>(f)</w:t>
            </w:r>
            <w:r>
              <w:rPr>
                <w:sz w:val="18"/>
              </w:rPr>
              <w:tab/>
              <w:t>State the particular things required to be produced</w:t>
            </w:r>
          </w:p>
        </w:tc>
        <w:tc>
          <w:tcPr>
            <w:tcW w:w="4961" w:type="dxa"/>
            <w:gridSpan w:val="2"/>
          </w:tcPr>
          <w:p>
            <w:pPr>
              <w:pStyle w:val="yTable"/>
              <w:spacing w:line="180" w:lineRule="atLeast"/>
              <w:rPr>
                <w:sz w:val="18"/>
              </w:rPr>
            </w:pPr>
            <w:r>
              <w:rPr>
                <w:b/>
                <w:sz w:val="18"/>
              </w:rPr>
              <w:t>TO:</w:t>
            </w:r>
          </w:p>
          <w:p>
            <w:pPr>
              <w:pStyle w:val="yTable"/>
              <w:spacing w:line="180" w:lineRule="atLeast"/>
              <w:rPr>
                <w:sz w:val="18"/>
              </w:rPr>
            </w:pPr>
            <w:r>
              <w:rPr>
                <w:sz w:val="18"/>
              </w:rPr>
              <w:t xml:space="preserve">You are hereby required to attend before this Court at   </w:t>
            </w:r>
          </w:p>
          <w:p>
            <w:pPr>
              <w:pStyle w:val="yTable"/>
              <w:tabs>
                <w:tab w:val="left" w:pos="2764"/>
              </w:tabs>
              <w:spacing w:line="180" w:lineRule="atLeast"/>
              <w:rPr>
                <w:sz w:val="18"/>
              </w:rPr>
            </w:pPr>
            <w:r>
              <w:rPr>
                <w:sz w:val="18"/>
              </w:rPr>
              <w:t>(c)</w:t>
            </w:r>
            <w:r>
              <w:rPr>
                <w:sz w:val="18"/>
              </w:rPr>
              <w:tab/>
              <w:t xml:space="preserve">at                  </w:t>
            </w:r>
          </w:p>
          <w:p>
            <w:pPr>
              <w:pStyle w:val="yTable"/>
              <w:spacing w:line="180" w:lineRule="atLeast"/>
              <w:rPr>
                <w:sz w:val="18"/>
              </w:rPr>
            </w:pPr>
            <w:r>
              <w:rPr>
                <w:sz w:val="18"/>
              </w:rPr>
              <w:t>(d)              .m on the            day of             20      .</w:t>
            </w:r>
          </w:p>
          <w:p>
            <w:pPr>
              <w:pStyle w:val="yTable"/>
              <w:spacing w:line="180" w:lineRule="atLeast"/>
              <w:rPr>
                <w:sz w:val="18"/>
              </w:rPr>
            </w:pPr>
            <w:r>
              <w:rPr>
                <w:sz w:val="18"/>
              </w:rPr>
              <w:t xml:space="preserve">and at every adjournment thereof to give evidence on behalf of </w:t>
            </w:r>
          </w:p>
          <w:p>
            <w:pPr>
              <w:pStyle w:val="yTable"/>
              <w:spacing w:line="180" w:lineRule="atLeast"/>
              <w:rPr>
                <w:sz w:val="18"/>
              </w:rPr>
            </w:pPr>
            <w:r>
              <w:rPr>
                <w:sz w:val="18"/>
              </w:rPr>
              <w:t>(e)</w:t>
            </w:r>
          </w:p>
          <w:p>
            <w:pPr>
              <w:pStyle w:val="yTable"/>
              <w:spacing w:line="180" w:lineRule="atLeast"/>
              <w:rPr>
                <w:sz w:val="18"/>
              </w:rPr>
            </w:pPr>
            <w:r>
              <w:rPr>
                <w:sz w:val="18"/>
              </w:rPr>
              <w:t>and to produce to the Court</w:t>
            </w:r>
          </w:p>
          <w:p>
            <w:pPr>
              <w:pStyle w:val="yTable"/>
              <w:spacing w:line="180" w:lineRule="atLeast"/>
              <w:rPr>
                <w:sz w:val="18"/>
              </w:rPr>
            </w:pPr>
            <w:r>
              <w:rPr>
                <w:sz w:val="18"/>
              </w:rPr>
              <w:t>(f)</w:t>
            </w:r>
          </w:p>
        </w:tc>
      </w:tr>
      <w:tr>
        <w:trPr>
          <w:cantSplit/>
          <w:trHeight w:val="240"/>
        </w:trPr>
        <w:tc>
          <w:tcPr>
            <w:tcW w:w="2127" w:type="dxa"/>
            <w:gridSpan w:val="3"/>
          </w:tcPr>
          <w:p>
            <w:pPr>
              <w:pStyle w:val="yTable"/>
              <w:spacing w:before="0" w:line="180" w:lineRule="atLeast"/>
              <w:ind w:left="306" w:hanging="425"/>
              <w:rPr>
                <w:sz w:val="18"/>
              </w:rPr>
            </w:pPr>
          </w:p>
        </w:tc>
        <w:tc>
          <w:tcPr>
            <w:tcW w:w="4961" w:type="dxa"/>
            <w:gridSpan w:val="2"/>
            <w:vMerge w:val="restart"/>
          </w:tcPr>
          <w:p>
            <w:pPr>
              <w:pStyle w:val="yTable"/>
              <w:spacing w:before="0" w:line="180" w:lineRule="atLeast"/>
              <w:rPr>
                <w:sz w:val="18"/>
              </w:rPr>
            </w:pPr>
            <w:r>
              <w:rPr>
                <w:sz w:val="18"/>
              </w:rPr>
              <w:t>If you neglect to comply with this summons you will be liable to a fine not exceeding $100 or to arrest.</w:t>
            </w:r>
          </w:p>
          <w:p>
            <w:pPr>
              <w:pStyle w:val="yTable"/>
              <w:spacing w:before="50" w:line="180" w:lineRule="atLeast"/>
              <w:rPr>
                <w:sz w:val="18"/>
              </w:rPr>
            </w:pPr>
            <w:r>
              <w:rPr>
                <w:sz w:val="18"/>
              </w:rPr>
              <w:t>Dated at                                                   this</w:t>
            </w:r>
          </w:p>
          <w:p>
            <w:pPr>
              <w:pStyle w:val="yTable"/>
              <w:spacing w:before="50" w:line="180" w:lineRule="atLeast"/>
              <w:rPr>
                <w:sz w:val="18"/>
              </w:rPr>
            </w:pPr>
            <w:r>
              <w:rPr>
                <w:sz w:val="18"/>
              </w:rPr>
              <w:t>day of                                      20     .</w:t>
            </w:r>
          </w:p>
          <w:p>
            <w:pPr>
              <w:pStyle w:val="yTable"/>
              <w:spacing w:before="50" w:line="180" w:lineRule="atLeast"/>
              <w:rPr>
                <w:sz w:val="18"/>
              </w:rPr>
            </w:pPr>
            <w:r>
              <w:rPr>
                <w:sz w:val="18"/>
              </w:rPr>
              <w:t>Conduct Money $_______</w:t>
            </w:r>
          </w:p>
          <w:p>
            <w:pPr>
              <w:pStyle w:val="yTable"/>
              <w:spacing w:before="50" w:line="180" w:lineRule="atLeast"/>
              <w:jc w:val="right"/>
              <w:rPr>
                <w:sz w:val="18"/>
              </w:rPr>
            </w:pPr>
            <w:r>
              <w:rPr>
                <w:sz w:val="18"/>
              </w:rPr>
              <w:t>....................................................... Mining Register</w:t>
            </w:r>
          </w:p>
          <w:p>
            <w:pPr>
              <w:pStyle w:val="yTable"/>
              <w:spacing w:before="50" w:line="180" w:lineRule="atLeast"/>
              <w:jc w:val="right"/>
              <w:rPr>
                <w:sz w:val="18"/>
              </w:rPr>
            </w:pPr>
            <w:r>
              <w:rPr>
                <w:sz w:val="18"/>
              </w:rPr>
              <w:t>........................................................... Mineral Field</w:t>
            </w:r>
          </w:p>
        </w:tc>
      </w:tr>
      <w:tr>
        <w:trPr>
          <w:cantSplit/>
          <w:trHeight w:val="240"/>
        </w:trPr>
        <w:tc>
          <w:tcPr>
            <w:tcW w:w="2127"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ind w:left="306" w:hanging="425"/>
              <w:jc w:val="center"/>
              <w:rPr>
                <w:sz w:val="18"/>
              </w:rPr>
            </w:pPr>
            <w:r>
              <w:rPr>
                <w:sz w:val="18"/>
              </w:rPr>
              <w:t>SEAL</w:t>
            </w:r>
          </w:p>
          <w:p>
            <w:pPr>
              <w:pStyle w:val="yTable"/>
              <w:spacing w:line="180" w:lineRule="atLeast"/>
              <w:ind w:left="306" w:hanging="425"/>
              <w:jc w:val="center"/>
              <w:rPr>
                <w:sz w:val="18"/>
              </w:rPr>
            </w:pPr>
            <w:r>
              <w:rPr>
                <w:sz w:val="18"/>
              </w:rPr>
              <w:t>OF</w:t>
            </w:r>
          </w:p>
          <w:p>
            <w:pPr>
              <w:pStyle w:val="yTable"/>
              <w:spacing w:line="180" w:lineRule="atLeast"/>
              <w:ind w:left="306" w:hanging="425"/>
              <w:jc w:val="center"/>
              <w:rPr>
                <w:sz w:val="18"/>
              </w:rPr>
            </w:pPr>
            <w:r>
              <w:rPr>
                <w:sz w:val="18"/>
              </w:rPr>
              <w:t>WARDEN’S</w:t>
            </w:r>
          </w:p>
          <w:p>
            <w:pPr>
              <w:pStyle w:val="yTable"/>
              <w:spacing w:line="180" w:lineRule="atLeast"/>
              <w:ind w:left="306" w:hanging="425"/>
              <w:jc w:val="center"/>
              <w:rPr>
                <w:sz w:val="18"/>
              </w:rPr>
            </w:pPr>
            <w:r>
              <w:rPr>
                <w:sz w:val="18"/>
              </w:rPr>
              <w:t>COURT</w:t>
            </w:r>
          </w:p>
        </w:tc>
        <w:tc>
          <w:tcPr>
            <w:tcW w:w="4961" w:type="dxa"/>
            <w:gridSpan w:val="2"/>
            <w:vMerge/>
            <w:tcBorders>
              <w:left w:val="nil"/>
            </w:tcBorders>
          </w:tcPr>
          <w:p>
            <w:pPr>
              <w:pStyle w:val="yTable"/>
              <w:spacing w:line="180" w:lineRule="atLeast"/>
              <w:rPr>
                <w:b/>
                <w:sz w:val="18"/>
              </w:rPr>
            </w:pPr>
          </w:p>
        </w:tc>
      </w:tr>
      <w:tr>
        <w:trPr>
          <w:cantSplit/>
          <w:trHeight w:val="240"/>
        </w:trPr>
        <w:tc>
          <w:tcPr>
            <w:tcW w:w="2127" w:type="dxa"/>
            <w:gridSpan w:val="3"/>
          </w:tcPr>
          <w:p>
            <w:pPr>
              <w:pStyle w:val="yTable"/>
              <w:spacing w:line="180" w:lineRule="atLeast"/>
              <w:ind w:left="306" w:hanging="425"/>
              <w:rPr>
                <w:sz w:val="18"/>
              </w:rPr>
            </w:pPr>
          </w:p>
        </w:tc>
        <w:tc>
          <w:tcPr>
            <w:tcW w:w="4961" w:type="dxa"/>
            <w:gridSpan w:val="2"/>
            <w:vMerge/>
          </w:tcPr>
          <w:p>
            <w:pPr>
              <w:pStyle w:val="yTable"/>
              <w:spacing w:line="180" w:lineRule="atLeast"/>
              <w:rPr>
                <w:b/>
                <w:sz w:val="18"/>
              </w:rPr>
            </w:pPr>
          </w:p>
        </w:tc>
      </w:tr>
      <w:tr>
        <w:tc>
          <w:tcPr>
            <w:tcW w:w="2091" w:type="dxa"/>
            <w:gridSpan w:val="2"/>
            <w:tcBorders>
              <w:top w:val="single" w:sz="7" w:space="0" w:color="auto"/>
            </w:tcBorders>
          </w:tcPr>
          <w:p>
            <w:pPr>
              <w:pStyle w:val="yTable"/>
              <w:spacing w:line="180" w:lineRule="atLeast"/>
              <w:rPr>
                <w:sz w:val="18"/>
              </w:rPr>
            </w:pPr>
          </w:p>
        </w:tc>
        <w:tc>
          <w:tcPr>
            <w:tcW w:w="4997" w:type="dxa"/>
            <w:gridSpan w:val="3"/>
            <w:tcBorders>
              <w:top w:val="single" w:sz="7" w:space="0" w:color="auto"/>
            </w:tcBorders>
          </w:tcPr>
          <w:p>
            <w:pPr>
              <w:pStyle w:val="yTable"/>
              <w:spacing w:line="180" w:lineRule="atLeast"/>
              <w:rPr>
                <w:sz w:val="18"/>
              </w:rPr>
            </w:pPr>
            <w:r>
              <w:rPr>
                <w:sz w:val="18"/>
              </w:rPr>
              <w:t xml:space="preserve">Received $ </w:t>
            </w:r>
            <w:r>
              <w:rPr>
                <w:sz w:val="18"/>
                <w:u w:val="single"/>
              </w:rPr>
              <w:t xml:space="preserve">          </w:t>
            </w:r>
            <w:r>
              <w:rPr>
                <w:sz w:val="18"/>
              </w:rPr>
              <w:t xml:space="preserve">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paper writing marked “A” referred to in the annexed affidavit of</w:t>
            </w:r>
          </w:p>
          <w:p>
            <w:pPr>
              <w:pStyle w:val="yTable"/>
              <w:spacing w:before="0" w:line="180" w:lineRule="atLeast"/>
              <w:rPr>
                <w:sz w:val="18"/>
              </w:rPr>
            </w:pPr>
            <w:r>
              <w:rPr>
                <w:sz w:val="18"/>
              </w:rPr>
              <w:t xml:space="preserve">sworn before me at                     </w:t>
            </w:r>
          </w:p>
          <w:p>
            <w:pPr>
              <w:pStyle w:val="yTable"/>
              <w:spacing w:before="0" w:line="180" w:lineRule="atLeast"/>
              <w:rPr>
                <w:sz w:val="18"/>
              </w:rPr>
            </w:pPr>
            <w:r>
              <w:rPr>
                <w:sz w:val="18"/>
              </w:rPr>
              <w:t>this          day of                        20     .</w:t>
            </w:r>
          </w:p>
          <w:p>
            <w:pPr>
              <w:pStyle w:val="yTable"/>
              <w:spacing w:before="40" w:line="180" w:lineRule="atLeast"/>
              <w:jc w:val="right"/>
              <w:rPr>
                <w:sz w:val="18"/>
              </w:rPr>
            </w:pPr>
            <w:r>
              <w:rPr>
                <w:sz w:val="18"/>
              </w:rPr>
              <w:t>...............................................................</w:t>
            </w:r>
          </w:p>
        </w:tc>
      </w:tr>
      <w:tr>
        <w:tc>
          <w:tcPr>
            <w:tcW w:w="2078" w:type="dxa"/>
          </w:tcPr>
          <w:p>
            <w:pPr>
              <w:pStyle w:val="yTable"/>
              <w:pageBreakBefore/>
              <w:spacing w:line="180" w:lineRule="atLeast"/>
              <w:ind w:left="-115"/>
              <w:rPr>
                <w:sz w:val="18"/>
              </w:rPr>
            </w:pPr>
            <w:r>
              <w:rPr>
                <w:sz w:val="18"/>
              </w:rPr>
              <w:t>Form 38</w:t>
            </w:r>
          </w:p>
        </w:tc>
        <w:tc>
          <w:tcPr>
            <w:tcW w:w="5010"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129)</w:t>
            </w:r>
          </w:p>
          <w:p>
            <w:pPr>
              <w:pStyle w:val="yTable"/>
              <w:spacing w:before="120" w:line="180" w:lineRule="atLeast"/>
            </w:pPr>
            <w:r>
              <w:rPr>
                <w:b/>
              </w:rPr>
              <w:t>JUDGMENT/ORDER OF WARDEN’S COURT</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gridSpan w:val="3"/>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pos="730"/>
                <w:tab w:val="lef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4"/>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4"/>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Insert decision</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Set forth the order in full</w:t>
            </w:r>
          </w:p>
          <w:p>
            <w:pPr>
              <w:pStyle w:val="yTable"/>
              <w:spacing w:before="0" w:line="180" w:lineRule="atLeast"/>
              <w:ind w:left="306" w:hanging="425"/>
              <w:rPr>
                <w:sz w:val="18"/>
              </w:rPr>
            </w:pPr>
          </w:p>
          <w:p>
            <w:pPr>
              <w:pStyle w:val="yTable"/>
              <w:spacing w:before="0" w:line="180" w:lineRule="atLeast"/>
              <w:rPr>
                <w:sz w:val="18"/>
              </w:rPr>
            </w:pPr>
          </w:p>
        </w:tc>
        <w:tc>
          <w:tcPr>
            <w:tcW w:w="5010" w:type="dxa"/>
            <w:gridSpan w:val="4"/>
          </w:tcPr>
          <w:p>
            <w:pPr>
              <w:pStyle w:val="yTable"/>
              <w:spacing w:line="180" w:lineRule="atLeast"/>
              <w:rPr>
                <w:sz w:val="18"/>
              </w:rPr>
            </w:pPr>
          </w:p>
          <w:p>
            <w:pPr>
              <w:pStyle w:val="yTable"/>
              <w:spacing w:before="0" w:line="180" w:lineRule="atLeast"/>
              <w:rPr>
                <w:sz w:val="18"/>
              </w:rPr>
            </w:pPr>
            <w:r>
              <w:rPr>
                <w:sz w:val="18"/>
              </w:rPr>
              <w:t>THE Court adjudges that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the Court orders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DATED at</w:t>
            </w:r>
          </w:p>
          <w:p>
            <w:pPr>
              <w:pStyle w:val="yTable"/>
              <w:spacing w:before="0" w:line="180" w:lineRule="atLeast"/>
              <w:rPr>
                <w:sz w:val="18"/>
              </w:rPr>
            </w:pPr>
          </w:p>
          <w:p>
            <w:pPr>
              <w:pStyle w:val="yTable"/>
              <w:spacing w:line="180" w:lineRule="atLeast"/>
              <w:rPr>
                <w:sz w:val="18"/>
              </w:rPr>
            </w:pPr>
            <w:r>
              <w:rPr>
                <w:sz w:val="18"/>
              </w:rPr>
              <w:t>this                       day of                          20   .</w:t>
            </w:r>
          </w:p>
          <w:p>
            <w:pPr>
              <w:pStyle w:val="yTable"/>
              <w:spacing w:before="0" w:line="180" w:lineRule="atLeast"/>
              <w:rPr>
                <w:sz w:val="18"/>
              </w:rPr>
            </w:pPr>
          </w:p>
        </w:tc>
      </w:tr>
      <w:tr>
        <w:trPr>
          <w:cantSplit/>
          <w:trHeight w:val="1200"/>
        </w:trPr>
        <w:tc>
          <w:tcPr>
            <w:tcW w:w="2078" w:type="dxa"/>
            <w:tcBorders>
              <w:top w:val="single" w:sz="4" w:space="0" w:color="auto"/>
              <w:left w:val="single" w:sz="4" w:space="0" w:color="auto"/>
              <w:bottom w:val="single" w:sz="4" w:space="0" w:color="auto"/>
              <w:right w:val="single" w:sz="4" w:space="0" w:color="auto"/>
            </w:tcBorders>
          </w:tcPr>
          <w:p>
            <w:pPr>
              <w:pStyle w:val="yTable"/>
              <w:spacing w:before="200" w:line="180" w:lineRule="atLeast"/>
              <w:ind w:left="306" w:hanging="425"/>
              <w:jc w:val="center"/>
              <w:rPr>
                <w:sz w:val="18"/>
              </w:rPr>
            </w:pPr>
            <w:r>
              <w:rPr>
                <w:sz w:val="18"/>
              </w:rPr>
              <w:t>SEAL</w:t>
            </w:r>
          </w:p>
          <w:p>
            <w:pPr>
              <w:pStyle w:val="yTable"/>
              <w:spacing w:before="0" w:line="180" w:lineRule="atLeast"/>
              <w:ind w:left="306" w:hanging="425"/>
              <w:jc w:val="center"/>
              <w:rPr>
                <w:sz w:val="18"/>
              </w:rPr>
            </w:pPr>
            <w:r>
              <w:rPr>
                <w:sz w:val="18"/>
              </w:rPr>
              <w:t>OF</w:t>
            </w:r>
          </w:p>
          <w:p>
            <w:pPr>
              <w:pStyle w:val="yTable"/>
              <w:spacing w:before="0" w:line="180" w:lineRule="atLeast"/>
              <w:ind w:left="306" w:hanging="425"/>
              <w:jc w:val="center"/>
              <w:rPr>
                <w:sz w:val="18"/>
              </w:rPr>
            </w:pPr>
            <w:r>
              <w:rPr>
                <w:sz w:val="18"/>
              </w:rPr>
              <w:t>WARDEN’S</w:t>
            </w:r>
          </w:p>
          <w:p>
            <w:pPr>
              <w:pStyle w:val="yTable"/>
              <w:spacing w:before="0" w:line="180" w:lineRule="atLeast"/>
              <w:ind w:left="306" w:hanging="425"/>
              <w:jc w:val="center"/>
              <w:rPr>
                <w:sz w:val="18"/>
              </w:rPr>
            </w:pPr>
            <w:r>
              <w:rPr>
                <w:sz w:val="18"/>
              </w:rPr>
              <w:t>COURT</w:t>
            </w:r>
          </w:p>
        </w:tc>
        <w:tc>
          <w:tcPr>
            <w:tcW w:w="5010" w:type="dxa"/>
            <w:gridSpan w:val="4"/>
            <w:tcBorders>
              <w:left w:val="nil"/>
            </w:tcBorders>
          </w:tcPr>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309"/>
        <w:gridCol w:w="1701"/>
      </w:tblGrid>
      <w:tr>
        <w:trPr>
          <w:cantSplit/>
          <w:trHeight w:val="720"/>
        </w:trPr>
        <w:tc>
          <w:tcPr>
            <w:tcW w:w="2078" w:type="dxa"/>
          </w:tcPr>
          <w:p>
            <w:pPr>
              <w:pStyle w:val="yTable"/>
              <w:pageBreakBefore/>
              <w:spacing w:line="180" w:lineRule="atLeast"/>
              <w:ind w:left="-119"/>
              <w:rPr>
                <w:sz w:val="18"/>
              </w:rPr>
            </w:pPr>
            <w:r>
              <w:rPr>
                <w:sz w:val="18"/>
              </w:rPr>
              <w:t>Form 39</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130)</w:t>
            </w:r>
          </w:p>
          <w:p>
            <w:pPr>
              <w:pStyle w:val="yTable"/>
              <w:spacing w:line="180" w:lineRule="atLeast"/>
            </w:pPr>
            <w:r>
              <w:rPr>
                <w:b/>
              </w:rPr>
              <w:t>WARRANT OF EXECUTION</w:t>
            </w:r>
          </w:p>
          <w:p>
            <w:pPr>
              <w:pStyle w:val="yTable"/>
              <w:spacing w:before="40" w:line="180" w:lineRule="atLeast"/>
              <w:rPr>
                <w:sz w:val="18"/>
              </w:rPr>
            </w:pPr>
            <w:r>
              <w:rPr>
                <w:sz w:val="18"/>
              </w:rPr>
              <w:t>In the Warden’s Court at</w:t>
            </w:r>
          </w:p>
        </w:tc>
      </w:tr>
      <w:tr>
        <w:trPr>
          <w:cantSplit/>
          <w:trHeight w:val="560"/>
        </w:trP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309"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cantSplit/>
          <w:trHeight w:val="240"/>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cantSplit/>
          <w:trHeight w:val="240"/>
        </w:trPr>
        <w:tc>
          <w:tcPr>
            <w:tcW w:w="2078" w:type="dxa"/>
          </w:tcPr>
          <w:p>
            <w:pPr>
              <w:pStyle w:val="yTable"/>
              <w:spacing w:before="0" w:line="180" w:lineRule="atLeast"/>
              <w:ind w:left="306" w:hanging="425"/>
              <w:rPr>
                <w:sz w:val="18"/>
              </w:rPr>
            </w:pPr>
          </w:p>
        </w:tc>
        <w:tc>
          <w:tcPr>
            <w:tcW w:w="5010" w:type="dxa"/>
            <w:gridSpan w:val="2"/>
          </w:tcPr>
          <w:p>
            <w:pPr>
              <w:pStyle w:val="yTable"/>
              <w:spacing w:before="2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720"/>
        </w:trP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*Delete whichever not applicable</w:t>
            </w: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†Defendant or Plaintiff</w:t>
            </w: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before="20" w:line="180" w:lineRule="atLeast"/>
              <w:rPr>
                <w:sz w:val="18"/>
              </w:rPr>
            </w:pPr>
            <w:r>
              <w:rPr>
                <w:sz w:val="18"/>
              </w:rPr>
              <w:t xml:space="preserve">WHEREAS on the               DAY of                    20  </w:t>
            </w:r>
          </w:p>
          <w:p>
            <w:pPr>
              <w:pStyle w:val="yTable"/>
              <w:spacing w:before="20" w:line="180" w:lineRule="atLeast"/>
              <w:rPr>
                <w:sz w:val="18"/>
              </w:rPr>
            </w:pPr>
            <w:r>
              <w:rPr>
                <w:sz w:val="18"/>
              </w:rPr>
              <w:t>* the plaintiff obtained a judgment of this Court against the defendant for debt (or damages) and costs in the sum of</w:t>
            </w:r>
          </w:p>
          <w:p>
            <w:pPr>
              <w:pStyle w:val="yTable"/>
              <w:spacing w:before="0" w:line="180" w:lineRule="atLeast"/>
              <w:jc w:val="center"/>
              <w:rPr>
                <w:sz w:val="18"/>
              </w:rPr>
            </w:pPr>
            <w:r>
              <w:rPr>
                <w:sz w:val="18"/>
              </w:rPr>
              <w:t>or</w:t>
            </w:r>
          </w:p>
          <w:p>
            <w:pPr>
              <w:pStyle w:val="yTable"/>
              <w:spacing w:before="0" w:line="180" w:lineRule="atLeast"/>
              <w:rPr>
                <w:sz w:val="18"/>
              </w:rPr>
            </w:pPr>
            <w:r>
              <w:rPr>
                <w:sz w:val="18"/>
              </w:rPr>
              <w:t>*it was ordered by the Court that judgment should be entered for the defendant, or that judgment of nonsuit should be entered and the costs be paid by the plaintiff to the defendant                 in the sum of                 and whereas default has been made in the payment thereof.</w:t>
            </w:r>
          </w:p>
          <w:p>
            <w:pPr>
              <w:pStyle w:val="yTable"/>
              <w:spacing w:before="40" w:line="180" w:lineRule="atLeast"/>
              <w:rPr>
                <w:sz w:val="18"/>
              </w:rPr>
            </w:pPr>
            <w:r>
              <w:rPr>
                <w:sz w:val="18"/>
              </w:rPr>
              <w:t>These are, therefore, to require and order you FORTHWITH TO LEVY BY DISTRESS AND SALE OF THE GOODS against any property of the †                            wheresoever it may be found, the sum of                       in addition to the costs of this execution, and also to seize and take any money, or bank notes or securities for money of the †                               or such part or so much thereof as may be sufficient to satisfy this execution and the costs of making and executing the same and forthwith to return the same to me, to be paid over to the †                         together with this warrant.</w:t>
            </w:r>
          </w:p>
          <w:p>
            <w:pPr>
              <w:pStyle w:val="yTable"/>
              <w:spacing w:before="40" w:line="180" w:lineRule="atLeast"/>
              <w:rPr>
                <w:sz w:val="18"/>
              </w:rPr>
            </w:pPr>
            <w:r>
              <w:rPr>
                <w:sz w:val="18"/>
              </w:rPr>
              <w:t>DATED at          this        day of                   20</w:t>
            </w:r>
          </w:p>
          <w:p>
            <w:pPr>
              <w:pStyle w:val="yTable"/>
              <w:spacing w:before="40" w:line="180" w:lineRule="atLeast"/>
              <w:jc w:val="center"/>
              <w:rPr>
                <w:sz w:val="18"/>
              </w:rPr>
            </w:pPr>
            <w:r>
              <w:rPr>
                <w:sz w:val="18"/>
              </w:rPr>
              <w:t>By the Court</w:t>
            </w:r>
          </w:p>
          <w:p>
            <w:pPr>
              <w:pStyle w:val="yTable"/>
              <w:tabs>
                <w:tab w:val="right" w:leader="dot" w:pos="4748"/>
              </w:tabs>
              <w:spacing w:before="20" w:line="180" w:lineRule="atLeast"/>
              <w:ind w:left="1060"/>
              <w:rPr>
                <w:sz w:val="18"/>
              </w:rPr>
            </w:pPr>
            <w:r>
              <w:rPr>
                <w:sz w:val="18"/>
              </w:rPr>
              <w:t>.......................................................Mining Registrar</w:t>
            </w:r>
          </w:p>
          <w:p>
            <w:pPr>
              <w:pStyle w:val="yTable"/>
              <w:tabs>
                <w:tab w:val="right" w:leader="dot" w:pos="4748"/>
              </w:tabs>
              <w:spacing w:before="0" w:line="180" w:lineRule="atLeast"/>
              <w:ind w:left="1060"/>
              <w:rPr>
                <w:sz w:val="18"/>
              </w:rPr>
            </w:pPr>
            <w:r>
              <w:rPr>
                <w:sz w:val="18"/>
              </w:rPr>
              <w:t>............................................................Mineral Field</w:t>
            </w:r>
          </w:p>
        </w:tc>
      </w:tr>
      <w:tr>
        <w:trPr>
          <w:cantSplit/>
          <w:trHeight w:val="758"/>
        </w:trPr>
        <w:tc>
          <w:tcPr>
            <w:tcW w:w="2078"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5"/>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r>
        <w:trPr>
          <w:cantSplit/>
          <w:trHeight w:val="757"/>
        </w:trPr>
        <w:tc>
          <w:tcPr>
            <w:tcW w:w="2078" w:type="dxa"/>
          </w:tcPr>
          <w:p>
            <w:pPr>
              <w:pStyle w:val="yTable"/>
              <w:spacing w:line="180" w:lineRule="atLeast"/>
              <w:ind w:left="-120"/>
              <w:jc w:val="center"/>
              <w:rPr>
                <w:sz w:val="18"/>
              </w:rPr>
            </w:pPr>
          </w:p>
        </w:tc>
        <w:tc>
          <w:tcPr>
            <w:tcW w:w="5010" w:type="dxa"/>
            <w:gridSpan w:val="2"/>
            <w:vMerge/>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rPr>
                <w:sz w:val="18"/>
              </w:rPr>
            </w:pPr>
          </w:p>
        </w:tc>
        <w:tc>
          <w:tcPr>
            <w:tcW w:w="5010" w:type="dxa"/>
          </w:tcPr>
          <w:p>
            <w:pPr>
              <w:pStyle w:val="yTable"/>
              <w:tabs>
                <w:tab w:val="left" w:pos="496"/>
                <w:tab w:val="left" w:pos="1913"/>
                <w:tab w:val="left" w:pos="2197"/>
                <w:tab w:val="left" w:pos="3614"/>
              </w:tabs>
              <w:spacing w:line="180" w:lineRule="atLeast"/>
              <w:rPr>
                <w:sz w:val="18"/>
              </w:rPr>
            </w:pPr>
            <w:r>
              <w:rPr>
                <w:sz w:val="18"/>
              </w:rPr>
              <w:tab/>
              <w:t>Judgment</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Costs</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Execution</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Other</w:t>
            </w:r>
            <w:r>
              <w:rPr>
                <w:sz w:val="18"/>
              </w:rPr>
              <w:tab/>
            </w:r>
            <w:r>
              <w:rPr>
                <w:sz w:val="18"/>
              </w:rPr>
              <w:tab/>
            </w:r>
            <w:r>
              <w:rPr>
                <w:sz w:val="18"/>
              </w:rPr>
              <w:tab/>
            </w:r>
            <w:r>
              <w:rPr>
                <w:sz w:val="18"/>
                <w:u w:val="single"/>
              </w:rPr>
              <w:t>$             </w:t>
            </w:r>
          </w:p>
          <w:p>
            <w:pPr>
              <w:pStyle w:val="yTable"/>
              <w:tabs>
                <w:tab w:val="left" w:pos="496"/>
                <w:tab w:val="left" w:pos="1913"/>
                <w:tab w:val="left" w:pos="2197"/>
                <w:tab w:val="left" w:pos="3614"/>
              </w:tabs>
              <w:spacing w:line="180" w:lineRule="atLeast"/>
              <w:rPr>
                <w:sz w:val="18"/>
              </w:rPr>
            </w:pPr>
            <w:r>
              <w:rPr>
                <w:sz w:val="18"/>
              </w:rPr>
              <w:tab/>
              <w:t>Total amount to be levied</w:t>
            </w:r>
            <w:r>
              <w:rPr>
                <w:sz w:val="18"/>
              </w:rPr>
              <w:tab/>
            </w:r>
            <w:r>
              <w:rPr>
                <w:sz w:val="18"/>
                <w:u w:val="single"/>
              </w:rPr>
              <w:t>$             </w:t>
            </w:r>
          </w:p>
          <w:p>
            <w:pPr>
              <w:pStyle w:val="yTable"/>
              <w:tabs>
                <w:tab w:val="right" w:leader="dot" w:pos="4181"/>
              </w:tabs>
              <w:spacing w:line="180" w:lineRule="atLeast"/>
              <w:rPr>
                <w:sz w:val="18"/>
              </w:rPr>
            </w:pPr>
            <w:r>
              <w:rPr>
                <w:sz w:val="18"/>
              </w:rPr>
              <w:t>Application was made for this warrant at ...................... m.</w:t>
            </w:r>
          </w:p>
          <w:p>
            <w:pPr>
              <w:pStyle w:val="yTable"/>
              <w:tabs>
                <w:tab w:val="right" w:leader="dot" w:pos="2764"/>
              </w:tabs>
              <w:spacing w:before="0" w:line="180" w:lineRule="atLeast"/>
              <w:rPr>
                <w:sz w:val="18"/>
              </w:rPr>
            </w:pPr>
            <w:r>
              <w:rPr>
                <w:sz w:val="18"/>
              </w:rPr>
              <w:t>on .........................................................</w:t>
            </w:r>
          </w:p>
          <w:p>
            <w:pPr>
              <w:pStyle w:val="yTable"/>
              <w:tabs>
                <w:tab w:val="left" w:pos="4181"/>
                <w:tab w:val="left" w:pos="6096"/>
                <w:tab w:val="left" w:pos="6379"/>
              </w:tabs>
              <w:spacing w:before="0" w:line="180" w:lineRule="atLeast"/>
              <w:rPr>
                <w:sz w:val="18"/>
              </w:rPr>
            </w:pPr>
            <w:r>
              <w:rPr>
                <w:sz w:val="18"/>
              </w:rPr>
              <w:t>Returned this Warrant to the above Warden’s Court on the</w:t>
            </w:r>
          </w:p>
          <w:p>
            <w:pPr>
              <w:pStyle w:val="yTable"/>
              <w:tabs>
                <w:tab w:val="left" w:pos="4181"/>
                <w:tab w:val="left" w:pos="6096"/>
                <w:tab w:val="left" w:pos="6379"/>
              </w:tabs>
              <w:spacing w:before="0" w:line="180" w:lineRule="atLeast"/>
              <w:rPr>
                <w:sz w:val="18"/>
              </w:rPr>
            </w:pPr>
            <w:r>
              <w:rPr>
                <w:sz w:val="18"/>
              </w:rPr>
              <w:t xml:space="preserve">                               day of </w:t>
            </w:r>
            <w:r>
              <w:rPr>
                <w:sz w:val="18"/>
              </w:rPr>
              <w:tab/>
              <w:t xml:space="preserve">20       </w:t>
            </w:r>
          </w:p>
          <w:p>
            <w:pPr>
              <w:pStyle w:val="yTable"/>
              <w:spacing w:before="0" w:line="180" w:lineRule="atLeast"/>
              <w:rPr>
                <w:sz w:val="18"/>
              </w:rPr>
            </w:pPr>
            <w:r>
              <w:rPr>
                <w:sz w:val="18"/>
              </w:rPr>
              <w:t>with the sum of                                             in satisfaction thereof.</w:t>
            </w:r>
          </w:p>
          <w:p>
            <w:pPr>
              <w:pStyle w:val="yTable"/>
              <w:spacing w:line="180" w:lineRule="atLeast"/>
              <w:rPr>
                <w:sz w:val="18"/>
              </w:rPr>
            </w:pPr>
          </w:p>
          <w:p>
            <w:pPr>
              <w:pStyle w:val="yTable"/>
              <w:tabs>
                <w:tab w:val="right" w:leader="dot" w:pos="4748"/>
              </w:tabs>
              <w:spacing w:line="180" w:lineRule="atLeast"/>
              <w:ind w:left="1063"/>
              <w:rPr>
                <w:sz w:val="18"/>
              </w:rPr>
            </w:pPr>
            <w:r>
              <w:rPr>
                <w:sz w:val="18"/>
              </w:rPr>
              <w:tab/>
              <w:t>BAILIFF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592"/>
        <w:gridCol w:w="1418"/>
      </w:tblGrid>
      <w:tr>
        <w:tc>
          <w:tcPr>
            <w:tcW w:w="2078" w:type="dxa"/>
          </w:tcPr>
          <w:p>
            <w:pPr>
              <w:pStyle w:val="yTable"/>
              <w:pageBreakBefore/>
              <w:spacing w:line="180" w:lineRule="atLeast"/>
              <w:ind w:left="-115"/>
              <w:rPr>
                <w:sz w:val="18"/>
              </w:rPr>
            </w:pPr>
            <w:r>
              <w:rPr>
                <w:sz w:val="18"/>
              </w:rPr>
              <w:t>Form 40</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141 Reg. 131)</w:t>
            </w:r>
          </w:p>
          <w:p>
            <w:pPr>
              <w:pStyle w:val="yTable"/>
              <w:spacing w:before="120" w:line="180" w:lineRule="atLeast"/>
            </w:pPr>
            <w:r>
              <w:rPr>
                <w:b/>
              </w:rPr>
              <w:t>WARRANT FOR RECOVERY OF POSSESSION</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rPr>
          <w:cantSplit/>
        </w:trPr>
        <w:tc>
          <w:tcPr>
            <w:tcW w:w="2078" w:type="dxa"/>
          </w:tcPr>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306" w:hanging="425"/>
              <w:rPr>
                <w:sz w:val="18"/>
              </w:rPr>
            </w:pPr>
            <w:r>
              <w:rPr>
                <w:sz w:val="18"/>
              </w:rPr>
              <w:t>(c)</w:t>
            </w:r>
            <w:r>
              <w:rPr>
                <w:sz w:val="18"/>
              </w:rPr>
              <w:tab/>
              <w:t>Here state terms of order</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line="180" w:lineRule="atLeast"/>
              <w:rPr>
                <w:sz w:val="18"/>
              </w:rPr>
            </w:pPr>
          </w:p>
          <w:p>
            <w:pPr>
              <w:pStyle w:val="yTable"/>
              <w:spacing w:line="180" w:lineRule="atLeast"/>
              <w:rPr>
                <w:sz w:val="18"/>
              </w:rPr>
            </w:pPr>
            <w:r>
              <w:rPr>
                <w:sz w:val="18"/>
              </w:rPr>
              <w:t>WHEREAS on the               DAY of</w:t>
            </w:r>
            <w:r>
              <w:rPr>
                <w:sz w:val="18"/>
              </w:rPr>
              <w:tab/>
              <w:t xml:space="preserve">          20     </w:t>
            </w:r>
          </w:p>
          <w:p>
            <w:pPr>
              <w:pStyle w:val="yTable"/>
              <w:spacing w:before="0" w:line="180" w:lineRule="atLeast"/>
              <w:rPr>
                <w:sz w:val="18"/>
              </w:rPr>
            </w:pPr>
            <w:r>
              <w:rPr>
                <w:sz w:val="18"/>
              </w:rPr>
              <w:t>an order was made in the above Court that the defendant deliver up possession of</w:t>
            </w:r>
          </w:p>
          <w:p>
            <w:pPr>
              <w:pStyle w:val="yTable"/>
              <w:spacing w:line="180" w:lineRule="atLeast"/>
              <w:rPr>
                <w:sz w:val="18"/>
              </w:rPr>
            </w:pPr>
          </w:p>
          <w:p>
            <w:pPr>
              <w:pStyle w:val="yTable"/>
              <w:spacing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tabs>
                <w:tab w:val="right" w:pos="4748"/>
              </w:tabs>
              <w:spacing w:before="0" w:line="180" w:lineRule="atLeast"/>
              <w:rPr>
                <w:sz w:val="18"/>
              </w:rPr>
            </w:pPr>
            <w:r>
              <w:rPr>
                <w:sz w:val="18"/>
              </w:rPr>
              <w:tab/>
              <w:t>to the plaintiff</w:t>
            </w:r>
          </w:p>
          <w:p>
            <w:pPr>
              <w:pStyle w:val="yTable"/>
              <w:spacing w:before="0" w:line="180" w:lineRule="atLeast"/>
              <w:rPr>
                <w:sz w:val="18"/>
              </w:rPr>
            </w:pPr>
            <w:r>
              <w:rPr>
                <w:sz w:val="18"/>
              </w:rPr>
              <w:t>and whereas the said defendant has refused or neglected so to do.</w:t>
            </w:r>
          </w:p>
          <w:p>
            <w:pPr>
              <w:pStyle w:val="yTable"/>
              <w:spacing w:line="180" w:lineRule="atLeast"/>
              <w:rPr>
                <w:sz w:val="18"/>
              </w:rPr>
            </w:pPr>
            <w:r>
              <w:rPr>
                <w:sz w:val="18"/>
              </w:rPr>
              <w:t>These are therefore to require and order you FORTHWITH TO eject the said defendant from the aforementioned land and/or mining tenement and to seize and take chattels or minerals specified above and deliver the same into your possession.</w:t>
            </w:r>
          </w:p>
          <w:p>
            <w:pPr>
              <w:pStyle w:val="yTable"/>
              <w:spacing w:line="180" w:lineRule="atLeast"/>
              <w:jc w:val="center"/>
              <w:rPr>
                <w:sz w:val="18"/>
              </w:rPr>
            </w:pPr>
            <w:r>
              <w:rPr>
                <w:sz w:val="18"/>
              </w:rPr>
              <w:t>By the Court</w:t>
            </w:r>
          </w:p>
          <w:p>
            <w:pPr>
              <w:pStyle w:val="yTable"/>
              <w:tabs>
                <w:tab w:val="right" w:leader="dot" w:pos="4748"/>
              </w:tabs>
              <w:spacing w:line="180" w:lineRule="atLeast"/>
              <w:ind w:left="1063"/>
              <w:rPr>
                <w:sz w:val="18"/>
              </w:rPr>
            </w:pPr>
            <w:r>
              <w:rPr>
                <w:sz w:val="18"/>
              </w:rPr>
              <w:t>.........................................Warden/Mining Registrar</w:t>
            </w:r>
          </w:p>
          <w:p>
            <w:pPr>
              <w:pStyle w:val="yTable"/>
              <w:tabs>
                <w:tab w:val="right" w:leader="dot" w:pos="4748"/>
              </w:tabs>
              <w:spacing w:before="0" w:line="180" w:lineRule="atLeast"/>
              <w:ind w:left="1060"/>
              <w:rPr>
                <w:sz w:val="18"/>
              </w:rPr>
            </w:pPr>
            <w:r>
              <w:rPr>
                <w:sz w:val="18"/>
              </w:rPr>
              <w:tab/>
              <w:t>Mineral Field</w:t>
            </w:r>
          </w:p>
        </w:tc>
      </w:tr>
      <w:tr>
        <w:trPr>
          <w:cantSplit/>
        </w:trPr>
        <w:tc>
          <w:tcPr>
            <w:tcW w:w="2078" w:type="dxa"/>
            <w:tcBorders>
              <w:top w:val="single" w:sz="4" w:space="0" w:color="auto"/>
              <w:left w:val="single" w:sz="4" w:space="0" w:color="auto"/>
              <w:bottom w:val="single" w:sz="4" w:space="0" w:color="auto"/>
              <w:right w:val="single" w:sz="4" w:space="0" w:color="auto"/>
            </w:tcBorders>
          </w:tcPr>
          <w:p>
            <w:pPr>
              <w:pStyle w:val="yTable"/>
              <w:spacing w:before="120" w:line="180" w:lineRule="atLeast"/>
              <w:ind w:left="-119"/>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9"/>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41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132)</w:t>
            </w:r>
          </w:p>
        </w:tc>
      </w:tr>
      <w:tr>
        <w:tc>
          <w:tcPr>
            <w:tcW w:w="2078" w:type="dxa"/>
          </w:tcPr>
          <w:p>
            <w:pPr>
              <w:pStyle w:val="yTable"/>
              <w:spacing w:line="180" w:lineRule="atLeast"/>
              <w:ind w:left="-120"/>
              <w:rPr>
                <w:sz w:val="18"/>
              </w:rPr>
            </w:pPr>
          </w:p>
        </w:tc>
        <w:tc>
          <w:tcPr>
            <w:tcW w:w="5010" w:type="dxa"/>
          </w:tcPr>
          <w:p>
            <w:pPr>
              <w:pStyle w:val="yTable"/>
              <w:spacing w:before="120" w:line="180" w:lineRule="atLeast"/>
            </w:pPr>
            <w:r>
              <w:rPr>
                <w:b/>
              </w:rPr>
              <w:t>NOTICE OF SEIZURE</w:t>
            </w:r>
          </w:p>
        </w:tc>
      </w:tr>
      <w:tr>
        <w:tc>
          <w:tcPr>
            <w:tcW w:w="2078" w:type="dxa"/>
          </w:tcPr>
          <w:p>
            <w:pPr>
              <w:pStyle w:val="yTable"/>
              <w:spacing w:line="180" w:lineRule="atLeast"/>
              <w:ind w:left="-120"/>
              <w:rPr>
                <w:sz w:val="18"/>
              </w:rPr>
            </w:pPr>
          </w:p>
        </w:tc>
        <w:tc>
          <w:tcPr>
            <w:tcW w:w="5010" w:type="dxa"/>
          </w:tcPr>
          <w:p>
            <w:pPr>
              <w:pStyle w:val="yTable"/>
              <w:tabs>
                <w:tab w:val="left" w:pos="2764"/>
              </w:tabs>
              <w:spacing w:line="180" w:lineRule="atLeast"/>
              <w:rPr>
                <w:sz w:val="18"/>
              </w:rPr>
            </w:pPr>
            <w:r>
              <w:rPr>
                <w:sz w:val="18"/>
              </w:rPr>
              <w:t>In the</w:t>
            </w:r>
            <w:r>
              <w:rPr>
                <w:sz w:val="18"/>
              </w:rPr>
              <w:tab/>
              <w:t>Court at</w:t>
            </w:r>
          </w:p>
          <w:p>
            <w:pPr>
              <w:pStyle w:val="yTable"/>
              <w:tabs>
                <w:tab w:val="left" w:pos="3331"/>
              </w:tabs>
              <w:spacing w:line="180" w:lineRule="atLeast"/>
              <w:rPr>
                <w:sz w:val="18"/>
              </w:rPr>
            </w:pPr>
            <w:r>
              <w:rPr>
                <w:sz w:val="18"/>
              </w:rPr>
              <w:t>Plaint No.</w:t>
            </w:r>
            <w:r>
              <w:rPr>
                <w:sz w:val="18"/>
              </w:rPr>
              <w:tab/>
              <w:t xml:space="preserve">Warrant No.              </w:t>
            </w:r>
          </w:p>
          <w:p>
            <w:pPr>
              <w:pStyle w:val="yTable"/>
              <w:spacing w:line="180" w:lineRule="atLeast"/>
              <w:jc w:val="center"/>
              <w:rPr>
                <w:sz w:val="18"/>
              </w:rPr>
            </w:pPr>
            <w:r>
              <w:rPr>
                <w:sz w:val="18"/>
              </w:rPr>
              <w:t>Between</w:t>
            </w:r>
          </w:p>
          <w:p>
            <w:pPr>
              <w:pStyle w:val="yTable"/>
              <w:spacing w:line="180" w:lineRule="atLeast"/>
              <w:jc w:val="right"/>
              <w:rPr>
                <w:sz w:val="18"/>
              </w:rPr>
            </w:pPr>
            <w:r>
              <w:rPr>
                <w:sz w:val="18"/>
              </w:rPr>
              <w:tab/>
              <w:t xml:space="preserve">Plaintiff   </w:t>
            </w:r>
          </w:p>
          <w:p>
            <w:pPr>
              <w:pStyle w:val="yTable"/>
              <w:spacing w:line="180" w:lineRule="atLeast"/>
              <w:jc w:val="center"/>
              <w:rPr>
                <w:sz w:val="18"/>
              </w:rPr>
            </w:pPr>
            <w:r>
              <w:rPr>
                <w:sz w:val="18"/>
              </w:rPr>
              <w:t>and</w:t>
            </w:r>
          </w:p>
          <w:p>
            <w:pPr>
              <w:pStyle w:val="yTable"/>
              <w:spacing w:line="180" w:lineRule="atLeast"/>
              <w:jc w:val="right"/>
              <w:rPr>
                <w:sz w:val="18"/>
              </w:rPr>
            </w:pPr>
            <w:r>
              <w:rPr>
                <w:sz w:val="18"/>
              </w:rPr>
              <w:tab/>
              <w:t xml:space="preserve">Defendant   </w:t>
            </w:r>
          </w:p>
          <w:p>
            <w:pPr>
              <w:pStyle w:val="yTable"/>
              <w:spacing w:line="180" w:lineRule="atLeast"/>
              <w:rPr>
                <w:sz w:val="18"/>
              </w:rPr>
            </w:pPr>
            <w:r>
              <w:rPr>
                <w:b/>
                <w:sz w:val="18"/>
              </w:rPr>
              <w:t>TO:</w:t>
            </w:r>
            <w:r>
              <w:rPr>
                <w:sz w:val="18"/>
              </w:rPr>
              <w:t xml:space="preserve"> The MINING REGISTRAR, at</w:t>
            </w:r>
          </w:p>
          <w:p>
            <w:pPr>
              <w:pStyle w:val="yTable"/>
              <w:spacing w:line="180" w:lineRule="atLeast"/>
              <w:rPr>
                <w:sz w:val="18"/>
              </w:rPr>
            </w:pPr>
            <w:r>
              <w:rPr>
                <w:sz w:val="18"/>
              </w:rPr>
              <w:t>TAKE NOTICE that under and by virtue of</w:t>
            </w:r>
          </w:p>
          <w:p>
            <w:pPr>
              <w:pStyle w:val="yTable"/>
              <w:tabs>
                <w:tab w:val="left" w:pos="1346"/>
                <w:tab w:val="left" w:pos="3189"/>
              </w:tabs>
              <w:spacing w:line="180" w:lineRule="atLeast"/>
              <w:rPr>
                <w:sz w:val="18"/>
              </w:rPr>
            </w:pPr>
            <w:r>
              <w:rPr>
                <w:sz w:val="18"/>
              </w:rPr>
              <w:tab/>
              <w:t>, dated the</w:t>
            </w:r>
            <w:r>
              <w:rPr>
                <w:sz w:val="18"/>
              </w:rPr>
              <w:tab/>
              <w:t xml:space="preserve">day of                   </w:t>
            </w:r>
          </w:p>
          <w:p>
            <w:pPr>
              <w:pStyle w:val="yTable"/>
              <w:tabs>
                <w:tab w:val="left" w:pos="3898"/>
              </w:tabs>
              <w:spacing w:line="180" w:lineRule="atLeast"/>
              <w:rPr>
                <w:sz w:val="18"/>
              </w:rPr>
            </w:pPr>
            <w:r>
              <w:rPr>
                <w:sz w:val="18"/>
              </w:rPr>
              <w:t>20     , issued out of the</w:t>
            </w:r>
            <w:r>
              <w:rPr>
                <w:sz w:val="18"/>
              </w:rPr>
              <w:tab/>
              <w:t>Court</w:t>
            </w:r>
          </w:p>
          <w:p>
            <w:pPr>
              <w:pStyle w:val="yTable"/>
              <w:tabs>
                <w:tab w:val="left" w:pos="2764"/>
              </w:tabs>
              <w:spacing w:line="180" w:lineRule="atLeast"/>
              <w:rPr>
                <w:sz w:val="18"/>
              </w:rPr>
            </w:pPr>
            <w:r>
              <w:rPr>
                <w:sz w:val="18"/>
              </w:rPr>
              <w:t>at</w:t>
            </w:r>
            <w:r>
              <w:rPr>
                <w:sz w:val="18"/>
              </w:rPr>
              <w:tab/>
              <w:t xml:space="preserve">(copy attached)              </w:t>
            </w:r>
          </w:p>
          <w:p>
            <w:pPr>
              <w:pStyle w:val="yTable"/>
              <w:tabs>
                <w:tab w:val="left" w:pos="3898"/>
              </w:tabs>
              <w:spacing w:line="180" w:lineRule="atLeast"/>
              <w:rPr>
                <w:sz w:val="18"/>
              </w:rPr>
            </w:pPr>
            <w:r>
              <w:rPr>
                <w:sz w:val="18"/>
              </w:rPr>
              <w:t>I have this day seized all the</w:t>
            </w:r>
            <w:r>
              <w:rPr>
                <w:sz w:val="18"/>
              </w:rPr>
              <w:tab/>
              <w:t>right,</w:t>
            </w:r>
          </w:p>
          <w:p>
            <w:pPr>
              <w:pStyle w:val="yTable"/>
              <w:spacing w:before="0" w:line="180" w:lineRule="atLeast"/>
              <w:rPr>
                <w:sz w:val="18"/>
              </w:rPr>
            </w:pPr>
            <w:r>
              <w:rPr>
                <w:sz w:val="18"/>
              </w:rPr>
              <w:t>title and interest (if any) in and to the shares specified in the undermentioned mining tenement </w:t>
            </w:r>
            <w:r>
              <w:rPr>
                <w:snapToGrid w:val="0"/>
                <w:sz w:val="18"/>
              </w:rPr>
              <w:t>—</w:t>
            </w:r>
            <w:r>
              <w:rPr>
                <w:sz w:val="18"/>
              </w:rPr>
              <w:t> </w:t>
            </w:r>
          </w:p>
          <w:p>
            <w:pPr>
              <w:pStyle w:val="yTable"/>
              <w:spacing w:line="180" w:lineRule="atLeast"/>
              <w:rPr>
                <w:sz w:val="18"/>
              </w:rPr>
            </w:pP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(a) Type</w:t>
            </w:r>
          </w:p>
          <w:p>
            <w:pPr>
              <w:pStyle w:val="yTable"/>
              <w:spacing w:before="0" w:line="180" w:lineRule="atLeast"/>
              <w:ind w:left="-119"/>
              <w:rPr>
                <w:sz w:val="18"/>
              </w:rPr>
            </w:pPr>
            <w:r>
              <w:rPr>
                <w:sz w:val="18"/>
              </w:rPr>
              <w:t>(b) Number</w:t>
            </w:r>
          </w:p>
          <w:p>
            <w:pPr>
              <w:pStyle w:val="yTable"/>
              <w:spacing w:before="0" w:line="180" w:lineRule="atLeast"/>
              <w:ind w:left="-119"/>
              <w:rPr>
                <w:sz w:val="18"/>
              </w:rPr>
            </w:pPr>
            <w:r>
              <w:rPr>
                <w:sz w:val="18"/>
              </w:rPr>
              <w:t>(c) Mineral Field</w:t>
            </w:r>
          </w:p>
          <w:p>
            <w:pPr>
              <w:pStyle w:val="yTable"/>
              <w:spacing w:before="0" w:line="180" w:lineRule="atLeast"/>
              <w:ind w:left="-119"/>
              <w:rPr>
                <w:sz w:val="18"/>
              </w:rPr>
            </w:pPr>
            <w:r>
              <w:rPr>
                <w:sz w:val="18"/>
              </w:rPr>
              <w:t>(d) 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w:t>
            </w:r>
          </w:p>
          <w:p>
            <w:pPr>
              <w:pStyle w:val="yTable"/>
              <w:tabs>
                <w:tab w:val="left" w:pos="2338"/>
              </w:tabs>
              <w:spacing w:line="180" w:lineRule="atLeast"/>
              <w:rPr>
                <w:sz w:val="18"/>
              </w:rPr>
            </w:pPr>
            <w:r>
              <w:rPr>
                <w:sz w:val="18"/>
              </w:rPr>
              <w:t>(a)</w:t>
            </w:r>
            <w:r>
              <w:rPr>
                <w:sz w:val="18"/>
              </w:rPr>
              <w:tab/>
              <w:t>(b)</w:t>
            </w:r>
          </w:p>
          <w:p>
            <w:pPr>
              <w:pStyle w:val="yTable"/>
              <w:spacing w:line="180" w:lineRule="atLeast"/>
              <w:rPr>
                <w:sz w:val="18"/>
              </w:rPr>
            </w:pPr>
            <w:r>
              <w:rPr>
                <w:sz w:val="18"/>
              </w:rPr>
              <w:t>(c)</w:t>
            </w:r>
          </w:p>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rPr>
                <w:sz w:val="18"/>
              </w:rPr>
            </w:pPr>
            <w:r>
              <w:rPr>
                <w:sz w:val="18"/>
              </w:rPr>
              <w:t>You will therefore communicate with me before registering any transfer, or other dealing with the shares specified while this seizure remains in force.</w:t>
            </w:r>
          </w:p>
          <w:p>
            <w:pPr>
              <w:pStyle w:val="yTable"/>
              <w:spacing w:line="180" w:lineRule="atLeast"/>
              <w:rPr>
                <w:sz w:val="18"/>
              </w:rPr>
            </w:pPr>
            <w:r>
              <w:rPr>
                <w:sz w:val="18"/>
              </w:rPr>
              <w:t>DATED at</w:t>
            </w:r>
          </w:p>
          <w:p>
            <w:pPr>
              <w:pStyle w:val="yTable"/>
              <w:tabs>
                <w:tab w:val="left" w:pos="1913"/>
                <w:tab w:val="left" w:pos="3756"/>
              </w:tabs>
              <w:spacing w:line="180" w:lineRule="atLeast"/>
              <w:rPr>
                <w:sz w:val="18"/>
              </w:rPr>
            </w:pPr>
            <w:r>
              <w:rPr>
                <w:sz w:val="18"/>
              </w:rPr>
              <w:t>this</w:t>
            </w:r>
            <w:r>
              <w:rPr>
                <w:sz w:val="18"/>
              </w:rPr>
              <w:tab/>
              <w:t>day of</w:t>
            </w:r>
            <w:r>
              <w:rPr>
                <w:sz w:val="18"/>
              </w:rPr>
              <w:tab/>
              <w:t xml:space="preserve">20     </w:t>
            </w:r>
          </w:p>
          <w:p>
            <w:pPr>
              <w:pStyle w:val="yTable"/>
              <w:tabs>
                <w:tab w:val="right" w:leader="dot" w:pos="4748"/>
              </w:tabs>
              <w:spacing w:line="180" w:lineRule="atLeast"/>
              <w:ind w:left="921"/>
              <w:rPr>
                <w:sz w:val="18"/>
              </w:rPr>
            </w:pPr>
            <w:r>
              <w:rPr>
                <w:sz w:val="18"/>
              </w:rPr>
              <w:tab/>
              <w:t>Bailiff</w:t>
            </w: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3219"/>
        <w:gridCol w:w="1843"/>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3219"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957"/>
              </w:tabs>
              <w:spacing w:line="180" w:lineRule="atLeast"/>
              <w:rPr>
                <w:sz w:val="18"/>
              </w:rPr>
            </w:pPr>
            <w:r>
              <w:rPr>
                <w:sz w:val="18"/>
              </w:rPr>
              <w:t>Received at ..........................................m.</w:t>
            </w:r>
          </w:p>
          <w:p>
            <w:pPr>
              <w:pStyle w:val="yTable"/>
              <w:tabs>
                <w:tab w:val="right" w:leader="dot" w:pos="2957"/>
              </w:tabs>
              <w:spacing w:line="180" w:lineRule="atLeast"/>
              <w:rPr>
                <w:sz w:val="18"/>
              </w:rPr>
            </w:pPr>
            <w:r>
              <w:rPr>
                <w:sz w:val="18"/>
              </w:rPr>
              <w:t>on  ............................................................</w:t>
            </w:r>
          </w:p>
          <w:p>
            <w:pPr>
              <w:pStyle w:val="yTable"/>
              <w:tabs>
                <w:tab w:val="right" w:leader="dot" w:pos="2957"/>
              </w:tabs>
              <w:spacing w:line="180" w:lineRule="atLeast"/>
              <w:rPr>
                <w:sz w:val="18"/>
              </w:rPr>
            </w:pPr>
            <w:r>
              <w:rPr>
                <w:sz w:val="18"/>
              </w:rPr>
              <w:t xml:space="preserve">with fee of $ ............................................ </w:t>
            </w:r>
          </w:p>
          <w:p>
            <w:pPr>
              <w:pStyle w:val="yTable"/>
              <w:tabs>
                <w:tab w:val="right" w:leader="dot" w:pos="2957"/>
              </w:tabs>
              <w:spacing w:line="180" w:lineRule="atLeast"/>
              <w:rPr>
                <w:sz w:val="18"/>
              </w:rPr>
            </w:pPr>
          </w:p>
          <w:p>
            <w:pPr>
              <w:pStyle w:val="yTable"/>
              <w:tabs>
                <w:tab w:val="right" w:leader="dot" w:pos="2957"/>
              </w:tabs>
              <w:spacing w:line="180" w:lineRule="atLeast"/>
              <w:rPr>
                <w:sz w:val="18"/>
              </w:rPr>
            </w:pPr>
          </w:p>
          <w:p>
            <w:pPr>
              <w:pStyle w:val="yTable"/>
              <w:tabs>
                <w:tab w:val="right" w:leader="dot" w:pos="2957"/>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xml:space="preserve">, 20     </w:t>
            </w:r>
          </w:p>
          <w:p>
            <w:pPr>
              <w:pStyle w:val="yTable"/>
              <w:spacing w:before="40" w:line="180" w:lineRule="atLeast"/>
              <w:rPr>
                <w:sz w:val="18"/>
              </w:rPr>
            </w:pPr>
            <w:r>
              <w:rPr>
                <w:sz w:val="18"/>
              </w:rPr>
              <w:t>in respect to </w:t>
            </w:r>
            <w:r>
              <w:rPr>
                <w:snapToGrid w:val="0"/>
                <w:sz w:val="18"/>
              </w:rPr>
              <w:t>—</w:t>
            </w:r>
            <w:r>
              <w:rPr>
                <w:sz w:val="18"/>
              </w:rPr>
              <w:t> </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r>
              <w:rPr>
                <w:sz w:val="18"/>
              </w:rPr>
              <w:t> </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 xml:space="preserve">20   </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 xml:space="preserve">20   </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rPr>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[First Schedule amended in Gazette 12 Nov 1982 p. 4491 (erratum in Gazette 19 Nov 1982 p. 4578); 30 May 1986 p. 1841; 20 Jun 1986 p. 2084; 2 Oct 1987 p. 3821</w:t>
      </w:r>
      <w:r>
        <w:noBreakHyphen/>
        <w:t>36 (erratum in Gazette 6 Nov 1987 p. 4110); 20 May 1988 p. 1707; 31 May 1991 p. 2700</w:t>
      </w:r>
      <w:r>
        <w:noBreakHyphen/>
        <w:t>7; 5 Jul 1991 p. 3359; 31 Jul 1992 p. 3777</w:t>
      </w:r>
      <w:r>
        <w:noBreakHyphen/>
        <w:t>80; 24 Dec 1993 p. 6829</w:t>
      </w:r>
      <w:r>
        <w:noBreakHyphen/>
        <w:t>30; 24 Jun 1994 p. 2939</w:t>
      </w:r>
      <w:r>
        <w:noBreakHyphen/>
        <w:t>42; 13 Oct 1995 p. 4823; 4 Apr 1997 p. 1780</w:t>
      </w:r>
      <w:r>
        <w:noBreakHyphen/>
        <w:t>1; 3 Oct 1997 p. 5533</w:t>
      </w:r>
      <w:r>
        <w:noBreakHyphen/>
        <w:t>5; 11 Jun 1999 p. 2546</w:t>
      </w:r>
      <w:r>
        <w:noBreakHyphen/>
        <w:t>52; 2 Feb 2001 p. 710</w:t>
      </w:r>
      <w:r>
        <w:noBreakHyphen/>
        <w:t>11; 13 Dec 2002 p. 5805</w:t>
      </w:r>
      <w:r>
        <w:noBreakHyphen/>
        <w:t>6; 17 Jan 2003 p. 107</w:t>
      </w:r>
      <w:r>
        <w:noBreakHyphen/>
        <w:t xml:space="preserve">9 and 114.] </w:t>
      </w:r>
    </w:p>
    <w:p>
      <w:pPr>
        <w:pStyle w:val="yScheduleHeading"/>
      </w:pPr>
      <w:bookmarkStart w:id="1580" w:name="_Toc104276773"/>
      <w:bookmarkStart w:id="1581" w:name="_Toc127087453"/>
      <w:r>
        <w:rPr>
          <w:rStyle w:val="CharSchNo"/>
        </w:rPr>
        <w:t>Second Schedule</w:t>
      </w:r>
      <w:bookmarkEnd w:id="1580"/>
      <w:bookmarkEnd w:id="1581"/>
    </w:p>
    <w:p>
      <w:pPr>
        <w:pStyle w:val="yMiscellaneousHeading"/>
        <w:rPr>
          <w:b/>
          <w:snapToGrid w:val="0"/>
          <w:sz w:val="28"/>
        </w:rPr>
      </w:pPr>
      <w:r>
        <w:rPr>
          <w:b/>
          <w:snapToGrid w:val="0"/>
          <w:sz w:val="28"/>
        </w:rPr>
        <w:t>Schedule of fees and rents</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38.72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Graticular exploration licence —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w:t>
            </w:r>
          </w:p>
          <w:p>
            <w:pPr>
              <w:pStyle w:val="yTable"/>
              <w:tabs>
                <w:tab w:val="left" w:pos="567"/>
                <w:tab w:val="left" w:pos="1134"/>
              </w:tabs>
              <w:spacing w:before="0" w:line="180" w:lineRule="atLeast"/>
              <w:ind w:left="1134" w:right="113" w:hanging="1134"/>
              <w:rPr>
                <w:sz w:val="18"/>
              </w:rPr>
            </w:pPr>
            <w:r>
              <w:rPr>
                <w:spacing w:val="-2"/>
                <w:sz w:val="18"/>
              </w:rPr>
              <w:tab/>
              <w:t>(b)</w:t>
            </w:r>
            <w:r>
              <w:rPr>
                <w:spacing w:val="-2"/>
                <w:sz w:val="18"/>
              </w:rPr>
              <w:tab/>
              <w:t>all other licences (per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244.31</w:t>
            </w:r>
          </w:p>
          <w:p>
            <w:pPr>
              <w:pStyle w:val="yTable"/>
              <w:spacing w:before="0" w:line="180" w:lineRule="atLeast"/>
              <w:ind w:right="127"/>
              <w:jc w:val="right"/>
              <w:rPr>
                <w:spacing w:val="-2"/>
                <w:sz w:val="18"/>
              </w:rPr>
            </w:pPr>
            <w:r>
              <w:rPr>
                <w:spacing w:val="-2"/>
                <w:sz w:val="18"/>
              </w:rPr>
              <w:t>101.42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i/>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r>
              <w:rPr>
                <w:spacing w:val="-2"/>
                <w:sz w:val="18"/>
              </w:rPr>
              <w:t>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0.33</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$18.70)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1.87</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5.83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950.00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Tenement Register (per tenement) .....................</w:t>
            </w:r>
          </w:p>
        </w:tc>
        <w:tc>
          <w:tcPr>
            <w:tcW w:w="1188" w:type="dxa"/>
          </w:tcPr>
          <w:p>
            <w:pPr>
              <w:pStyle w:val="yTable"/>
              <w:spacing w:before="0" w:line="180" w:lineRule="atLeast"/>
              <w:ind w:left="56"/>
              <w:rPr>
                <w:spacing w:val="-2"/>
                <w:sz w:val="18"/>
              </w:rPr>
            </w:pPr>
            <w:r>
              <w:rPr>
                <w:spacing w:val="-2"/>
                <w:sz w:val="18"/>
              </w:rPr>
              <w:t>Reg. 106</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affecting tenement (per dealing) .......................</w:t>
            </w:r>
          </w:p>
        </w:tc>
        <w:tc>
          <w:tcPr>
            <w:tcW w:w="1188" w:type="dxa"/>
          </w:tcPr>
          <w:p>
            <w:pPr>
              <w:pStyle w:val="yTable"/>
              <w:spacing w:before="0" w:line="180" w:lineRule="atLeast"/>
              <w:ind w:left="56"/>
              <w:rPr>
                <w:spacing w:val="-2"/>
                <w:sz w:val="18"/>
              </w:rPr>
            </w:pPr>
            <w:r>
              <w:rPr>
                <w:spacing w:val="-2"/>
                <w:sz w:val="18"/>
              </w:rPr>
              <w:t>Reg. 106</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270.00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310.00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370.00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1 850.00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Minimum $21.50)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of dealings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Agreement .......................................................................</w:t>
            </w:r>
          </w:p>
        </w:tc>
        <w:tc>
          <w:tcPr>
            <w:tcW w:w="1188" w:type="dxa"/>
          </w:tcPr>
          <w:p>
            <w:pPr>
              <w:pStyle w:val="yTable"/>
              <w:spacing w:before="0" w:line="180" w:lineRule="atLeast"/>
              <w:ind w:left="56"/>
              <w:rPr>
                <w:spacing w:val="-2"/>
                <w:sz w:val="18"/>
              </w:rPr>
            </w:pPr>
            <w:r>
              <w:rPr>
                <w:spacing w:val="-2"/>
                <w:sz w:val="18"/>
              </w:rPr>
              <w:t>Reg. 110</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Sec. 121</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 110</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110</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Sub</w:t>
            </w:r>
            <w:r>
              <w:rPr>
                <w:spacing w:val="-2"/>
                <w:sz w:val="18"/>
              </w:rPr>
              <w:noBreakHyphen/>
              <w:t>lease of Mining Tenement .......................................</w:t>
            </w:r>
          </w:p>
        </w:tc>
        <w:tc>
          <w:tcPr>
            <w:tcW w:w="1188" w:type="dxa"/>
          </w:tcPr>
          <w:p>
            <w:pPr>
              <w:pStyle w:val="yTable"/>
              <w:spacing w:before="0" w:line="180" w:lineRule="atLeast"/>
              <w:ind w:left="56"/>
              <w:rPr>
                <w:spacing w:val="-2"/>
                <w:sz w:val="18"/>
              </w:rPr>
            </w:pPr>
            <w:r>
              <w:rPr>
                <w:spacing w:val="-2"/>
                <w:sz w:val="18"/>
              </w:rPr>
              <w:t>Reg. 110</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165.00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t>Warden’s Court Fees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 xml:space="preserve">For entering a plaint, excluding service fee, but including the issue of summons for each defendant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47.50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Defence, including notice of defence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w:t>
            </w:r>
            <w:r>
              <w:rPr>
                <w:spacing w:val="-2"/>
                <w:sz w:val="18"/>
              </w:rPr>
              <w:tab/>
              <w:t>Issue or renewal of a warrant of execution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filed bill (minimum fee $10.00) </w:t>
            </w:r>
            <w:r>
              <w:rPr>
                <w:snapToGrid w:val="0"/>
                <w:sz w:val="18"/>
              </w:rPr>
              <w:t>—</w:t>
            </w:r>
            <w:r>
              <w:rPr>
                <w:spacing w:val="-2"/>
                <w:sz w:val="18"/>
              </w:rPr>
              <w:t xml:space="preserve"> provided  that where the filed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2769-71.]</w:t>
      </w:r>
    </w:p>
    <w:p>
      <w:pPr>
        <w:pStyle w:val="yScheduleHeading"/>
      </w:pPr>
      <w:bookmarkStart w:id="1582" w:name="_Toc74979322"/>
      <w:bookmarkStart w:id="1583" w:name="_Toc104276774"/>
      <w:bookmarkStart w:id="1584" w:name="_Toc127087454"/>
      <w:r>
        <w:rPr>
          <w:rStyle w:val="CharSchNo"/>
        </w:rPr>
        <w:t>Third Schedule</w:t>
      </w:r>
      <w:r>
        <w:t> — </w:t>
      </w:r>
      <w:r>
        <w:rPr>
          <w:rStyle w:val="CharSchText"/>
        </w:rPr>
        <w:t>Transitional provisions relating to Geocentric Datum of Australia</w:t>
      </w:r>
      <w:bookmarkEnd w:id="1582"/>
      <w:bookmarkEnd w:id="1583"/>
      <w:bookmarkEnd w:id="1584"/>
    </w:p>
    <w:p>
      <w:pPr>
        <w:pStyle w:val="yShoulderClause"/>
      </w:pPr>
      <w:r>
        <w:t>[r. 89A]</w:t>
      </w:r>
    </w:p>
    <w:p>
      <w:pPr>
        <w:pStyle w:val="yHeading5"/>
      </w:pPr>
      <w:bookmarkStart w:id="1585" w:name="_Toc11229592"/>
      <w:bookmarkStart w:id="1586" w:name="_Toc104276775"/>
      <w:bookmarkStart w:id="1587" w:name="_Toc127087455"/>
      <w:r>
        <w:t>1.</w:t>
      </w:r>
      <w:r>
        <w:tab/>
        <w:t>Interpretation</w:t>
      </w:r>
      <w:bookmarkEnd w:id="1585"/>
      <w:bookmarkEnd w:id="1586"/>
      <w:bookmarkEnd w:id="1587"/>
    </w:p>
    <w:p>
      <w:pPr>
        <w:pStyle w:val="ySubsection"/>
      </w:pPr>
      <w:r>
        <w:tab/>
        <w:t>(1)</w:t>
      </w:r>
      <w:r>
        <w:tab/>
        <w:t xml:space="preserve">In this Schedule —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Heading5"/>
      </w:pPr>
      <w:bookmarkStart w:id="1588" w:name="_Toc11229593"/>
      <w:bookmarkStart w:id="1589" w:name="_Toc104276776"/>
      <w:bookmarkStart w:id="1590" w:name="_Toc127087456"/>
      <w:r>
        <w:t>2.</w:t>
      </w:r>
      <w:r>
        <w:tab/>
        <w:t>Australian Geodetic Datum</w:t>
      </w:r>
      <w:bookmarkEnd w:id="1588"/>
      <w:bookmarkEnd w:id="1589"/>
      <w:bookmarkEnd w:id="1590"/>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 xml:space="preserve">The Johnston Geodetic Station is taken to be situated at —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Heading5"/>
      </w:pPr>
      <w:bookmarkStart w:id="1591" w:name="_Toc11229594"/>
      <w:bookmarkStart w:id="1592" w:name="_Toc104276777"/>
      <w:bookmarkStart w:id="1593" w:name="_Toc127087457"/>
      <w:r>
        <w:t>3.</w:t>
      </w:r>
      <w:r>
        <w:tab/>
        <w:t>Exploration licences</w:t>
      </w:r>
      <w:bookmarkEnd w:id="1591"/>
      <w:bookmarkEnd w:id="1592"/>
      <w:bookmarkEnd w:id="1593"/>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Heading5"/>
      </w:pPr>
      <w:bookmarkStart w:id="1594" w:name="_Toc11229595"/>
      <w:bookmarkStart w:id="1595" w:name="_Toc104276778"/>
      <w:bookmarkStart w:id="1596" w:name="_Toc127087458"/>
      <w:r>
        <w:t>4.</w:t>
      </w:r>
      <w:r>
        <w:tab/>
        <w:t>Land surrendered or forfeited etc.</w:t>
      </w:r>
      <w:bookmarkEnd w:id="1594"/>
      <w:bookmarkEnd w:id="1595"/>
      <w:bookmarkEnd w:id="1596"/>
    </w:p>
    <w:p>
      <w:pPr>
        <w:pStyle w:val="ySubsection"/>
      </w:pPr>
      <w:r>
        <w:tab/>
        <w:t>(1)</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pPr>
      <w:r>
        <w:tab/>
        <w:t>(2)</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 xml:space="preserve">Subclauses (1) and (2) do not apply if  —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Heading5"/>
      </w:pPr>
      <w:bookmarkStart w:id="1597" w:name="_Toc11229596"/>
      <w:bookmarkStart w:id="1598" w:name="_Toc104276779"/>
      <w:bookmarkStart w:id="1599" w:name="_Toc127087459"/>
      <w:r>
        <w:t>5.</w:t>
      </w:r>
      <w:r>
        <w:tab/>
        <w:t>Land exempted under section 19</w:t>
      </w:r>
      <w:bookmarkEnd w:id="1597"/>
      <w:bookmarkEnd w:id="1598"/>
      <w:bookmarkEnd w:id="1599"/>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Heading5"/>
      </w:pPr>
      <w:bookmarkStart w:id="1600" w:name="_Toc11229597"/>
      <w:bookmarkStart w:id="1601" w:name="_Toc104276780"/>
      <w:bookmarkStart w:id="1602" w:name="_Toc127087460"/>
      <w:r>
        <w:t>6.</w:t>
      </w:r>
      <w:r>
        <w:tab/>
        <w:t>Areas declared under section 57(4), and savings</w:t>
      </w:r>
      <w:bookmarkEnd w:id="1600"/>
      <w:bookmarkEnd w:id="1601"/>
      <w:bookmarkEnd w:id="1602"/>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 xml:space="preserve">Subclause (1) does not affect the validity of —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Heading5"/>
      </w:pPr>
      <w:bookmarkStart w:id="1603" w:name="_Toc11229598"/>
      <w:bookmarkStart w:id="1604" w:name="_Toc104276781"/>
      <w:bookmarkStart w:id="1605" w:name="_Toc127087461"/>
      <w:r>
        <w:t>7.</w:t>
      </w:r>
      <w:r>
        <w:tab/>
        <w:t>Certain prospecting licences and mining leases may be amalgamated with existing exploration licences</w:t>
      </w:r>
      <w:bookmarkEnd w:id="1603"/>
      <w:bookmarkEnd w:id="1604"/>
      <w:bookmarkEnd w:id="1605"/>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 xml:space="preserve">Another tenement, or part of another tenement, cannot be amalgamated with an exploration licence under this clause unless the land that is the subject of the other tenement, or of that part of the other tenement, is —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 xml:space="preserve">Subject to subclause (2), section 67A(4) and (5) apply to an application under subclause (1) as if —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 xml:space="preserve">In this clause —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Heading5"/>
      </w:pPr>
      <w:bookmarkStart w:id="1606" w:name="_Toc11229599"/>
      <w:bookmarkStart w:id="1607" w:name="_Toc104276782"/>
      <w:bookmarkStart w:id="1608" w:name="_Toc127087462"/>
      <w:r>
        <w:t>8.</w:t>
      </w:r>
      <w:r>
        <w:tab/>
        <w:t>Prescribed land does not need to be marked out</w:t>
      </w:r>
      <w:bookmarkEnd w:id="1606"/>
      <w:bookmarkEnd w:id="1607"/>
      <w:bookmarkEnd w:id="1608"/>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724150"/>
            <wp:effectExtent l="0" t="0" r="9525" b="0"/>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14675" cy="2724150"/>
                    </a:xfrm>
                    <a:prstGeom prst="rect">
                      <a:avLst/>
                    </a:prstGeom>
                    <a:noFill/>
                    <a:ln>
                      <a:noFill/>
                    </a:ln>
                  </pic:spPr>
                </pic:pic>
              </a:graphicData>
            </a:graphic>
          </wp:inline>
        </w:drawing>
      </w:r>
    </w:p>
    <w:p>
      <w:pPr>
        <w:pStyle w:val="yFootnotesection"/>
      </w:pPr>
      <w:r>
        <w:tab/>
        <w:t>[Third Schedule inserted in Gazette 15 Dec 2000 p. 7220</w:t>
      </w:r>
      <w:r>
        <w:noBreakHyphen/>
        <w:t>4.]</w:t>
      </w:r>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nHeading2"/>
      </w:pPr>
      <w:bookmarkStart w:id="1609" w:name="_Toc74979067"/>
      <w:bookmarkStart w:id="1610" w:name="_Toc74979331"/>
      <w:bookmarkStart w:id="1611" w:name="_Toc79976628"/>
      <w:bookmarkStart w:id="1612" w:name="_Toc80759899"/>
      <w:bookmarkStart w:id="1613" w:name="_Toc80783662"/>
      <w:bookmarkStart w:id="1614" w:name="_Toc94931329"/>
      <w:bookmarkStart w:id="1615" w:name="_Toc104275452"/>
      <w:bookmarkStart w:id="1616" w:name="_Toc104276783"/>
      <w:bookmarkStart w:id="1617" w:name="_Toc107199004"/>
      <w:bookmarkStart w:id="1618" w:name="_Toc107799456"/>
      <w:bookmarkStart w:id="1619" w:name="_Toc127087463"/>
      <w:r>
        <w:t>Notes</w:t>
      </w:r>
      <w:bookmarkEnd w:id="1609"/>
      <w:bookmarkEnd w:id="1610"/>
      <w:bookmarkEnd w:id="1611"/>
      <w:bookmarkEnd w:id="1612"/>
      <w:bookmarkEnd w:id="1613"/>
      <w:bookmarkEnd w:id="1614"/>
      <w:bookmarkEnd w:id="1615"/>
      <w:bookmarkEnd w:id="1616"/>
      <w:bookmarkEnd w:id="1617"/>
      <w:bookmarkEnd w:id="1618"/>
      <w:bookmarkEnd w:id="1619"/>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20" w:name="_Toc127087464"/>
      <w:r>
        <w:rPr>
          <w:snapToGrid w:val="0"/>
        </w:rPr>
        <w:t>Compilation table</w:t>
      </w:r>
      <w:bookmarkEnd w:id="162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(see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iCs/>
                <w:snapToGrid w:val="0"/>
                <w:sz w:val="19"/>
                <w:lang w:val="en-US"/>
              </w:rPr>
            </w:pPr>
            <w:r>
              <w:rPr>
                <w:i/>
                <w:sz w:val="19"/>
              </w:rPr>
              <w:t>Mining Amendment Regulations (No. 5) 2004</w:t>
            </w:r>
            <w:r>
              <w:rPr>
                <w:iCs/>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single" w:sz="8" w:space="0" w:color="auto"/>
              <w:right w:val="nil"/>
            </w:tcBorders>
          </w:tcPr>
          <w:p>
            <w:pPr>
              <w:pStyle w:val="nTable"/>
              <w:spacing w:after="40"/>
              <w:rPr>
                <w:i/>
                <w:sz w:val="19"/>
              </w:rPr>
            </w:pPr>
            <w:r>
              <w:rPr>
                <w:i/>
                <w:sz w:val="19"/>
              </w:rPr>
              <w:t>Mining Amendment Regulations 2006</w:t>
            </w:r>
          </w:p>
        </w:tc>
        <w:tc>
          <w:tcPr>
            <w:tcW w:w="1276" w:type="dxa"/>
            <w:tcBorders>
              <w:top w:val="nil"/>
              <w:left w:val="nil"/>
              <w:bottom w:val="single" w:sz="8" w:space="0" w:color="auto"/>
              <w:right w:val="nil"/>
            </w:tcBorders>
          </w:tcPr>
          <w:p>
            <w:pPr>
              <w:pStyle w:val="nTable"/>
              <w:spacing w:after="40"/>
              <w:rPr>
                <w:sz w:val="19"/>
              </w:rPr>
            </w:pPr>
            <w:r>
              <w:rPr>
                <w:sz w:val="19"/>
              </w:rPr>
              <w:t>7 Feb 2006 p. 622-3</w:t>
            </w:r>
          </w:p>
        </w:tc>
        <w:tc>
          <w:tcPr>
            <w:tcW w:w="2693" w:type="dxa"/>
            <w:tcBorders>
              <w:top w:val="nil"/>
              <w:left w:val="nil"/>
              <w:bottom w:val="single" w:sz="8" w:space="0" w:color="auto"/>
              <w:right w:val="nil"/>
            </w:tcBorders>
          </w:tcPr>
          <w:p>
            <w:pPr>
              <w:pStyle w:val="nTable"/>
              <w:spacing w:after="40"/>
              <w:rPr>
                <w:sz w:val="19"/>
              </w:rPr>
            </w:pPr>
            <w:r>
              <w:rPr>
                <w:sz w:val="19"/>
              </w:rPr>
              <w:t>7 Feb 2006</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Alterations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iCs/>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iCs/>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fldChar w:fldCharType="end"/>
          </w:r>
        </w:p>
      </w:tc>
      <w:tc>
        <w:tcPr>
          <w:tcW w:w="2088"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rPr>
              <w:noProof/>
            </w:rPr>
            <w:fldChar w:fldCharType="end"/>
          </w:r>
        </w:p>
      </w:tc>
      <w:tc>
        <w:tcPr>
          <w:tcW w:w="5206"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9409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7695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9EDE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CEB2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DEE0D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1819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C091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A201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5C436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8EC2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39CC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CECB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834"/>
    <w:docVar w:name="WAFER_20151208140834" w:val="RemoveTrackChanges"/>
    <w:docVar w:name="WAFER_20151208140834_GUID" w:val="ce5cbfd7-3c24-4802-8879-a4a0c2d38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6.wmf"/><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5.png"/><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image" Target="media/image7.png"/><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226</Pages>
  <Words>53738</Words>
  <Characters>266542</Characters>
  <Application>Microsoft Office Word</Application>
  <DocSecurity>0</DocSecurity>
  <Lines>12115</Lines>
  <Paragraphs>7279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313001</CharactersWithSpaces>
  <SharedDoc>false</SharedDoc>
  <HLinks>
    <vt:vector size="12" baseType="variant">
      <vt:variant>
        <vt:i4>4980752</vt:i4>
      </vt:variant>
      <vt:variant>
        <vt:i4>206467</vt:i4>
      </vt:variant>
      <vt:variant>
        <vt:i4>1025</vt:i4>
      </vt:variant>
      <vt:variant>
        <vt:i4>1</vt:i4>
      </vt:variant>
      <vt:variant>
        <vt:lpwstr>C:\WP51\GRAPHICS\MISC\Crest2.gif</vt:lpwstr>
      </vt:variant>
      <vt:variant>
        <vt:lpwstr/>
      </vt:variant>
      <vt:variant>
        <vt:i4>1835028</vt:i4>
      </vt:variant>
      <vt:variant>
        <vt:i4>312220</vt:i4>
      </vt:variant>
      <vt:variant>
        <vt:i4>1026</vt:i4>
      </vt:variant>
      <vt:variant>
        <vt:i4>1</vt:i4>
      </vt:variant>
      <vt:variant>
        <vt:lpwstr>Datum drawing.bmp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1981 - 05-e0-04</dc:title>
  <dc:subject/>
  <dc:creator/>
  <cp:keywords/>
  <dc:description/>
  <cp:lastModifiedBy>svcMRProcess</cp:lastModifiedBy>
  <cp:revision>4</cp:revision>
  <dcterms:created xsi:type="dcterms:W3CDTF">2020-02-26T21:56:00Z</dcterms:created>
  <dcterms:modified xsi:type="dcterms:W3CDTF">2020-02-26T21:57:00Z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20060207</vt:lpwstr>
  </property>
  <property fmtid="{D5CDD505-2E9C-101B-9397-08002B2CF9AE}" pid="4" name="DocumentType">
    <vt:lpwstr>Reg</vt:lpwstr>
  </property>
  <property fmtid="{D5CDD505-2E9C-101B-9397-08002B2CF9AE}" pid="5" name="OwlsUID">
    <vt:i4>4643</vt:i4>
  </property>
  <property fmtid="{D5CDD505-2E9C-101B-9397-08002B2CF9AE}" pid="6" name="AsAtDate">
    <vt:lpwstr>07 Feb 2006</vt:lpwstr>
  </property>
  <property fmtid="{D5CDD505-2E9C-101B-9397-08002B2CF9AE}" pid="7" name="Suffix">
    <vt:lpwstr>05-e0-04</vt:lpwstr>
  </property>
</Properties>
</file>