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Mining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Citation and commencement</w:t>
      </w:r>
      <w:r>
        <w:rPr>
          <w:noProof/>
        </w:rPr>
        <w:tab/>
      </w:r>
      <w:r>
        <w:rPr>
          <w:noProof/>
        </w:rPr>
        <w:fldChar w:fldCharType="begin"/>
      </w:r>
      <w:r>
        <w:rPr>
          <w:noProof/>
        </w:rPr>
        <w:instrText xml:space="preserve"> PAGEREF _Toc127337916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_Toc127337917 \h </w:instrText>
      </w:r>
      <w:r>
        <w:rPr>
          <w:noProof/>
        </w:rPr>
      </w:r>
      <w:r>
        <w:rPr>
          <w:noProof/>
        </w:rPr>
        <w:fldChar w:fldCharType="separate"/>
      </w:r>
      <w:r>
        <w:rPr>
          <w:noProof/>
        </w:rPr>
        <w:t>1</w:t>
      </w:r>
      <w:r>
        <w:rPr>
          <w:noProof/>
        </w:rPr>
        <w:fldChar w:fldCharType="end"/>
      </w:r>
    </w:p>
    <w:p>
      <w:pPr>
        <w:pStyle w:val="TOC2"/>
        <w:tabs>
          <w:tab w:val="right" w:leader="dot" w:pos="7088"/>
        </w:tabs>
        <w:rPr>
          <w:b w:val="0"/>
          <w:noProof/>
          <w:sz w:val="24"/>
          <w:szCs w:val="24"/>
        </w:rPr>
      </w:pPr>
      <w:r>
        <w:rPr>
          <w:noProof/>
          <w:szCs w:val="30"/>
        </w:rPr>
        <w:t>Part II — Miner’s Rights</w:t>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Form of Miner’s Rights</w:t>
      </w:r>
      <w:r>
        <w:rPr>
          <w:noProof/>
        </w:rPr>
        <w:tab/>
      </w:r>
      <w:r>
        <w:rPr>
          <w:noProof/>
        </w:rPr>
        <w:fldChar w:fldCharType="begin"/>
      </w:r>
      <w:r>
        <w:rPr>
          <w:noProof/>
        </w:rPr>
        <w:instrText xml:space="preserve"> PAGEREF _Toc127337919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Quantity of samples or specimens</w:t>
      </w:r>
      <w:r>
        <w:rPr>
          <w:noProof/>
        </w:rPr>
        <w:tab/>
      </w:r>
      <w:r>
        <w:rPr>
          <w:noProof/>
        </w:rPr>
        <w:fldChar w:fldCharType="begin"/>
      </w:r>
      <w:r>
        <w:rPr>
          <w:noProof/>
        </w:rPr>
        <w:instrText xml:space="preserve"> PAGEREF _Toc127337920 \h </w:instrText>
      </w:r>
      <w:r>
        <w:rPr>
          <w:noProof/>
        </w:rPr>
      </w:r>
      <w:r>
        <w:rPr>
          <w:noProof/>
        </w:rPr>
        <w:fldChar w:fldCharType="separate"/>
      </w:r>
      <w:r>
        <w:rPr>
          <w:noProof/>
        </w:rPr>
        <w:t>3</w:t>
      </w:r>
      <w:r>
        <w:rPr>
          <w:noProof/>
        </w:rPr>
        <w:fldChar w:fldCharType="end"/>
      </w:r>
    </w:p>
    <w:p>
      <w:pPr>
        <w:pStyle w:val="TOC2"/>
        <w:tabs>
          <w:tab w:val="right" w:leader="dot" w:pos="7088"/>
        </w:tabs>
        <w:rPr>
          <w:b w:val="0"/>
          <w:noProof/>
          <w:sz w:val="24"/>
          <w:szCs w:val="24"/>
        </w:rPr>
      </w:pPr>
      <w:r>
        <w:rPr>
          <w:noProof/>
          <w:szCs w:val="30"/>
        </w:rPr>
        <w:t>Part IIA — Permits under section 20A</w:t>
      </w:r>
    </w:p>
    <w:p>
      <w:pPr>
        <w:pStyle w:val="TOC4"/>
        <w:tabs>
          <w:tab w:val="left" w:pos="1701"/>
        </w:tabs>
        <w:rPr>
          <w:noProof/>
          <w:sz w:val="24"/>
          <w:szCs w:val="24"/>
        </w:rPr>
      </w:pPr>
      <w:r>
        <w:rPr>
          <w:noProof/>
          <w:szCs w:val="24"/>
        </w:rPr>
        <w:t>4A.</w:t>
      </w:r>
      <w:r>
        <w:rPr>
          <w:noProof/>
          <w:sz w:val="24"/>
          <w:szCs w:val="24"/>
        </w:rPr>
        <w:tab/>
      </w:r>
      <w:r>
        <w:rPr>
          <w:noProof/>
          <w:szCs w:val="24"/>
        </w:rPr>
        <w:t>Interpretation</w:t>
      </w:r>
      <w:r>
        <w:rPr>
          <w:noProof/>
        </w:rPr>
        <w:tab/>
      </w:r>
      <w:r>
        <w:rPr>
          <w:noProof/>
        </w:rPr>
        <w:fldChar w:fldCharType="begin"/>
      </w:r>
      <w:r>
        <w:rPr>
          <w:noProof/>
        </w:rPr>
        <w:instrText xml:space="preserve"> PAGEREF _Toc127337922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4B.</w:t>
      </w:r>
      <w:r>
        <w:rPr>
          <w:noProof/>
          <w:sz w:val="24"/>
          <w:szCs w:val="24"/>
        </w:rPr>
        <w:tab/>
      </w:r>
      <w:r>
        <w:rPr>
          <w:noProof/>
          <w:szCs w:val="24"/>
        </w:rPr>
        <w:t>Prescribed office — section 20A(1)</w:t>
      </w:r>
      <w:r>
        <w:rPr>
          <w:noProof/>
        </w:rPr>
        <w:tab/>
      </w:r>
      <w:r>
        <w:rPr>
          <w:noProof/>
        </w:rPr>
        <w:fldChar w:fldCharType="begin"/>
      </w:r>
      <w:r>
        <w:rPr>
          <w:noProof/>
        </w:rPr>
        <w:instrText xml:space="preserve"> PAGEREF _Toc127337923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4C.</w:t>
      </w:r>
      <w:r>
        <w:rPr>
          <w:noProof/>
          <w:sz w:val="24"/>
          <w:szCs w:val="24"/>
        </w:rPr>
        <w:tab/>
      </w:r>
      <w:r>
        <w:rPr>
          <w:noProof/>
          <w:szCs w:val="24"/>
        </w:rPr>
        <w:t>Prescribed depth — section 20A(6)(b)</w:t>
      </w:r>
      <w:r>
        <w:rPr>
          <w:noProof/>
        </w:rPr>
        <w:tab/>
      </w:r>
      <w:r>
        <w:rPr>
          <w:noProof/>
        </w:rPr>
        <w:fldChar w:fldCharType="begin"/>
      </w:r>
      <w:r>
        <w:rPr>
          <w:noProof/>
        </w:rPr>
        <w:instrText xml:space="preserve"> PAGEREF _Toc127337924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4D.</w:t>
      </w:r>
      <w:r>
        <w:rPr>
          <w:noProof/>
          <w:sz w:val="24"/>
          <w:szCs w:val="24"/>
        </w:rPr>
        <w:tab/>
      </w:r>
      <w:r>
        <w:rPr>
          <w:noProof/>
          <w:szCs w:val="24"/>
        </w:rPr>
        <w:t>Application for permit</w:t>
      </w:r>
      <w:r>
        <w:rPr>
          <w:noProof/>
        </w:rPr>
        <w:tab/>
      </w:r>
      <w:r>
        <w:rPr>
          <w:noProof/>
        </w:rPr>
        <w:fldChar w:fldCharType="begin"/>
      </w:r>
      <w:r>
        <w:rPr>
          <w:noProof/>
        </w:rPr>
        <w:instrText xml:space="preserve"> PAGEREF _Toc127337925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4E.</w:t>
      </w:r>
      <w:r>
        <w:rPr>
          <w:noProof/>
          <w:sz w:val="24"/>
          <w:szCs w:val="24"/>
        </w:rPr>
        <w:tab/>
      </w:r>
      <w:r>
        <w:rPr>
          <w:noProof/>
          <w:szCs w:val="24"/>
        </w:rPr>
        <w:t>Area of land to which permit applies</w:t>
      </w:r>
      <w:r>
        <w:rPr>
          <w:noProof/>
        </w:rPr>
        <w:tab/>
      </w:r>
      <w:r>
        <w:rPr>
          <w:noProof/>
        </w:rPr>
        <w:fldChar w:fldCharType="begin"/>
      </w:r>
      <w:r>
        <w:rPr>
          <w:noProof/>
        </w:rPr>
        <w:instrText xml:space="preserve"> PAGEREF _Toc127337926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4F.</w:t>
      </w:r>
      <w:r>
        <w:rPr>
          <w:noProof/>
          <w:sz w:val="24"/>
          <w:szCs w:val="24"/>
        </w:rPr>
        <w:tab/>
      </w:r>
      <w:r>
        <w:rPr>
          <w:noProof/>
          <w:szCs w:val="24"/>
        </w:rPr>
        <w:t>Permit conditions</w:t>
      </w:r>
      <w:r>
        <w:rPr>
          <w:noProof/>
        </w:rPr>
        <w:tab/>
      </w:r>
      <w:r>
        <w:rPr>
          <w:noProof/>
        </w:rPr>
        <w:fldChar w:fldCharType="begin"/>
      </w:r>
      <w:r>
        <w:rPr>
          <w:noProof/>
        </w:rPr>
        <w:instrText xml:space="preserve"> PAGEREF _Toc127337927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4G.</w:t>
      </w:r>
      <w:r>
        <w:rPr>
          <w:noProof/>
          <w:sz w:val="24"/>
          <w:szCs w:val="24"/>
        </w:rPr>
        <w:tab/>
      </w:r>
      <w:r>
        <w:rPr>
          <w:noProof/>
          <w:szCs w:val="24"/>
        </w:rPr>
        <w:t>Notice of issue of permit</w:t>
      </w:r>
      <w:r>
        <w:rPr>
          <w:noProof/>
        </w:rPr>
        <w:tab/>
      </w:r>
      <w:r>
        <w:rPr>
          <w:noProof/>
        </w:rPr>
        <w:fldChar w:fldCharType="begin"/>
      </w:r>
      <w:r>
        <w:rPr>
          <w:noProof/>
        </w:rPr>
        <w:instrText xml:space="preserve"> PAGEREF _Toc127337928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4H.</w:t>
      </w:r>
      <w:r>
        <w:rPr>
          <w:noProof/>
          <w:sz w:val="24"/>
          <w:szCs w:val="24"/>
        </w:rPr>
        <w:tab/>
      </w:r>
      <w:r>
        <w:rPr>
          <w:noProof/>
          <w:szCs w:val="24"/>
        </w:rPr>
        <w:t>Statement by holder of exploration licence</w:t>
      </w:r>
      <w:r>
        <w:rPr>
          <w:noProof/>
        </w:rPr>
        <w:tab/>
      </w:r>
      <w:r>
        <w:rPr>
          <w:noProof/>
        </w:rPr>
        <w:fldChar w:fldCharType="begin"/>
      </w:r>
      <w:r>
        <w:rPr>
          <w:noProof/>
        </w:rPr>
        <w:instrText xml:space="preserve"> PAGEREF _Toc127337929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4I.</w:t>
      </w:r>
      <w:r>
        <w:rPr>
          <w:noProof/>
          <w:sz w:val="24"/>
          <w:szCs w:val="24"/>
        </w:rPr>
        <w:tab/>
      </w:r>
      <w:r>
        <w:rPr>
          <w:noProof/>
          <w:szCs w:val="24"/>
        </w:rPr>
        <w:t>Commencement of operation of permit</w:t>
      </w:r>
      <w:r>
        <w:rPr>
          <w:noProof/>
        </w:rPr>
        <w:tab/>
      </w:r>
      <w:r>
        <w:rPr>
          <w:noProof/>
        </w:rPr>
        <w:fldChar w:fldCharType="begin"/>
      </w:r>
      <w:r>
        <w:rPr>
          <w:noProof/>
        </w:rPr>
        <w:instrText xml:space="preserve"> PAGEREF _Toc127337930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4J.</w:t>
      </w:r>
      <w:r>
        <w:rPr>
          <w:noProof/>
          <w:sz w:val="24"/>
          <w:szCs w:val="24"/>
        </w:rPr>
        <w:tab/>
      </w:r>
      <w:r>
        <w:rPr>
          <w:noProof/>
          <w:szCs w:val="24"/>
        </w:rPr>
        <w:t>Expiry of permit</w:t>
      </w:r>
      <w:r>
        <w:rPr>
          <w:noProof/>
        </w:rPr>
        <w:tab/>
      </w:r>
      <w:r>
        <w:rPr>
          <w:noProof/>
        </w:rPr>
        <w:fldChar w:fldCharType="begin"/>
      </w:r>
      <w:r>
        <w:rPr>
          <w:noProof/>
        </w:rPr>
        <w:instrText xml:space="preserve"> PAGEREF _Toc127337931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4K.</w:t>
      </w:r>
      <w:r>
        <w:rPr>
          <w:noProof/>
          <w:sz w:val="24"/>
          <w:szCs w:val="24"/>
        </w:rPr>
        <w:tab/>
      </w:r>
      <w:r>
        <w:rPr>
          <w:noProof/>
          <w:szCs w:val="24"/>
        </w:rPr>
        <w:t>Surrender of permit</w:t>
      </w:r>
      <w:r>
        <w:rPr>
          <w:noProof/>
        </w:rPr>
        <w:tab/>
      </w:r>
      <w:r>
        <w:rPr>
          <w:noProof/>
        </w:rPr>
        <w:fldChar w:fldCharType="begin"/>
      </w:r>
      <w:r>
        <w:rPr>
          <w:noProof/>
        </w:rPr>
        <w:instrText xml:space="preserve"> PAGEREF _Toc127337932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4L.</w:t>
      </w:r>
      <w:r>
        <w:rPr>
          <w:noProof/>
          <w:sz w:val="24"/>
          <w:szCs w:val="24"/>
        </w:rPr>
        <w:tab/>
      </w:r>
      <w:r>
        <w:rPr>
          <w:noProof/>
          <w:szCs w:val="24"/>
        </w:rPr>
        <w:t>Powers available to Minister where breach of condition, etc.</w:t>
      </w:r>
      <w:r>
        <w:rPr>
          <w:noProof/>
        </w:rPr>
        <w:tab/>
      </w:r>
      <w:r>
        <w:rPr>
          <w:noProof/>
        </w:rPr>
        <w:fldChar w:fldCharType="begin"/>
      </w:r>
      <w:r>
        <w:rPr>
          <w:noProof/>
        </w:rPr>
        <w:instrText xml:space="preserve"> PAGEREF _Toc127337933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4M.</w:t>
      </w:r>
      <w:r>
        <w:rPr>
          <w:noProof/>
          <w:sz w:val="24"/>
          <w:szCs w:val="24"/>
        </w:rPr>
        <w:tab/>
      </w:r>
      <w:r>
        <w:rPr>
          <w:noProof/>
          <w:szCs w:val="24"/>
        </w:rPr>
        <w:t>Right of permit holder to make submissions</w:t>
      </w:r>
      <w:r>
        <w:rPr>
          <w:noProof/>
        </w:rPr>
        <w:tab/>
      </w:r>
      <w:r>
        <w:rPr>
          <w:noProof/>
        </w:rPr>
        <w:fldChar w:fldCharType="begin"/>
      </w:r>
      <w:r>
        <w:rPr>
          <w:noProof/>
        </w:rPr>
        <w:instrText xml:space="preserve"> PAGEREF _Toc127337934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4N.</w:t>
      </w:r>
      <w:r>
        <w:rPr>
          <w:noProof/>
          <w:sz w:val="24"/>
          <w:szCs w:val="24"/>
        </w:rPr>
        <w:tab/>
      </w:r>
      <w:r>
        <w:rPr>
          <w:noProof/>
          <w:szCs w:val="24"/>
        </w:rPr>
        <w:t>Prospecting report on recovered minerals</w:t>
      </w:r>
      <w:r>
        <w:rPr>
          <w:noProof/>
        </w:rPr>
        <w:tab/>
      </w:r>
      <w:r>
        <w:rPr>
          <w:noProof/>
        </w:rPr>
        <w:fldChar w:fldCharType="begin"/>
      </w:r>
      <w:r>
        <w:rPr>
          <w:noProof/>
        </w:rPr>
        <w:instrText xml:space="preserve"> PAGEREF _Toc127337935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4O.</w:t>
      </w:r>
      <w:r>
        <w:rPr>
          <w:noProof/>
          <w:sz w:val="24"/>
          <w:szCs w:val="24"/>
        </w:rPr>
        <w:tab/>
      </w:r>
      <w:r>
        <w:rPr>
          <w:noProof/>
          <w:szCs w:val="24"/>
        </w:rPr>
        <w:t>Prohibition of use of certain hand tools</w:t>
      </w:r>
      <w:r>
        <w:rPr>
          <w:noProof/>
        </w:rPr>
        <w:tab/>
      </w:r>
      <w:r>
        <w:rPr>
          <w:noProof/>
        </w:rPr>
        <w:fldChar w:fldCharType="begin"/>
      </w:r>
      <w:r>
        <w:rPr>
          <w:noProof/>
        </w:rPr>
        <w:instrText xml:space="preserve"> PAGEREF _Toc127337936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4P.</w:t>
      </w:r>
      <w:r>
        <w:rPr>
          <w:noProof/>
          <w:sz w:val="24"/>
          <w:szCs w:val="24"/>
        </w:rPr>
        <w:tab/>
      </w:r>
      <w:r>
        <w:rPr>
          <w:noProof/>
          <w:szCs w:val="24"/>
        </w:rPr>
        <w:t>Application of regulations 98 and 99</w:t>
      </w:r>
      <w:r>
        <w:rPr>
          <w:noProof/>
        </w:rPr>
        <w:tab/>
      </w:r>
      <w:r>
        <w:rPr>
          <w:noProof/>
        </w:rPr>
        <w:fldChar w:fldCharType="begin"/>
      </w:r>
      <w:r>
        <w:rPr>
          <w:noProof/>
        </w:rPr>
        <w:instrText xml:space="preserve"> PAGEREF _Toc127337937 \h </w:instrText>
      </w:r>
      <w:r>
        <w:rPr>
          <w:noProof/>
        </w:rPr>
      </w:r>
      <w:r>
        <w:rPr>
          <w:noProof/>
        </w:rPr>
        <w:fldChar w:fldCharType="separate"/>
      </w:r>
      <w:r>
        <w:rPr>
          <w:noProof/>
        </w:rPr>
        <w:t>10</w:t>
      </w:r>
      <w:r>
        <w:rPr>
          <w:noProof/>
        </w:rPr>
        <w:fldChar w:fldCharType="end"/>
      </w:r>
    </w:p>
    <w:p>
      <w:pPr>
        <w:pStyle w:val="TOC2"/>
        <w:tabs>
          <w:tab w:val="right" w:leader="dot" w:pos="7088"/>
        </w:tabs>
        <w:rPr>
          <w:b w:val="0"/>
          <w:noProof/>
          <w:sz w:val="24"/>
          <w:szCs w:val="24"/>
        </w:rPr>
      </w:pPr>
      <w:r>
        <w:rPr>
          <w:noProof/>
          <w:szCs w:val="30"/>
        </w:rPr>
        <w:t>Part III — Mining on private land</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Application for permit to enter private land</w:t>
      </w:r>
      <w:r>
        <w:rPr>
          <w:noProof/>
        </w:rPr>
        <w:tab/>
      </w:r>
      <w:r>
        <w:rPr>
          <w:noProof/>
        </w:rPr>
        <w:fldChar w:fldCharType="begin"/>
      </w:r>
      <w:r>
        <w:rPr>
          <w:noProof/>
        </w:rPr>
        <w:instrText xml:space="preserve"> PAGEREF _Toc127337939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Form of permit to enter</w:t>
      </w:r>
      <w:r>
        <w:rPr>
          <w:noProof/>
        </w:rPr>
        <w:tab/>
      </w:r>
      <w:r>
        <w:rPr>
          <w:noProof/>
        </w:rPr>
        <w:fldChar w:fldCharType="begin"/>
      </w:r>
      <w:r>
        <w:rPr>
          <w:noProof/>
        </w:rPr>
        <w:instrText xml:space="preserve"> PAGEREF _Toc127337940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Notice of application relating to private land</w:t>
      </w:r>
      <w:r>
        <w:rPr>
          <w:noProof/>
        </w:rPr>
        <w:tab/>
      </w:r>
      <w:r>
        <w:rPr>
          <w:noProof/>
        </w:rPr>
        <w:fldChar w:fldCharType="begin"/>
      </w:r>
      <w:r>
        <w:rPr>
          <w:noProof/>
        </w:rPr>
        <w:instrText xml:space="preserve"> PAGEREF _Toc127337941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Application to bring private land under the Act</w:t>
      </w:r>
      <w:r>
        <w:rPr>
          <w:noProof/>
        </w:rPr>
        <w:tab/>
      </w:r>
      <w:r>
        <w:rPr>
          <w:noProof/>
        </w:rPr>
        <w:fldChar w:fldCharType="begin"/>
      </w:r>
      <w:r>
        <w:rPr>
          <w:noProof/>
        </w:rPr>
        <w:instrText xml:space="preserve"> PAGEREF _Toc127337942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Right of way on private land</w:t>
      </w:r>
      <w:r>
        <w:rPr>
          <w:noProof/>
        </w:rPr>
        <w:tab/>
      </w:r>
      <w:r>
        <w:rPr>
          <w:noProof/>
        </w:rPr>
        <w:fldChar w:fldCharType="begin"/>
      </w:r>
      <w:r>
        <w:rPr>
          <w:noProof/>
        </w:rPr>
        <w:instrText xml:space="preserve"> PAGEREF _Toc127337943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Consents under section 29</w:t>
      </w:r>
      <w:r>
        <w:rPr>
          <w:noProof/>
        </w:rPr>
        <w:tab/>
      </w:r>
      <w:r>
        <w:rPr>
          <w:noProof/>
        </w:rPr>
        <w:fldChar w:fldCharType="begin"/>
      </w:r>
      <w:r>
        <w:rPr>
          <w:noProof/>
        </w:rPr>
        <w:instrText xml:space="preserve"> PAGEREF _Toc127337944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10A</w:t>
      </w:r>
      <w:r>
        <w:rPr>
          <w:noProof/>
          <w:snapToGrid w:val="0"/>
          <w:szCs w:val="24"/>
        </w:rPr>
        <w:t>.</w:t>
      </w:r>
      <w:r>
        <w:rPr>
          <w:noProof/>
          <w:sz w:val="24"/>
          <w:szCs w:val="24"/>
        </w:rPr>
        <w:tab/>
      </w:r>
      <w:r>
        <w:rPr>
          <w:noProof/>
          <w:snapToGrid w:val="0"/>
          <w:szCs w:val="24"/>
        </w:rPr>
        <w:t>Compensation</w:t>
      </w:r>
      <w:r>
        <w:rPr>
          <w:noProof/>
        </w:rPr>
        <w:tab/>
      </w:r>
      <w:r>
        <w:rPr>
          <w:noProof/>
        </w:rPr>
        <w:fldChar w:fldCharType="begin"/>
      </w:r>
      <w:r>
        <w:rPr>
          <w:noProof/>
        </w:rPr>
        <w:instrText xml:space="preserve"> PAGEREF _Toc127337945 \h </w:instrText>
      </w:r>
      <w:r>
        <w:rPr>
          <w:noProof/>
        </w:rPr>
      </w:r>
      <w:r>
        <w:rPr>
          <w:noProof/>
        </w:rPr>
        <w:fldChar w:fldCharType="separate"/>
      </w:r>
      <w:r>
        <w:rPr>
          <w:noProof/>
        </w:rPr>
        <w:t>12</w:t>
      </w:r>
      <w:r>
        <w:rPr>
          <w:noProof/>
        </w:rPr>
        <w:fldChar w:fldCharType="end"/>
      </w:r>
    </w:p>
    <w:p>
      <w:pPr>
        <w:pStyle w:val="TOC2"/>
        <w:tabs>
          <w:tab w:val="right" w:leader="dot" w:pos="7088"/>
        </w:tabs>
        <w:rPr>
          <w:b w:val="0"/>
          <w:noProof/>
          <w:sz w:val="24"/>
          <w:szCs w:val="24"/>
        </w:rPr>
      </w:pPr>
      <w:r>
        <w:rPr>
          <w:noProof/>
          <w:szCs w:val="30"/>
        </w:rPr>
        <w:t>Part IV — Mining tenements</w:t>
      </w:r>
    </w:p>
    <w:p>
      <w:pPr>
        <w:pStyle w:val="TOC3"/>
        <w:rPr>
          <w:b w:val="0"/>
          <w:noProof/>
          <w:sz w:val="24"/>
          <w:szCs w:val="24"/>
        </w:rPr>
      </w:pPr>
      <w:r>
        <w:rPr>
          <w:noProof/>
          <w:szCs w:val="26"/>
        </w:rPr>
        <w:t>Division 1</w:t>
      </w:r>
      <w:r>
        <w:rPr>
          <w:noProof/>
          <w:snapToGrid w:val="0"/>
          <w:szCs w:val="26"/>
        </w:rPr>
        <w:t> — </w:t>
      </w:r>
      <w:r>
        <w:rPr>
          <w:noProof/>
          <w:szCs w:val="26"/>
        </w:rPr>
        <w:t>Prospecting licences</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Marking out and application</w:t>
      </w:r>
      <w:r>
        <w:rPr>
          <w:noProof/>
        </w:rPr>
        <w:tab/>
      </w:r>
      <w:r>
        <w:rPr>
          <w:noProof/>
        </w:rPr>
        <w:fldChar w:fldCharType="begin"/>
      </w:r>
      <w:r>
        <w:rPr>
          <w:noProof/>
        </w:rPr>
        <w:instrText xml:space="preserve"> PAGEREF _Toc127337948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Instrument of licence</w:t>
      </w:r>
      <w:r>
        <w:rPr>
          <w:noProof/>
        </w:rPr>
        <w:tab/>
      </w:r>
      <w:r>
        <w:rPr>
          <w:noProof/>
        </w:rPr>
        <w:fldChar w:fldCharType="begin"/>
      </w:r>
      <w:r>
        <w:rPr>
          <w:noProof/>
        </w:rPr>
        <w:instrText xml:space="preserve"> PAGEREF _Toc127337949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13A.</w:t>
      </w:r>
      <w:r>
        <w:rPr>
          <w:noProof/>
          <w:sz w:val="24"/>
          <w:szCs w:val="24"/>
        </w:rPr>
        <w:tab/>
      </w:r>
      <w:r>
        <w:rPr>
          <w:noProof/>
          <w:szCs w:val="24"/>
        </w:rPr>
        <w:t>Programme of work for ground disturbing equipment</w:t>
      </w:r>
      <w:r>
        <w:rPr>
          <w:noProof/>
        </w:rPr>
        <w:tab/>
      </w:r>
      <w:r>
        <w:rPr>
          <w:noProof/>
        </w:rPr>
        <w:fldChar w:fldCharType="begin"/>
      </w:r>
      <w:r>
        <w:rPr>
          <w:noProof/>
        </w:rPr>
        <w:instrText xml:space="preserve"> PAGEREF _Toc127337950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Limit on amount of earth, etc., that may be removed</w:t>
      </w:r>
      <w:r>
        <w:rPr>
          <w:noProof/>
        </w:rPr>
        <w:tab/>
      </w:r>
      <w:r>
        <w:rPr>
          <w:noProof/>
        </w:rPr>
        <w:fldChar w:fldCharType="begin"/>
      </w:r>
      <w:r>
        <w:rPr>
          <w:noProof/>
        </w:rPr>
        <w:instrText xml:space="preserve"> PAGEREF _Toc127337951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Expenditure condition</w:t>
      </w:r>
      <w:r>
        <w:rPr>
          <w:noProof/>
        </w:rPr>
        <w:tab/>
      </w:r>
      <w:r>
        <w:rPr>
          <w:noProof/>
        </w:rPr>
        <w:fldChar w:fldCharType="begin"/>
      </w:r>
      <w:r>
        <w:rPr>
          <w:noProof/>
        </w:rPr>
        <w:instrText xml:space="preserve"> PAGEREF _Toc127337952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Reports to be filed</w:t>
      </w:r>
      <w:r>
        <w:rPr>
          <w:noProof/>
        </w:rPr>
        <w:tab/>
      </w:r>
      <w:r>
        <w:rPr>
          <w:noProof/>
        </w:rPr>
        <w:fldChar w:fldCharType="begin"/>
      </w:r>
      <w:r>
        <w:rPr>
          <w:noProof/>
        </w:rPr>
        <w:instrText xml:space="preserve"> PAGEREF _Toc127337953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16A.</w:t>
      </w:r>
      <w:r>
        <w:rPr>
          <w:noProof/>
          <w:sz w:val="24"/>
          <w:szCs w:val="24"/>
        </w:rPr>
        <w:tab/>
      </w:r>
      <w:r>
        <w:rPr>
          <w:noProof/>
          <w:szCs w:val="24"/>
        </w:rPr>
        <w:t>Grounds for extension under section 45(1a)</w:t>
      </w:r>
      <w:r>
        <w:rPr>
          <w:noProof/>
        </w:rPr>
        <w:tab/>
      </w:r>
      <w:r>
        <w:rPr>
          <w:noProof/>
        </w:rPr>
        <w:fldChar w:fldCharType="begin"/>
      </w:r>
      <w:r>
        <w:rPr>
          <w:noProof/>
        </w:rPr>
        <w:instrText xml:space="preserve"> PAGEREF _Toc127337954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16B.</w:t>
      </w:r>
      <w:r>
        <w:rPr>
          <w:noProof/>
          <w:sz w:val="24"/>
          <w:szCs w:val="24"/>
        </w:rPr>
        <w:tab/>
      </w:r>
      <w:r>
        <w:rPr>
          <w:noProof/>
          <w:szCs w:val="24"/>
        </w:rPr>
        <w:t>Application for extension of prospecting licence</w:t>
      </w:r>
      <w:r>
        <w:rPr>
          <w:noProof/>
        </w:rPr>
        <w:tab/>
      </w:r>
      <w:r>
        <w:rPr>
          <w:noProof/>
        </w:rPr>
        <w:fldChar w:fldCharType="begin"/>
      </w:r>
      <w:r>
        <w:rPr>
          <w:noProof/>
        </w:rPr>
        <w:instrText xml:space="preserve"> PAGEREF _Toc127337955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16C.</w:t>
      </w:r>
      <w:r>
        <w:rPr>
          <w:noProof/>
          <w:sz w:val="24"/>
          <w:szCs w:val="24"/>
        </w:rPr>
        <w:tab/>
      </w:r>
      <w:r>
        <w:rPr>
          <w:noProof/>
          <w:szCs w:val="24"/>
        </w:rPr>
        <w:t>Application for retention status</w:t>
      </w:r>
      <w:r>
        <w:rPr>
          <w:noProof/>
        </w:rPr>
        <w:tab/>
      </w:r>
      <w:r>
        <w:rPr>
          <w:noProof/>
        </w:rPr>
        <w:fldChar w:fldCharType="begin"/>
      </w:r>
      <w:r>
        <w:rPr>
          <w:noProof/>
        </w:rPr>
        <w:instrText xml:space="preserve"> PAGEREF _Toc127337956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16D.</w:t>
      </w:r>
      <w:r>
        <w:rPr>
          <w:noProof/>
          <w:sz w:val="24"/>
          <w:szCs w:val="24"/>
        </w:rPr>
        <w:tab/>
      </w:r>
      <w:r>
        <w:rPr>
          <w:noProof/>
          <w:szCs w:val="24"/>
        </w:rPr>
        <w:t>Marking out of land that has retention status</w:t>
      </w:r>
      <w:r>
        <w:rPr>
          <w:noProof/>
        </w:rPr>
        <w:tab/>
      </w:r>
      <w:r>
        <w:rPr>
          <w:noProof/>
        </w:rPr>
        <w:fldChar w:fldCharType="begin"/>
      </w:r>
      <w:r>
        <w:rPr>
          <w:noProof/>
        </w:rPr>
        <w:instrText xml:space="preserve"> PAGEREF _Toc127337957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16E.</w:t>
      </w:r>
      <w:r>
        <w:rPr>
          <w:noProof/>
          <w:sz w:val="24"/>
          <w:szCs w:val="24"/>
        </w:rPr>
        <w:tab/>
      </w:r>
      <w:r>
        <w:rPr>
          <w:noProof/>
          <w:szCs w:val="24"/>
        </w:rPr>
        <w:t>Application for special prospecting licence</w:t>
      </w:r>
      <w:r>
        <w:rPr>
          <w:noProof/>
        </w:rPr>
        <w:tab/>
      </w:r>
      <w:r>
        <w:rPr>
          <w:noProof/>
        </w:rPr>
        <w:fldChar w:fldCharType="begin"/>
      </w:r>
      <w:r>
        <w:rPr>
          <w:noProof/>
        </w:rPr>
        <w:instrText xml:space="preserve"> PAGEREF _Toc127337958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Exploration licences</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_Toc127337960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Instrument of licence</w:t>
      </w:r>
      <w:r>
        <w:rPr>
          <w:noProof/>
        </w:rPr>
        <w:tab/>
      </w:r>
      <w:r>
        <w:rPr>
          <w:noProof/>
        </w:rPr>
        <w:fldChar w:fldCharType="begin"/>
      </w:r>
      <w:r>
        <w:rPr>
          <w:noProof/>
        </w:rPr>
        <w:instrText xml:space="preserve"> PAGEREF _Toc127337961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Limit on amount of earth, etc., that may be removed</w:t>
      </w:r>
      <w:r>
        <w:rPr>
          <w:noProof/>
        </w:rPr>
        <w:tab/>
      </w:r>
      <w:r>
        <w:rPr>
          <w:noProof/>
        </w:rPr>
        <w:fldChar w:fldCharType="begin"/>
      </w:r>
      <w:r>
        <w:rPr>
          <w:noProof/>
        </w:rPr>
        <w:instrText xml:space="preserve"> PAGEREF _Toc127337962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Expenditure condition</w:t>
      </w:r>
      <w:r>
        <w:rPr>
          <w:noProof/>
        </w:rPr>
        <w:tab/>
      </w:r>
      <w:r>
        <w:rPr>
          <w:noProof/>
        </w:rPr>
        <w:fldChar w:fldCharType="begin"/>
      </w:r>
      <w:r>
        <w:rPr>
          <w:noProof/>
        </w:rPr>
        <w:instrText xml:space="preserve"> PAGEREF _Toc127337963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21A.</w:t>
      </w:r>
      <w:r>
        <w:rPr>
          <w:noProof/>
          <w:sz w:val="24"/>
          <w:szCs w:val="24"/>
        </w:rPr>
        <w:tab/>
      </w:r>
      <w:r>
        <w:rPr>
          <w:noProof/>
          <w:szCs w:val="24"/>
        </w:rPr>
        <w:t>Programme of work for ground disturbing equipment</w:t>
      </w:r>
      <w:r>
        <w:rPr>
          <w:noProof/>
        </w:rPr>
        <w:tab/>
      </w:r>
      <w:r>
        <w:rPr>
          <w:noProof/>
        </w:rPr>
        <w:fldChar w:fldCharType="begin"/>
      </w:r>
      <w:r>
        <w:rPr>
          <w:noProof/>
        </w:rPr>
        <w:instrText xml:space="preserve"> PAGEREF _Toc127337964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Reports to be filed</w:t>
      </w:r>
      <w:r>
        <w:rPr>
          <w:noProof/>
        </w:rPr>
        <w:tab/>
      </w:r>
      <w:r>
        <w:rPr>
          <w:noProof/>
        </w:rPr>
        <w:fldChar w:fldCharType="begin"/>
      </w:r>
      <w:r>
        <w:rPr>
          <w:noProof/>
        </w:rPr>
        <w:instrText xml:space="preserve"> PAGEREF _Toc127337965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22A.</w:t>
      </w:r>
      <w:r>
        <w:rPr>
          <w:noProof/>
          <w:sz w:val="24"/>
          <w:szCs w:val="24"/>
        </w:rPr>
        <w:tab/>
      </w:r>
      <w:r>
        <w:rPr>
          <w:noProof/>
          <w:szCs w:val="24"/>
        </w:rPr>
        <w:t>Grounds for deferral under section 65(3b)</w:t>
      </w:r>
      <w:r>
        <w:rPr>
          <w:noProof/>
        </w:rPr>
        <w:tab/>
      </w:r>
      <w:r>
        <w:rPr>
          <w:noProof/>
        </w:rPr>
        <w:fldChar w:fldCharType="begin"/>
      </w:r>
      <w:r>
        <w:rPr>
          <w:noProof/>
        </w:rPr>
        <w:instrText xml:space="preserve"> PAGEREF _Toc127337966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22B.</w:t>
      </w:r>
      <w:r>
        <w:rPr>
          <w:noProof/>
          <w:sz w:val="24"/>
          <w:szCs w:val="24"/>
        </w:rPr>
        <w:tab/>
      </w:r>
      <w:r>
        <w:rPr>
          <w:noProof/>
          <w:szCs w:val="24"/>
        </w:rPr>
        <w:t>Application for deferral</w:t>
      </w:r>
      <w:r>
        <w:rPr>
          <w:noProof/>
        </w:rPr>
        <w:tab/>
      </w:r>
      <w:r>
        <w:rPr>
          <w:noProof/>
        </w:rPr>
        <w:fldChar w:fldCharType="begin"/>
      </w:r>
      <w:r>
        <w:rPr>
          <w:noProof/>
        </w:rPr>
        <w:instrText xml:space="preserve"> PAGEREF _Toc127337967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Endorsement of plans upon surrender</w:t>
      </w:r>
      <w:r>
        <w:rPr>
          <w:noProof/>
        </w:rPr>
        <w:tab/>
      </w:r>
      <w:r>
        <w:rPr>
          <w:noProof/>
        </w:rPr>
        <w:fldChar w:fldCharType="begin"/>
      </w:r>
      <w:r>
        <w:rPr>
          <w:noProof/>
        </w:rPr>
        <w:instrText xml:space="preserve"> PAGEREF _Toc127337968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23AA</w:t>
      </w:r>
      <w:r>
        <w:rPr>
          <w:noProof/>
          <w:snapToGrid w:val="0"/>
          <w:szCs w:val="24"/>
        </w:rPr>
        <w:t>.</w:t>
      </w:r>
      <w:r>
        <w:rPr>
          <w:noProof/>
          <w:sz w:val="24"/>
          <w:szCs w:val="24"/>
        </w:rPr>
        <w:tab/>
      </w:r>
      <w:r>
        <w:rPr>
          <w:noProof/>
          <w:snapToGrid w:val="0"/>
          <w:szCs w:val="24"/>
        </w:rPr>
        <w:t>Refund of rent following unsuccessful application under section 65(1a)</w:t>
      </w:r>
      <w:r>
        <w:rPr>
          <w:noProof/>
        </w:rPr>
        <w:tab/>
      </w:r>
      <w:r>
        <w:rPr>
          <w:noProof/>
        </w:rPr>
        <w:fldChar w:fldCharType="begin"/>
      </w:r>
      <w:r>
        <w:rPr>
          <w:noProof/>
        </w:rPr>
        <w:instrText xml:space="preserve"> PAGEREF _Toc127337969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23AB</w:t>
      </w:r>
      <w:r>
        <w:rPr>
          <w:noProof/>
          <w:snapToGrid w:val="0"/>
          <w:szCs w:val="24"/>
        </w:rPr>
        <w:t>.</w:t>
      </w:r>
      <w:r>
        <w:rPr>
          <w:noProof/>
          <w:sz w:val="24"/>
          <w:szCs w:val="24"/>
        </w:rPr>
        <w:tab/>
      </w:r>
      <w:r>
        <w:rPr>
          <w:noProof/>
          <w:snapToGrid w:val="0"/>
          <w:szCs w:val="24"/>
        </w:rPr>
        <w:t>Prescribed circumstances under section 61(2)(a)</w:t>
      </w:r>
      <w:r>
        <w:rPr>
          <w:noProof/>
        </w:rPr>
        <w:tab/>
      </w:r>
      <w:r>
        <w:rPr>
          <w:noProof/>
        </w:rPr>
        <w:fldChar w:fldCharType="begin"/>
      </w:r>
      <w:r>
        <w:rPr>
          <w:noProof/>
        </w:rPr>
        <w:instrText xml:space="preserve"> PAGEREF _Toc127337970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23A</w:t>
      </w:r>
      <w:r>
        <w:rPr>
          <w:noProof/>
          <w:snapToGrid w:val="0"/>
          <w:szCs w:val="24"/>
        </w:rPr>
        <w:t>.</w:t>
      </w:r>
      <w:r>
        <w:rPr>
          <w:noProof/>
          <w:sz w:val="24"/>
          <w:szCs w:val="24"/>
        </w:rPr>
        <w:tab/>
      </w:r>
      <w:r>
        <w:rPr>
          <w:noProof/>
          <w:snapToGrid w:val="0"/>
          <w:szCs w:val="24"/>
        </w:rPr>
        <w:t>Extension of exploration licence</w:t>
      </w:r>
      <w:r>
        <w:rPr>
          <w:noProof/>
        </w:rPr>
        <w:tab/>
      </w:r>
      <w:r>
        <w:rPr>
          <w:noProof/>
        </w:rPr>
        <w:fldChar w:fldCharType="begin"/>
      </w:r>
      <w:r>
        <w:rPr>
          <w:noProof/>
        </w:rPr>
        <w:instrText xml:space="preserve"> PAGEREF _Toc127337971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23BA.</w:t>
      </w:r>
      <w:r>
        <w:rPr>
          <w:noProof/>
          <w:sz w:val="24"/>
          <w:szCs w:val="24"/>
        </w:rPr>
        <w:tab/>
      </w:r>
      <w:r>
        <w:rPr>
          <w:noProof/>
          <w:szCs w:val="24"/>
        </w:rPr>
        <w:t>Application for retention status</w:t>
      </w:r>
      <w:r>
        <w:rPr>
          <w:noProof/>
        </w:rPr>
        <w:tab/>
      </w:r>
      <w:r>
        <w:rPr>
          <w:noProof/>
        </w:rPr>
        <w:fldChar w:fldCharType="begin"/>
      </w:r>
      <w:r>
        <w:rPr>
          <w:noProof/>
        </w:rPr>
        <w:instrText xml:space="preserve"> PAGEREF _Toc127337972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23BB.</w:t>
      </w:r>
      <w:r>
        <w:rPr>
          <w:noProof/>
          <w:sz w:val="24"/>
          <w:szCs w:val="24"/>
        </w:rPr>
        <w:tab/>
      </w:r>
      <w:r>
        <w:rPr>
          <w:noProof/>
          <w:szCs w:val="24"/>
        </w:rPr>
        <w:t>Application for special prospecting licence</w:t>
      </w:r>
      <w:r>
        <w:rPr>
          <w:noProof/>
        </w:rPr>
        <w:tab/>
      </w:r>
      <w:r>
        <w:rPr>
          <w:noProof/>
        </w:rPr>
        <w:fldChar w:fldCharType="begin"/>
      </w:r>
      <w:r>
        <w:rPr>
          <w:noProof/>
        </w:rPr>
        <w:instrText xml:space="preserve"> PAGEREF _Toc127337973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2A</w:t>
      </w:r>
      <w:r>
        <w:rPr>
          <w:noProof/>
          <w:snapToGrid w:val="0"/>
          <w:szCs w:val="26"/>
        </w:rPr>
        <w:t> — </w:t>
      </w:r>
      <w:r>
        <w:rPr>
          <w:noProof/>
          <w:szCs w:val="26"/>
        </w:rPr>
        <w:t>Retention licences</w:t>
      </w:r>
    </w:p>
    <w:p>
      <w:pPr>
        <w:pStyle w:val="TOC4"/>
        <w:tabs>
          <w:tab w:val="left" w:pos="1701"/>
        </w:tabs>
        <w:rPr>
          <w:noProof/>
          <w:sz w:val="24"/>
          <w:szCs w:val="24"/>
        </w:rPr>
      </w:pPr>
      <w:r>
        <w:rPr>
          <w:noProof/>
          <w:szCs w:val="24"/>
        </w:rPr>
        <w:t>23B</w:t>
      </w:r>
      <w:r>
        <w:rPr>
          <w:noProof/>
          <w:snapToGrid w:val="0"/>
          <w:szCs w:val="24"/>
        </w:rPr>
        <w:t>.</w:t>
      </w:r>
      <w:r>
        <w:rPr>
          <w:noProof/>
          <w:sz w:val="24"/>
          <w:szCs w:val="24"/>
        </w:rPr>
        <w:tab/>
      </w:r>
      <w:r>
        <w:rPr>
          <w:noProof/>
          <w:snapToGrid w:val="0"/>
          <w:szCs w:val="24"/>
        </w:rPr>
        <w:t>Application and marking out</w:t>
      </w:r>
      <w:r>
        <w:rPr>
          <w:noProof/>
        </w:rPr>
        <w:tab/>
      </w:r>
      <w:r>
        <w:rPr>
          <w:noProof/>
        </w:rPr>
        <w:fldChar w:fldCharType="begin"/>
      </w:r>
      <w:r>
        <w:rPr>
          <w:noProof/>
        </w:rPr>
        <w:instrText xml:space="preserve"> PAGEREF _Toc127337975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23D</w:t>
      </w:r>
      <w:r>
        <w:rPr>
          <w:noProof/>
          <w:snapToGrid w:val="0"/>
          <w:szCs w:val="24"/>
        </w:rPr>
        <w:t>.</w:t>
      </w:r>
      <w:r>
        <w:rPr>
          <w:noProof/>
          <w:sz w:val="24"/>
          <w:szCs w:val="24"/>
        </w:rPr>
        <w:tab/>
      </w:r>
      <w:r>
        <w:rPr>
          <w:noProof/>
          <w:snapToGrid w:val="0"/>
          <w:szCs w:val="24"/>
        </w:rPr>
        <w:t>Instrument of licence</w:t>
      </w:r>
      <w:r>
        <w:rPr>
          <w:noProof/>
        </w:rPr>
        <w:tab/>
      </w:r>
      <w:r>
        <w:rPr>
          <w:noProof/>
        </w:rPr>
        <w:fldChar w:fldCharType="begin"/>
      </w:r>
      <w:r>
        <w:rPr>
          <w:noProof/>
        </w:rPr>
        <w:instrText xml:space="preserve"> PAGEREF _Toc127337976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23DA.</w:t>
      </w:r>
      <w:r>
        <w:rPr>
          <w:noProof/>
          <w:sz w:val="24"/>
          <w:szCs w:val="24"/>
        </w:rPr>
        <w:tab/>
      </w:r>
      <w:r>
        <w:rPr>
          <w:noProof/>
          <w:szCs w:val="24"/>
        </w:rPr>
        <w:t>Programme of work for ground disturbing equipment</w:t>
      </w:r>
      <w:r>
        <w:rPr>
          <w:noProof/>
        </w:rPr>
        <w:tab/>
      </w:r>
      <w:r>
        <w:rPr>
          <w:noProof/>
        </w:rPr>
        <w:fldChar w:fldCharType="begin"/>
      </w:r>
      <w:r>
        <w:rPr>
          <w:noProof/>
        </w:rPr>
        <w:instrText xml:space="preserve"> PAGEREF _Toc127337977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23E</w:t>
      </w:r>
      <w:r>
        <w:rPr>
          <w:noProof/>
          <w:snapToGrid w:val="0"/>
          <w:szCs w:val="24"/>
        </w:rPr>
        <w:t>.</w:t>
      </w:r>
      <w:r>
        <w:rPr>
          <w:noProof/>
          <w:sz w:val="24"/>
          <w:szCs w:val="24"/>
        </w:rPr>
        <w:tab/>
      </w:r>
      <w:r>
        <w:rPr>
          <w:noProof/>
          <w:snapToGrid w:val="0"/>
          <w:szCs w:val="24"/>
        </w:rPr>
        <w:t>Reports to be lodged</w:t>
      </w:r>
      <w:r>
        <w:rPr>
          <w:noProof/>
        </w:rPr>
        <w:tab/>
      </w:r>
      <w:r>
        <w:rPr>
          <w:noProof/>
        </w:rPr>
        <w:fldChar w:fldCharType="begin"/>
      </w:r>
      <w:r>
        <w:rPr>
          <w:noProof/>
        </w:rPr>
        <w:instrText xml:space="preserve"> PAGEREF _Toc127337978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23F</w:t>
      </w:r>
      <w:r>
        <w:rPr>
          <w:noProof/>
          <w:snapToGrid w:val="0"/>
          <w:szCs w:val="24"/>
        </w:rPr>
        <w:t>.</w:t>
      </w:r>
      <w:r>
        <w:rPr>
          <w:noProof/>
          <w:sz w:val="24"/>
          <w:szCs w:val="24"/>
        </w:rPr>
        <w:tab/>
      </w:r>
      <w:r>
        <w:rPr>
          <w:noProof/>
          <w:snapToGrid w:val="0"/>
          <w:szCs w:val="24"/>
        </w:rPr>
        <w:t>Application for renewal</w:t>
      </w:r>
      <w:r>
        <w:rPr>
          <w:noProof/>
        </w:rPr>
        <w:tab/>
      </w:r>
      <w:r>
        <w:rPr>
          <w:noProof/>
        </w:rPr>
        <w:fldChar w:fldCharType="begin"/>
      </w:r>
      <w:r>
        <w:rPr>
          <w:noProof/>
        </w:rPr>
        <w:instrText xml:space="preserve"> PAGEREF _Toc127337979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23G</w:t>
      </w:r>
      <w:r>
        <w:rPr>
          <w:noProof/>
          <w:snapToGrid w:val="0"/>
          <w:szCs w:val="24"/>
        </w:rPr>
        <w:t>.</w:t>
      </w:r>
      <w:r>
        <w:rPr>
          <w:noProof/>
          <w:sz w:val="24"/>
          <w:szCs w:val="24"/>
        </w:rPr>
        <w:tab/>
      </w:r>
      <w:r>
        <w:rPr>
          <w:noProof/>
          <w:snapToGrid w:val="0"/>
          <w:szCs w:val="24"/>
        </w:rPr>
        <w:t>Limit on amount of earth, etc., that may be removed</w:t>
      </w:r>
      <w:r>
        <w:rPr>
          <w:noProof/>
        </w:rPr>
        <w:tab/>
      </w:r>
      <w:r>
        <w:rPr>
          <w:noProof/>
        </w:rPr>
        <w:fldChar w:fldCharType="begin"/>
      </w:r>
      <w:r>
        <w:rPr>
          <w:noProof/>
        </w:rPr>
        <w:instrText xml:space="preserve"> PAGEREF _Toc127337980 \h </w:instrText>
      </w:r>
      <w:r>
        <w:rPr>
          <w:noProof/>
        </w:rPr>
      </w:r>
      <w:r>
        <w:rPr>
          <w:noProof/>
        </w:rPr>
        <w:fldChar w:fldCharType="separate"/>
      </w:r>
      <w:r>
        <w:rPr>
          <w:noProof/>
        </w:rPr>
        <w:t>32</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Mining leases</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Marking out and application</w:t>
      </w:r>
      <w:r>
        <w:rPr>
          <w:noProof/>
        </w:rPr>
        <w:tab/>
      </w:r>
      <w:r>
        <w:rPr>
          <w:noProof/>
        </w:rPr>
        <w:fldChar w:fldCharType="begin"/>
      </w:r>
      <w:r>
        <w:rPr>
          <w:noProof/>
        </w:rPr>
        <w:instrText xml:space="preserve"> PAGEREF _Toc127337982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Guidelines under Part IV Division 3 of the Act</w:t>
      </w:r>
      <w:r>
        <w:rPr>
          <w:noProof/>
        </w:rPr>
        <w:tab/>
      </w:r>
      <w:r>
        <w:rPr>
          <w:noProof/>
        </w:rPr>
        <w:fldChar w:fldCharType="begin"/>
      </w:r>
      <w:r>
        <w:rPr>
          <w:noProof/>
        </w:rPr>
        <w:instrText xml:space="preserve"> PAGEREF _Toc127337983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25A.</w:t>
      </w:r>
      <w:r>
        <w:rPr>
          <w:noProof/>
          <w:sz w:val="24"/>
          <w:szCs w:val="24"/>
        </w:rPr>
        <w:tab/>
      </w:r>
      <w:r>
        <w:rPr>
          <w:noProof/>
          <w:szCs w:val="24"/>
        </w:rPr>
        <w:t>Marking out after grant of lease</w:t>
      </w:r>
      <w:r>
        <w:rPr>
          <w:noProof/>
        </w:rPr>
        <w:tab/>
      </w:r>
      <w:r>
        <w:rPr>
          <w:noProof/>
        </w:rPr>
        <w:fldChar w:fldCharType="begin"/>
      </w:r>
      <w:r>
        <w:rPr>
          <w:noProof/>
        </w:rPr>
        <w:instrText xml:space="preserve"> PAGEREF _Toc127337984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25B.</w:t>
      </w:r>
      <w:r>
        <w:rPr>
          <w:noProof/>
          <w:sz w:val="24"/>
          <w:szCs w:val="24"/>
        </w:rPr>
        <w:tab/>
      </w:r>
      <w:r>
        <w:rPr>
          <w:noProof/>
          <w:szCs w:val="24"/>
        </w:rPr>
        <w:t>Fees for copies of certain documents</w:t>
      </w:r>
      <w:r>
        <w:rPr>
          <w:noProof/>
        </w:rPr>
        <w:tab/>
      </w:r>
      <w:r>
        <w:rPr>
          <w:noProof/>
        </w:rPr>
        <w:fldChar w:fldCharType="begin"/>
      </w:r>
      <w:r>
        <w:rPr>
          <w:noProof/>
        </w:rPr>
        <w:instrText xml:space="preserve"> PAGEREF _Toc127337985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25C.</w:t>
      </w:r>
      <w:r>
        <w:rPr>
          <w:noProof/>
          <w:sz w:val="24"/>
          <w:szCs w:val="24"/>
        </w:rPr>
        <w:tab/>
      </w:r>
      <w:r>
        <w:rPr>
          <w:noProof/>
          <w:szCs w:val="24"/>
        </w:rPr>
        <w:t>Qualified persons — section 74</w:t>
      </w:r>
      <w:r>
        <w:rPr>
          <w:noProof/>
        </w:rPr>
        <w:tab/>
      </w:r>
      <w:r>
        <w:rPr>
          <w:noProof/>
        </w:rPr>
        <w:fldChar w:fldCharType="begin"/>
      </w:r>
      <w:r>
        <w:rPr>
          <w:noProof/>
        </w:rPr>
        <w:instrText xml:space="preserve"> PAGEREF _Toc127337986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Instrument of lease</w:t>
      </w:r>
      <w:r>
        <w:rPr>
          <w:noProof/>
        </w:rPr>
        <w:tab/>
      </w:r>
      <w:r>
        <w:rPr>
          <w:noProof/>
        </w:rPr>
        <w:fldChar w:fldCharType="begin"/>
      </w:r>
      <w:r>
        <w:rPr>
          <w:noProof/>
        </w:rPr>
        <w:instrText xml:space="preserve"> PAGEREF _Toc127337987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Covenants</w:t>
      </w:r>
      <w:r>
        <w:rPr>
          <w:noProof/>
        </w:rPr>
        <w:tab/>
      </w:r>
      <w:r>
        <w:rPr>
          <w:noProof/>
        </w:rPr>
        <w:fldChar w:fldCharType="begin"/>
      </w:r>
      <w:r>
        <w:rPr>
          <w:noProof/>
        </w:rPr>
        <w:instrText xml:space="preserve"> PAGEREF _Toc127337988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Additional condition</w:t>
      </w:r>
      <w:r>
        <w:rPr>
          <w:noProof/>
        </w:rPr>
        <w:tab/>
      </w:r>
      <w:r>
        <w:rPr>
          <w:noProof/>
        </w:rPr>
        <w:fldChar w:fldCharType="begin"/>
      </w:r>
      <w:r>
        <w:rPr>
          <w:noProof/>
        </w:rPr>
        <w:instrText xml:space="preserve"> PAGEREF _Toc127337989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28A</w:t>
      </w:r>
      <w:r>
        <w:rPr>
          <w:noProof/>
          <w:snapToGrid w:val="0"/>
          <w:szCs w:val="24"/>
        </w:rPr>
        <w:t>.</w:t>
      </w:r>
      <w:r>
        <w:rPr>
          <w:noProof/>
          <w:sz w:val="24"/>
          <w:szCs w:val="24"/>
        </w:rPr>
        <w:tab/>
      </w:r>
      <w:r>
        <w:rPr>
          <w:noProof/>
          <w:snapToGrid w:val="0"/>
          <w:szCs w:val="24"/>
        </w:rPr>
        <w:t>Additional rent for mining lease producing iron ore</w:t>
      </w:r>
      <w:r>
        <w:rPr>
          <w:noProof/>
        </w:rPr>
        <w:tab/>
      </w:r>
      <w:r>
        <w:rPr>
          <w:noProof/>
        </w:rPr>
        <w:fldChar w:fldCharType="begin"/>
      </w:r>
      <w:r>
        <w:rPr>
          <w:noProof/>
        </w:rPr>
        <w:instrText xml:space="preserve"> PAGEREF _Toc127337990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Application for renewal</w:t>
      </w:r>
      <w:r>
        <w:rPr>
          <w:noProof/>
        </w:rPr>
        <w:tab/>
      </w:r>
      <w:r>
        <w:rPr>
          <w:noProof/>
        </w:rPr>
        <w:fldChar w:fldCharType="begin"/>
      </w:r>
      <w:r>
        <w:rPr>
          <w:noProof/>
        </w:rPr>
        <w:instrText xml:space="preserve"> PAGEREF _Toc127337991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Notice required by section 56A(8), 70(6) or 85B(3)</w:t>
      </w:r>
      <w:r>
        <w:rPr>
          <w:noProof/>
        </w:rPr>
        <w:tab/>
      </w:r>
      <w:r>
        <w:rPr>
          <w:noProof/>
        </w:rPr>
        <w:fldChar w:fldCharType="begin"/>
      </w:r>
      <w:r>
        <w:rPr>
          <w:noProof/>
        </w:rPr>
        <w:instrText xml:space="preserve"> PAGEREF _Toc127337992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Expenditure condition</w:t>
      </w:r>
      <w:r>
        <w:rPr>
          <w:noProof/>
        </w:rPr>
        <w:tab/>
      </w:r>
      <w:r>
        <w:rPr>
          <w:noProof/>
        </w:rPr>
        <w:fldChar w:fldCharType="begin"/>
      </w:r>
      <w:r>
        <w:rPr>
          <w:noProof/>
        </w:rPr>
        <w:instrText xml:space="preserve"> PAGEREF _Toc127337993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31A.</w:t>
      </w:r>
      <w:r>
        <w:rPr>
          <w:noProof/>
          <w:sz w:val="24"/>
          <w:szCs w:val="24"/>
        </w:rPr>
        <w:tab/>
      </w:r>
      <w:r>
        <w:rPr>
          <w:noProof/>
          <w:szCs w:val="24"/>
        </w:rPr>
        <w:t>Programme of work for ground disturbing equipment</w:t>
      </w:r>
      <w:r>
        <w:rPr>
          <w:noProof/>
        </w:rPr>
        <w:tab/>
      </w:r>
      <w:r>
        <w:rPr>
          <w:noProof/>
        </w:rPr>
        <w:fldChar w:fldCharType="begin"/>
      </w:r>
      <w:r>
        <w:rPr>
          <w:noProof/>
        </w:rPr>
        <w:instrText xml:space="preserve"> PAGEREF _Toc127337994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Reports to be filed</w:t>
      </w:r>
      <w:r>
        <w:rPr>
          <w:noProof/>
        </w:rPr>
        <w:tab/>
      </w:r>
      <w:r>
        <w:rPr>
          <w:noProof/>
        </w:rPr>
        <w:fldChar w:fldCharType="begin"/>
      </w:r>
      <w:r>
        <w:rPr>
          <w:noProof/>
        </w:rPr>
        <w:instrText xml:space="preserve"> PAGEREF _Toc127337995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32A.</w:t>
      </w:r>
      <w:r>
        <w:rPr>
          <w:noProof/>
          <w:sz w:val="24"/>
          <w:szCs w:val="24"/>
        </w:rPr>
        <w:tab/>
      </w:r>
      <w:r>
        <w:rPr>
          <w:noProof/>
          <w:szCs w:val="24"/>
        </w:rPr>
        <w:t>Condition under section 82A</w:t>
      </w:r>
      <w:r>
        <w:rPr>
          <w:noProof/>
        </w:rPr>
        <w:tab/>
      </w:r>
      <w:r>
        <w:rPr>
          <w:noProof/>
        </w:rPr>
        <w:fldChar w:fldCharType="begin"/>
      </w:r>
      <w:r>
        <w:rPr>
          <w:noProof/>
        </w:rPr>
        <w:instrText xml:space="preserve"> PAGEREF _Toc127337996 \h </w:instrText>
      </w:r>
      <w:r>
        <w:rPr>
          <w:noProof/>
        </w:rPr>
      </w:r>
      <w:r>
        <w:rPr>
          <w:noProof/>
        </w:rPr>
        <w:fldChar w:fldCharType="separate"/>
      </w:r>
      <w:r>
        <w:rPr>
          <w:noProof/>
        </w:rPr>
        <w:t>38</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General purpose leases</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Marking out and application</w:t>
      </w:r>
      <w:r>
        <w:rPr>
          <w:noProof/>
        </w:rPr>
        <w:tab/>
      </w:r>
      <w:r>
        <w:rPr>
          <w:noProof/>
        </w:rPr>
        <w:fldChar w:fldCharType="begin"/>
      </w:r>
      <w:r>
        <w:rPr>
          <w:noProof/>
        </w:rPr>
        <w:instrText xml:space="preserve"> PAGEREF _Toc127337998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Instrument of lease</w:t>
      </w:r>
      <w:r>
        <w:rPr>
          <w:noProof/>
        </w:rPr>
        <w:tab/>
      </w:r>
      <w:r>
        <w:rPr>
          <w:noProof/>
        </w:rPr>
        <w:fldChar w:fldCharType="begin"/>
      </w:r>
      <w:r>
        <w:rPr>
          <w:noProof/>
        </w:rPr>
        <w:instrText xml:space="preserve"> PAGEREF _Toc127337999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Covenants and conditions</w:t>
      </w:r>
      <w:r>
        <w:rPr>
          <w:noProof/>
        </w:rPr>
        <w:tab/>
      </w:r>
      <w:r>
        <w:rPr>
          <w:noProof/>
        </w:rPr>
        <w:fldChar w:fldCharType="begin"/>
      </w:r>
      <w:r>
        <w:rPr>
          <w:noProof/>
        </w:rPr>
        <w:instrText xml:space="preserve"> PAGEREF _Toc127338000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36A</w:t>
      </w:r>
      <w:r>
        <w:rPr>
          <w:noProof/>
          <w:snapToGrid w:val="0"/>
          <w:szCs w:val="24"/>
        </w:rPr>
        <w:t>.</w:t>
      </w:r>
      <w:r>
        <w:rPr>
          <w:noProof/>
          <w:sz w:val="24"/>
          <w:szCs w:val="24"/>
        </w:rPr>
        <w:tab/>
      </w:r>
      <w:r>
        <w:rPr>
          <w:noProof/>
          <w:snapToGrid w:val="0"/>
          <w:szCs w:val="24"/>
        </w:rPr>
        <w:t>Application for renewal</w:t>
      </w:r>
      <w:r>
        <w:rPr>
          <w:noProof/>
        </w:rPr>
        <w:tab/>
      </w:r>
      <w:r>
        <w:rPr>
          <w:noProof/>
        </w:rPr>
        <w:fldChar w:fldCharType="begin"/>
      </w:r>
      <w:r>
        <w:rPr>
          <w:noProof/>
        </w:rPr>
        <w:instrText xml:space="preserve"> PAGEREF _Toc127338001 \h </w:instrText>
      </w:r>
      <w:r>
        <w:rPr>
          <w:noProof/>
        </w:rPr>
      </w:r>
      <w:r>
        <w:rPr>
          <w:noProof/>
        </w:rPr>
        <w:fldChar w:fldCharType="separate"/>
      </w:r>
      <w:r>
        <w:rPr>
          <w:noProof/>
        </w:rPr>
        <w:t>40</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Miscellaneous licences</w:t>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Marking out and application</w:t>
      </w:r>
      <w:r>
        <w:rPr>
          <w:noProof/>
        </w:rPr>
        <w:tab/>
      </w:r>
      <w:r>
        <w:rPr>
          <w:noProof/>
        </w:rPr>
        <w:fldChar w:fldCharType="begin"/>
      </w:r>
      <w:r>
        <w:rPr>
          <w:noProof/>
        </w:rPr>
        <w:instrText xml:space="preserve"> PAGEREF _Toc127338003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Shape of licence</w:t>
      </w:r>
      <w:r>
        <w:rPr>
          <w:noProof/>
        </w:rPr>
        <w:tab/>
      </w:r>
      <w:r>
        <w:rPr>
          <w:noProof/>
        </w:rPr>
        <w:fldChar w:fldCharType="begin"/>
      </w:r>
      <w:r>
        <w:rPr>
          <w:noProof/>
        </w:rPr>
        <w:instrText xml:space="preserve"> PAGEREF _Toc127338004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Covenants and conditions</w:t>
      </w:r>
      <w:r>
        <w:rPr>
          <w:noProof/>
        </w:rPr>
        <w:tab/>
      </w:r>
      <w:r>
        <w:rPr>
          <w:noProof/>
        </w:rPr>
        <w:fldChar w:fldCharType="begin"/>
      </w:r>
      <w:r>
        <w:rPr>
          <w:noProof/>
        </w:rPr>
        <w:instrText xml:space="preserve"> PAGEREF _Toc127338005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Instrument of licence</w:t>
      </w:r>
      <w:r>
        <w:rPr>
          <w:noProof/>
        </w:rPr>
        <w:tab/>
      </w:r>
      <w:r>
        <w:rPr>
          <w:noProof/>
        </w:rPr>
        <w:fldChar w:fldCharType="begin"/>
      </w:r>
      <w:r>
        <w:rPr>
          <w:noProof/>
        </w:rPr>
        <w:instrText xml:space="preserve"> PAGEREF _Toc127338006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42A</w:t>
      </w:r>
      <w:r>
        <w:rPr>
          <w:noProof/>
          <w:snapToGrid w:val="0"/>
          <w:szCs w:val="24"/>
        </w:rPr>
        <w:t>.</w:t>
      </w:r>
      <w:r>
        <w:rPr>
          <w:noProof/>
          <w:sz w:val="24"/>
          <w:szCs w:val="24"/>
        </w:rPr>
        <w:tab/>
      </w:r>
      <w:r>
        <w:rPr>
          <w:noProof/>
          <w:snapToGrid w:val="0"/>
          <w:szCs w:val="24"/>
        </w:rPr>
        <w:t>Application for renewal</w:t>
      </w:r>
      <w:r>
        <w:rPr>
          <w:noProof/>
        </w:rPr>
        <w:tab/>
      </w:r>
      <w:r>
        <w:rPr>
          <w:noProof/>
        </w:rPr>
        <w:fldChar w:fldCharType="begin"/>
      </w:r>
      <w:r>
        <w:rPr>
          <w:noProof/>
        </w:rPr>
        <w:instrText xml:space="preserve"> PAGEREF _Toc127338007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42B</w:t>
      </w:r>
      <w:r>
        <w:rPr>
          <w:noProof/>
          <w:snapToGrid w:val="0"/>
          <w:szCs w:val="24"/>
        </w:rPr>
        <w:t>.</w:t>
      </w:r>
      <w:r>
        <w:rPr>
          <w:noProof/>
          <w:sz w:val="24"/>
          <w:szCs w:val="24"/>
        </w:rPr>
        <w:tab/>
      </w:r>
      <w:r>
        <w:rPr>
          <w:noProof/>
          <w:snapToGrid w:val="0"/>
          <w:szCs w:val="24"/>
        </w:rPr>
        <w:t>Prescribed purposes for grant of miscellaneous licence</w:t>
      </w:r>
      <w:r>
        <w:rPr>
          <w:noProof/>
        </w:rPr>
        <w:tab/>
      </w:r>
      <w:r>
        <w:rPr>
          <w:noProof/>
        </w:rPr>
        <w:fldChar w:fldCharType="begin"/>
      </w:r>
      <w:r>
        <w:rPr>
          <w:noProof/>
        </w:rPr>
        <w:instrText xml:space="preserve"> PAGEREF _Toc127338008 \h </w:instrText>
      </w:r>
      <w:r>
        <w:rPr>
          <w:noProof/>
        </w:rPr>
      </w:r>
      <w:r>
        <w:rPr>
          <w:noProof/>
        </w:rPr>
        <w:fldChar w:fldCharType="separate"/>
      </w:r>
      <w:r>
        <w:rPr>
          <w:noProof/>
        </w:rPr>
        <w:t>43</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Surrenders and forfeitures</w:t>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Surrender of tenement</w:t>
      </w:r>
      <w:r>
        <w:rPr>
          <w:noProof/>
        </w:rPr>
        <w:tab/>
      </w:r>
      <w:r>
        <w:rPr>
          <w:noProof/>
        </w:rPr>
        <w:fldChar w:fldCharType="begin"/>
      </w:r>
      <w:r>
        <w:rPr>
          <w:noProof/>
        </w:rPr>
        <w:instrText xml:space="preserve"> PAGEREF _Toc127338010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Shape of tenement after partial surrender</w:t>
      </w:r>
      <w:r>
        <w:rPr>
          <w:noProof/>
        </w:rPr>
        <w:tab/>
      </w:r>
      <w:r>
        <w:rPr>
          <w:noProof/>
        </w:rPr>
        <w:fldChar w:fldCharType="begin"/>
      </w:r>
      <w:r>
        <w:rPr>
          <w:noProof/>
        </w:rPr>
        <w:instrText xml:space="preserve"> PAGEREF _Toc127338011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Marking out etc., required for partial surrender</w:t>
      </w:r>
      <w:r>
        <w:rPr>
          <w:noProof/>
        </w:rPr>
        <w:tab/>
      </w:r>
      <w:r>
        <w:rPr>
          <w:noProof/>
        </w:rPr>
        <w:fldChar w:fldCharType="begin"/>
      </w:r>
      <w:r>
        <w:rPr>
          <w:noProof/>
        </w:rPr>
        <w:instrText xml:space="preserve"> PAGEREF _Toc127338012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Partial surrender to be endorsed on instrument of lease/licence</w:t>
      </w:r>
      <w:r>
        <w:rPr>
          <w:noProof/>
        </w:rPr>
        <w:tab/>
      </w:r>
      <w:r>
        <w:rPr>
          <w:noProof/>
        </w:rPr>
        <w:fldChar w:fldCharType="begin"/>
      </w:r>
      <w:r>
        <w:rPr>
          <w:noProof/>
        </w:rPr>
        <w:instrText xml:space="preserve"> PAGEREF _Toc127338013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Consent of mortgagee to surrender</w:t>
      </w:r>
      <w:r>
        <w:rPr>
          <w:noProof/>
        </w:rPr>
        <w:tab/>
      </w:r>
      <w:r>
        <w:rPr>
          <w:noProof/>
        </w:rPr>
        <w:fldChar w:fldCharType="begin"/>
      </w:r>
      <w:r>
        <w:rPr>
          <w:noProof/>
        </w:rPr>
        <w:instrText xml:space="preserve"> PAGEREF _Toc127338014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47A</w:t>
      </w:r>
      <w:r>
        <w:rPr>
          <w:noProof/>
          <w:snapToGrid w:val="0"/>
          <w:szCs w:val="24"/>
        </w:rPr>
        <w:t>.</w:t>
      </w:r>
      <w:r>
        <w:rPr>
          <w:noProof/>
          <w:sz w:val="24"/>
          <w:szCs w:val="24"/>
        </w:rPr>
        <w:tab/>
      </w:r>
      <w:r>
        <w:rPr>
          <w:noProof/>
          <w:snapToGrid w:val="0"/>
          <w:szCs w:val="24"/>
        </w:rPr>
        <w:t>Refund where conditional surrender of mining lease or general purpose lease</w:t>
      </w:r>
      <w:r>
        <w:rPr>
          <w:noProof/>
        </w:rPr>
        <w:tab/>
      </w:r>
      <w:r>
        <w:rPr>
          <w:noProof/>
        </w:rPr>
        <w:fldChar w:fldCharType="begin"/>
      </w:r>
      <w:r>
        <w:rPr>
          <w:noProof/>
        </w:rPr>
        <w:instrText xml:space="preserve"> PAGEREF _Toc127338015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Plaint for forfeiture</w:t>
      </w:r>
      <w:r>
        <w:rPr>
          <w:noProof/>
        </w:rPr>
        <w:tab/>
      </w:r>
      <w:r>
        <w:rPr>
          <w:noProof/>
        </w:rPr>
        <w:fldChar w:fldCharType="begin"/>
      </w:r>
      <w:r>
        <w:rPr>
          <w:noProof/>
        </w:rPr>
        <w:instrText xml:space="preserve"> PAGEREF _Toc127338016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Forfeiture for non</w:t>
      </w:r>
      <w:r>
        <w:rPr>
          <w:noProof/>
          <w:snapToGrid w:val="0"/>
          <w:szCs w:val="24"/>
        </w:rPr>
        <w:noBreakHyphen/>
        <w:t>payment of rent, etc.</w:t>
      </w:r>
      <w:r>
        <w:rPr>
          <w:noProof/>
        </w:rPr>
        <w:tab/>
      </w:r>
      <w:r>
        <w:rPr>
          <w:noProof/>
        </w:rPr>
        <w:fldChar w:fldCharType="begin"/>
      </w:r>
      <w:r>
        <w:rPr>
          <w:noProof/>
        </w:rPr>
        <w:instrText xml:space="preserve"> PAGEREF _Toc127338017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Notice to holder of mining tenement of intended forfeiture</w:t>
      </w:r>
      <w:r>
        <w:rPr>
          <w:noProof/>
        </w:rPr>
        <w:tab/>
      </w:r>
      <w:r>
        <w:rPr>
          <w:noProof/>
        </w:rPr>
        <w:fldChar w:fldCharType="begin"/>
      </w:r>
      <w:r>
        <w:rPr>
          <w:noProof/>
        </w:rPr>
        <w:instrText xml:space="preserve"> PAGEREF _Toc127338018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Application for restoration of tenement</w:t>
      </w:r>
      <w:r>
        <w:rPr>
          <w:noProof/>
        </w:rPr>
        <w:tab/>
      </w:r>
      <w:r>
        <w:rPr>
          <w:noProof/>
        </w:rPr>
        <w:fldChar w:fldCharType="begin"/>
      </w:r>
      <w:r>
        <w:rPr>
          <w:noProof/>
        </w:rPr>
        <w:instrText xml:space="preserve"> PAGEREF _Toc127338019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51A</w:t>
      </w:r>
      <w:r>
        <w:rPr>
          <w:noProof/>
          <w:snapToGrid w:val="0"/>
          <w:szCs w:val="24"/>
        </w:rPr>
        <w:t>.</w:t>
      </w:r>
      <w:r>
        <w:rPr>
          <w:noProof/>
          <w:sz w:val="24"/>
          <w:szCs w:val="24"/>
        </w:rPr>
        <w:tab/>
      </w:r>
      <w:r>
        <w:rPr>
          <w:noProof/>
          <w:snapToGrid w:val="0"/>
          <w:szCs w:val="24"/>
        </w:rPr>
        <w:t>Notice of application for restoration</w:t>
      </w:r>
      <w:r>
        <w:rPr>
          <w:noProof/>
        </w:rPr>
        <w:tab/>
      </w:r>
      <w:r>
        <w:rPr>
          <w:noProof/>
        </w:rPr>
        <w:fldChar w:fldCharType="begin"/>
      </w:r>
      <w:r>
        <w:rPr>
          <w:noProof/>
        </w:rPr>
        <w:instrText xml:space="preserve"> PAGEREF _Toc127338020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51B</w:t>
      </w:r>
      <w:r>
        <w:rPr>
          <w:noProof/>
          <w:snapToGrid w:val="0"/>
          <w:szCs w:val="24"/>
        </w:rPr>
        <w:t>.</w:t>
      </w:r>
      <w:r>
        <w:rPr>
          <w:noProof/>
          <w:sz w:val="24"/>
          <w:szCs w:val="24"/>
        </w:rPr>
        <w:tab/>
      </w:r>
      <w:r>
        <w:rPr>
          <w:noProof/>
          <w:snapToGrid w:val="0"/>
          <w:szCs w:val="24"/>
        </w:rPr>
        <w:t>Objection to application</w:t>
      </w:r>
      <w:r>
        <w:rPr>
          <w:noProof/>
        </w:rPr>
        <w:tab/>
      </w:r>
      <w:r>
        <w:rPr>
          <w:noProof/>
        </w:rPr>
        <w:fldChar w:fldCharType="begin"/>
      </w:r>
      <w:r>
        <w:rPr>
          <w:noProof/>
        </w:rPr>
        <w:instrText xml:space="preserve"> PAGEREF _Toc127338021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Reduced expenditure where forfeiture plaint lodged</w:t>
      </w:r>
      <w:r>
        <w:rPr>
          <w:noProof/>
        </w:rPr>
        <w:tab/>
      </w:r>
      <w:r>
        <w:rPr>
          <w:noProof/>
        </w:rPr>
        <w:fldChar w:fldCharType="begin"/>
      </w:r>
      <w:r>
        <w:rPr>
          <w:noProof/>
        </w:rPr>
        <w:instrText xml:space="preserve"> PAGEREF _Toc127338022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Notice to mortgagee</w:t>
      </w:r>
      <w:r>
        <w:rPr>
          <w:noProof/>
        </w:rPr>
        <w:tab/>
      </w:r>
      <w:r>
        <w:rPr>
          <w:noProof/>
        </w:rPr>
        <w:fldChar w:fldCharType="begin"/>
      </w:r>
      <w:r>
        <w:rPr>
          <w:noProof/>
        </w:rPr>
        <w:instrText xml:space="preserve"> PAGEREF _Toc127338023 \h </w:instrText>
      </w:r>
      <w:r>
        <w:rPr>
          <w:noProof/>
        </w:rPr>
      </w:r>
      <w:r>
        <w:rPr>
          <w:noProof/>
        </w:rPr>
        <w:fldChar w:fldCharType="separate"/>
      </w:r>
      <w:r>
        <w:rPr>
          <w:noProof/>
        </w:rPr>
        <w:t>50</w:t>
      </w:r>
      <w:r>
        <w:rPr>
          <w:noProof/>
        </w:rPr>
        <w:fldChar w:fldCharType="end"/>
      </w:r>
    </w:p>
    <w:p>
      <w:pPr>
        <w:pStyle w:val="TOC3"/>
        <w:rPr>
          <w:b w:val="0"/>
          <w:noProof/>
          <w:sz w:val="24"/>
          <w:szCs w:val="24"/>
        </w:rPr>
      </w:pPr>
      <w:r>
        <w:rPr>
          <w:noProof/>
          <w:szCs w:val="26"/>
        </w:rPr>
        <w:t>Division 7</w:t>
      </w:r>
      <w:r>
        <w:rPr>
          <w:noProof/>
          <w:snapToGrid w:val="0"/>
          <w:szCs w:val="26"/>
        </w:rPr>
        <w:t> — </w:t>
      </w:r>
      <w:r>
        <w:rPr>
          <w:noProof/>
          <w:szCs w:val="26"/>
        </w:rPr>
        <w:t>Exemptions</w:t>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Application for certificate of exemption</w:t>
      </w:r>
      <w:r>
        <w:rPr>
          <w:noProof/>
        </w:rPr>
        <w:tab/>
      </w:r>
      <w:r>
        <w:rPr>
          <w:noProof/>
        </w:rPr>
        <w:fldChar w:fldCharType="begin"/>
      </w:r>
      <w:r>
        <w:rPr>
          <w:noProof/>
        </w:rPr>
        <w:instrText xml:space="preserve"> PAGEREF _Toc127338025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Objection to application for exemption</w:t>
      </w:r>
      <w:r>
        <w:rPr>
          <w:noProof/>
        </w:rPr>
        <w:tab/>
      </w:r>
      <w:r>
        <w:rPr>
          <w:noProof/>
        </w:rPr>
        <w:fldChar w:fldCharType="begin"/>
      </w:r>
      <w:r>
        <w:rPr>
          <w:noProof/>
        </w:rPr>
        <w:instrText xml:space="preserve"> PAGEREF _Toc127338026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Evidence in support of application and objection</w:t>
      </w:r>
      <w:r>
        <w:rPr>
          <w:noProof/>
        </w:rPr>
        <w:tab/>
      </w:r>
      <w:r>
        <w:rPr>
          <w:noProof/>
        </w:rPr>
        <w:fldChar w:fldCharType="begin"/>
      </w:r>
      <w:r>
        <w:rPr>
          <w:noProof/>
        </w:rPr>
        <w:instrText xml:space="preserve"> PAGEREF _Toc127338027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Certificate of exemption</w:t>
      </w:r>
      <w:r>
        <w:rPr>
          <w:noProof/>
        </w:rPr>
        <w:tab/>
      </w:r>
      <w:r>
        <w:rPr>
          <w:noProof/>
        </w:rPr>
        <w:fldChar w:fldCharType="begin"/>
      </w:r>
      <w:r>
        <w:rPr>
          <w:noProof/>
        </w:rPr>
        <w:instrText xml:space="preserve"> PAGEREF _Toc127338028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58A.</w:t>
      </w:r>
      <w:r>
        <w:rPr>
          <w:noProof/>
          <w:sz w:val="24"/>
          <w:szCs w:val="24"/>
        </w:rPr>
        <w:tab/>
      </w:r>
      <w:r>
        <w:rPr>
          <w:noProof/>
          <w:szCs w:val="24"/>
        </w:rPr>
        <w:t>Aggregate exploration expenditure</w:t>
      </w:r>
      <w:r>
        <w:rPr>
          <w:noProof/>
        </w:rPr>
        <w:tab/>
      </w:r>
      <w:r>
        <w:rPr>
          <w:noProof/>
        </w:rPr>
        <w:fldChar w:fldCharType="begin"/>
      </w:r>
      <w:r>
        <w:rPr>
          <w:noProof/>
        </w:rPr>
        <w:instrText xml:space="preserve"> PAGEREF _Toc127338029 \h </w:instrText>
      </w:r>
      <w:r>
        <w:rPr>
          <w:noProof/>
        </w:rPr>
      </w:r>
      <w:r>
        <w:rPr>
          <w:noProof/>
        </w:rPr>
        <w:fldChar w:fldCharType="separate"/>
      </w:r>
      <w:r>
        <w:rPr>
          <w:noProof/>
        </w:rPr>
        <w:t>52</w:t>
      </w:r>
      <w:r>
        <w:rPr>
          <w:noProof/>
        </w:rPr>
        <w:fldChar w:fldCharType="end"/>
      </w:r>
    </w:p>
    <w:p>
      <w:pPr>
        <w:pStyle w:val="TOC2"/>
        <w:tabs>
          <w:tab w:val="right" w:leader="dot" w:pos="7088"/>
        </w:tabs>
        <w:rPr>
          <w:b w:val="0"/>
          <w:noProof/>
          <w:sz w:val="24"/>
          <w:szCs w:val="24"/>
        </w:rPr>
      </w:pPr>
      <w:r>
        <w:rPr>
          <w:noProof/>
          <w:szCs w:val="30"/>
        </w:rPr>
        <w:t>Part V — General regulations</w:t>
      </w:r>
    </w:p>
    <w:p>
      <w:pPr>
        <w:pStyle w:val="TOC3"/>
        <w:rPr>
          <w:b w:val="0"/>
          <w:noProof/>
          <w:sz w:val="24"/>
          <w:szCs w:val="24"/>
        </w:rPr>
      </w:pPr>
      <w:r>
        <w:rPr>
          <w:noProof/>
          <w:szCs w:val="26"/>
        </w:rPr>
        <w:t>Division 1</w:t>
      </w:r>
      <w:r>
        <w:rPr>
          <w:noProof/>
          <w:snapToGrid w:val="0"/>
          <w:szCs w:val="26"/>
        </w:rPr>
        <w:t> — </w:t>
      </w:r>
      <w:r>
        <w:rPr>
          <w:noProof/>
          <w:szCs w:val="26"/>
        </w:rPr>
        <w:t>Marking out mining tenements</w:t>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Manner of marking out a tenement</w:t>
      </w:r>
      <w:r>
        <w:rPr>
          <w:noProof/>
        </w:rPr>
        <w:tab/>
      </w:r>
      <w:r>
        <w:rPr>
          <w:noProof/>
        </w:rPr>
        <w:fldChar w:fldCharType="begin"/>
      </w:r>
      <w:r>
        <w:rPr>
          <w:noProof/>
        </w:rPr>
        <w:instrText xml:space="preserve"> PAGEREF _Toc127338032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Stones used to support posts</w:t>
      </w:r>
      <w:r>
        <w:rPr>
          <w:noProof/>
        </w:rPr>
        <w:tab/>
      </w:r>
      <w:r>
        <w:rPr>
          <w:noProof/>
        </w:rPr>
        <w:fldChar w:fldCharType="begin"/>
      </w:r>
      <w:r>
        <w:rPr>
          <w:noProof/>
        </w:rPr>
        <w:instrText xml:space="preserve"> PAGEREF _Toc127338033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Marking out surveyed land</w:t>
      </w:r>
      <w:r>
        <w:rPr>
          <w:noProof/>
        </w:rPr>
        <w:tab/>
      </w:r>
      <w:r>
        <w:rPr>
          <w:noProof/>
        </w:rPr>
        <w:fldChar w:fldCharType="begin"/>
      </w:r>
      <w:r>
        <w:rPr>
          <w:noProof/>
        </w:rPr>
        <w:instrText xml:space="preserve"> PAGEREF _Toc127338034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Surplus land may be applied for by others</w:t>
      </w:r>
      <w:r>
        <w:rPr>
          <w:noProof/>
        </w:rPr>
        <w:tab/>
      </w:r>
      <w:r>
        <w:rPr>
          <w:noProof/>
        </w:rPr>
        <w:fldChar w:fldCharType="begin"/>
      </w:r>
      <w:r>
        <w:rPr>
          <w:noProof/>
        </w:rPr>
        <w:instrText xml:space="preserve"> PAGEREF _Toc127338035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Land marked out but not applied for</w:t>
      </w:r>
      <w:r>
        <w:rPr>
          <w:noProof/>
        </w:rPr>
        <w:tab/>
      </w:r>
      <w:r>
        <w:rPr>
          <w:noProof/>
        </w:rPr>
        <w:fldChar w:fldCharType="begin"/>
      </w:r>
      <w:r>
        <w:rPr>
          <w:noProof/>
        </w:rPr>
        <w:instrText xml:space="preserve"> PAGEREF _Toc127338036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63A.</w:t>
      </w:r>
      <w:r>
        <w:rPr>
          <w:noProof/>
          <w:sz w:val="24"/>
          <w:szCs w:val="24"/>
        </w:rPr>
        <w:tab/>
      </w:r>
      <w:r>
        <w:rPr>
          <w:noProof/>
          <w:szCs w:val="24"/>
        </w:rPr>
        <w:t>Requirement for marking out following grant of reversion licence</w:t>
      </w:r>
      <w:r>
        <w:rPr>
          <w:noProof/>
        </w:rPr>
        <w:tab/>
      </w:r>
      <w:r>
        <w:rPr>
          <w:noProof/>
        </w:rPr>
        <w:fldChar w:fldCharType="begin"/>
      </w:r>
      <w:r>
        <w:rPr>
          <w:noProof/>
        </w:rPr>
        <w:instrText xml:space="preserve"> PAGEREF _Toc127338037 \h </w:instrText>
      </w:r>
      <w:r>
        <w:rPr>
          <w:noProof/>
        </w:rPr>
      </w:r>
      <w:r>
        <w:rPr>
          <w:noProof/>
        </w:rPr>
        <w:fldChar w:fldCharType="separate"/>
      </w:r>
      <w:r>
        <w:rPr>
          <w:noProof/>
        </w:rPr>
        <w:t>55</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Applications and objections</w:t>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Application for mining tenement</w:t>
      </w:r>
      <w:r>
        <w:rPr>
          <w:noProof/>
        </w:rPr>
        <w:tab/>
      </w:r>
      <w:r>
        <w:rPr>
          <w:noProof/>
        </w:rPr>
        <w:fldChar w:fldCharType="begin"/>
      </w:r>
      <w:r>
        <w:rPr>
          <w:noProof/>
        </w:rPr>
        <w:instrText xml:space="preserve"> PAGEREF _Toc127338039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64A</w:t>
      </w:r>
      <w:r>
        <w:rPr>
          <w:noProof/>
          <w:snapToGrid w:val="0"/>
          <w:szCs w:val="24"/>
        </w:rPr>
        <w:t>.</w:t>
      </w:r>
      <w:r>
        <w:rPr>
          <w:noProof/>
          <w:sz w:val="24"/>
          <w:szCs w:val="24"/>
        </w:rPr>
        <w:tab/>
      </w:r>
      <w:r>
        <w:rPr>
          <w:noProof/>
          <w:snapToGrid w:val="0"/>
          <w:szCs w:val="24"/>
        </w:rPr>
        <w:t>Notice of application for prospecting licence, exploration licence, retention licence or mining lease</w:t>
      </w:r>
      <w:r>
        <w:rPr>
          <w:noProof/>
        </w:rPr>
        <w:tab/>
      </w:r>
      <w:r>
        <w:rPr>
          <w:noProof/>
        </w:rPr>
        <w:fldChar w:fldCharType="begin"/>
      </w:r>
      <w:r>
        <w:rPr>
          <w:noProof/>
        </w:rPr>
        <w:instrText xml:space="preserve"> PAGEREF _Toc127338040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64B</w:t>
      </w:r>
      <w:r>
        <w:rPr>
          <w:noProof/>
          <w:snapToGrid w:val="0"/>
          <w:szCs w:val="24"/>
        </w:rPr>
        <w:t>.</w:t>
      </w:r>
      <w:r>
        <w:rPr>
          <w:noProof/>
          <w:sz w:val="24"/>
          <w:szCs w:val="24"/>
        </w:rPr>
        <w:tab/>
      </w:r>
      <w:r>
        <w:rPr>
          <w:noProof/>
          <w:snapToGrid w:val="0"/>
          <w:szCs w:val="24"/>
        </w:rPr>
        <w:t>Notice of application for mining tenement — pastoral lessee or other leaseholder</w:t>
      </w:r>
      <w:r>
        <w:rPr>
          <w:noProof/>
        </w:rPr>
        <w:tab/>
      </w:r>
      <w:r>
        <w:rPr>
          <w:noProof/>
        </w:rPr>
        <w:fldChar w:fldCharType="begin"/>
      </w:r>
      <w:r>
        <w:rPr>
          <w:noProof/>
        </w:rPr>
        <w:instrText xml:space="preserve"> PAGEREF _Toc127338041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64C.</w:t>
      </w:r>
      <w:r>
        <w:rPr>
          <w:noProof/>
          <w:sz w:val="24"/>
          <w:szCs w:val="24"/>
        </w:rPr>
        <w:tab/>
      </w:r>
      <w:r>
        <w:rPr>
          <w:noProof/>
          <w:szCs w:val="24"/>
        </w:rPr>
        <w:t>Copy of application for miscellaneous licence</w:t>
      </w:r>
      <w:r>
        <w:rPr>
          <w:noProof/>
        </w:rPr>
        <w:tab/>
      </w:r>
      <w:r>
        <w:rPr>
          <w:noProof/>
        </w:rPr>
        <w:fldChar w:fldCharType="begin"/>
      </w:r>
      <w:r>
        <w:rPr>
          <w:noProof/>
        </w:rPr>
        <w:instrText xml:space="preserve"> PAGEREF _Toc127338042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Number of shares to be stated on application</w:t>
      </w:r>
      <w:r>
        <w:rPr>
          <w:noProof/>
        </w:rPr>
        <w:tab/>
      </w:r>
      <w:r>
        <w:rPr>
          <w:noProof/>
        </w:rPr>
        <w:fldChar w:fldCharType="begin"/>
      </w:r>
      <w:r>
        <w:rPr>
          <w:noProof/>
        </w:rPr>
        <w:instrText xml:space="preserve"> PAGEREF _Toc127338043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Description of boundaries</w:t>
      </w:r>
      <w:r>
        <w:rPr>
          <w:noProof/>
        </w:rPr>
        <w:tab/>
      </w:r>
      <w:r>
        <w:rPr>
          <w:noProof/>
        </w:rPr>
        <w:fldChar w:fldCharType="begin"/>
      </w:r>
      <w:r>
        <w:rPr>
          <w:noProof/>
        </w:rPr>
        <w:instrText xml:space="preserve"> PAGEREF _Toc127338044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Objection against application</w:t>
      </w:r>
      <w:r>
        <w:rPr>
          <w:noProof/>
        </w:rPr>
        <w:tab/>
      </w:r>
      <w:r>
        <w:rPr>
          <w:noProof/>
        </w:rPr>
        <w:fldChar w:fldCharType="begin"/>
      </w:r>
      <w:r>
        <w:rPr>
          <w:noProof/>
        </w:rPr>
        <w:instrText xml:space="preserve"> PAGEREF _Toc127338045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Warden may obtain report</w:t>
      </w:r>
      <w:r>
        <w:rPr>
          <w:noProof/>
        </w:rPr>
        <w:tab/>
      </w:r>
      <w:r>
        <w:rPr>
          <w:noProof/>
        </w:rPr>
        <w:fldChar w:fldCharType="begin"/>
      </w:r>
      <w:r>
        <w:rPr>
          <w:noProof/>
        </w:rPr>
        <w:instrText xml:space="preserve"> PAGEREF _Toc127338046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Withdrawal of applications</w:t>
      </w:r>
      <w:r>
        <w:rPr>
          <w:noProof/>
        </w:rPr>
        <w:tab/>
      </w:r>
      <w:r>
        <w:rPr>
          <w:noProof/>
        </w:rPr>
        <w:fldChar w:fldCharType="begin"/>
      </w:r>
      <w:r>
        <w:rPr>
          <w:noProof/>
        </w:rPr>
        <w:instrText xml:space="preserve"> PAGEREF _Toc127338047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69A.</w:t>
      </w:r>
      <w:r>
        <w:rPr>
          <w:noProof/>
          <w:sz w:val="24"/>
          <w:szCs w:val="24"/>
        </w:rPr>
        <w:tab/>
      </w:r>
      <w:r>
        <w:rPr>
          <w:noProof/>
          <w:szCs w:val="24"/>
        </w:rPr>
        <w:t>GST to be paid at time of grant of application</w:t>
      </w:r>
      <w:r>
        <w:rPr>
          <w:noProof/>
        </w:rPr>
        <w:tab/>
      </w:r>
      <w:r>
        <w:rPr>
          <w:noProof/>
        </w:rPr>
        <w:fldChar w:fldCharType="begin"/>
      </w:r>
      <w:r>
        <w:rPr>
          <w:noProof/>
        </w:rPr>
        <w:instrText xml:space="preserve"> PAGEREF _Toc127338048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Refund of rent on withdrawal or refusal of application</w:t>
      </w:r>
      <w:r>
        <w:rPr>
          <w:noProof/>
        </w:rPr>
        <w:tab/>
      </w:r>
      <w:r>
        <w:rPr>
          <w:noProof/>
        </w:rPr>
        <w:fldChar w:fldCharType="begin"/>
      </w:r>
      <w:r>
        <w:rPr>
          <w:noProof/>
        </w:rPr>
        <w:instrText xml:space="preserve"> PAGEREF _Toc127338049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70A</w:t>
      </w:r>
      <w:r>
        <w:rPr>
          <w:noProof/>
          <w:snapToGrid w:val="0"/>
          <w:szCs w:val="24"/>
        </w:rPr>
        <w:t>.</w:t>
      </w:r>
      <w:r>
        <w:rPr>
          <w:noProof/>
          <w:sz w:val="24"/>
          <w:szCs w:val="24"/>
        </w:rPr>
        <w:tab/>
      </w:r>
      <w:r>
        <w:rPr>
          <w:noProof/>
          <w:snapToGrid w:val="0"/>
          <w:szCs w:val="24"/>
        </w:rPr>
        <w:t>Amalgamation of secondary tenement</w:t>
      </w:r>
      <w:r>
        <w:rPr>
          <w:noProof/>
        </w:rPr>
        <w:tab/>
      </w:r>
      <w:r>
        <w:rPr>
          <w:noProof/>
        </w:rPr>
        <w:fldChar w:fldCharType="begin"/>
      </w:r>
      <w:r>
        <w:rPr>
          <w:noProof/>
        </w:rPr>
        <w:instrText xml:space="preserve"> PAGEREF _Toc127338050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70B</w:t>
      </w:r>
      <w:r>
        <w:rPr>
          <w:noProof/>
          <w:snapToGrid w:val="0"/>
          <w:szCs w:val="24"/>
        </w:rPr>
        <w:t>.</w:t>
      </w:r>
      <w:r>
        <w:rPr>
          <w:noProof/>
          <w:sz w:val="24"/>
          <w:szCs w:val="24"/>
        </w:rPr>
        <w:tab/>
      </w:r>
      <w:r>
        <w:rPr>
          <w:noProof/>
          <w:snapToGrid w:val="0"/>
          <w:szCs w:val="24"/>
        </w:rPr>
        <w:t>Agreement as to priority</w:t>
      </w:r>
      <w:r>
        <w:rPr>
          <w:noProof/>
        </w:rPr>
        <w:tab/>
      </w:r>
      <w:r>
        <w:rPr>
          <w:noProof/>
        </w:rPr>
        <w:fldChar w:fldCharType="begin"/>
      </w:r>
      <w:r>
        <w:rPr>
          <w:noProof/>
        </w:rPr>
        <w:instrText xml:space="preserve"> PAGEREF _Toc127338051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70C</w:t>
      </w:r>
      <w:r>
        <w:rPr>
          <w:noProof/>
          <w:snapToGrid w:val="0"/>
          <w:szCs w:val="24"/>
        </w:rPr>
        <w:t>.</w:t>
      </w:r>
      <w:r>
        <w:rPr>
          <w:noProof/>
          <w:sz w:val="24"/>
          <w:szCs w:val="24"/>
        </w:rPr>
        <w:tab/>
      </w:r>
      <w:r>
        <w:rPr>
          <w:noProof/>
          <w:snapToGrid w:val="0"/>
          <w:szCs w:val="24"/>
        </w:rPr>
        <w:t>Refund where licence substituted or lease refused</w:t>
      </w:r>
      <w:r>
        <w:rPr>
          <w:noProof/>
        </w:rPr>
        <w:tab/>
      </w:r>
      <w:r>
        <w:rPr>
          <w:noProof/>
        </w:rPr>
        <w:fldChar w:fldCharType="begin"/>
      </w:r>
      <w:r>
        <w:rPr>
          <w:noProof/>
        </w:rPr>
        <w:instrText xml:space="preserve"> PAGEREF _Toc127338052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70D</w:t>
      </w:r>
      <w:r>
        <w:rPr>
          <w:noProof/>
          <w:snapToGrid w:val="0"/>
          <w:szCs w:val="24"/>
        </w:rPr>
        <w:t>.</w:t>
      </w:r>
      <w:r>
        <w:rPr>
          <w:noProof/>
          <w:sz w:val="24"/>
          <w:szCs w:val="24"/>
        </w:rPr>
        <w:tab/>
      </w:r>
      <w:r>
        <w:rPr>
          <w:noProof/>
          <w:snapToGrid w:val="0"/>
          <w:szCs w:val="24"/>
        </w:rPr>
        <w:t>Refund when retention licence granted or refused</w:t>
      </w:r>
      <w:r>
        <w:rPr>
          <w:noProof/>
        </w:rPr>
        <w:tab/>
      </w:r>
      <w:r>
        <w:rPr>
          <w:noProof/>
        </w:rPr>
        <w:fldChar w:fldCharType="begin"/>
      </w:r>
      <w:r>
        <w:rPr>
          <w:noProof/>
        </w:rPr>
        <w:instrText xml:space="preserve"> PAGEREF _Toc127338053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70E.</w:t>
      </w:r>
      <w:r>
        <w:rPr>
          <w:noProof/>
          <w:sz w:val="24"/>
          <w:szCs w:val="24"/>
        </w:rPr>
        <w:tab/>
      </w:r>
      <w:r>
        <w:rPr>
          <w:noProof/>
          <w:szCs w:val="24"/>
        </w:rPr>
        <w:t>Partial refund of application fee in certain circumstances</w:t>
      </w:r>
      <w:r>
        <w:rPr>
          <w:noProof/>
        </w:rPr>
        <w:tab/>
      </w:r>
      <w:r>
        <w:rPr>
          <w:noProof/>
        </w:rPr>
        <w:fldChar w:fldCharType="begin"/>
      </w:r>
      <w:r>
        <w:rPr>
          <w:noProof/>
        </w:rPr>
        <w:instrText xml:space="preserve"> PAGEREF _Toc127338054 \h </w:instrText>
      </w:r>
      <w:r>
        <w:rPr>
          <w:noProof/>
        </w:rPr>
      </w:r>
      <w:r>
        <w:rPr>
          <w:noProof/>
        </w:rPr>
        <w:fldChar w:fldCharType="separate"/>
      </w:r>
      <w:r>
        <w:rPr>
          <w:noProof/>
        </w:rPr>
        <w:t>63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Boundary marks</w:t>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Boundary marks to be maintained</w:t>
      </w:r>
      <w:r>
        <w:rPr>
          <w:noProof/>
        </w:rPr>
        <w:tab/>
      </w:r>
      <w:r>
        <w:rPr>
          <w:noProof/>
        </w:rPr>
        <w:fldChar w:fldCharType="begin"/>
      </w:r>
      <w:r>
        <w:rPr>
          <w:noProof/>
        </w:rPr>
        <w:instrText xml:space="preserve"> PAGEREF _Toc127338056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No liability for mining if boundary marks not maintained</w:t>
      </w:r>
      <w:r>
        <w:rPr>
          <w:noProof/>
        </w:rPr>
        <w:tab/>
      </w:r>
      <w:r>
        <w:rPr>
          <w:noProof/>
        </w:rPr>
        <w:fldChar w:fldCharType="begin"/>
      </w:r>
      <w:r>
        <w:rPr>
          <w:noProof/>
        </w:rPr>
        <w:instrText xml:space="preserve"> PAGEREF _Toc127338057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Holder to identify boundaries</w:t>
      </w:r>
      <w:r>
        <w:rPr>
          <w:noProof/>
        </w:rPr>
        <w:tab/>
      </w:r>
      <w:r>
        <w:rPr>
          <w:noProof/>
        </w:rPr>
        <w:fldChar w:fldCharType="begin"/>
      </w:r>
      <w:r>
        <w:rPr>
          <w:noProof/>
        </w:rPr>
        <w:instrText xml:space="preserve"> PAGEREF _Toc127338058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False documents/notices not to be posted</w:t>
      </w:r>
      <w:r>
        <w:rPr>
          <w:noProof/>
        </w:rPr>
        <w:tab/>
      </w:r>
      <w:r>
        <w:rPr>
          <w:noProof/>
        </w:rPr>
        <w:fldChar w:fldCharType="begin"/>
      </w:r>
      <w:r>
        <w:rPr>
          <w:noProof/>
        </w:rPr>
        <w:instrText xml:space="preserve"> PAGEREF _Toc127338059 \h </w:instrText>
      </w:r>
      <w:r>
        <w:rPr>
          <w:noProof/>
        </w:rPr>
      </w:r>
      <w:r>
        <w:rPr>
          <w:noProof/>
        </w:rPr>
        <w:fldChar w:fldCharType="separate"/>
      </w:r>
      <w:r>
        <w:rPr>
          <w:noProof/>
        </w:rPr>
        <w:t>64</w:t>
      </w:r>
      <w:r>
        <w:rPr>
          <w:noProof/>
        </w:rPr>
        <w:fldChar w:fldCharType="end"/>
      </w:r>
    </w:p>
    <w:p>
      <w:pPr>
        <w:pStyle w:val="TOC3"/>
        <w:rPr>
          <w:b w:val="0"/>
          <w:noProof/>
          <w:sz w:val="24"/>
          <w:szCs w:val="24"/>
        </w:rPr>
      </w:pPr>
      <w:r>
        <w:rPr>
          <w:noProof/>
          <w:szCs w:val="26"/>
        </w:rPr>
        <w:t>Division 3A</w:t>
      </w:r>
      <w:r>
        <w:rPr>
          <w:noProof/>
          <w:snapToGrid w:val="0"/>
          <w:szCs w:val="26"/>
        </w:rPr>
        <w:t> — </w:t>
      </w:r>
      <w:r>
        <w:rPr>
          <w:noProof/>
          <w:szCs w:val="26"/>
        </w:rPr>
        <w:t>Fossicking</w:t>
      </w:r>
    </w:p>
    <w:p>
      <w:pPr>
        <w:pStyle w:val="TOC4"/>
        <w:tabs>
          <w:tab w:val="left" w:pos="1701"/>
        </w:tabs>
        <w:rPr>
          <w:noProof/>
          <w:sz w:val="24"/>
          <w:szCs w:val="24"/>
        </w:rPr>
      </w:pPr>
      <w:r>
        <w:rPr>
          <w:noProof/>
          <w:szCs w:val="24"/>
        </w:rPr>
        <w:t>74A</w:t>
      </w:r>
      <w:r>
        <w:rPr>
          <w:noProof/>
          <w:snapToGrid w:val="0"/>
          <w:szCs w:val="24"/>
        </w:rPr>
        <w:t>.</w:t>
      </w:r>
      <w:r>
        <w:rPr>
          <w:noProof/>
          <w:sz w:val="24"/>
          <w:szCs w:val="24"/>
        </w:rPr>
        <w:tab/>
      </w:r>
      <w:r>
        <w:rPr>
          <w:noProof/>
          <w:snapToGrid w:val="0"/>
          <w:szCs w:val="24"/>
        </w:rPr>
        <w:t>Means of fossicking</w:t>
      </w:r>
      <w:r>
        <w:rPr>
          <w:noProof/>
        </w:rPr>
        <w:tab/>
      </w:r>
      <w:r>
        <w:rPr>
          <w:noProof/>
        </w:rPr>
        <w:fldChar w:fldCharType="begin"/>
      </w:r>
      <w:r>
        <w:rPr>
          <w:noProof/>
        </w:rPr>
        <w:instrText xml:space="preserve"> PAGEREF _Toc127338061 \h </w:instrText>
      </w:r>
      <w:r>
        <w:rPr>
          <w:noProof/>
        </w:rPr>
      </w:r>
      <w:r>
        <w:rPr>
          <w:noProof/>
        </w:rPr>
        <w:fldChar w:fldCharType="separate"/>
      </w:r>
      <w:r>
        <w:rPr>
          <w:noProof/>
        </w:rPr>
        <w:t>64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Transfers, caveats, mortgages</w:t>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Transfer of tenement</w:t>
      </w:r>
      <w:r>
        <w:rPr>
          <w:noProof/>
        </w:rPr>
        <w:tab/>
      </w:r>
      <w:r>
        <w:rPr>
          <w:noProof/>
        </w:rPr>
        <w:fldChar w:fldCharType="begin"/>
      </w:r>
      <w:r>
        <w:rPr>
          <w:noProof/>
        </w:rPr>
        <w:instrText xml:space="preserve"> PAGEREF _Toc127338063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76.</w:t>
      </w:r>
      <w:r>
        <w:rPr>
          <w:noProof/>
          <w:sz w:val="24"/>
          <w:szCs w:val="24"/>
        </w:rPr>
        <w:tab/>
      </w:r>
      <w:r>
        <w:rPr>
          <w:noProof/>
          <w:szCs w:val="24"/>
        </w:rPr>
        <w:t>Lodgment of caveats</w:t>
      </w:r>
      <w:r>
        <w:rPr>
          <w:noProof/>
        </w:rPr>
        <w:tab/>
      </w:r>
      <w:r>
        <w:rPr>
          <w:noProof/>
        </w:rPr>
        <w:fldChar w:fldCharType="begin"/>
      </w:r>
      <w:r>
        <w:rPr>
          <w:noProof/>
        </w:rPr>
        <w:instrText xml:space="preserve"> PAGEREF _Toc127338064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76A</w:t>
      </w:r>
      <w:r>
        <w:rPr>
          <w:noProof/>
          <w:snapToGrid w:val="0"/>
          <w:szCs w:val="24"/>
        </w:rPr>
        <w:t>.</w:t>
      </w:r>
      <w:r>
        <w:rPr>
          <w:noProof/>
          <w:sz w:val="24"/>
          <w:szCs w:val="24"/>
        </w:rPr>
        <w:tab/>
      </w:r>
      <w:r>
        <w:rPr>
          <w:noProof/>
          <w:snapToGrid w:val="0"/>
          <w:szCs w:val="24"/>
        </w:rPr>
        <w:t>Withdrawal of caveats</w:t>
      </w:r>
      <w:r>
        <w:rPr>
          <w:noProof/>
        </w:rPr>
        <w:tab/>
      </w:r>
      <w:r>
        <w:rPr>
          <w:noProof/>
        </w:rPr>
        <w:fldChar w:fldCharType="begin"/>
      </w:r>
      <w:r>
        <w:rPr>
          <w:noProof/>
        </w:rPr>
        <w:instrText xml:space="preserve"> PAGEREF _Toc127338065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76B</w:t>
      </w:r>
      <w:r>
        <w:rPr>
          <w:noProof/>
          <w:snapToGrid w:val="0"/>
          <w:szCs w:val="24"/>
        </w:rPr>
        <w:t>.</w:t>
      </w:r>
      <w:r>
        <w:rPr>
          <w:noProof/>
          <w:sz w:val="24"/>
          <w:szCs w:val="24"/>
        </w:rPr>
        <w:tab/>
      </w:r>
      <w:r>
        <w:rPr>
          <w:noProof/>
          <w:snapToGrid w:val="0"/>
          <w:szCs w:val="24"/>
        </w:rPr>
        <w:t>Notification of registration of surrender</w:t>
      </w:r>
      <w:r>
        <w:rPr>
          <w:noProof/>
        </w:rPr>
        <w:tab/>
      </w:r>
      <w:r>
        <w:rPr>
          <w:noProof/>
        </w:rPr>
        <w:fldChar w:fldCharType="begin"/>
      </w:r>
      <w:r>
        <w:rPr>
          <w:noProof/>
        </w:rPr>
        <w:instrText xml:space="preserve"> PAGEREF _Toc127338066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Mortgage</w:t>
      </w:r>
      <w:r>
        <w:rPr>
          <w:noProof/>
        </w:rPr>
        <w:tab/>
      </w:r>
      <w:r>
        <w:rPr>
          <w:noProof/>
        </w:rPr>
        <w:fldChar w:fldCharType="begin"/>
      </w:r>
      <w:r>
        <w:rPr>
          <w:noProof/>
        </w:rPr>
        <w:instrText xml:space="preserve"> PAGEREF _Toc127338067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Covenants included in mortgage</w:t>
      </w:r>
      <w:r>
        <w:rPr>
          <w:noProof/>
        </w:rPr>
        <w:tab/>
      </w:r>
      <w:r>
        <w:rPr>
          <w:noProof/>
        </w:rPr>
        <w:fldChar w:fldCharType="begin"/>
      </w:r>
      <w:r>
        <w:rPr>
          <w:noProof/>
        </w:rPr>
        <w:instrText xml:space="preserve"> PAGEREF _Toc127338068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Mortgagee’s expenses may be added to security</w:t>
      </w:r>
      <w:r>
        <w:rPr>
          <w:noProof/>
        </w:rPr>
        <w:tab/>
      </w:r>
      <w:r>
        <w:rPr>
          <w:noProof/>
        </w:rPr>
        <w:fldChar w:fldCharType="begin"/>
      </w:r>
      <w:r>
        <w:rPr>
          <w:noProof/>
        </w:rPr>
        <w:instrText xml:space="preserve"> PAGEREF _Toc127338069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Transfer under powers contained in mortgage</w:t>
      </w:r>
      <w:r>
        <w:rPr>
          <w:noProof/>
        </w:rPr>
        <w:tab/>
      </w:r>
      <w:r>
        <w:rPr>
          <w:noProof/>
        </w:rPr>
        <w:fldChar w:fldCharType="begin"/>
      </w:r>
      <w:r>
        <w:rPr>
          <w:noProof/>
        </w:rPr>
        <w:instrText xml:space="preserve"> PAGEREF _Toc127338070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Redemption of mortgage</w:t>
      </w:r>
      <w:r>
        <w:rPr>
          <w:noProof/>
        </w:rPr>
        <w:tab/>
      </w:r>
      <w:r>
        <w:rPr>
          <w:noProof/>
        </w:rPr>
        <w:fldChar w:fldCharType="begin"/>
      </w:r>
      <w:r>
        <w:rPr>
          <w:noProof/>
        </w:rPr>
        <w:instrText xml:space="preserve"> PAGEREF _Toc127338071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Discharge of mortgage</w:t>
      </w:r>
      <w:r>
        <w:rPr>
          <w:noProof/>
        </w:rPr>
        <w:tab/>
      </w:r>
      <w:r>
        <w:rPr>
          <w:noProof/>
        </w:rPr>
        <w:fldChar w:fldCharType="begin"/>
      </w:r>
      <w:r>
        <w:rPr>
          <w:noProof/>
        </w:rPr>
        <w:instrText xml:space="preserve"> PAGEREF _Toc127338072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Transfer of mortgage</w:t>
      </w:r>
      <w:r>
        <w:rPr>
          <w:noProof/>
        </w:rPr>
        <w:tab/>
      </w:r>
      <w:r>
        <w:rPr>
          <w:noProof/>
        </w:rPr>
        <w:fldChar w:fldCharType="begin"/>
      </w:r>
      <w:r>
        <w:rPr>
          <w:noProof/>
        </w:rPr>
        <w:instrText xml:space="preserve"> PAGEREF _Toc127338073 \h </w:instrText>
      </w:r>
      <w:r>
        <w:rPr>
          <w:noProof/>
        </w:rPr>
      </w:r>
      <w:r>
        <w:rPr>
          <w:noProof/>
        </w:rPr>
        <w:fldChar w:fldCharType="separate"/>
      </w:r>
      <w:r>
        <w:rPr>
          <w:noProof/>
        </w:rPr>
        <w:t>69</w:t>
      </w:r>
      <w:r>
        <w:rPr>
          <w:noProof/>
        </w:rPr>
        <w:fldChar w:fldCharType="end"/>
      </w:r>
    </w:p>
    <w:p>
      <w:pPr>
        <w:pStyle w:val="TOC3"/>
        <w:rPr>
          <w:b w:val="0"/>
          <w:noProof/>
          <w:sz w:val="24"/>
          <w:szCs w:val="24"/>
        </w:rPr>
      </w:pPr>
      <w:r>
        <w:rPr>
          <w:noProof/>
          <w:szCs w:val="26"/>
        </w:rPr>
        <w:t>Division 4A — Lodgment of instruments and the register</w:t>
      </w:r>
    </w:p>
    <w:p>
      <w:pPr>
        <w:pStyle w:val="TOC4"/>
        <w:tabs>
          <w:tab w:val="left" w:pos="1701"/>
        </w:tabs>
        <w:rPr>
          <w:noProof/>
          <w:sz w:val="24"/>
          <w:szCs w:val="24"/>
        </w:rPr>
      </w:pPr>
      <w:r>
        <w:rPr>
          <w:noProof/>
          <w:szCs w:val="24"/>
        </w:rPr>
        <w:t>84A.</w:t>
      </w:r>
      <w:r>
        <w:rPr>
          <w:noProof/>
          <w:sz w:val="24"/>
          <w:szCs w:val="24"/>
        </w:rPr>
        <w:tab/>
      </w:r>
      <w:r>
        <w:rPr>
          <w:noProof/>
          <w:szCs w:val="24"/>
        </w:rPr>
        <w:t>Lodgment of instruments</w:t>
      </w:r>
      <w:r>
        <w:rPr>
          <w:noProof/>
        </w:rPr>
        <w:tab/>
      </w:r>
      <w:r>
        <w:rPr>
          <w:noProof/>
        </w:rPr>
        <w:fldChar w:fldCharType="begin"/>
      </w:r>
      <w:r>
        <w:rPr>
          <w:noProof/>
        </w:rPr>
        <w:instrText xml:space="preserve"> PAGEREF _Toc127338075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84B.</w:t>
      </w:r>
      <w:r>
        <w:rPr>
          <w:noProof/>
          <w:sz w:val="24"/>
          <w:szCs w:val="24"/>
        </w:rPr>
        <w:tab/>
      </w:r>
      <w:r>
        <w:rPr>
          <w:noProof/>
          <w:szCs w:val="24"/>
        </w:rPr>
        <w:t>Provisional lodgment</w:t>
      </w:r>
      <w:r>
        <w:rPr>
          <w:noProof/>
        </w:rPr>
        <w:tab/>
      </w:r>
      <w:r>
        <w:rPr>
          <w:noProof/>
        </w:rPr>
        <w:fldChar w:fldCharType="begin"/>
      </w:r>
      <w:r>
        <w:rPr>
          <w:noProof/>
        </w:rPr>
        <w:instrText xml:space="preserve"> PAGEREF _Toc127338076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84C.</w:t>
      </w:r>
      <w:r>
        <w:rPr>
          <w:noProof/>
          <w:sz w:val="24"/>
          <w:szCs w:val="24"/>
        </w:rPr>
        <w:tab/>
      </w:r>
      <w:r>
        <w:rPr>
          <w:noProof/>
          <w:szCs w:val="24"/>
        </w:rPr>
        <w:t>Content of register</w:t>
      </w:r>
      <w:r>
        <w:rPr>
          <w:noProof/>
        </w:rPr>
        <w:tab/>
      </w:r>
      <w:r>
        <w:rPr>
          <w:noProof/>
        </w:rPr>
        <w:fldChar w:fldCharType="begin"/>
      </w:r>
      <w:r>
        <w:rPr>
          <w:noProof/>
        </w:rPr>
        <w:instrText xml:space="preserve"> PAGEREF _Toc127338077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84D.</w:t>
      </w:r>
      <w:r>
        <w:rPr>
          <w:noProof/>
          <w:sz w:val="24"/>
          <w:szCs w:val="24"/>
        </w:rPr>
        <w:tab/>
      </w:r>
      <w:r>
        <w:rPr>
          <w:noProof/>
          <w:szCs w:val="24"/>
        </w:rPr>
        <w:t>Fees for copies of entries, dealings, etc.</w:t>
      </w:r>
      <w:r>
        <w:rPr>
          <w:noProof/>
        </w:rPr>
        <w:tab/>
      </w:r>
      <w:r>
        <w:rPr>
          <w:noProof/>
        </w:rPr>
        <w:fldChar w:fldCharType="begin"/>
      </w:r>
      <w:r>
        <w:rPr>
          <w:noProof/>
        </w:rPr>
        <w:instrText xml:space="preserve"> PAGEREF _Toc127338078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84E.</w:t>
      </w:r>
      <w:r>
        <w:rPr>
          <w:noProof/>
          <w:sz w:val="24"/>
          <w:szCs w:val="24"/>
        </w:rPr>
        <w:tab/>
      </w:r>
      <w:r>
        <w:rPr>
          <w:noProof/>
          <w:szCs w:val="24"/>
        </w:rPr>
        <w:t>Amendment of register</w:t>
      </w:r>
      <w:r>
        <w:rPr>
          <w:noProof/>
        </w:rPr>
        <w:tab/>
      </w:r>
      <w:r>
        <w:rPr>
          <w:noProof/>
        </w:rPr>
        <w:fldChar w:fldCharType="begin"/>
      </w:r>
      <w:r>
        <w:rPr>
          <w:noProof/>
        </w:rPr>
        <w:instrText xml:space="preserve"> PAGEREF _Toc127338079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84F.</w:t>
      </w:r>
      <w:r>
        <w:rPr>
          <w:noProof/>
          <w:sz w:val="24"/>
          <w:szCs w:val="24"/>
        </w:rPr>
        <w:tab/>
      </w:r>
      <w:r>
        <w:rPr>
          <w:noProof/>
          <w:szCs w:val="24"/>
        </w:rPr>
        <w:t>Inclusion of information in register despite late lodgment of report</w:t>
      </w:r>
      <w:r>
        <w:rPr>
          <w:noProof/>
        </w:rPr>
        <w:tab/>
      </w:r>
      <w:r>
        <w:rPr>
          <w:noProof/>
        </w:rPr>
        <w:fldChar w:fldCharType="begin"/>
      </w:r>
      <w:r>
        <w:rPr>
          <w:noProof/>
        </w:rPr>
        <w:instrText xml:space="preserve"> PAGEREF _Toc127338080 \h </w:instrText>
      </w:r>
      <w:r>
        <w:rPr>
          <w:noProof/>
        </w:rPr>
      </w:r>
      <w:r>
        <w:rPr>
          <w:noProof/>
        </w:rPr>
        <w:fldChar w:fldCharType="separate"/>
      </w:r>
      <w:r>
        <w:rPr>
          <w:noProof/>
        </w:rPr>
        <w:t>72</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Production and royalties</w:t>
      </w:r>
    </w:p>
    <w:p>
      <w:pPr>
        <w:pStyle w:val="TOC4"/>
        <w:tabs>
          <w:tab w:val="left" w:pos="1701"/>
        </w:tabs>
        <w:rPr>
          <w:noProof/>
          <w:sz w:val="24"/>
          <w:szCs w:val="24"/>
        </w:rPr>
      </w:pPr>
      <w:r>
        <w:rPr>
          <w:noProof/>
          <w:szCs w:val="24"/>
        </w:rPr>
        <w:t>85.</w:t>
      </w:r>
      <w:r>
        <w:rPr>
          <w:noProof/>
          <w:sz w:val="24"/>
          <w:szCs w:val="24"/>
        </w:rPr>
        <w:tab/>
      </w:r>
      <w:r>
        <w:rPr>
          <w:noProof/>
          <w:szCs w:val="24"/>
        </w:rPr>
        <w:t>Interpretation of Division</w:t>
      </w:r>
      <w:r>
        <w:rPr>
          <w:noProof/>
        </w:rPr>
        <w:tab/>
      </w:r>
      <w:r>
        <w:rPr>
          <w:noProof/>
        </w:rPr>
        <w:fldChar w:fldCharType="begin"/>
      </w:r>
      <w:r>
        <w:rPr>
          <w:noProof/>
        </w:rPr>
        <w:instrText xml:space="preserve"> PAGEREF _Toc127338082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85AA.</w:t>
      </w:r>
      <w:r>
        <w:rPr>
          <w:noProof/>
          <w:sz w:val="24"/>
          <w:szCs w:val="24"/>
        </w:rPr>
        <w:tab/>
      </w:r>
      <w:r>
        <w:rPr>
          <w:noProof/>
          <w:szCs w:val="24"/>
        </w:rPr>
        <w:t>Effect of GST etc. on royalties</w:t>
      </w:r>
      <w:r>
        <w:rPr>
          <w:noProof/>
        </w:rPr>
        <w:tab/>
      </w:r>
      <w:r>
        <w:rPr>
          <w:noProof/>
        </w:rPr>
        <w:fldChar w:fldCharType="begin"/>
      </w:r>
      <w:r>
        <w:rPr>
          <w:noProof/>
        </w:rPr>
        <w:instrText xml:space="preserve"> PAGEREF _Toc127338083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85AB.</w:t>
      </w:r>
      <w:r>
        <w:rPr>
          <w:noProof/>
          <w:sz w:val="24"/>
          <w:szCs w:val="24"/>
        </w:rPr>
        <w:tab/>
      </w:r>
      <w:r>
        <w:rPr>
          <w:noProof/>
          <w:szCs w:val="24"/>
        </w:rPr>
        <w:t>Conversion to Australian currency</w:t>
      </w:r>
      <w:r>
        <w:rPr>
          <w:noProof/>
        </w:rPr>
        <w:tab/>
      </w:r>
      <w:r>
        <w:rPr>
          <w:noProof/>
        </w:rPr>
        <w:fldChar w:fldCharType="begin"/>
      </w:r>
      <w:r>
        <w:rPr>
          <w:noProof/>
        </w:rPr>
        <w:instrText xml:space="preserve"> PAGEREF _Toc127338084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85A.</w:t>
      </w:r>
      <w:r>
        <w:rPr>
          <w:noProof/>
          <w:sz w:val="24"/>
          <w:szCs w:val="24"/>
        </w:rPr>
        <w:tab/>
      </w:r>
      <w:r>
        <w:rPr>
          <w:noProof/>
          <w:szCs w:val="24"/>
        </w:rPr>
        <w:t>Quarterly production reports</w:t>
      </w:r>
      <w:r>
        <w:rPr>
          <w:noProof/>
        </w:rPr>
        <w:tab/>
      </w:r>
      <w:r>
        <w:rPr>
          <w:noProof/>
        </w:rPr>
        <w:fldChar w:fldCharType="begin"/>
      </w:r>
      <w:r>
        <w:rPr>
          <w:noProof/>
        </w:rPr>
        <w:instrText xml:space="preserve"> PAGEREF _Toc127338085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85B</w:t>
      </w:r>
      <w:r>
        <w:rPr>
          <w:noProof/>
          <w:snapToGrid w:val="0"/>
          <w:szCs w:val="24"/>
        </w:rPr>
        <w:t>.</w:t>
      </w:r>
      <w:r>
        <w:rPr>
          <w:noProof/>
          <w:sz w:val="24"/>
          <w:szCs w:val="24"/>
        </w:rPr>
        <w:tab/>
      </w:r>
      <w:r>
        <w:rPr>
          <w:noProof/>
          <w:snapToGrid w:val="0"/>
          <w:szCs w:val="24"/>
        </w:rPr>
        <w:t>Royalty return</w:t>
      </w:r>
      <w:r>
        <w:rPr>
          <w:noProof/>
        </w:rPr>
        <w:tab/>
      </w:r>
      <w:r>
        <w:rPr>
          <w:noProof/>
        </w:rPr>
        <w:fldChar w:fldCharType="begin"/>
      </w:r>
      <w:r>
        <w:rPr>
          <w:noProof/>
        </w:rPr>
        <w:instrText xml:space="preserve"> PAGEREF _Toc127338086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Rates of royalty</w:t>
      </w:r>
      <w:r>
        <w:rPr>
          <w:noProof/>
        </w:rPr>
        <w:tab/>
      </w:r>
      <w:r>
        <w:rPr>
          <w:noProof/>
        </w:rPr>
        <w:fldChar w:fldCharType="begin"/>
      </w:r>
      <w:r>
        <w:rPr>
          <w:noProof/>
        </w:rPr>
        <w:instrText xml:space="preserve"> PAGEREF _Toc127338087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86AA</w:t>
      </w:r>
      <w:r>
        <w:rPr>
          <w:noProof/>
          <w:snapToGrid w:val="0"/>
          <w:szCs w:val="24"/>
        </w:rPr>
        <w:t>.</w:t>
      </w:r>
      <w:r>
        <w:rPr>
          <w:noProof/>
          <w:sz w:val="24"/>
          <w:szCs w:val="24"/>
        </w:rPr>
        <w:tab/>
      </w:r>
      <w:r>
        <w:rPr>
          <w:noProof/>
          <w:snapToGrid w:val="0"/>
          <w:szCs w:val="24"/>
        </w:rPr>
        <w:t>Rates of royalty in respect of gold</w:t>
      </w:r>
      <w:r>
        <w:rPr>
          <w:noProof/>
        </w:rPr>
        <w:tab/>
      </w:r>
      <w:r>
        <w:rPr>
          <w:noProof/>
        </w:rPr>
        <w:fldChar w:fldCharType="begin"/>
      </w:r>
      <w:r>
        <w:rPr>
          <w:noProof/>
        </w:rPr>
        <w:instrText xml:space="preserve"> PAGEREF _Toc127338088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86AB.</w:t>
      </w:r>
      <w:r>
        <w:rPr>
          <w:noProof/>
          <w:sz w:val="24"/>
          <w:szCs w:val="24"/>
        </w:rPr>
        <w:tab/>
      </w:r>
      <w:r>
        <w:rPr>
          <w:noProof/>
          <w:szCs w:val="24"/>
        </w:rPr>
        <w:t>Optional royalty rate for cobalt sold as a nickel by</w:t>
      </w:r>
      <w:r>
        <w:rPr>
          <w:noProof/>
          <w:szCs w:val="24"/>
        </w:rPr>
        <w:noBreakHyphen/>
        <w:t>product</w:t>
      </w:r>
      <w:r>
        <w:rPr>
          <w:noProof/>
        </w:rPr>
        <w:tab/>
      </w:r>
      <w:r>
        <w:rPr>
          <w:noProof/>
        </w:rPr>
        <w:fldChar w:fldCharType="begin"/>
      </w:r>
      <w:r>
        <w:rPr>
          <w:noProof/>
        </w:rPr>
        <w:instrText xml:space="preserve"> PAGEREF _Toc127338089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86AC.</w:t>
      </w:r>
      <w:r>
        <w:rPr>
          <w:noProof/>
          <w:sz w:val="24"/>
          <w:szCs w:val="24"/>
        </w:rPr>
        <w:tab/>
      </w:r>
      <w:r>
        <w:rPr>
          <w:noProof/>
          <w:szCs w:val="24"/>
        </w:rPr>
        <w:t>Rates of royalty for ilmenite feedstock</w:t>
      </w:r>
      <w:r>
        <w:rPr>
          <w:noProof/>
        </w:rPr>
        <w:tab/>
      </w:r>
      <w:r>
        <w:rPr>
          <w:noProof/>
        </w:rPr>
        <w:fldChar w:fldCharType="begin"/>
      </w:r>
      <w:r>
        <w:rPr>
          <w:noProof/>
        </w:rPr>
        <w:instrText xml:space="preserve"> PAGEREF _Toc127338090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86A.</w:t>
      </w:r>
      <w:r>
        <w:rPr>
          <w:noProof/>
          <w:sz w:val="24"/>
          <w:szCs w:val="24"/>
        </w:rPr>
        <w:tab/>
      </w:r>
      <w:r>
        <w:rPr>
          <w:noProof/>
          <w:szCs w:val="24"/>
        </w:rPr>
        <w:t>Payment of royalties</w:t>
      </w:r>
      <w:r>
        <w:rPr>
          <w:noProof/>
        </w:rPr>
        <w:tab/>
      </w:r>
      <w:r>
        <w:rPr>
          <w:noProof/>
        </w:rPr>
        <w:fldChar w:fldCharType="begin"/>
      </w:r>
      <w:r>
        <w:rPr>
          <w:noProof/>
        </w:rPr>
        <w:instrText xml:space="preserve"> PAGEREF _Toc127338091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86B</w:t>
      </w:r>
      <w:r>
        <w:rPr>
          <w:noProof/>
          <w:snapToGrid w:val="0"/>
          <w:szCs w:val="24"/>
        </w:rPr>
        <w:t>.</w:t>
      </w:r>
      <w:r>
        <w:rPr>
          <w:noProof/>
          <w:sz w:val="24"/>
          <w:szCs w:val="24"/>
        </w:rPr>
        <w:tab/>
      </w:r>
      <w:r>
        <w:rPr>
          <w:noProof/>
          <w:snapToGrid w:val="0"/>
          <w:szCs w:val="24"/>
        </w:rPr>
        <w:t>Tenement within Carnarvon Irrigation District</w:t>
      </w:r>
      <w:r>
        <w:rPr>
          <w:noProof/>
        </w:rPr>
        <w:tab/>
      </w:r>
      <w:r>
        <w:rPr>
          <w:noProof/>
        </w:rPr>
        <w:fldChar w:fldCharType="begin"/>
      </w:r>
      <w:r>
        <w:rPr>
          <w:noProof/>
        </w:rPr>
        <w:instrText xml:space="preserve"> PAGEREF _Toc127338092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86D</w:t>
      </w:r>
      <w:r>
        <w:rPr>
          <w:noProof/>
          <w:snapToGrid w:val="0"/>
          <w:szCs w:val="24"/>
        </w:rPr>
        <w:t>.</w:t>
      </w:r>
      <w:r>
        <w:rPr>
          <w:noProof/>
          <w:sz w:val="24"/>
          <w:szCs w:val="24"/>
        </w:rPr>
        <w:tab/>
      </w:r>
      <w:r>
        <w:rPr>
          <w:noProof/>
          <w:snapToGrid w:val="0"/>
          <w:szCs w:val="24"/>
        </w:rPr>
        <w:t>Exemption in respect of certain clay, gravel, limestone, rock or sand</w:t>
      </w:r>
      <w:r>
        <w:rPr>
          <w:noProof/>
        </w:rPr>
        <w:tab/>
      </w:r>
      <w:r>
        <w:rPr>
          <w:noProof/>
        </w:rPr>
        <w:fldChar w:fldCharType="begin"/>
      </w:r>
      <w:r>
        <w:rPr>
          <w:noProof/>
        </w:rPr>
        <w:instrText xml:space="preserve"> PAGEREF _Toc127338093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86E</w:t>
      </w:r>
      <w:r>
        <w:rPr>
          <w:noProof/>
          <w:snapToGrid w:val="0"/>
          <w:szCs w:val="24"/>
        </w:rPr>
        <w:t>.</w:t>
      </w:r>
      <w:r>
        <w:rPr>
          <w:noProof/>
          <w:sz w:val="24"/>
          <w:szCs w:val="24"/>
        </w:rPr>
        <w:tab/>
      </w:r>
      <w:r>
        <w:rPr>
          <w:noProof/>
          <w:snapToGrid w:val="0"/>
          <w:szCs w:val="24"/>
        </w:rPr>
        <w:t>Exemption in respect of rock for the Eyre Highway</w:t>
      </w:r>
      <w:r>
        <w:rPr>
          <w:noProof/>
        </w:rPr>
        <w:tab/>
      </w:r>
      <w:r>
        <w:rPr>
          <w:noProof/>
        </w:rPr>
        <w:fldChar w:fldCharType="begin"/>
      </w:r>
      <w:r>
        <w:rPr>
          <w:noProof/>
        </w:rPr>
        <w:instrText xml:space="preserve"> PAGEREF _Toc127338094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86F.</w:t>
      </w:r>
      <w:r>
        <w:rPr>
          <w:noProof/>
          <w:sz w:val="24"/>
          <w:szCs w:val="24"/>
        </w:rPr>
        <w:tab/>
      </w:r>
      <w:r>
        <w:rPr>
          <w:noProof/>
          <w:szCs w:val="24"/>
        </w:rPr>
        <w:t>Royalty relief</w:t>
      </w:r>
      <w:r>
        <w:rPr>
          <w:noProof/>
        </w:rPr>
        <w:tab/>
      </w:r>
      <w:r>
        <w:rPr>
          <w:noProof/>
        </w:rPr>
        <w:fldChar w:fldCharType="begin"/>
      </w:r>
      <w:r>
        <w:rPr>
          <w:noProof/>
        </w:rPr>
        <w:instrText xml:space="preserve"> PAGEREF _Toc127338095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Minister may determine value of mineral for the purpose of calculating royalties</w:t>
      </w:r>
      <w:r>
        <w:rPr>
          <w:noProof/>
        </w:rPr>
        <w:tab/>
      </w:r>
      <w:r>
        <w:rPr>
          <w:noProof/>
        </w:rPr>
        <w:fldChar w:fldCharType="begin"/>
      </w:r>
      <w:r>
        <w:rPr>
          <w:noProof/>
        </w:rPr>
        <w:instrText xml:space="preserve"> PAGEREF _Toc127338096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87A</w:t>
      </w:r>
      <w:r>
        <w:rPr>
          <w:noProof/>
          <w:snapToGrid w:val="0"/>
          <w:szCs w:val="24"/>
        </w:rPr>
        <w:t>.</w:t>
      </w:r>
      <w:r>
        <w:rPr>
          <w:noProof/>
          <w:sz w:val="24"/>
          <w:szCs w:val="24"/>
        </w:rPr>
        <w:tab/>
      </w:r>
      <w:r>
        <w:rPr>
          <w:noProof/>
          <w:snapToGrid w:val="0"/>
          <w:szCs w:val="24"/>
        </w:rPr>
        <w:t>Notice of determination and assessment under regulation 87</w:t>
      </w:r>
      <w:r>
        <w:rPr>
          <w:noProof/>
        </w:rPr>
        <w:tab/>
      </w:r>
      <w:r>
        <w:rPr>
          <w:noProof/>
        </w:rPr>
        <w:fldChar w:fldCharType="begin"/>
      </w:r>
      <w:r>
        <w:rPr>
          <w:noProof/>
        </w:rPr>
        <w:instrText xml:space="preserve"> PAGEREF _Toc127338097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87B</w:t>
      </w:r>
      <w:r>
        <w:rPr>
          <w:noProof/>
          <w:snapToGrid w:val="0"/>
          <w:szCs w:val="24"/>
        </w:rPr>
        <w:t>.</w:t>
      </w:r>
      <w:r>
        <w:rPr>
          <w:noProof/>
          <w:sz w:val="24"/>
          <w:szCs w:val="24"/>
        </w:rPr>
        <w:tab/>
      </w:r>
      <w:r>
        <w:rPr>
          <w:noProof/>
          <w:snapToGrid w:val="0"/>
          <w:szCs w:val="24"/>
        </w:rPr>
        <w:t>Records</w:t>
      </w:r>
      <w:r>
        <w:rPr>
          <w:noProof/>
        </w:rPr>
        <w:tab/>
      </w:r>
      <w:r>
        <w:rPr>
          <w:noProof/>
        </w:rPr>
        <w:fldChar w:fldCharType="begin"/>
      </w:r>
      <w:r>
        <w:rPr>
          <w:noProof/>
        </w:rPr>
        <w:instrText xml:space="preserve"> PAGEREF _Toc127338098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Recovery of royalty</w:t>
      </w:r>
      <w:r>
        <w:rPr>
          <w:noProof/>
        </w:rPr>
        <w:tab/>
      </w:r>
      <w:r>
        <w:rPr>
          <w:noProof/>
        </w:rPr>
        <w:fldChar w:fldCharType="begin"/>
      </w:r>
      <w:r>
        <w:rPr>
          <w:noProof/>
        </w:rPr>
        <w:instrText xml:space="preserve"> PAGEREF _Toc127338099 \h </w:instrText>
      </w:r>
      <w:r>
        <w:rPr>
          <w:noProof/>
        </w:rPr>
      </w:r>
      <w:r>
        <w:rPr>
          <w:noProof/>
        </w:rPr>
        <w:fldChar w:fldCharType="separate"/>
      </w:r>
      <w:r>
        <w:rPr>
          <w:noProof/>
        </w:rPr>
        <w:t>97</w:t>
      </w:r>
      <w:r>
        <w:rPr>
          <w:noProof/>
        </w:rPr>
        <w:fldChar w:fldCharType="end"/>
      </w:r>
    </w:p>
    <w:p>
      <w:pPr>
        <w:pStyle w:val="TOC3"/>
        <w:rPr>
          <w:b w:val="0"/>
          <w:noProof/>
          <w:sz w:val="24"/>
          <w:szCs w:val="24"/>
        </w:rPr>
      </w:pPr>
      <w:r>
        <w:rPr>
          <w:noProof/>
          <w:szCs w:val="26"/>
        </w:rPr>
        <w:t>Division 5A — Prescribed Australian datum</w:t>
      </w:r>
    </w:p>
    <w:p>
      <w:pPr>
        <w:pStyle w:val="TOC4"/>
        <w:tabs>
          <w:tab w:val="left" w:pos="1701"/>
        </w:tabs>
        <w:rPr>
          <w:noProof/>
          <w:sz w:val="24"/>
          <w:szCs w:val="24"/>
        </w:rPr>
      </w:pPr>
      <w:r>
        <w:rPr>
          <w:noProof/>
          <w:szCs w:val="24"/>
        </w:rPr>
        <w:t>89A.</w:t>
      </w:r>
      <w:r>
        <w:rPr>
          <w:noProof/>
          <w:sz w:val="24"/>
          <w:szCs w:val="24"/>
        </w:rPr>
        <w:tab/>
      </w:r>
      <w:r>
        <w:rPr>
          <w:noProof/>
          <w:szCs w:val="24"/>
        </w:rPr>
        <w:t>Geocentric Datum of Australia — section 9B</w:t>
      </w:r>
      <w:r>
        <w:rPr>
          <w:noProof/>
        </w:rPr>
        <w:tab/>
      </w:r>
      <w:r>
        <w:rPr>
          <w:noProof/>
        </w:rPr>
        <w:fldChar w:fldCharType="begin"/>
      </w:r>
      <w:r>
        <w:rPr>
          <w:noProof/>
        </w:rPr>
        <w:instrText xml:space="preserve"> PAGEREF _Toc127338101 \h </w:instrText>
      </w:r>
      <w:r>
        <w:rPr>
          <w:noProof/>
        </w:rPr>
      </w:r>
      <w:r>
        <w:rPr>
          <w:noProof/>
        </w:rPr>
        <w:fldChar w:fldCharType="separate"/>
      </w:r>
      <w:r>
        <w:rPr>
          <w:noProof/>
        </w:rPr>
        <w:t>97</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Miscellaneous</w:t>
      </w:r>
    </w:p>
    <w:p>
      <w:pPr>
        <w:pStyle w:val="TOC4"/>
        <w:tabs>
          <w:tab w:val="left" w:pos="1701"/>
        </w:tabs>
        <w:rPr>
          <w:noProof/>
          <w:sz w:val="24"/>
          <w:szCs w:val="24"/>
        </w:rPr>
      </w:pPr>
      <w:r>
        <w:rPr>
          <w:noProof/>
          <w:szCs w:val="24"/>
        </w:rPr>
        <w:t>89B.</w:t>
      </w:r>
      <w:r>
        <w:rPr>
          <w:noProof/>
          <w:sz w:val="24"/>
          <w:szCs w:val="24"/>
        </w:rPr>
        <w:tab/>
      </w:r>
      <w:r>
        <w:rPr>
          <w:noProof/>
          <w:szCs w:val="24"/>
        </w:rPr>
        <w:t>Prescribed office — section 8(1)</w:t>
      </w:r>
      <w:r>
        <w:rPr>
          <w:noProof/>
        </w:rPr>
        <w:tab/>
      </w:r>
      <w:r>
        <w:rPr>
          <w:noProof/>
        </w:rPr>
        <w:fldChar w:fldCharType="begin"/>
      </w:r>
      <w:r>
        <w:rPr>
          <w:noProof/>
        </w:rPr>
        <w:instrText xml:space="preserve"> PAGEREF _Toc127338103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89C.</w:t>
      </w:r>
      <w:r>
        <w:rPr>
          <w:noProof/>
          <w:sz w:val="24"/>
          <w:szCs w:val="24"/>
        </w:rPr>
        <w:tab/>
      </w:r>
      <w:r>
        <w:rPr>
          <w:noProof/>
          <w:szCs w:val="24"/>
        </w:rPr>
        <w:t>Identified mineral resource — section 8(1)</w:t>
      </w:r>
      <w:r>
        <w:rPr>
          <w:noProof/>
        </w:rPr>
        <w:tab/>
      </w:r>
      <w:r>
        <w:rPr>
          <w:noProof/>
        </w:rPr>
        <w:fldChar w:fldCharType="begin"/>
      </w:r>
      <w:r>
        <w:rPr>
          <w:noProof/>
        </w:rPr>
        <w:instrText xml:space="preserve"> PAGEREF _Toc127338104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Forms to be completed in accordance with directions</w:t>
      </w:r>
      <w:r>
        <w:rPr>
          <w:noProof/>
        </w:rPr>
        <w:tab/>
      </w:r>
      <w:r>
        <w:rPr>
          <w:noProof/>
        </w:rPr>
        <w:fldChar w:fldCharType="begin"/>
      </w:r>
      <w:r>
        <w:rPr>
          <w:noProof/>
        </w:rPr>
        <w:instrText xml:space="preserve"> PAGEREF _Toc127338105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90A.</w:t>
      </w:r>
      <w:r>
        <w:rPr>
          <w:noProof/>
          <w:sz w:val="24"/>
          <w:szCs w:val="24"/>
        </w:rPr>
        <w:tab/>
      </w:r>
      <w:r>
        <w:rPr>
          <w:noProof/>
          <w:snapToGrid w:val="0"/>
          <w:szCs w:val="24"/>
        </w:rPr>
        <w:t>Prescribed procedure for certain applications</w:t>
      </w:r>
      <w:r>
        <w:rPr>
          <w:noProof/>
        </w:rPr>
        <w:tab/>
      </w:r>
      <w:r>
        <w:rPr>
          <w:noProof/>
        </w:rPr>
        <w:fldChar w:fldCharType="begin"/>
      </w:r>
      <w:r>
        <w:rPr>
          <w:noProof/>
        </w:rPr>
        <w:instrText xml:space="preserve"> PAGEREF _Toc127338106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Appeal to Minister</w:t>
      </w:r>
      <w:r>
        <w:rPr>
          <w:noProof/>
        </w:rPr>
        <w:tab/>
      </w:r>
      <w:r>
        <w:rPr>
          <w:noProof/>
        </w:rPr>
        <w:fldChar w:fldCharType="begin"/>
      </w:r>
      <w:r>
        <w:rPr>
          <w:noProof/>
        </w:rPr>
        <w:instrText xml:space="preserve"> PAGEREF _Toc127338107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Shape of tenement</w:t>
      </w:r>
      <w:r>
        <w:rPr>
          <w:noProof/>
        </w:rPr>
        <w:tab/>
      </w:r>
      <w:r>
        <w:rPr>
          <w:noProof/>
        </w:rPr>
        <w:fldChar w:fldCharType="begin"/>
      </w:r>
      <w:r>
        <w:rPr>
          <w:noProof/>
        </w:rPr>
        <w:instrText xml:space="preserve"> PAGEREF _Toc127338108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Tenements within more than one mineral field or district</w:t>
      </w:r>
      <w:r>
        <w:rPr>
          <w:noProof/>
        </w:rPr>
        <w:tab/>
      </w:r>
      <w:r>
        <w:rPr>
          <w:noProof/>
        </w:rPr>
        <w:fldChar w:fldCharType="begin"/>
      </w:r>
      <w:r>
        <w:rPr>
          <w:noProof/>
        </w:rPr>
        <w:instrText xml:space="preserve"> PAGEREF _Toc127338109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95A.</w:t>
      </w:r>
      <w:r>
        <w:rPr>
          <w:noProof/>
          <w:sz w:val="24"/>
          <w:szCs w:val="24"/>
        </w:rPr>
        <w:tab/>
      </w:r>
      <w:r>
        <w:rPr>
          <w:noProof/>
          <w:szCs w:val="24"/>
        </w:rPr>
        <w:t>Mining statistics</w:t>
      </w:r>
      <w:r>
        <w:rPr>
          <w:noProof/>
        </w:rPr>
        <w:tab/>
      </w:r>
      <w:r>
        <w:rPr>
          <w:noProof/>
        </w:rPr>
        <w:fldChar w:fldCharType="begin"/>
      </w:r>
      <w:r>
        <w:rPr>
          <w:noProof/>
        </w:rPr>
        <w:instrText xml:space="preserve"> PAGEREF _Toc127338110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Release of information contained in reports</w:t>
      </w:r>
      <w:r>
        <w:rPr>
          <w:noProof/>
        </w:rPr>
        <w:tab/>
      </w:r>
      <w:r>
        <w:rPr>
          <w:noProof/>
        </w:rPr>
        <w:fldChar w:fldCharType="begin"/>
      </w:r>
      <w:r>
        <w:rPr>
          <w:noProof/>
        </w:rPr>
        <w:instrText xml:space="preserve"> PAGEREF _Toc127338111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96A</w:t>
      </w:r>
      <w:r>
        <w:rPr>
          <w:noProof/>
          <w:snapToGrid w:val="0"/>
          <w:szCs w:val="24"/>
        </w:rPr>
        <w:t>.</w:t>
      </w:r>
      <w:r>
        <w:rPr>
          <w:noProof/>
          <w:sz w:val="24"/>
          <w:szCs w:val="24"/>
        </w:rPr>
        <w:tab/>
      </w:r>
      <w:r>
        <w:rPr>
          <w:noProof/>
          <w:snapToGrid w:val="0"/>
          <w:szCs w:val="24"/>
        </w:rPr>
        <w:t>Authorisation for release of information in mineral exploration reports</w:t>
      </w:r>
      <w:r>
        <w:rPr>
          <w:noProof/>
        </w:rPr>
        <w:tab/>
      </w:r>
      <w:r>
        <w:rPr>
          <w:noProof/>
        </w:rPr>
        <w:fldChar w:fldCharType="begin"/>
      </w:r>
      <w:r>
        <w:rPr>
          <w:noProof/>
        </w:rPr>
        <w:instrText xml:space="preserve"> PAGEREF _Toc127338112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96B</w:t>
      </w:r>
      <w:r>
        <w:rPr>
          <w:noProof/>
          <w:snapToGrid w:val="0"/>
          <w:szCs w:val="24"/>
        </w:rPr>
        <w:t>.</w:t>
      </w:r>
      <w:r>
        <w:rPr>
          <w:noProof/>
          <w:sz w:val="24"/>
          <w:szCs w:val="24"/>
        </w:rPr>
        <w:tab/>
      </w:r>
      <w:r>
        <w:rPr>
          <w:noProof/>
          <w:snapToGrid w:val="0"/>
          <w:szCs w:val="24"/>
        </w:rPr>
        <w:t>Publication of guidelines — mineral exploration reports</w:t>
      </w:r>
      <w:r>
        <w:rPr>
          <w:noProof/>
        </w:rPr>
        <w:tab/>
      </w:r>
      <w:r>
        <w:rPr>
          <w:noProof/>
        </w:rPr>
        <w:fldChar w:fldCharType="begin"/>
      </w:r>
      <w:r>
        <w:rPr>
          <w:noProof/>
        </w:rPr>
        <w:instrText xml:space="preserve"> PAGEREF _Toc127338113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96C.</w:t>
      </w:r>
      <w:r>
        <w:rPr>
          <w:noProof/>
          <w:sz w:val="24"/>
          <w:szCs w:val="24"/>
        </w:rPr>
        <w:tab/>
      </w:r>
      <w:r>
        <w:rPr>
          <w:noProof/>
          <w:szCs w:val="24"/>
        </w:rPr>
        <w:t>Specific expenditure provisions</w:t>
      </w:r>
      <w:r>
        <w:rPr>
          <w:noProof/>
        </w:rPr>
        <w:tab/>
      </w:r>
      <w:r>
        <w:rPr>
          <w:noProof/>
        </w:rPr>
        <w:fldChar w:fldCharType="begin"/>
      </w:r>
      <w:r>
        <w:rPr>
          <w:noProof/>
        </w:rPr>
        <w:instrText xml:space="preserve"> PAGEREF _Toc127338114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96D.</w:t>
      </w:r>
      <w:r>
        <w:rPr>
          <w:noProof/>
          <w:sz w:val="24"/>
          <w:szCs w:val="24"/>
        </w:rPr>
        <w:tab/>
      </w:r>
      <w:r>
        <w:rPr>
          <w:noProof/>
          <w:szCs w:val="24"/>
        </w:rPr>
        <w:t>Drill cores</w:t>
      </w:r>
      <w:r>
        <w:rPr>
          <w:noProof/>
        </w:rPr>
        <w:tab/>
      </w:r>
      <w:r>
        <w:rPr>
          <w:noProof/>
        </w:rPr>
        <w:fldChar w:fldCharType="begin"/>
      </w:r>
      <w:r>
        <w:rPr>
          <w:noProof/>
        </w:rPr>
        <w:instrText xml:space="preserve"> PAGEREF _Toc127338115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No mining that obstructs public thoroughfares, etc.</w:t>
      </w:r>
      <w:r>
        <w:rPr>
          <w:noProof/>
        </w:rPr>
        <w:tab/>
      </w:r>
      <w:r>
        <w:rPr>
          <w:noProof/>
        </w:rPr>
        <w:fldChar w:fldCharType="begin"/>
      </w:r>
      <w:r>
        <w:rPr>
          <w:noProof/>
        </w:rPr>
        <w:instrText xml:space="preserve"> PAGEREF _Toc127338116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Control of detritus, dirt, etc.</w:t>
      </w:r>
      <w:r>
        <w:rPr>
          <w:noProof/>
        </w:rPr>
        <w:tab/>
      </w:r>
      <w:r>
        <w:rPr>
          <w:noProof/>
        </w:rPr>
        <w:fldChar w:fldCharType="begin"/>
      </w:r>
      <w:r>
        <w:rPr>
          <w:noProof/>
        </w:rPr>
        <w:instrText xml:space="preserve"> PAGEREF _Toc127338117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Decency and sanitation</w:t>
      </w:r>
      <w:r>
        <w:rPr>
          <w:noProof/>
        </w:rPr>
        <w:tab/>
      </w:r>
      <w:r>
        <w:rPr>
          <w:noProof/>
        </w:rPr>
        <w:fldChar w:fldCharType="begin"/>
      </w:r>
      <w:r>
        <w:rPr>
          <w:noProof/>
        </w:rPr>
        <w:instrText xml:space="preserve"> PAGEREF _Toc127338118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Removal of fences, timbers, etc.</w:t>
      </w:r>
      <w:r>
        <w:rPr>
          <w:noProof/>
        </w:rPr>
        <w:tab/>
      </w:r>
      <w:r>
        <w:rPr>
          <w:noProof/>
        </w:rPr>
        <w:fldChar w:fldCharType="begin"/>
      </w:r>
      <w:r>
        <w:rPr>
          <w:noProof/>
        </w:rPr>
        <w:instrText xml:space="preserve"> PAGEREF _Toc127338119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101.</w:t>
      </w:r>
      <w:r>
        <w:rPr>
          <w:noProof/>
          <w:sz w:val="24"/>
          <w:szCs w:val="24"/>
        </w:rPr>
        <w:tab/>
      </w:r>
      <w:r>
        <w:rPr>
          <w:noProof/>
          <w:szCs w:val="24"/>
        </w:rPr>
        <w:t>Manner of camping — section 20(2)(e)</w:t>
      </w:r>
      <w:r>
        <w:rPr>
          <w:noProof/>
        </w:rPr>
        <w:tab/>
      </w:r>
      <w:r>
        <w:rPr>
          <w:noProof/>
        </w:rPr>
        <w:fldChar w:fldCharType="begin"/>
      </w:r>
      <w:r>
        <w:rPr>
          <w:noProof/>
        </w:rPr>
        <w:instrText xml:space="preserve"> PAGEREF _Toc127338120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101A.</w:t>
      </w:r>
      <w:r>
        <w:rPr>
          <w:noProof/>
          <w:sz w:val="24"/>
          <w:szCs w:val="24"/>
        </w:rPr>
        <w:tab/>
      </w:r>
      <w:r>
        <w:rPr>
          <w:noProof/>
          <w:szCs w:val="24"/>
        </w:rPr>
        <w:t>Notice before mining under certain Crown land or private land</w:t>
      </w:r>
      <w:r>
        <w:rPr>
          <w:noProof/>
        </w:rPr>
        <w:tab/>
      </w:r>
      <w:r>
        <w:rPr>
          <w:noProof/>
        </w:rPr>
        <w:fldChar w:fldCharType="begin"/>
      </w:r>
      <w:r>
        <w:rPr>
          <w:noProof/>
        </w:rPr>
        <w:instrText xml:space="preserve"> PAGEREF _Toc127338121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Devolution on death, etc.</w:t>
      </w:r>
      <w:r>
        <w:rPr>
          <w:noProof/>
        </w:rPr>
        <w:tab/>
      </w:r>
      <w:r>
        <w:rPr>
          <w:noProof/>
        </w:rPr>
        <w:fldChar w:fldCharType="begin"/>
      </w:r>
      <w:r>
        <w:rPr>
          <w:noProof/>
        </w:rPr>
        <w:instrText xml:space="preserve"> PAGEREF _Toc127338122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104</w:t>
      </w:r>
      <w:r>
        <w:rPr>
          <w:noProof/>
          <w:snapToGrid w:val="0"/>
          <w:szCs w:val="24"/>
        </w:rPr>
        <w:t>.</w:t>
      </w:r>
      <w:r>
        <w:rPr>
          <w:noProof/>
          <w:sz w:val="24"/>
          <w:szCs w:val="24"/>
        </w:rPr>
        <w:tab/>
      </w:r>
      <w:r>
        <w:rPr>
          <w:noProof/>
          <w:snapToGrid w:val="0"/>
          <w:szCs w:val="24"/>
        </w:rPr>
        <w:t>Time for any act may be extended</w:t>
      </w:r>
      <w:r>
        <w:rPr>
          <w:noProof/>
        </w:rPr>
        <w:tab/>
      </w:r>
      <w:r>
        <w:rPr>
          <w:noProof/>
        </w:rPr>
        <w:fldChar w:fldCharType="begin"/>
      </w:r>
      <w:r>
        <w:rPr>
          <w:noProof/>
        </w:rPr>
        <w:instrText xml:space="preserve"> PAGEREF _Toc127338123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105</w:t>
      </w:r>
      <w:r>
        <w:rPr>
          <w:noProof/>
          <w:snapToGrid w:val="0"/>
          <w:szCs w:val="24"/>
        </w:rPr>
        <w:t>.</w:t>
      </w:r>
      <w:r>
        <w:rPr>
          <w:noProof/>
          <w:sz w:val="24"/>
          <w:szCs w:val="24"/>
        </w:rPr>
        <w:tab/>
      </w:r>
      <w:r>
        <w:rPr>
          <w:noProof/>
          <w:snapToGrid w:val="0"/>
          <w:szCs w:val="24"/>
        </w:rPr>
        <w:t>Application for copy document</w:t>
      </w:r>
      <w:r>
        <w:rPr>
          <w:noProof/>
        </w:rPr>
        <w:tab/>
      </w:r>
      <w:r>
        <w:rPr>
          <w:noProof/>
        </w:rPr>
        <w:fldChar w:fldCharType="begin"/>
      </w:r>
      <w:r>
        <w:rPr>
          <w:noProof/>
        </w:rPr>
        <w:instrText xml:space="preserve"> PAGEREF _Toc127338124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108</w:t>
      </w:r>
      <w:r>
        <w:rPr>
          <w:noProof/>
          <w:snapToGrid w:val="0"/>
          <w:szCs w:val="24"/>
        </w:rPr>
        <w:t>.</w:t>
      </w:r>
      <w:r>
        <w:rPr>
          <w:noProof/>
          <w:sz w:val="24"/>
          <w:szCs w:val="24"/>
        </w:rPr>
        <w:tab/>
      </w:r>
      <w:r>
        <w:rPr>
          <w:noProof/>
          <w:snapToGrid w:val="0"/>
          <w:szCs w:val="24"/>
        </w:rPr>
        <w:t>Appointment of attorney</w:t>
      </w:r>
      <w:r>
        <w:rPr>
          <w:noProof/>
        </w:rPr>
        <w:tab/>
      </w:r>
      <w:r>
        <w:rPr>
          <w:noProof/>
        </w:rPr>
        <w:fldChar w:fldCharType="begin"/>
      </w:r>
      <w:r>
        <w:rPr>
          <w:noProof/>
        </w:rPr>
        <w:instrText xml:space="preserve"> PAGEREF _Toc127338125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109</w:t>
      </w:r>
      <w:r>
        <w:rPr>
          <w:noProof/>
          <w:snapToGrid w:val="0"/>
          <w:szCs w:val="24"/>
        </w:rPr>
        <w:t>.</w:t>
      </w:r>
      <w:r>
        <w:rPr>
          <w:noProof/>
          <w:sz w:val="24"/>
          <w:szCs w:val="24"/>
        </w:rPr>
        <w:tab/>
      </w:r>
      <w:r>
        <w:rPr>
          <w:noProof/>
          <w:snapToGrid w:val="0"/>
          <w:szCs w:val="24"/>
        </w:rPr>
        <w:t>Fees and rents</w:t>
      </w:r>
      <w:r>
        <w:rPr>
          <w:noProof/>
        </w:rPr>
        <w:tab/>
      </w:r>
      <w:r>
        <w:rPr>
          <w:noProof/>
        </w:rPr>
        <w:fldChar w:fldCharType="begin"/>
      </w:r>
      <w:r>
        <w:rPr>
          <w:noProof/>
        </w:rPr>
        <w:instrText xml:space="preserve"> PAGEREF _Toc127338126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109A.</w:t>
      </w:r>
      <w:r>
        <w:rPr>
          <w:noProof/>
          <w:sz w:val="24"/>
          <w:szCs w:val="24"/>
        </w:rPr>
        <w:tab/>
      </w:r>
      <w:r>
        <w:rPr>
          <w:noProof/>
          <w:szCs w:val="24"/>
        </w:rPr>
        <w:t>GST to be paid on certain applications</w:t>
      </w:r>
      <w:r>
        <w:rPr>
          <w:noProof/>
        </w:rPr>
        <w:tab/>
      </w:r>
      <w:r>
        <w:rPr>
          <w:noProof/>
        </w:rPr>
        <w:fldChar w:fldCharType="begin"/>
      </w:r>
      <w:r>
        <w:rPr>
          <w:noProof/>
        </w:rPr>
        <w:instrText xml:space="preserve"> PAGEREF _Toc127338127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Service of notices</w:t>
      </w:r>
      <w:r>
        <w:rPr>
          <w:noProof/>
        </w:rPr>
        <w:tab/>
      </w:r>
      <w:r>
        <w:rPr>
          <w:noProof/>
        </w:rPr>
        <w:fldChar w:fldCharType="begin"/>
      </w:r>
      <w:r>
        <w:rPr>
          <w:noProof/>
        </w:rPr>
        <w:instrText xml:space="preserve"> PAGEREF _Toc127338128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112.</w:t>
      </w:r>
      <w:r>
        <w:rPr>
          <w:noProof/>
          <w:sz w:val="24"/>
          <w:szCs w:val="24"/>
        </w:rPr>
        <w:tab/>
      </w:r>
      <w:r>
        <w:rPr>
          <w:noProof/>
          <w:szCs w:val="24"/>
        </w:rPr>
        <w:t>Securities</w:t>
      </w:r>
      <w:r>
        <w:rPr>
          <w:noProof/>
        </w:rPr>
        <w:tab/>
      </w:r>
      <w:r>
        <w:rPr>
          <w:noProof/>
        </w:rPr>
        <w:fldChar w:fldCharType="begin"/>
      </w:r>
      <w:r>
        <w:rPr>
          <w:noProof/>
        </w:rPr>
        <w:instrText xml:space="preserve"> PAGEREF _Toc127338129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112A</w:t>
      </w:r>
      <w:r>
        <w:rPr>
          <w:noProof/>
          <w:snapToGrid w:val="0"/>
          <w:szCs w:val="24"/>
        </w:rPr>
        <w:t>.</w:t>
      </w:r>
      <w:r>
        <w:rPr>
          <w:noProof/>
          <w:sz w:val="24"/>
          <w:szCs w:val="24"/>
        </w:rPr>
        <w:tab/>
      </w:r>
      <w:r>
        <w:rPr>
          <w:noProof/>
          <w:snapToGrid w:val="0"/>
          <w:szCs w:val="24"/>
        </w:rPr>
        <w:t>Discharge of security</w:t>
      </w:r>
      <w:r>
        <w:rPr>
          <w:noProof/>
        </w:rPr>
        <w:tab/>
      </w:r>
      <w:r>
        <w:rPr>
          <w:noProof/>
        </w:rPr>
        <w:fldChar w:fldCharType="begin"/>
      </w:r>
      <w:r>
        <w:rPr>
          <w:noProof/>
        </w:rPr>
        <w:instrText xml:space="preserve"> PAGEREF _Toc127338130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Employees not to use information</w:t>
      </w:r>
      <w:r>
        <w:rPr>
          <w:noProof/>
        </w:rPr>
        <w:tab/>
      </w:r>
      <w:r>
        <w:rPr>
          <w:noProof/>
        </w:rPr>
        <w:fldChar w:fldCharType="begin"/>
      </w:r>
      <w:r>
        <w:rPr>
          <w:noProof/>
        </w:rPr>
        <w:instrText xml:space="preserve"> PAGEREF _Toc127338131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113A.</w:t>
      </w:r>
      <w:r>
        <w:rPr>
          <w:noProof/>
          <w:sz w:val="24"/>
          <w:szCs w:val="24"/>
        </w:rPr>
        <w:tab/>
      </w:r>
      <w:r>
        <w:rPr>
          <w:noProof/>
          <w:szCs w:val="24"/>
        </w:rPr>
        <w:t>General power for wardens to administer oaths</w:t>
      </w:r>
      <w:r>
        <w:rPr>
          <w:noProof/>
        </w:rPr>
        <w:tab/>
      </w:r>
      <w:r>
        <w:rPr>
          <w:noProof/>
        </w:rPr>
        <w:fldChar w:fldCharType="begin"/>
      </w:r>
      <w:r>
        <w:rPr>
          <w:noProof/>
        </w:rPr>
        <w:instrText xml:space="preserve"> PAGEREF _Toc127338132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Warden’s order not to be disobeyed</w:t>
      </w:r>
      <w:r>
        <w:rPr>
          <w:noProof/>
        </w:rPr>
        <w:tab/>
      </w:r>
      <w:r>
        <w:rPr>
          <w:noProof/>
        </w:rPr>
        <w:fldChar w:fldCharType="begin"/>
      </w:r>
      <w:r>
        <w:rPr>
          <w:noProof/>
        </w:rPr>
        <w:instrText xml:space="preserve"> PAGEREF _Toc127338133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_Toc127338134 \h </w:instrText>
      </w:r>
      <w:r>
        <w:rPr>
          <w:noProof/>
        </w:rPr>
      </w:r>
      <w:r>
        <w:rPr>
          <w:noProof/>
        </w:rPr>
        <w:fldChar w:fldCharType="separate"/>
      </w:r>
      <w:r>
        <w:rPr>
          <w:noProof/>
        </w:rPr>
        <w:t>114</w:t>
      </w:r>
      <w:r>
        <w:rPr>
          <w:noProof/>
        </w:rPr>
        <w:fldChar w:fldCharType="end"/>
      </w:r>
    </w:p>
    <w:p>
      <w:pPr>
        <w:pStyle w:val="TOC2"/>
        <w:tabs>
          <w:tab w:val="right" w:leader="dot" w:pos="7088"/>
        </w:tabs>
        <w:rPr>
          <w:b w:val="0"/>
          <w:noProof/>
          <w:sz w:val="24"/>
          <w:szCs w:val="24"/>
        </w:rPr>
      </w:pPr>
      <w:r>
        <w:rPr>
          <w:noProof/>
          <w:szCs w:val="30"/>
        </w:rPr>
        <w:t>Part VI — Surveys</w:t>
      </w:r>
    </w:p>
    <w:p>
      <w:pPr>
        <w:pStyle w:val="TOC4"/>
        <w:tabs>
          <w:tab w:val="left" w:pos="1701"/>
        </w:tabs>
        <w:rPr>
          <w:noProof/>
          <w:sz w:val="24"/>
          <w:szCs w:val="24"/>
        </w:rPr>
      </w:pPr>
      <w:r>
        <w:rPr>
          <w:noProof/>
          <w:szCs w:val="24"/>
        </w:rPr>
        <w:t>116</w:t>
      </w:r>
      <w:r>
        <w:rPr>
          <w:noProof/>
          <w:snapToGrid w:val="0"/>
          <w:szCs w:val="24"/>
        </w:rPr>
        <w:t>.</w:t>
      </w:r>
      <w:r>
        <w:rPr>
          <w:noProof/>
          <w:sz w:val="24"/>
          <w:szCs w:val="24"/>
        </w:rPr>
        <w:tab/>
      </w:r>
      <w:r>
        <w:rPr>
          <w:noProof/>
          <w:snapToGrid w:val="0"/>
          <w:szCs w:val="24"/>
        </w:rPr>
        <w:t>Interpretation in Part VI</w:t>
      </w:r>
      <w:r>
        <w:rPr>
          <w:noProof/>
        </w:rPr>
        <w:tab/>
      </w:r>
      <w:r>
        <w:rPr>
          <w:noProof/>
        </w:rPr>
        <w:fldChar w:fldCharType="begin"/>
      </w:r>
      <w:r>
        <w:rPr>
          <w:noProof/>
        </w:rPr>
        <w:instrText xml:space="preserve"> PAGEREF _Toc127338136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117</w:t>
      </w:r>
      <w:r>
        <w:rPr>
          <w:noProof/>
          <w:snapToGrid w:val="0"/>
          <w:szCs w:val="24"/>
        </w:rPr>
        <w:t>.</w:t>
      </w:r>
      <w:r>
        <w:rPr>
          <w:noProof/>
          <w:sz w:val="24"/>
          <w:szCs w:val="24"/>
        </w:rPr>
        <w:tab/>
      </w:r>
      <w:r>
        <w:rPr>
          <w:noProof/>
          <w:snapToGrid w:val="0"/>
          <w:szCs w:val="24"/>
        </w:rPr>
        <w:t>Approved surveyors</w:t>
      </w:r>
      <w:r>
        <w:rPr>
          <w:noProof/>
        </w:rPr>
        <w:tab/>
      </w:r>
      <w:r>
        <w:rPr>
          <w:noProof/>
        </w:rPr>
        <w:fldChar w:fldCharType="begin"/>
      </w:r>
      <w:r>
        <w:rPr>
          <w:noProof/>
        </w:rPr>
        <w:instrText xml:space="preserve"> PAGEREF _Toc127338137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118</w:t>
      </w:r>
      <w:r>
        <w:rPr>
          <w:noProof/>
          <w:snapToGrid w:val="0"/>
          <w:szCs w:val="24"/>
        </w:rPr>
        <w:t>.</w:t>
      </w:r>
      <w:r>
        <w:rPr>
          <w:noProof/>
          <w:sz w:val="24"/>
          <w:szCs w:val="24"/>
        </w:rPr>
        <w:tab/>
      </w:r>
      <w:r>
        <w:rPr>
          <w:noProof/>
          <w:snapToGrid w:val="0"/>
          <w:szCs w:val="24"/>
        </w:rPr>
        <w:t>Initiation of mining surveys</w:t>
      </w:r>
      <w:r>
        <w:rPr>
          <w:noProof/>
        </w:rPr>
        <w:tab/>
      </w:r>
      <w:r>
        <w:rPr>
          <w:noProof/>
        </w:rPr>
        <w:fldChar w:fldCharType="begin"/>
      </w:r>
      <w:r>
        <w:rPr>
          <w:noProof/>
        </w:rPr>
        <w:instrText xml:space="preserve"> PAGEREF _Toc127338138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118A</w:t>
      </w:r>
      <w:r>
        <w:rPr>
          <w:noProof/>
          <w:snapToGrid w:val="0"/>
          <w:szCs w:val="24"/>
        </w:rPr>
        <w:t>.</w:t>
      </w:r>
      <w:r>
        <w:rPr>
          <w:noProof/>
          <w:sz w:val="24"/>
          <w:szCs w:val="24"/>
        </w:rPr>
        <w:tab/>
      </w:r>
      <w:r>
        <w:rPr>
          <w:noProof/>
          <w:snapToGrid w:val="0"/>
          <w:szCs w:val="24"/>
        </w:rPr>
        <w:t>Notice of proposed mining surveys</w:t>
      </w:r>
      <w:r>
        <w:rPr>
          <w:noProof/>
        </w:rPr>
        <w:tab/>
      </w:r>
      <w:r>
        <w:rPr>
          <w:noProof/>
        </w:rPr>
        <w:fldChar w:fldCharType="begin"/>
      </w:r>
      <w:r>
        <w:rPr>
          <w:noProof/>
        </w:rPr>
        <w:instrText xml:space="preserve"> PAGEREF _Toc127338139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118B</w:t>
      </w:r>
      <w:r>
        <w:rPr>
          <w:noProof/>
          <w:snapToGrid w:val="0"/>
          <w:szCs w:val="24"/>
        </w:rPr>
        <w:t>.</w:t>
      </w:r>
      <w:r>
        <w:rPr>
          <w:noProof/>
          <w:sz w:val="24"/>
          <w:szCs w:val="24"/>
        </w:rPr>
        <w:tab/>
      </w:r>
      <w:r>
        <w:rPr>
          <w:noProof/>
          <w:snapToGrid w:val="0"/>
          <w:szCs w:val="24"/>
        </w:rPr>
        <w:t>When mining surveys are to be carried out</w:t>
      </w:r>
      <w:r>
        <w:rPr>
          <w:noProof/>
        </w:rPr>
        <w:tab/>
      </w:r>
      <w:r>
        <w:rPr>
          <w:noProof/>
        </w:rPr>
        <w:fldChar w:fldCharType="begin"/>
      </w:r>
      <w:r>
        <w:rPr>
          <w:noProof/>
        </w:rPr>
        <w:instrText xml:space="preserve"> PAGEREF _Toc127338140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118C</w:t>
      </w:r>
      <w:r>
        <w:rPr>
          <w:noProof/>
          <w:snapToGrid w:val="0"/>
          <w:szCs w:val="24"/>
        </w:rPr>
        <w:t>.</w:t>
      </w:r>
      <w:r>
        <w:rPr>
          <w:noProof/>
          <w:sz w:val="24"/>
          <w:szCs w:val="24"/>
        </w:rPr>
        <w:tab/>
      </w:r>
      <w:r>
        <w:rPr>
          <w:noProof/>
          <w:snapToGrid w:val="0"/>
          <w:szCs w:val="24"/>
        </w:rPr>
        <w:t>Refund of certain survey fees</w:t>
      </w:r>
      <w:r>
        <w:rPr>
          <w:noProof/>
        </w:rPr>
        <w:tab/>
      </w:r>
      <w:r>
        <w:rPr>
          <w:noProof/>
        </w:rPr>
        <w:fldChar w:fldCharType="begin"/>
      </w:r>
      <w:r>
        <w:rPr>
          <w:noProof/>
        </w:rPr>
        <w:instrText xml:space="preserve"> PAGEREF _Toc127338141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119</w:t>
      </w:r>
      <w:r>
        <w:rPr>
          <w:noProof/>
          <w:snapToGrid w:val="0"/>
          <w:szCs w:val="24"/>
        </w:rPr>
        <w:t>.</w:t>
      </w:r>
      <w:r>
        <w:rPr>
          <w:noProof/>
          <w:sz w:val="24"/>
          <w:szCs w:val="24"/>
        </w:rPr>
        <w:tab/>
      </w:r>
      <w:r>
        <w:rPr>
          <w:noProof/>
          <w:snapToGrid w:val="0"/>
          <w:szCs w:val="24"/>
        </w:rPr>
        <w:t>Boundary marks to be pointed out</w:t>
      </w:r>
      <w:r>
        <w:rPr>
          <w:noProof/>
        </w:rPr>
        <w:tab/>
      </w:r>
      <w:r>
        <w:rPr>
          <w:noProof/>
        </w:rPr>
        <w:fldChar w:fldCharType="begin"/>
      </w:r>
      <w:r>
        <w:rPr>
          <w:noProof/>
        </w:rPr>
        <w:instrText xml:space="preserve"> PAGEREF _Toc127338142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120</w:t>
      </w:r>
      <w:r>
        <w:rPr>
          <w:noProof/>
          <w:snapToGrid w:val="0"/>
          <w:szCs w:val="24"/>
        </w:rPr>
        <w:t>.</w:t>
      </w:r>
      <w:r>
        <w:rPr>
          <w:noProof/>
          <w:sz w:val="24"/>
          <w:szCs w:val="24"/>
        </w:rPr>
        <w:tab/>
      </w:r>
      <w:r>
        <w:rPr>
          <w:noProof/>
          <w:snapToGrid w:val="0"/>
          <w:szCs w:val="24"/>
        </w:rPr>
        <w:t>Adjustment of boundaries</w:t>
      </w:r>
      <w:r>
        <w:rPr>
          <w:noProof/>
        </w:rPr>
        <w:tab/>
      </w:r>
      <w:r>
        <w:rPr>
          <w:noProof/>
        </w:rPr>
        <w:fldChar w:fldCharType="begin"/>
      </w:r>
      <w:r>
        <w:rPr>
          <w:noProof/>
        </w:rPr>
        <w:instrText xml:space="preserve"> PAGEREF _Toc127338143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120A</w:t>
      </w:r>
      <w:r>
        <w:rPr>
          <w:noProof/>
          <w:snapToGrid w:val="0"/>
          <w:szCs w:val="24"/>
        </w:rPr>
        <w:t>.</w:t>
      </w:r>
      <w:r>
        <w:rPr>
          <w:noProof/>
          <w:sz w:val="24"/>
          <w:szCs w:val="24"/>
        </w:rPr>
        <w:tab/>
      </w:r>
      <w:r>
        <w:rPr>
          <w:noProof/>
          <w:snapToGrid w:val="0"/>
          <w:szCs w:val="24"/>
        </w:rPr>
        <w:t>Disputes and objections in mining survey</w:t>
      </w:r>
      <w:r>
        <w:rPr>
          <w:noProof/>
        </w:rPr>
        <w:tab/>
      </w:r>
      <w:r>
        <w:rPr>
          <w:noProof/>
        </w:rPr>
        <w:fldChar w:fldCharType="begin"/>
      </w:r>
      <w:r>
        <w:rPr>
          <w:noProof/>
        </w:rPr>
        <w:instrText xml:space="preserve"> PAGEREF _Toc127338144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120B</w:t>
      </w:r>
      <w:r>
        <w:rPr>
          <w:noProof/>
          <w:snapToGrid w:val="0"/>
          <w:szCs w:val="24"/>
        </w:rPr>
        <w:t>.</w:t>
      </w:r>
      <w:r>
        <w:rPr>
          <w:noProof/>
          <w:sz w:val="24"/>
          <w:szCs w:val="24"/>
        </w:rPr>
        <w:tab/>
      </w:r>
      <w:r>
        <w:rPr>
          <w:noProof/>
          <w:snapToGrid w:val="0"/>
          <w:szCs w:val="24"/>
        </w:rPr>
        <w:t>Cost of travelling</w:t>
      </w:r>
      <w:r>
        <w:rPr>
          <w:noProof/>
        </w:rPr>
        <w:tab/>
      </w:r>
      <w:r>
        <w:rPr>
          <w:noProof/>
        </w:rPr>
        <w:fldChar w:fldCharType="begin"/>
      </w:r>
      <w:r>
        <w:rPr>
          <w:noProof/>
        </w:rPr>
        <w:instrText xml:space="preserve"> PAGEREF _Toc127338145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120C</w:t>
      </w:r>
      <w:r>
        <w:rPr>
          <w:noProof/>
          <w:snapToGrid w:val="0"/>
          <w:szCs w:val="24"/>
        </w:rPr>
        <w:t>.</w:t>
      </w:r>
      <w:r>
        <w:rPr>
          <w:noProof/>
          <w:sz w:val="24"/>
          <w:szCs w:val="24"/>
        </w:rPr>
        <w:tab/>
      </w:r>
      <w:r>
        <w:rPr>
          <w:noProof/>
          <w:snapToGrid w:val="0"/>
          <w:szCs w:val="24"/>
        </w:rPr>
        <w:t>Correction of errors or omissions</w:t>
      </w:r>
      <w:r>
        <w:rPr>
          <w:noProof/>
        </w:rPr>
        <w:tab/>
      </w:r>
      <w:r>
        <w:rPr>
          <w:noProof/>
        </w:rPr>
        <w:fldChar w:fldCharType="begin"/>
      </w:r>
      <w:r>
        <w:rPr>
          <w:noProof/>
        </w:rPr>
        <w:instrText xml:space="preserve"> PAGEREF _Toc127338146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120D</w:t>
      </w:r>
      <w:r>
        <w:rPr>
          <w:noProof/>
          <w:snapToGrid w:val="0"/>
          <w:szCs w:val="24"/>
        </w:rPr>
        <w:t>.</w:t>
      </w:r>
      <w:r>
        <w:rPr>
          <w:noProof/>
          <w:sz w:val="24"/>
          <w:szCs w:val="24"/>
        </w:rPr>
        <w:tab/>
      </w:r>
      <w:r>
        <w:rPr>
          <w:noProof/>
          <w:snapToGrid w:val="0"/>
          <w:szCs w:val="24"/>
        </w:rPr>
        <w:t>Cost of check surveys and of correction of errors to be met by approved surveyors</w:t>
      </w:r>
      <w:r>
        <w:rPr>
          <w:noProof/>
        </w:rPr>
        <w:tab/>
      </w:r>
      <w:r>
        <w:rPr>
          <w:noProof/>
        </w:rPr>
        <w:fldChar w:fldCharType="begin"/>
      </w:r>
      <w:r>
        <w:rPr>
          <w:noProof/>
        </w:rPr>
        <w:instrText xml:space="preserve"> PAGEREF _Toc127338147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120E</w:t>
      </w:r>
      <w:r>
        <w:rPr>
          <w:noProof/>
          <w:snapToGrid w:val="0"/>
          <w:szCs w:val="24"/>
        </w:rPr>
        <w:t>.</w:t>
      </w:r>
      <w:r>
        <w:rPr>
          <w:noProof/>
          <w:sz w:val="24"/>
          <w:szCs w:val="24"/>
        </w:rPr>
        <w:tab/>
      </w:r>
      <w:r>
        <w:rPr>
          <w:noProof/>
          <w:snapToGrid w:val="0"/>
          <w:szCs w:val="24"/>
        </w:rPr>
        <w:t>Report of surveyed tenements to be prepared</w:t>
      </w:r>
      <w:r>
        <w:rPr>
          <w:noProof/>
        </w:rPr>
        <w:tab/>
      </w:r>
      <w:r>
        <w:rPr>
          <w:noProof/>
        </w:rPr>
        <w:fldChar w:fldCharType="begin"/>
      </w:r>
      <w:r>
        <w:rPr>
          <w:noProof/>
        </w:rPr>
        <w:instrText xml:space="preserve"> PAGEREF _Toc127338148 \h </w:instrText>
      </w:r>
      <w:r>
        <w:rPr>
          <w:noProof/>
        </w:rPr>
      </w:r>
      <w:r>
        <w:rPr>
          <w:noProof/>
        </w:rPr>
        <w:fldChar w:fldCharType="separate"/>
      </w:r>
      <w:r>
        <w:rPr>
          <w:noProof/>
        </w:rPr>
        <w:t>122</w:t>
      </w:r>
      <w:r>
        <w:rPr>
          <w:noProof/>
        </w:rPr>
        <w:fldChar w:fldCharType="end"/>
      </w:r>
    </w:p>
    <w:p>
      <w:pPr>
        <w:pStyle w:val="TOC2"/>
        <w:tabs>
          <w:tab w:val="right" w:leader="dot" w:pos="7088"/>
        </w:tabs>
        <w:rPr>
          <w:b w:val="0"/>
          <w:noProof/>
          <w:sz w:val="24"/>
          <w:szCs w:val="24"/>
        </w:rPr>
      </w:pPr>
      <w:r>
        <w:rPr>
          <w:noProof/>
          <w:szCs w:val="30"/>
        </w:rPr>
        <w:t>Part VIA — Inspectors</w:t>
      </w:r>
    </w:p>
    <w:p>
      <w:pPr>
        <w:pStyle w:val="TOC3"/>
        <w:rPr>
          <w:b w:val="0"/>
          <w:noProof/>
          <w:sz w:val="24"/>
          <w:szCs w:val="24"/>
        </w:rPr>
      </w:pPr>
      <w:r>
        <w:rPr>
          <w:noProof/>
          <w:szCs w:val="26"/>
        </w:rPr>
        <w:t>Division 1</w:t>
      </w:r>
      <w:r>
        <w:rPr>
          <w:noProof/>
          <w:snapToGrid w:val="0"/>
          <w:szCs w:val="26"/>
        </w:rPr>
        <w:t> — </w:t>
      </w:r>
      <w:r>
        <w:rPr>
          <w:noProof/>
          <w:szCs w:val="26"/>
        </w:rPr>
        <w:t>Inspectors</w:t>
      </w:r>
    </w:p>
    <w:p>
      <w:pPr>
        <w:pStyle w:val="TOC4"/>
        <w:tabs>
          <w:tab w:val="left" w:pos="1701"/>
        </w:tabs>
        <w:rPr>
          <w:noProof/>
          <w:sz w:val="24"/>
          <w:szCs w:val="24"/>
        </w:rPr>
      </w:pPr>
      <w:r>
        <w:rPr>
          <w:noProof/>
          <w:szCs w:val="24"/>
        </w:rPr>
        <w:t>120F</w:t>
      </w:r>
      <w:r>
        <w:rPr>
          <w:noProof/>
          <w:snapToGrid w:val="0"/>
          <w:szCs w:val="24"/>
        </w:rPr>
        <w:t>.</w:t>
      </w:r>
      <w:r>
        <w:rPr>
          <w:noProof/>
          <w:sz w:val="24"/>
          <w:szCs w:val="24"/>
        </w:rPr>
        <w:tab/>
      </w:r>
      <w:r>
        <w:rPr>
          <w:noProof/>
          <w:snapToGrid w:val="0"/>
          <w:szCs w:val="24"/>
        </w:rPr>
        <w:t>Assignment of inspectors for environmental purpose</w:t>
      </w:r>
      <w:r>
        <w:rPr>
          <w:noProof/>
        </w:rPr>
        <w:tab/>
      </w:r>
      <w:r>
        <w:rPr>
          <w:noProof/>
        </w:rPr>
        <w:fldChar w:fldCharType="begin"/>
      </w:r>
      <w:r>
        <w:rPr>
          <w:noProof/>
        </w:rPr>
        <w:instrText xml:space="preserve"> PAGEREF _Toc127338151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120G</w:t>
      </w:r>
      <w:r>
        <w:rPr>
          <w:noProof/>
          <w:snapToGrid w:val="0"/>
          <w:szCs w:val="24"/>
        </w:rPr>
        <w:t>.</w:t>
      </w:r>
      <w:r>
        <w:rPr>
          <w:noProof/>
          <w:sz w:val="24"/>
          <w:szCs w:val="24"/>
        </w:rPr>
        <w:tab/>
      </w:r>
      <w:r>
        <w:rPr>
          <w:noProof/>
          <w:snapToGrid w:val="0"/>
          <w:szCs w:val="24"/>
        </w:rPr>
        <w:t>Inspectors may enter mining tenement or mine</w:t>
      </w:r>
      <w:r>
        <w:rPr>
          <w:noProof/>
        </w:rPr>
        <w:tab/>
      </w:r>
      <w:r>
        <w:rPr>
          <w:noProof/>
        </w:rPr>
        <w:fldChar w:fldCharType="begin"/>
      </w:r>
      <w:r>
        <w:rPr>
          <w:noProof/>
        </w:rPr>
        <w:instrText xml:space="preserve"> PAGEREF _Toc127338152 \h </w:instrText>
      </w:r>
      <w:r>
        <w:rPr>
          <w:noProof/>
        </w:rPr>
      </w:r>
      <w:r>
        <w:rPr>
          <w:noProof/>
        </w:rPr>
        <w:fldChar w:fldCharType="separate"/>
      </w:r>
      <w:r>
        <w:rPr>
          <w:noProof/>
        </w:rPr>
        <w:t>124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Directions to modify mining operations</w:t>
      </w:r>
    </w:p>
    <w:p>
      <w:pPr>
        <w:pStyle w:val="TOC4"/>
        <w:tabs>
          <w:tab w:val="left" w:pos="1701"/>
        </w:tabs>
        <w:rPr>
          <w:noProof/>
          <w:sz w:val="24"/>
          <w:szCs w:val="24"/>
        </w:rPr>
      </w:pPr>
      <w:r>
        <w:rPr>
          <w:noProof/>
          <w:szCs w:val="24"/>
        </w:rPr>
        <w:t>120H</w:t>
      </w:r>
      <w:r>
        <w:rPr>
          <w:noProof/>
          <w:snapToGrid w:val="0"/>
          <w:szCs w:val="24"/>
        </w:rPr>
        <w:t>.</w:t>
      </w:r>
      <w:r>
        <w:rPr>
          <w:noProof/>
          <w:sz w:val="24"/>
          <w:szCs w:val="24"/>
        </w:rPr>
        <w:tab/>
      </w:r>
      <w:r>
        <w:rPr>
          <w:noProof/>
          <w:snapToGrid w:val="0"/>
          <w:szCs w:val="24"/>
        </w:rPr>
        <w:t>Inspectors may issue directions</w:t>
      </w:r>
      <w:r>
        <w:rPr>
          <w:noProof/>
        </w:rPr>
        <w:tab/>
      </w:r>
      <w:r>
        <w:rPr>
          <w:noProof/>
        </w:rPr>
        <w:fldChar w:fldCharType="begin"/>
      </w:r>
      <w:r>
        <w:rPr>
          <w:noProof/>
        </w:rPr>
        <w:instrText xml:space="preserve"> PAGEREF _Toc127338154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120I</w:t>
      </w:r>
      <w:r>
        <w:rPr>
          <w:noProof/>
          <w:snapToGrid w:val="0"/>
          <w:szCs w:val="24"/>
        </w:rPr>
        <w:t>.</w:t>
      </w:r>
      <w:r>
        <w:rPr>
          <w:noProof/>
          <w:sz w:val="24"/>
          <w:szCs w:val="24"/>
        </w:rPr>
        <w:tab/>
      </w:r>
      <w:r>
        <w:rPr>
          <w:noProof/>
          <w:snapToGrid w:val="0"/>
          <w:szCs w:val="24"/>
        </w:rPr>
        <w:t>Directions</w:t>
      </w:r>
      <w:r>
        <w:rPr>
          <w:noProof/>
        </w:rPr>
        <w:tab/>
      </w:r>
      <w:r>
        <w:rPr>
          <w:noProof/>
        </w:rPr>
        <w:fldChar w:fldCharType="begin"/>
      </w:r>
      <w:r>
        <w:rPr>
          <w:noProof/>
        </w:rPr>
        <w:instrText xml:space="preserve"> PAGEREF _Toc127338155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120J</w:t>
      </w:r>
      <w:r>
        <w:rPr>
          <w:noProof/>
          <w:snapToGrid w:val="0"/>
          <w:szCs w:val="24"/>
        </w:rPr>
        <w:t>.</w:t>
      </w:r>
      <w:r>
        <w:rPr>
          <w:noProof/>
          <w:sz w:val="24"/>
          <w:szCs w:val="24"/>
        </w:rPr>
        <w:tab/>
      </w:r>
      <w:r>
        <w:rPr>
          <w:noProof/>
          <w:snapToGrid w:val="0"/>
          <w:szCs w:val="24"/>
        </w:rPr>
        <w:t>Review of direction</w:t>
      </w:r>
      <w:r>
        <w:rPr>
          <w:noProof/>
        </w:rPr>
        <w:tab/>
      </w:r>
      <w:r>
        <w:rPr>
          <w:noProof/>
        </w:rPr>
        <w:fldChar w:fldCharType="begin"/>
      </w:r>
      <w:r>
        <w:rPr>
          <w:noProof/>
        </w:rPr>
        <w:instrText xml:space="preserve"> PAGEREF _Toc127338156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120K</w:t>
      </w:r>
      <w:r>
        <w:rPr>
          <w:noProof/>
          <w:snapToGrid w:val="0"/>
          <w:szCs w:val="24"/>
        </w:rPr>
        <w:t>.</w:t>
      </w:r>
      <w:r>
        <w:rPr>
          <w:noProof/>
          <w:sz w:val="24"/>
          <w:szCs w:val="24"/>
        </w:rPr>
        <w:tab/>
      </w:r>
      <w:r>
        <w:rPr>
          <w:noProof/>
          <w:snapToGrid w:val="0"/>
          <w:szCs w:val="24"/>
        </w:rPr>
        <w:t>Compliance with directions</w:t>
      </w:r>
      <w:r>
        <w:rPr>
          <w:noProof/>
        </w:rPr>
        <w:tab/>
      </w:r>
      <w:r>
        <w:rPr>
          <w:noProof/>
        </w:rPr>
        <w:fldChar w:fldCharType="begin"/>
      </w:r>
      <w:r>
        <w:rPr>
          <w:noProof/>
        </w:rPr>
        <w:instrText xml:space="preserve"> PAGEREF _Toc127338157 \h </w:instrText>
      </w:r>
      <w:r>
        <w:rPr>
          <w:noProof/>
        </w:rPr>
      </w:r>
      <w:r>
        <w:rPr>
          <w:noProof/>
        </w:rPr>
        <w:fldChar w:fldCharType="separate"/>
      </w:r>
      <w:r>
        <w:rPr>
          <w:noProof/>
        </w:rPr>
        <w:t>126</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Stop Work Orders</w:t>
      </w:r>
    </w:p>
    <w:p>
      <w:pPr>
        <w:pStyle w:val="TOC4"/>
        <w:tabs>
          <w:tab w:val="left" w:pos="1701"/>
        </w:tabs>
        <w:rPr>
          <w:noProof/>
          <w:sz w:val="24"/>
          <w:szCs w:val="24"/>
        </w:rPr>
      </w:pPr>
      <w:r>
        <w:rPr>
          <w:noProof/>
          <w:szCs w:val="24"/>
        </w:rPr>
        <w:t>120L</w:t>
      </w:r>
      <w:r>
        <w:rPr>
          <w:noProof/>
          <w:snapToGrid w:val="0"/>
          <w:szCs w:val="24"/>
        </w:rPr>
        <w:t>.</w:t>
      </w:r>
      <w:r>
        <w:rPr>
          <w:noProof/>
          <w:sz w:val="24"/>
          <w:szCs w:val="24"/>
        </w:rPr>
        <w:tab/>
      </w:r>
      <w:r>
        <w:rPr>
          <w:noProof/>
          <w:snapToGrid w:val="0"/>
          <w:szCs w:val="24"/>
        </w:rPr>
        <w:t>Inspectors may issue Stop Work Orders</w:t>
      </w:r>
      <w:r>
        <w:rPr>
          <w:noProof/>
        </w:rPr>
        <w:tab/>
      </w:r>
      <w:r>
        <w:rPr>
          <w:noProof/>
        </w:rPr>
        <w:fldChar w:fldCharType="begin"/>
      </w:r>
      <w:r>
        <w:rPr>
          <w:noProof/>
        </w:rPr>
        <w:instrText xml:space="preserve"> PAGEREF _Toc127338159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120M</w:t>
      </w:r>
      <w:r>
        <w:rPr>
          <w:noProof/>
          <w:snapToGrid w:val="0"/>
          <w:szCs w:val="24"/>
        </w:rPr>
        <w:t>.</w:t>
      </w:r>
      <w:r>
        <w:rPr>
          <w:noProof/>
          <w:sz w:val="24"/>
          <w:szCs w:val="24"/>
        </w:rPr>
        <w:tab/>
      </w:r>
      <w:r>
        <w:rPr>
          <w:noProof/>
          <w:snapToGrid w:val="0"/>
          <w:szCs w:val="24"/>
        </w:rPr>
        <w:t>Stop Work Orders</w:t>
      </w:r>
      <w:r>
        <w:rPr>
          <w:noProof/>
        </w:rPr>
        <w:tab/>
      </w:r>
      <w:r>
        <w:rPr>
          <w:noProof/>
        </w:rPr>
        <w:fldChar w:fldCharType="begin"/>
      </w:r>
      <w:r>
        <w:rPr>
          <w:noProof/>
        </w:rPr>
        <w:instrText xml:space="preserve"> PAGEREF _Toc127338160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120N</w:t>
      </w:r>
      <w:r>
        <w:rPr>
          <w:noProof/>
          <w:snapToGrid w:val="0"/>
          <w:szCs w:val="24"/>
        </w:rPr>
        <w:t>.</w:t>
      </w:r>
      <w:r>
        <w:rPr>
          <w:noProof/>
          <w:sz w:val="24"/>
          <w:szCs w:val="24"/>
        </w:rPr>
        <w:tab/>
      </w:r>
      <w:r>
        <w:rPr>
          <w:noProof/>
          <w:snapToGrid w:val="0"/>
          <w:szCs w:val="24"/>
        </w:rPr>
        <w:t>Review of a Stop Work Order</w:t>
      </w:r>
      <w:r>
        <w:rPr>
          <w:noProof/>
        </w:rPr>
        <w:tab/>
      </w:r>
      <w:r>
        <w:rPr>
          <w:noProof/>
        </w:rPr>
        <w:fldChar w:fldCharType="begin"/>
      </w:r>
      <w:r>
        <w:rPr>
          <w:noProof/>
        </w:rPr>
        <w:instrText xml:space="preserve"> PAGEREF _Toc127338161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120O</w:t>
      </w:r>
      <w:r>
        <w:rPr>
          <w:noProof/>
          <w:snapToGrid w:val="0"/>
          <w:szCs w:val="24"/>
        </w:rPr>
        <w:t>.</w:t>
      </w:r>
      <w:r>
        <w:rPr>
          <w:noProof/>
          <w:sz w:val="24"/>
          <w:szCs w:val="24"/>
        </w:rPr>
        <w:tab/>
      </w:r>
      <w:r>
        <w:rPr>
          <w:noProof/>
          <w:snapToGrid w:val="0"/>
          <w:szCs w:val="24"/>
        </w:rPr>
        <w:t>Compliance with Stop Work Orders</w:t>
      </w:r>
      <w:r>
        <w:rPr>
          <w:noProof/>
        </w:rPr>
        <w:tab/>
      </w:r>
      <w:r>
        <w:rPr>
          <w:noProof/>
        </w:rPr>
        <w:fldChar w:fldCharType="begin"/>
      </w:r>
      <w:r>
        <w:rPr>
          <w:noProof/>
        </w:rPr>
        <w:instrText xml:space="preserve"> PAGEREF _Toc127338162 \h </w:instrText>
      </w:r>
      <w:r>
        <w:rPr>
          <w:noProof/>
        </w:rPr>
      </w:r>
      <w:r>
        <w:rPr>
          <w:noProof/>
        </w:rPr>
        <w:fldChar w:fldCharType="separate"/>
      </w:r>
      <w:r>
        <w:rPr>
          <w:noProof/>
        </w:rPr>
        <w:t>129</w:t>
      </w:r>
      <w:r>
        <w:rPr>
          <w:noProof/>
        </w:rPr>
        <w:fldChar w:fldCharType="end"/>
      </w:r>
    </w:p>
    <w:p>
      <w:pPr>
        <w:pStyle w:val="TOC2"/>
        <w:tabs>
          <w:tab w:val="right" w:leader="dot" w:pos="7088"/>
        </w:tabs>
        <w:rPr>
          <w:b w:val="0"/>
          <w:noProof/>
          <w:sz w:val="24"/>
          <w:szCs w:val="24"/>
        </w:rPr>
      </w:pPr>
      <w:r>
        <w:rPr>
          <w:noProof/>
          <w:szCs w:val="30"/>
        </w:rPr>
        <w:t>Part VIB — Aerial photography</w:t>
      </w:r>
    </w:p>
    <w:p>
      <w:pPr>
        <w:pStyle w:val="TOC4"/>
        <w:tabs>
          <w:tab w:val="left" w:pos="1701"/>
        </w:tabs>
        <w:rPr>
          <w:noProof/>
          <w:sz w:val="24"/>
          <w:szCs w:val="24"/>
        </w:rPr>
      </w:pPr>
      <w:r>
        <w:rPr>
          <w:noProof/>
          <w:szCs w:val="24"/>
        </w:rPr>
        <w:t>120P</w:t>
      </w:r>
      <w:r>
        <w:rPr>
          <w:noProof/>
          <w:snapToGrid w:val="0"/>
          <w:szCs w:val="24"/>
        </w:rPr>
        <w:t>.</w:t>
      </w:r>
      <w:r>
        <w:rPr>
          <w:noProof/>
          <w:sz w:val="24"/>
          <w:szCs w:val="24"/>
        </w:rPr>
        <w:tab/>
      </w:r>
      <w:r>
        <w:rPr>
          <w:noProof/>
          <w:snapToGrid w:val="0"/>
          <w:szCs w:val="24"/>
        </w:rPr>
        <w:t>Interpretation in Part VIB</w:t>
      </w:r>
      <w:r>
        <w:rPr>
          <w:noProof/>
        </w:rPr>
        <w:tab/>
      </w:r>
      <w:r>
        <w:rPr>
          <w:noProof/>
        </w:rPr>
        <w:fldChar w:fldCharType="begin"/>
      </w:r>
      <w:r>
        <w:rPr>
          <w:noProof/>
        </w:rPr>
        <w:instrText xml:space="preserve"> PAGEREF _Toc127338164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120Q</w:t>
      </w:r>
      <w:r>
        <w:rPr>
          <w:noProof/>
          <w:snapToGrid w:val="0"/>
          <w:szCs w:val="24"/>
        </w:rPr>
        <w:t>.</w:t>
      </w:r>
      <w:r>
        <w:rPr>
          <w:noProof/>
          <w:sz w:val="24"/>
          <w:szCs w:val="24"/>
        </w:rPr>
        <w:tab/>
      </w:r>
      <w:r>
        <w:rPr>
          <w:noProof/>
          <w:snapToGrid w:val="0"/>
          <w:szCs w:val="24"/>
        </w:rPr>
        <w:t>Information to be provided as to aerial photography</w:t>
      </w:r>
      <w:r>
        <w:rPr>
          <w:noProof/>
        </w:rPr>
        <w:tab/>
      </w:r>
      <w:r>
        <w:rPr>
          <w:noProof/>
        </w:rPr>
        <w:fldChar w:fldCharType="begin"/>
      </w:r>
      <w:r>
        <w:rPr>
          <w:noProof/>
        </w:rPr>
        <w:instrText xml:space="preserve"> PAGEREF _Toc127338165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120R</w:t>
      </w:r>
      <w:r>
        <w:rPr>
          <w:noProof/>
          <w:snapToGrid w:val="0"/>
          <w:szCs w:val="24"/>
        </w:rPr>
        <w:t>.</w:t>
      </w:r>
      <w:r>
        <w:rPr>
          <w:noProof/>
          <w:sz w:val="24"/>
          <w:szCs w:val="24"/>
        </w:rPr>
        <w:tab/>
      </w:r>
      <w:r>
        <w:rPr>
          <w:noProof/>
          <w:snapToGrid w:val="0"/>
          <w:szCs w:val="24"/>
        </w:rPr>
        <w:t>Register</w:t>
      </w:r>
      <w:r>
        <w:rPr>
          <w:noProof/>
        </w:rPr>
        <w:tab/>
      </w:r>
      <w:r>
        <w:rPr>
          <w:noProof/>
        </w:rPr>
        <w:fldChar w:fldCharType="begin"/>
      </w:r>
      <w:r>
        <w:rPr>
          <w:noProof/>
        </w:rPr>
        <w:instrText xml:space="preserve"> PAGEREF _Toc127338166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120S</w:t>
      </w:r>
      <w:r>
        <w:rPr>
          <w:noProof/>
          <w:snapToGrid w:val="0"/>
          <w:szCs w:val="24"/>
        </w:rPr>
        <w:t>.</w:t>
      </w:r>
      <w:r>
        <w:rPr>
          <w:noProof/>
          <w:sz w:val="24"/>
          <w:szCs w:val="24"/>
        </w:rPr>
        <w:tab/>
      </w:r>
      <w:r>
        <w:rPr>
          <w:noProof/>
          <w:snapToGrid w:val="0"/>
          <w:szCs w:val="24"/>
        </w:rPr>
        <w:t>Confidentiality of information</w:t>
      </w:r>
      <w:r>
        <w:rPr>
          <w:noProof/>
        </w:rPr>
        <w:tab/>
      </w:r>
      <w:r>
        <w:rPr>
          <w:noProof/>
        </w:rPr>
        <w:fldChar w:fldCharType="begin"/>
      </w:r>
      <w:r>
        <w:rPr>
          <w:noProof/>
        </w:rPr>
        <w:instrText xml:space="preserve"> PAGEREF _Toc127338167 \h </w:instrText>
      </w:r>
      <w:r>
        <w:rPr>
          <w:noProof/>
        </w:rPr>
      </w:r>
      <w:r>
        <w:rPr>
          <w:noProof/>
        </w:rPr>
        <w:fldChar w:fldCharType="separate"/>
      </w:r>
      <w:r>
        <w:rPr>
          <w:noProof/>
        </w:rPr>
        <w:t>132</w:t>
      </w:r>
      <w:r>
        <w:rPr>
          <w:noProof/>
        </w:rPr>
        <w:fldChar w:fldCharType="end"/>
      </w:r>
    </w:p>
    <w:p>
      <w:pPr>
        <w:pStyle w:val="TOC2"/>
        <w:tabs>
          <w:tab w:val="right" w:leader="dot" w:pos="7088"/>
        </w:tabs>
        <w:rPr>
          <w:b w:val="0"/>
          <w:noProof/>
          <w:sz w:val="24"/>
          <w:szCs w:val="24"/>
        </w:rPr>
      </w:pPr>
      <w:r>
        <w:rPr>
          <w:noProof/>
          <w:szCs w:val="30"/>
        </w:rPr>
        <w:t>Part VII — Legal proceedings</w:t>
      </w:r>
    </w:p>
    <w:p>
      <w:pPr>
        <w:pStyle w:val="TOC4"/>
        <w:tabs>
          <w:tab w:val="left" w:pos="1701"/>
        </w:tabs>
        <w:rPr>
          <w:noProof/>
          <w:sz w:val="24"/>
          <w:szCs w:val="24"/>
        </w:rPr>
      </w:pPr>
      <w:r>
        <w:rPr>
          <w:noProof/>
          <w:szCs w:val="24"/>
        </w:rPr>
        <w:t>121</w:t>
      </w:r>
      <w:r>
        <w:rPr>
          <w:noProof/>
          <w:snapToGrid w:val="0"/>
          <w:szCs w:val="24"/>
        </w:rPr>
        <w:t>.</w:t>
      </w:r>
      <w:r>
        <w:rPr>
          <w:noProof/>
          <w:sz w:val="24"/>
          <w:szCs w:val="24"/>
        </w:rPr>
        <w:tab/>
      </w:r>
      <w:r>
        <w:rPr>
          <w:noProof/>
          <w:snapToGrid w:val="0"/>
          <w:szCs w:val="24"/>
        </w:rPr>
        <w:t>Proceedings</w:t>
      </w:r>
      <w:r>
        <w:rPr>
          <w:noProof/>
        </w:rPr>
        <w:tab/>
      </w:r>
      <w:r>
        <w:rPr>
          <w:noProof/>
        </w:rPr>
        <w:fldChar w:fldCharType="begin"/>
      </w:r>
      <w:r>
        <w:rPr>
          <w:noProof/>
        </w:rPr>
        <w:instrText xml:space="preserve"> PAGEREF _Toc127338169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Lodgement, withdrawal of plaint</w:t>
      </w:r>
      <w:r>
        <w:rPr>
          <w:noProof/>
        </w:rPr>
        <w:tab/>
      </w:r>
      <w:r>
        <w:rPr>
          <w:noProof/>
        </w:rPr>
        <w:fldChar w:fldCharType="begin"/>
      </w:r>
      <w:r>
        <w:rPr>
          <w:noProof/>
        </w:rPr>
        <w:instrText xml:space="preserve"> PAGEREF _Toc127338170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Issue of summons</w:t>
      </w:r>
      <w:r>
        <w:rPr>
          <w:noProof/>
        </w:rPr>
        <w:tab/>
      </w:r>
      <w:r>
        <w:rPr>
          <w:noProof/>
        </w:rPr>
        <w:fldChar w:fldCharType="begin"/>
      </w:r>
      <w:r>
        <w:rPr>
          <w:noProof/>
        </w:rPr>
        <w:instrText xml:space="preserve"> PAGEREF _Toc127338171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124</w:t>
      </w:r>
      <w:r>
        <w:rPr>
          <w:noProof/>
          <w:snapToGrid w:val="0"/>
          <w:szCs w:val="24"/>
        </w:rPr>
        <w:t>.</w:t>
      </w:r>
      <w:r>
        <w:rPr>
          <w:noProof/>
          <w:sz w:val="24"/>
          <w:szCs w:val="24"/>
        </w:rPr>
        <w:tab/>
      </w:r>
      <w:r>
        <w:rPr>
          <w:noProof/>
          <w:snapToGrid w:val="0"/>
          <w:szCs w:val="24"/>
        </w:rPr>
        <w:t>Affidavit of service</w:t>
      </w:r>
      <w:r>
        <w:rPr>
          <w:noProof/>
        </w:rPr>
        <w:tab/>
      </w:r>
      <w:r>
        <w:rPr>
          <w:noProof/>
        </w:rPr>
        <w:fldChar w:fldCharType="begin"/>
      </w:r>
      <w:r>
        <w:rPr>
          <w:noProof/>
        </w:rPr>
        <w:instrText xml:space="preserve"> PAGEREF _Toc127338172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125</w:t>
      </w:r>
      <w:r>
        <w:rPr>
          <w:noProof/>
          <w:snapToGrid w:val="0"/>
          <w:szCs w:val="24"/>
        </w:rPr>
        <w:t>.</w:t>
      </w:r>
      <w:r>
        <w:rPr>
          <w:noProof/>
          <w:sz w:val="24"/>
          <w:szCs w:val="24"/>
        </w:rPr>
        <w:tab/>
      </w:r>
      <w:r>
        <w:rPr>
          <w:noProof/>
          <w:snapToGrid w:val="0"/>
          <w:szCs w:val="24"/>
        </w:rPr>
        <w:t>Time for service</w:t>
      </w:r>
      <w:r>
        <w:rPr>
          <w:noProof/>
        </w:rPr>
        <w:tab/>
      </w:r>
      <w:r>
        <w:rPr>
          <w:noProof/>
        </w:rPr>
        <w:fldChar w:fldCharType="begin"/>
      </w:r>
      <w:r>
        <w:rPr>
          <w:noProof/>
        </w:rPr>
        <w:instrText xml:space="preserve"> PAGEREF _Toc127338173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126</w:t>
      </w:r>
      <w:r>
        <w:rPr>
          <w:noProof/>
          <w:snapToGrid w:val="0"/>
          <w:szCs w:val="24"/>
        </w:rPr>
        <w:t>.</w:t>
      </w:r>
      <w:r>
        <w:rPr>
          <w:noProof/>
          <w:sz w:val="24"/>
          <w:szCs w:val="24"/>
        </w:rPr>
        <w:tab/>
      </w:r>
      <w:r>
        <w:rPr>
          <w:noProof/>
          <w:snapToGrid w:val="0"/>
          <w:szCs w:val="24"/>
        </w:rPr>
        <w:t>Notice of defence</w:t>
      </w:r>
      <w:r>
        <w:rPr>
          <w:noProof/>
        </w:rPr>
        <w:tab/>
      </w:r>
      <w:r>
        <w:rPr>
          <w:noProof/>
        </w:rPr>
        <w:fldChar w:fldCharType="begin"/>
      </w:r>
      <w:r>
        <w:rPr>
          <w:noProof/>
        </w:rPr>
        <w:instrText xml:space="preserve"> PAGEREF _Toc127338174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127</w:t>
      </w:r>
      <w:r>
        <w:rPr>
          <w:noProof/>
          <w:snapToGrid w:val="0"/>
          <w:szCs w:val="24"/>
        </w:rPr>
        <w:t>.</w:t>
      </w:r>
      <w:r>
        <w:rPr>
          <w:noProof/>
          <w:sz w:val="24"/>
          <w:szCs w:val="24"/>
        </w:rPr>
        <w:tab/>
      </w:r>
      <w:r>
        <w:rPr>
          <w:noProof/>
          <w:snapToGrid w:val="0"/>
          <w:szCs w:val="24"/>
        </w:rPr>
        <w:t>Subpoena of witness</w:t>
      </w:r>
      <w:r>
        <w:rPr>
          <w:noProof/>
        </w:rPr>
        <w:tab/>
      </w:r>
      <w:r>
        <w:rPr>
          <w:noProof/>
        </w:rPr>
        <w:fldChar w:fldCharType="begin"/>
      </w:r>
      <w:r>
        <w:rPr>
          <w:noProof/>
        </w:rPr>
        <w:instrText xml:space="preserve"> PAGEREF _Toc127338175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127A</w:t>
      </w:r>
      <w:r>
        <w:rPr>
          <w:noProof/>
          <w:snapToGrid w:val="0"/>
          <w:szCs w:val="24"/>
        </w:rPr>
        <w:t>.</w:t>
      </w:r>
      <w:r>
        <w:rPr>
          <w:noProof/>
          <w:sz w:val="24"/>
          <w:szCs w:val="24"/>
        </w:rPr>
        <w:tab/>
      </w:r>
      <w:r>
        <w:rPr>
          <w:noProof/>
          <w:snapToGrid w:val="0"/>
          <w:szCs w:val="24"/>
        </w:rPr>
        <w:t>Persons before whom affidavit may be sworn</w:t>
      </w:r>
      <w:r>
        <w:rPr>
          <w:noProof/>
        </w:rPr>
        <w:tab/>
      </w:r>
      <w:r>
        <w:rPr>
          <w:noProof/>
        </w:rPr>
        <w:fldChar w:fldCharType="begin"/>
      </w:r>
      <w:r>
        <w:rPr>
          <w:noProof/>
        </w:rPr>
        <w:instrText xml:space="preserve"> PAGEREF _Toc127338176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128</w:t>
      </w:r>
      <w:r>
        <w:rPr>
          <w:noProof/>
          <w:snapToGrid w:val="0"/>
          <w:szCs w:val="24"/>
        </w:rPr>
        <w:t>.</w:t>
      </w:r>
      <w:r>
        <w:rPr>
          <w:noProof/>
          <w:sz w:val="24"/>
          <w:szCs w:val="24"/>
        </w:rPr>
        <w:tab/>
      </w:r>
      <w:r>
        <w:rPr>
          <w:noProof/>
          <w:snapToGrid w:val="0"/>
          <w:szCs w:val="24"/>
        </w:rPr>
        <w:t>Costs</w:t>
      </w:r>
      <w:r>
        <w:rPr>
          <w:noProof/>
          <w:snapToGrid w:val="0"/>
          <w:szCs w:val="24"/>
        </w:rPr>
        <w:tab/>
      </w:r>
      <w:r>
        <w:rPr>
          <w:noProof/>
        </w:rPr>
        <w:tab/>
      </w:r>
      <w:r>
        <w:rPr>
          <w:noProof/>
        </w:rPr>
        <w:fldChar w:fldCharType="begin"/>
      </w:r>
      <w:r>
        <w:rPr>
          <w:noProof/>
        </w:rPr>
        <w:instrText xml:space="preserve"> PAGEREF _Toc127338177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129</w:t>
      </w:r>
      <w:r>
        <w:rPr>
          <w:noProof/>
          <w:snapToGrid w:val="0"/>
          <w:szCs w:val="24"/>
        </w:rPr>
        <w:t>.</w:t>
      </w:r>
      <w:r>
        <w:rPr>
          <w:noProof/>
          <w:sz w:val="24"/>
          <w:szCs w:val="24"/>
        </w:rPr>
        <w:tab/>
      </w:r>
      <w:r>
        <w:rPr>
          <w:noProof/>
          <w:snapToGrid w:val="0"/>
          <w:szCs w:val="24"/>
        </w:rPr>
        <w:t>Copy of judgment</w:t>
      </w:r>
      <w:r>
        <w:rPr>
          <w:noProof/>
        </w:rPr>
        <w:tab/>
      </w:r>
      <w:r>
        <w:rPr>
          <w:noProof/>
        </w:rPr>
        <w:fldChar w:fldCharType="begin"/>
      </w:r>
      <w:r>
        <w:rPr>
          <w:noProof/>
        </w:rPr>
        <w:instrText xml:space="preserve"> PAGEREF _Toc127338178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130</w:t>
      </w:r>
      <w:r>
        <w:rPr>
          <w:noProof/>
          <w:snapToGrid w:val="0"/>
          <w:szCs w:val="24"/>
        </w:rPr>
        <w:t>.</w:t>
      </w:r>
      <w:r>
        <w:rPr>
          <w:noProof/>
          <w:sz w:val="24"/>
          <w:szCs w:val="24"/>
        </w:rPr>
        <w:tab/>
      </w:r>
      <w:r>
        <w:rPr>
          <w:noProof/>
          <w:snapToGrid w:val="0"/>
          <w:szCs w:val="24"/>
        </w:rPr>
        <w:t>Warrant of execution</w:t>
      </w:r>
      <w:r>
        <w:rPr>
          <w:noProof/>
        </w:rPr>
        <w:tab/>
      </w:r>
      <w:r>
        <w:rPr>
          <w:noProof/>
        </w:rPr>
        <w:fldChar w:fldCharType="begin"/>
      </w:r>
      <w:r>
        <w:rPr>
          <w:noProof/>
        </w:rPr>
        <w:instrText xml:space="preserve"> PAGEREF _Toc127338179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131</w:t>
      </w:r>
      <w:r>
        <w:rPr>
          <w:noProof/>
          <w:snapToGrid w:val="0"/>
          <w:szCs w:val="24"/>
        </w:rPr>
        <w:t>.</w:t>
      </w:r>
      <w:r>
        <w:rPr>
          <w:noProof/>
          <w:sz w:val="24"/>
          <w:szCs w:val="24"/>
        </w:rPr>
        <w:tab/>
      </w:r>
      <w:r>
        <w:rPr>
          <w:noProof/>
          <w:snapToGrid w:val="0"/>
          <w:szCs w:val="24"/>
        </w:rPr>
        <w:t>Warrant for recovery of possession</w:t>
      </w:r>
      <w:r>
        <w:rPr>
          <w:noProof/>
        </w:rPr>
        <w:tab/>
      </w:r>
      <w:r>
        <w:rPr>
          <w:noProof/>
        </w:rPr>
        <w:fldChar w:fldCharType="begin"/>
      </w:r>
      <w:r>
        <w:rPr>
          <w:noProof/>
        </w:rPr>
        <w:instrText xml:space="preserve"> PAGEREF _Toc127338180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132</w:t>
      </w:r>
      <w:r>
        <w:rPr>
          <w:noProof/>
          <w:snapToGrid w:val="0"/>
          <w:szCs w:val="24"/>
        </w:rPr>
        <w:t>.</w:t>
      </w:r>
      <w:r>
        <w:rPr>
          <w:noProof/>
          <w:sz w:val="24"/>
          <w:szCs w:val="24"/>
        </w:rPr>
        <w:tab/>
      </w:r>
      <w:r>
        <w:rPr>
          <w:noProof/>
          <w:snapToGrid w:val="0"/>
          <w:szCs w:val="24"/>
        </w:rPr>
        <w:t>Notice of seizure</w:t>
      </w:r>
      <w:r>
        <w:rPr>
          <w:noProof/>
        </w:rPr>
        <w:tab/>
      </w:r>
      <w:r>
        <w:rPr>
          <w:noProof/>
        </w:rPr>
        <w:fldChar w:fldCharType="begin"/>
      </w:r>
      <w:r>
        <w:rPr>
          <w:noProof/>
        </w:rPr>
        <w:instrText xml:space="preserve"> PAGEREF _Toc127338181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133</w:t>
      </w:r>
      <w:r>
        <w:rPr>
          <w:noProof/>
          <w:snapToGrid w:val="0"/>
          <w:szCs w:val="24"/>
        </w:rPr>
        <w:t>.</w:t>
      </w:r>
      <w:r>
        <w:rPr>
          <w:noProof/>
          <w:sz w:val="24"/>
          <w:szCs w:val="24"/>
        </w:rPr>
        <w:tab/>
      </w:r>
      <w:r>
        <w:rPr>
          <w:noProof/>
          <w:snapToGrid w:val="0"/>
          <w:szCs w:val="24"/>
        </w:rPr>
        <w:t>Sale under warrant of execution</w:t>
      </w:r>
      <w:r>
        <w:rPr>
          <w:noProof/>
        </w:rPr>
        <w:tab/>
      </w:r>
      <w:r>
        <w:rPr>
          <w:noProof/>
        </w:rPr>
        <w:fldChar w:fldCharType="begin"/>
      </w:r>
      <w:r>
        <w:rPr>
          <w:noProof/>
        </w:rPr>
        <w:instrText xml:space="preserve"> PAGEREF _Toc127338182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134</w:t>
      </w:r>
      <w:r>
        <w:rPr>
          <w:noProof/>
          <w:snapToGrid w:val="0"/>
          <w:szCs w:val="24"/>
        </w:rPr>
        <w:t>.</w:t>
      </w:r>
      <w:r>
        <w:rPr>
          <w:noProof/>
          <w:sz w:val="24"/>
          <w:szCs w:val="24"/>
        </w:rPr>
        <w:tab/>
      </w:r>
      <w:r>
        <w:rPr>
          <w:noProof/>
          <w:snapToGrid w:val="0"/>
          <w:szCs w:val="24"/>
        </w:rPr>
        <w:t>Transfer upon sale</w:t>
      </w:r>
      <w:r>
        <w:rPr>
          <w:noProof/>
        </w:rPr>
        <w:tab/>
      </w:r>
      <w:r>
        <w:rPr>
          <w:noProof/>
        </w:rPr>
        <w:fldChar w:fldCharType="begin"/>
      </w:r>
      <w:r>
        <w:rPr>
          <w:noProof/>
        </w:rPr>
        <w:instrText xml:space="preserve"> PAGEREF _Toc127338183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135</w:t>
      </w:r>
      <w:r>
        <w:rPr>
          <w:noProof/>
          <w:snapToGrid w:val="0"/>
          <w:szCs w:val="24"/>
        </w:rPr>
        <w:t>.</w:t>
      </w:r>
      <w:r>
        <w:rPr>
          <w:noProof/>
          <w:sz w:val="24"/>
          <w:szCs w:val="24"/>
        </w:rPr>
        <w:tab/>
      </w:r>
      <w:r>
        <w:rPr>
          <w:noProof/>
          <w:snapToGrid w:val="0"/>
          <w:szCs w:val="24"/>
        </w:rPr>
        <w:t>Appeal to Supreme Court</w:t>
      </w:r>
      <w:r>
        <w:rPr>
          <w:noProof/>
        </w:rPr>
        <w:tab/>
      </w:r>
      <w:r>
        <w:rPr>
          <w:noProof/>
        </w:rPr>
        <w:fldChar w:fldCharType="begin"/>
      </w:r>
      <w:r>
        <w:rPr>
          <w:noProof/>
        </w:rPr>
        <w:instrText xml:space="preserve"> PAGEREF _Toc127338184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136</w:t>
      </w:r>
      <w:r>
        <w:rPr>
          <w:noProof/>
          <w:snapToGrid w:val="0"/>
          <w:szCs w:val="24"/>
        </w:rPr>
        <w:t>.</w:t>
      </w:r>
      <w:r>
        <w:rPr>
          <w:noProof/>
          <w:sz w:val="24"/>
          <w:szCs w:val="24"/>
        </w:rPr>
        <w:tab/>
      </w:r>
      <w:r>
        <w:rPr>
          <w:noProof/>
          <w:snapToGrid w:val="0"/>
          <w:szCs w:val="24"/>
        </w:rPr>
        <w:t>Injunction</w:t>
      </w:r>
      <w:r>
        <w:rPr>
          <w:noProof/>
        </w:rPr>
        <w:tab/>
      </w:r>
      <w:r>
        <w:rPr>
          <w:noProof/>
        </w:rPr>
        <w:fldChar w:fldCharType="begin"/>
      </w:r>
      <w:r>
        <w:rPr>
          <w:noProof/>
        </w:rPr>
        <w:instrText xml:space="preserve"> PAGEREF _Toc127338185 \h </w:instrText>
      </w:r>
      <w:r>
        <w:rPr>
          <w:noProof/>
        </w:rPr>
      </w:r>
      <w:r>
        <w:rPr>
          <w:noProof/>
        </w:rPr>
        <w:fldChar w:fldCharType="separate"/>
      </w:r>
      <w:r>
        <w:rPr>
          <w:noProof/>
        </w:rPr>
        <w:t>138</w:t>
      </w:r>
      <w:r>
        <w:rPr>
          <w:noProof/>
        </w:rPr>
        <w:fldChar w:fldCharType="end"/>
      </w:r>
    </w:p>
    <w:p>
      <w:pPr>
        <w:pStyle w:val="TOC5"/>
        <w:rPr>
          <w:b w:val="0"/>
          <w:noProof/>
          <w:sz w:val="24"/>
          <w:szCs w:val="24"/>
        </w:rPr>
      </w:pPr>
      <w:r>
        <w:rPr>
          <w:noProof/>
          <w:szCs w:val="28"/>
        </w:rPr>
        <w:t>First Schedule</w:t>
      </w:r>
      <w:r>
        <w:rPr>
          <w:noProof/>
        </w:rPr>
        <w:tab/>
      </w:r>
      <w:r>
        <w:rPr>
          <w:noProof/>
        </w:rPr>
        <w:fldChar w:fldCharType="begin"/>
      </w:r>
      <w:r>
        <w:rPr>
          <w:noProof/>
        </w:rPr>
        <w:instrText xml:space="preserve"> PAGEREF _Toc127338186 \h </w:instrText>
      </w:r>
      <w:r>
        <w:rPr>
          <w:noProof/>
        </w:rPr>
      </w:r>
      <w:r>
        <w:rPr>
          <w:noProof/>
        </w:rPr>
        <w:fldChar w:fldCharType="separate"/>
      </w:r>
      <w:r>
        <w:rPr>
          <w:noProof/>
        </w:rPr>
        <w:t>139</w:t>
      </w:r>
      <w:r>
        <w:rPr>
          <w:noProof/>
        </w:rPr>
        <w:fldChar w:fldCharType="end"/>
      </w:r>
    </w:p>
    <w:p>
      <w:pPr>
        <w:pStyle w:val="TOC5"/>
        <w:rPr>
          <w:b w:val="0"/>
          <w:noProof/>
          <w:sz w:val="24"/>
          <w:szCs w:val="24"/>
        </w:rPr>
      </w:pPr>
      <w:r>
        <w:rPr>
          <w:noProof/>
          <w:szCs w:val="28"/>
        </w:rPr>
        <w:t>Second Schedule</w:t>
      </w:r>
      <w:r>
        <w:rPr>
          <w:noProof/>
        </w:rPr>
        <w:tab/>
      </w:r>
      <w:r>
        <w:rPr>
          <w:noProof/>
        </w:rPr>
        <w:fldChar w:fldCharType="begin"/>
      </w:r>
      <w:r>
        <w:rPr>
          <w:noProof/>
        </w:rPr>
        <w:instrText xml:space="preserve"> PAGEREF _Toc127338187 \h </w:instrText>
      </w:r>
      <w:r>
        <w:rPr>
          <w:noProof/>
        </w:rPr>
      </w:r>
      <w:r>
        <w:rPr>
          <w:noProof/>
        </w:rPr>
        <w:fldChar w:fldCharType="separate"/>
      </w:r>
      <w:r>
        <w:rPr>
          <w:noProof/>
        </w:rPr>
        <w:t>216</w:t>
      </w:r>
      <w:r>
        <w:rPr>
          <w:noProof/>
        </w:rPr>
        <w:fldChar w:fldCharType="end"/>
      </w:r>
    </w:p>
    <w:p>
      <w:pPr>
        <w:pStyle w:val="TOC5"/>
        <w:rPr>
          <w:b w:val="0"/>
          <w:noProof/>
          <w:sz w:val="24"/>
          <w:szCs w:val="24"/>
        </w:rPr>
      </w:pPr>
      <w:r>
        <w:rPr>
          <w:noProof/>
          <w:szCs w:val="28"/>
        </w:rPr>
        <w:t>Third Schedule — Transitional provisions relating to Geocentric Datum of Australia</w:t>
      </w:r>
      <w:r>
        <w:rPr>
          <w:noProof/>
        </w:rPr>
        <w:tab/>
      </w:r>
      <w:r>
        <w:rPr>
          <w:noProof/>
        </w:rPr>
        <w:fldChar w:fldCharType="begin"/>
      </w:r>
      <w:r>
        <w:rPr>
          <w:noProof/>
        </w:rPr>
        <w:instrText xml:space="preserve"> PAGEREF _Toc127338188 \h </w:instrText>
      </w:r>
      <w:r>
        <w:rPr>
          <w:noProof/>
        </w:rPr>
      </w:r>
      <w:r>
        <w:rPr>
          <w:noProof/>
        </w:rPr>
        <w:fldChar w:fldCharType="separate"/>
      </w:r>
      <w:r>
        <w:rPr>
          <w:noProof/>
        </w:rPr>
        <w:t>219</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Interpretation</w:t>
      </w:r>
      <w:r>
        <w:rPr>
          <w:noProof/>
        </w:rPr>
        <w:tab/>
      </w:r>
      <w:r>
        <w:rPr>
          <w:noProof/>
        </w:rPr>
        <w:fldChar w:fldCharType="begin"/>
      </w:r>
      <w:r>
        <w:rPr>
          <w:noProof/>
        </w:rPr>
        <w:instrText xml:space="preserve"> PAGEREF _Toc127338189 \h </w:instrText>
      </w:r>
      <w:r>
        <w:rPr>
          <w:noProof/>
        </w:rPr>
      </w:r>
      <w:r>
        <w:rPr>
          <w:noProof/>
        </w:rPr>
        <w:fldChar w:fldCharType="separate"/>
      </w:r>
      <w:r>
        <w:rPr>
          <w:noProof/>
        </w:rPr>
        <w:t>219</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Australian Geodetic Datum</w:t>
      </w:r>
      <w:r>
        <w:rPr>
          <w:noProof/>
        </w:rPr>
        <w:tab/>
      </w:r>
      <w:r>
        <w:rPr>
          <w:noProof/>
        </w:rPr>
        <w:fldChar w:fldCharType="begin"/>
      </w:r>
      <w:r>
        <w:rPr>
          <w:noProof/>
        </w:rPr>
        <w:instrText xml:space="preserve"> PAGEREF _Toc127338190 \h </w:instrText>
      </w:r>
      <w:r>
        <w:rPr>
          <w:noProof/>
        </w:rPr>
      </w:r>
      <w:r>
        <w:rPr>
          <w:noProof/>
        </w:rPr>
        <w:fldChar w:fldCharType="separate"/>
      </w:r>
      <w:r>
        <w:rPr>
          <w:noProof/>
        </w:rPr>
        <w:t>219</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Exploration licences</w:t>
      </w:r>
      <w:r>
        <w:rPr>
          <w:noProof/>
        </w:rPr>
        <w:tab/>
      </w:r>
      <w:r>
        <w:rPr>
          <w:noProof/>
        </w:rPr>
        <w:fldChar w:fldCharType="begin"/>
      </w:r>
      <w:r>
        <w:rPr>
          <w:noProof/>
        </w:rPr>
        <w:instrText xml:space="preserve"> PAGEREF _Toc127338191 \h </w:instrText>
      </w:r>
      <w:r>
        <w:rPr>
          <w:noProof/>
        </w:rPr>
      </w:r>
      <w:r>
        <w:rPr>
          <w:noProof/>
        </w:rPr>
        <w:fldChar w:fldCharType="separate"/>
      </w:r>
      <w:r>
        <w:rPr>
          <w:noProof/>
        </w:rPr>
        <w:t>220</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Land surrendered or forfeited etc.</w:t>
      </w:r>
      <w:r>
        <w:rPr>
          <w:noProof/>
        </w:rPr>
        <w:tab/>
      </w:r>
      <w:r>
        <w:rPr>
          <w:noProof/>
        </w:rPr>
        <w:fldChar w:fldCharType="begin"/>
      </w:r>
      <w:r>
        <w:rPr>
          <w:noProof/>
        </w:rPr>
        <w:instrText xml:space="preserve"> PAGEREF _Toc127338192 \h </w:instrText>
      </w:r>
      <w:r>
        <w:rPr>
          <w:noProof/>
        </w:rPr>
      </w:r>
      <w:r>
        <w:rPr>
          <w:noProof/>
        </w:rPr>
        <w:fldChar w:fldCharType="separate"/>
      </w:r>
      <w:r>
        <w:rPr>
          <w:noProof/>
        </w:rPr>
        <w:t>220</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Land exempted under section 19</w:t>
      </w:r>
      <w:r>
        <w:rPr>
          <w:noProof/>
        </w:rPr>
        <w:tab/>
      </w:r>
      <w:r>
        <w:rPr>
          <w:noProof/>
        </w:rPr>
        <w:fldChar w:fldCharType="begin"/>
      </w:r>
      <w:r>
        <w:rPr>
          <w:noProof/>
        </w:rPr>
        <w:instrText xml:space="preserve"> PAGEREF _Toc127338193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Areas declared under section 57(4), and savings</w:t>
      </w:r>
      <w:r>
        <w:rPr>
          <w:noProof/>
        </w:rPr>
        <w:tab/>
      </w:r>
      <w:r>
        <w:rPr>
          <w:noProof/>
        </w:rPr>
        <w:fldChar w:fldCharType="begin"/>
      </w:r>
      <w:r>
        <w:rPr>
          <w:noProof/>
        </w:rPr>
        <w:instrText xml:space="preserve"> PAGEREF _Toc127338194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Certain prospecting licences and mining leases may be amalgamated with existing exploration licences</w:t>
      </w:r>
      <w:r>
        <w:rPr>
          <w:noProof/>
        </w:rPr>
        <w:tab/>
      </w:r>
      <w:r>
        <w:rPr>
          <w:noProof/>
        </w:rPr>
        <w:fldChar w:fldCharType="begin"/>
      </w:r>
      <w:r>
        <w:rPr>
          <w:noProof/>
        </w:rPr>
        <w:instrText xml:space="preserve"> PAGEREF _Toc127338195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Prescribed land does not need to be marked out</w:t>
      </w:r>
      <w:r>
        <w:rPr>
          <w:noProof/>
        </w:rPr>
        <w:tab/>
      </w:r>
      <w:r>
        <w:rPr>
          <w:noProof/>
        </w:rPr>
        <w:fldChar w:fldCharType="begin"/>
      </w:r>
      <w:r>
        <w:rPr>
          <w:noProof/>
        </w:rPr>
        <w:instrText xml:space="preserve"> PAGEREF _Toc127338196 \h </w:instrText>
      </w:r>
      <w:r>
        <w:rPr>
          <w:noProof/>
        </w:rPr>
      </w:r>
      <w:r>
        <w:rPr>
          <w:noProof/>
        </w:rPr>
        <w:fldChar w:fldCharType="separate"/>
      </w:r>
      <w:r>
        <w:rPr>
          <w:noProof/>
        </w:rPr>
        <w:t>223</w:t>
      </w:r>
      <w:r>
        <w:rPr>
          <w:noProof/>
        </w:rPr>
        <w:fldChar w:fldCharType="end"/>
      </w:r>
    </w:p>
    <w:p>
      <w:pPr>
        <w:pStyle w:val="TOC2"/>
        <w:tabs>
          <w:tab w:val="right" w:leader="dot" w:pos="708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_Toc127338198 \h </w:instrText>
      </w:r>
      <w:r>
        <w:rPr>
          <w:noProof/>
        </w:rPr>
      </w:r>
      <w:r>
        <w:rPr>
          <w:noProof/>
        </w:rPr>
        <w:fldChar w:fldCharType="separate"/>
      </w:r>
      <w:r>
        <w:rPr>
          <w:noProof/>
        </w:rPr>
        <w:t>225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4" w:bottom="3544" w:left="2404" w:header="709"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2" w:name="_Toc74978806"/>
      <w:bookmarkStart w:id="3" w:name="_Toc74979070"/>
      <w:bookmarkStart w:id="4" w:name="_Toc79976368"/>
      <w:bookmarkStart w:id="5" w:name="_Toc80759639"/>
      <w:bookmarkStart w:id="6" w:name="_Toc80783402"/>
      <w:bookmarkStart w:id="7" w:name="_Toc94931069"/>
      <w:bookmarkStart w:id="8" w:name="_Toc104275192"/>
      <w:bookmarkStart w:id="9" w:name="_Toc104276523"/>
      <w:bookmarkStart w:id="10" w:name="_Toc107198744"/>
      <w:bookmarkStart w:id="11" w:name="_Toc107799195"/>
      <w:bookmarkStart w:id="12" w:name="_Toc127087202"/>
      <w:bookmarkStart w:id="13" w:name="_Toc127183494"/>
      <w:bookmarkStart w:id="14" w:name="_Toc12733791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74633016"/>
      <w:bookmarkStart w:id="16" w:name="_Toc488740165"/>
      <w:bookmarkStart w:id="17" w:name="_Toc8623536"/>
      <w:bookmarkStart w:id="18" w:name="_Toc11229377"/>
      <w:bookmarkStart w:id="19" w:name="_Toc104276524"/>
      <w:bookmarkStart w:id="20" w:name="_Toc127337916"/>
      <w:r>
        <w:rPr>
          <w:rStyle w:val="CharSectno"/>
        </w:rPr>
        <w:t>1</w:t>
      </w:r>
      <w:r>
        <w:rPr>
          <w:snapToGrid w:val="0"/>
        </w:rPr>
        <w:t>.</w:t>
      </w:r>
      <w:r>
        <w:rPr>
          <w:snapToGrid w:val="0"/>
        </w:rPr>
        <w:tab/>
        <w:t>Citation and commencement</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xml:space="preserve"> 1</w:t>
      </w:r>
      <w:r>
        <w:rPr>
          <w:snapToGrid w:val="0"/>
        </w:rPr>
        <w:t>.</w:t>
      </w:r>
    </w:p>
    <w:p>
      <w:pPr>
        <w:pStyle w:val="Heading5"/>
        <w:rPr>
          <w:snapToGrid w:val="0"/>
        </w:rPr>
      </w:pPr>
      <w:bookmarkStart w:id="21" w:name="_Toc474633017"/>
      <w:bookmarkStart w:id="22" w:name="_Toc488740166"/>
      <w:bookmarkStart w:id="23" w:name="_Toc8623537"/>
      <w:bookmarkStart w:id="24" w:name="_Toc11229378"/>
      <w:bookmarkStart w:id="25" w:name="_Toc104276525"/>
      <w:bookmarkStart w:id="26" w:name="_Toc127337917"/>
      <w:r>
        <w:rPr>
          <w:rStyle w:val="CharSectno"/>
        </w:rPr>
        <w:t>2</w:t>
      </w:r>
      <w:r>
        <w:rPr>
          <w:snapToGrid w:val="0"/>
        </w:rPr>
        <w:t>.</w:t>
      </w:r>
      <w:r>
        <w:rPr>
          <w:snapToGrid w:val="0"/>
        </w:rPr>
        <w:tab/>
      </w:r>
      <w:bookmarkEnd w:id="21"/>
      <w:bookmarkEnd w:id="22"/>
      <w:bookmarkEnd w:id="23"/>
      <w:bookmarkEnd w:id="24"/>
      <w:r>
        <w:rPr>
          <w:snapToGrid w:val="0"/>
        </w:rPr>
        <w:t>Interpretation</w:t>
      </w:r>
      <w:bookmarkEnd w:id="25"/>
      <w:bookmarkEnd w:id="2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block</w:t>
      </w:r>
      <w:r>
        <w:rPr>
          <w:b/>
        </w:rPr>
        <w:t>”</w:t>
      </w:r>
      <w:r>
        <w:t xml:space="preserve"> has the meaning ascribed to it in Part IV, Division 2 of the Act;</w:t>
      </w:r>
    </w:p>
    <w:p>
      <w:pPr>
        <w:pStyle w:val="Defstart"/>
      </w:pPr>
      <w:r>
        <w:rPr>
          <w:b/>
        </w:rPr>
        <w:tab/>
        <w:t>“</w:t>
      </w:r>
      <w:r>
        <w:rPr>
          <w:rStyle w:val="CharDefText"/>
        </w:rPr>
        <w:t>date of application</w:t>
      </w:r>
      <w:r>
        <w:rPr>
          <w:b/>
        </w:rPr>
        <w:t>”</w:t>
      </w:r>
      <w:r>
        <w:t xml:space="preserve"> when referring to an application for a mining tenement means the date on which the application is lodged at the office of the mining registrar together with the prescribed fees;</w:t>
      </w:r>
    </w:p>
    <w:p>
      <w:pPr>
        <w:pStyle w:val="Defstart"/>
      </w:pPr>
      <w:r>
        <w:rPr>
          <w:b/>
        </w:rPr>
        <w:tab/>
        <w:t>“</w:t>
      </w:r>
      <w:r>
        <w:rPr>
          <w:rStyle w:val="CharDefText"/>
        </w:rPr>
        <w:t>Director, Environment Division</w:t>
      </w:r>
      <w:r>
        <w:rPr>
          <w:b/>
        </w:rPr>
        <w:t>”</w:t>
      </w:r>
      <w:r>
        <w:t xml:space="preserve"> means the person for the time being holding or acting in the office of Director, Environment Division in the Department;</w:t>
      </w:r>
    </w:p>
    <w:p>
      <w:pPr>
        <w:pStyle w:val="Defstart"/>
      </w:pPr>
      <w:r>
        <w:rPr>
          <w:b/>
        </w:rPr>
        <w:tab/>
        <w:t>“</w:t>
      </w:r>
      <w:r>
        <w:rPr>
          <w:rStyle w:val="CharDefText"/>
        </w:rPr>
        <w:t>environmental officer</w:t>
      </w:r>
      <w:r>
        <w:rPr>
          <w:b/>
        </w:rPr>
        <w:t>”</w:t>
      </w:r>
      <w:r>
        <w:t xml:space="preserve"> means a person for the time being holding or acting in the office of Environmental Officer in the Environment Division of the Department;</w:t>
      </w:r>
    </w:p>
    <w:p>
      <w:pPr>
        <w:pStyle w:val="Defstart"/>
      </w:pPr>
      <w:r>
        <w:rPr>
          <w:b/>
        </w:rPr>
        <w:tab/>
        <w:t>“</w:t>
      </w:r>
      <w:r>
        <w:rPr>
          <w:rStyle w:val="CharDefText"/>
        </w:rPr>
        <w:t>existing exploration licence</w:t>
      </w:r>
      <w:r>
        <w:rPr>
          <w:b/>
        </w:rPr>
        <w:t>”</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exploration licence</w:t>
      </w:r>
      <w:r>
        <w:rPr>
          <w:b/>
        </w:rPr>
        <w:t>”</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section</w:t>
      </w:r>
      <w:r>
        <w:rPr>
          <w:b/>
        </w:rPr>
        <w:t>”</w:t>
      </w:r>
      <w:r>
        <w:t xml:space="preserve"> has the meaning ascribed to it in Part IV, Division 2 of the Act;</w:t>
      </w:r>
    </w:p>
    <w:p>
      <w:pPr>
        <w:pStyle w:val="Defstart"/>
      </w:pPr>
      <w:r>
        <w:rPr>
          <w:b/>
        </w:rPr>
        <w:tab/>
        <w:t>“</w:t>
      </w:r>
      <w:r>
        <w:rPr>
          <w:rStyle w:val="CharDefText"/>
        </w:rPr>
        <w:t>mineral exploration report</w:t>
      </w:r>
      <w:r>
        <w:rPr>
          <w:b/>
        </w:rPr>
        <w:t>”</w:t>
      </w:r>
      <w:r>
        <w:t xml:space="preserve"> has the same meaning as it has in section 115A(1);</w:t>
      </w:r>
    </w:p>
    <w:p>
      <w:pPr>
        <w:pStyle w:val="Defstart"/>
      </w:pPr>
      <w:r>
        <w:rPr>
          <w:b/>
        </w:rPr>
        <w:tab/>
        <w:t>“</w:t>
      </w:r>
      <w:r>
        <w:rPr>
          <w:rStyle w:val="CharDefText"/>
        </w:rPr>
        <w:t>prescribed fee</w:t>
      </w:r>
      <w:r>
        <w:rPr>
          <w:b/>
        </w:rPr>
        <w:t>”</w:t>
      </w:r>
      <w:r>
        <w:t xml:space="preserve"> means the relevant fee set out in the Second Schedule;</w:t>
      </w:r>
    </w:p>
    <w:p>
      <w:pPr>
        <w:pStyle w:val="Defstart"/>
      </w:pPr>
      <w:r>
        <w:rPr>
          <w:b/>
        </w:rPr>
        <w:tab/>
        <w:t>“</w:t>
      </w:r>
      <w:r>
        <w:rPr>
          <w:rStyle w:val="CharDefText"/>
        </w:rPr>
        <w:t>quarterly period</w:t>
      </w:r>
      <w:r>
        <w:rPr>
          <w:b/>
        </w:rPr>
        <w:t>”</w:t>
      </w:r>
      <w:r>
        <w:t xml:space="preserve"> means each period of 3 calendar months from the date on which the term of a mining tenement commences;</w:t>
      </w:r>
    </w:p>
    <w:p>
      <w:pPr>
        <w:pStyle w:val="Defstart"/>
      </w:pPr>
      <w:r>
        <w:rPr>
          <w:b/>
        </w:rPr>
        <w:tab/>
        <w:t>“</w:t>
      </w:r>
      <w:r>
        <w:rPr>
          <w:rStyle w:val="CharDefText"/>
        </w:rPr>
        <w:t>royalty return</w:t>
      </w:r>
      <w:r>
        <w:rPr>
          <w:b/>
        </w:rPr>
        <w:t>”</w:t>
      </w:r>
      <w:r>
        <w:t xml:space="preserve"> means a royalty return referred to in regulation 85B;</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 xml:space="preserve">8; 13 Oct 1995 p. 4814; 3 Feb 2006 p. 575-6.] </w:t>
      </w:r>
    </w:p>
    <w:p>
      <w:pPr>
        <w:pStyle w:val="Heading2"/>
      </w:pPr>
      <w:bookmarkStart w:id="27" w:name="_Toc74978809"/>
      <w:bookmarkStart w:id="28" w:name="_Toc74979073"/>
      <w:bookmarkStart w:id="29" w:name="_Toc79976371"/>
      <w:bookmarkStart w:id="30" w:name="_Toc80759642"/>
      <w:bookmarkStart w:id="31" w:name="_Toc80783405"/>
      <w:bookmarkStart w:id="32" w:name="_Toc94931072"/>
      <w:bookmarkStart w:id="33" w:name="_Toc104275195"/>
      <w:bookmarkStart w:id="34" w:name="_Toc104276526"/>
      <w:bookmarkStart w:id="35" w:name="_Toc107198747"/>
      <w:bookmarkStart w:id="36" w:name="_Toc107799198"/>
      <w:bookmarkStart w:id="37" w:name="_Toc127087205"/>
      <w:bookmarkStart w:id="38" w:name="_Toc127183497"/>
      <w:bookmarkStart w:id="39" w:name="_Toc127337918"/>
      <w:r>
        <w:rPr>
          <w:rStyle w:val="CharPartNo"/>
        </w:rPr>
        <w:t>Part II</w:t>
      </w:r>
      <w:r>
        <w:rPr>
          <w:rStyle w:val="CharDivNo"/>
        </w:rPr>
        <w:t> </w:t>
      </w:r>
      <w:r>
        <w:t>—</w:t>
      </w:r>
      <w:r>
        <w:rPr>
          <w:rStyle w:val="CharDivText"/>
        </w:rPr>
        <w:t> </w:t>
      </w:r>
      <w:r>
        <w:rPr>
          <w:rStyle w:val="CharPartText"/>
        </w:rPr>
        <w:t>Miner’s Rights</w:t>
      </w:r>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474633018"/>
      <w:bookmarkStart w:id="41" w:name="_Toc488740167"/>
      <w:bookmarkStart w:id="42" w:name="_Toc8623538"/>
      <w:bookmarkStart w:id="43" w:name="_Toc11229379"/>
      <w:bookmarkStart w:id="44" w:name="_Toc104276527"/>
      <w:bookmarkStart w:id="45" w:name="_Toc127337919"/>
      <w:r>
        <w:rPr>
          <w:rStyle w:val="CharSectno"/>
        </w:rPr>
        <w:t>3</w:t>
      </w:r>
      <w:r>
        <w:rPr>
          <w:snapToGrid w:val="0"/>
        </w:rPr>
        <w:t>.</w:t>
      </w:r>
      <w:r>
        <w:rPr>
          <w:snapToGrid w:val="0"/>
        </w:rPr>
        <w:tab/>
        <w:t>Form of Miner’s Rights</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A Miner’s Right shall be in the form No. 1 in the First Schedule.</w:t>
      </w:r>
    </w:p>
    <w:p>
      <w:pPr>
        <w:pStyle w:val="Heading5"/>
        <w:rPr>
          <w:snapToGrid w:val="0"/>
        </w:rPr>
      </w:pPr>
      <w:bookmarkStart w:id="46" w:name="_Toc474633019"/>
      <w:bookmarkStart w:id="47" w:name="_Toc488740168"/>
      <w:bookmarkStart w:id="48" w:name="_Toc8623539"/>
      <w:bookmarkStart w:id="49" w:name="_Toc11229380"/>
      <w:bookmarkStart w:id="50" w:name="_Toc104276528"/>
      <w:bookmarkStart w:id="51" w:name="_Toc127337920"/>
      <w:r>
        <w:rPr>
          <w:rStyle w:val="CharSectno"/>
        </w:rPr>
        <w:t>4</w:t>
      </w:r>
      <w:r>
        <w:rPr>
          <w:snapToGrid w:val="0"/>
        </w:rPr>
        <w:t>.</w:t>
      </w:r>
      <w:r>
        <w:rPr>
          <w:snapToGrid w:val="0"/>
        </w:rPr>
        <w:tab/>
        <w:t>Quantity of samples or specimens</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quantity of each sample or specimen the holder of a Miner’s Right may extract or remove from Crown land —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 xml:space="preserve">[Regulation 4 inserted in Gazette 20 Oct 1987 p. 3813; amended in Gazette 31 May 1991 p. 2696.] </w:t>
      </w:r>
    </w:p>
    <w:p>
      <w:pPr>
        <w:pStyle w:val="Heading2"/>
      </w:pPr>
      <w:bookmarkStart w:id="52" w:name="_Toc74978812"/>
      <w:bookmarkStart w:id="53" w:name="_Toc74979076"/>
      <w:bookmarkStart w:id="54" w:name="_Toc79976374"/>
      <w:bookmarkStart w:id="55" w:name="_Toc80759645"/>
      <w:bookmarkStart w:id="56" w:name="_Toc80783408"/>
      <w:bookmarkStart w:id="57" w:name="_Toc94931075"/>
      <w:bookmarkStart w:id="58" w:name="_Toc104275198"/>
      <w:bookmarkStart w:id="59" w:name="_Toc104276529"/>
      <w:bookmarkStart w:id="60" w:name="_Toc107198750"/>
      <w:bookmarkStart w:id="61" w:name="_Toc107799201"/>
      <w:bookmarkStart w:id="62" w:name="_Toc127087208"/>
      <w:bookmarkStart w:id="63" w:name="_Toc127183500"/>
      <w:bookmarkStart w:id="64" w:name="_Toc127337921"/>
      <w:r>
        <w:rPr>
          <w:rStyle w:val="CharPartNo"/>
        </w:rPr>
        <w:t>Part IIA</w:t>
      </w:r>
      <w:r>
        <w:t> — </w:t>
      </w:r>
      <w:r>
        <w:rPr>
          <w:rStyle w:val="CharPartText"/>
        </w:rPr>
        <w:t>Permits under section 20A</w:t>
      </w:r>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ind w:left="890"/>
      </w:pPr>
      <w:r>
        <w:tab/>
        <w:t>[Heading inserted in Gazette 2 Feb 2001 p. 705.]</w:t>
      </w:r>
    </w:p>
    <w:p>
      <w:pPr>
        <w:pStyle w:val="Heading5"/>
      </w:pPr>
      <w:bookmarkStart w:id="65" w:name="_Toc8623540"/>
      <w:bookmarkStart w:id="66" w:name="_Toc11229381"/>
      <w:bookmarkStart w:id="67" w:name="_Toc104276530"/>
      <w:bookmarkStart w:id="68" w:name="_Toc127337922"/>
      <w:r>
        <w:rPr>
          <w:rStyle w:val="CharSectno"/>
        </w:rPr>
        <w:t>4A</w:t>
      </w:r>
      <w:r>
        <w:t>.</w:t>
      </w:r>
      <w:r>
        <w:tab/>
      </w:r>
      <w:bookmarkEnd w:id="65"/>
      <w:bookmarkEnd w:id="66"/>
      <w:r>
        <w:t>Interpretation</w:t>
      </w:r>
      <w:bookmarkEnd w:id="67"/>
      <w:bookmarkEnd w:id="68"/>
    </w:p>
    <w:p>
      <w:pPr>
        <w:pStyle w:val="Subsection"/>
      </w:pPr>
      <w:r>
        <w:tab/>
      </w:r>
      <w:r>
        <w:tab/>
        <w:t>In this Part —</w:t>
      </w:r>
    </w:p>
    <w:p>
      <w:pPr>
        <w:pStyle w:val="Defstart"/>
      </w:pPr>
      <w:r>
        <w:tab/>
      </w:r>
      <w:r>
        <w:rPr>
          <w:b/>
        </w:rPr>
        <w:t>“</w:t>
      </w:r>
      <w:r>
        <w:rPr>
          <w:rStyle w:val="CharDefText"/>
        </w:rPr>
        <w:t>date of issue</w:t>
      </w:r>
      <w:r>
        <w:rPr>
          <w:b/>
        </w:rPr>
        <w:t>”</w:t>
      </w:r>
      <w:r>
        <w:t>, in relation to a permit, means the day on which the permit is issued;</w:t>
      </w:r>
    </w:p>
    <w:p>
      <w:pPr>
        <w:pStyle w:val="Defstart"/>
      </w:pPr>
      <w:r>
        <w:tab/>
      </w:r>
      <w:r>
        <w:rPr>
          <w:b/>
        </w:rPr>
        <w:t>“</w:t>
      </w:r>
      <w:r>
        <w:rPr>
          <w:rStyle w:val="CharDefText"/>
        </w:rPr>
        <w:t>issuing officer</w:t>
      </w:r>
      <w:r>
        <w:rPr>
          <w:b/>
        </w:rPr>
        <w:t>”</w:t>
      </w:r>
      <w:r>
        <w:t xml:space="preserve"> means the mining registrar or the holder of the office referred to in regulation 4B;</w:t>
      </w:r>
    </w:p>
    <w:p>
      <w:pPr>
        <w:pStyle w:val="Defstart"/>
      </w:pPr>
      <w:r>
        <w:tab/>
      </w:r>
      <w:r>
        <w:rPr>
          <w:b/>
        </w:rPr>
        <w:t>“</w:t>
      </w:r>
      <w:r>
        <w:rPr>
          <w:rStyle w:val="CharDefText"/>
        </w:rPr>
        <w:t>licensee statement</w:t>
      </w:r>
      <w:r>
        <w:rPr>
          <w:b/>
        </w:rPr>
        <w:t>”</w:t>
      </w:r>
      <w:r>
        <w:t>, in relation to land, means a statement made in relation to the land under regulation 4H;</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holder</w:t>
      </w:r>
      <w:r>
        <w:rPr>
          <w:b/>
        </w:rPr>
        <w:t>”</w:t>
      </w:r>
      <w:r>
        <w:t>,</w:t>
      </w:r>
      <w:r>
        <w:rPr>
          <w:b/>
        </w:rPr>
        <w:t xml:space="preserve"> </w:t>
      </w:r>
      <w:r>
        <w:t>in relation to a permit, means the person who is or was the holder of the permit;</w:t>
      </w:r>
    </w:p>
    <w:p>
      <w:pPr>
        <w:pStyle w:val="Defstart"/>
      </w:pPr>
      <w:r>
        <w:tab/>
      </w:r>
      <w:r>
        <w:rPr>
          <w:b/>
        </w:rPr>
        <w:t>“</w:t>
      </w:r>
      <w:r>
        <w:rPr>
          <w:rStyle w:val="CharDefText"/>
        </w:rPr>
        <w:t>relevant exploration licence</w:t>
      </w:r>
      <w:r>
        <w:rPr>
          <w:b/>
        </w:rPr>
        <w:t>”</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69" w:name="_Toc8623541"/>
      <w:bookmarkStart w:id="70" w:name="_Toc11229382"/>
      <w:bookmarkStart w:id="71" w:name="_Toc104276531"/>
      <w:bookmarkStart w:id="72" w:name="_Toc127337923"/>
      <w:r>
        <w:rPr>
          <w:rStyle w:val="CharSectno"/>
        </w:rPr>
        <w:t>4B</w:t>
      </w:r>
      <w:r>
        <w:t>.</w:t>
      </w:r>
      <w:r>
        <w:tab/>
        <w:t>Prescribed office — section 20A(1)</w:t>
      </w:r>
      <w:bookmarkEnd w:id="69"/>
      <w:bookmarkEnd w:id="70"/>
      <w:bookmarkEnd w:id="71"/>
      <w:bookmarkEnd w:id="72"/>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73" w:name="_Toc8623542"/>
      <w:bookmarkStart w:id="74" w:name="_Toc11229383"/>
      <w:bookmarkStart w:id="75" w:name="_Toc104276532"/>
      <w:bookmarkStart w:id="76" w:name="_Toc127337924"/>
      <w:r>
        <w:rPr>
          <w:rStyle w:val="CharSectno"/>
        </w:rPr>
        <w:t>4C</w:t>
      </w:r>
      <w:r>
        <w:t>.</w:t>
      </w:r>
      <w:r>
        <w:tab/>
        <w:t>Prescribed depth — section 20A(6)(b)</w:t>
      </w:r>
      <w:bookmarkEnd w:id="73"/>
      <w:bookmarkEnd w:id="74"/>
      <w:bookmarkEnd w:id="75"/>
      <w:bookmarkEnd w:id="76"/>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77" w:name="_Toc8623543"/>
      <w:bookmarkStart w:id="78" w:name="_Toc11229384"/>
      <w:bookmarkStart w:id="79" w:name="_Toc104276533"/>
      <w:bookmarkStart w:id="80" w:name="_Toc127337925"/>
      <w:r>
        <w:rPr>
          <w:rStyle w:val="CharSectno"/>
        </w:rPr>
        <w:t>4D</w:t>
      </w:r>
      <w:r>
        <w:t>.</w:t>
      </w:r>
      <w:r>
        <w:tab/>
        <w:t>Application for permit</w:t>
      </w:r>
      <w:bookmarkEnd w:id="77"/>
      <w:bookmarkEnd w:id="78"/>
      <w:bookmarkEnd w:id="79"/>
      <w:bookmarkEnd w:id="80"/>
    </w:p>
    <w:p>
      <w:pPr>
        <w:pStyle w:val="Subsection"/>
      </w:pPr>
      <w:r>
        <w:tab/>
        <w:t>(1)</w:t>
      </w:r>
      <w:r>
        <w:tab/>
        <w:t>An application for a permit is to be in the form No. 1A in the First Schedule.</w:t>
      </w:r>
    </w:p>
    <w:p>
      <w:pPr>
        <w:pStyle w:val="Subsection"/>
      </w:pPr>
      <w:r>
        <w:tab/>
        <w:t>(2)</w:t>
      </w:r>
      <w:r>
        <w:tab/>
        <w:t>The application is to be accompanied by the relevant application fee set out in item 2 of the Second Schedule.</w:t>
      </w:r>
    </w:p>
    <w:p>
      <w:pPr>
        <w:pStyle w:val="Subsection"/>
      </w:pPr>
      <w:r>
        <w:tab/>
        <w:t>(3)</w:t>
      </w:r>
      <w:r>
        <w:tab/>
        <w:t>The application may be accompanied by a licensee statement.</w:t>
      </w:r>
    </w:p>
    <w:p>
      <w:pPr>
        <w:pStyle w:val="Footnotesection"/>
      </w:pPr>
      <w:r>
        <w:tab/>
        <w:t>[Regulation 4D inserted in Gazette 2 Feb 2001 p. 705</w:t>
      </w:r>
      <w:r>
        <w:noBreakHyphen/>
        <w:t>6.]</w:t>
      </w:r>
    </w:p>
    <w:p>
      <w:pPr>
        <w:pStyle w:val="Heading5"/>
      </w:pPr>
      <w:bookmarkStart w:id="81" w:name="_Toc8623544"/>
      <w:bookmarkStart w:id="82" w:name="_Toc11229385"/>
      <w:bookmarkStart w:id="83" w:name="_Toc104276534"/>
      <w:bookmarkStart w:id="84" w:name="_Toc127337926"/>
      <w:r>
        <w:rPr>
          <w:rStyle w:val="CharSectno"/>
        </w:rPr>
        <w:t>4E</w:t>
      </w:r>
      <w:r>
        <w:t>.</w:t>
      </w:r>
      <w:r>
        <w:tab/>
        <w:t>Area of land to which permit applies</w:t>
      </w:r>
      <w:bookmarkEnd w:id="81"/>
      <w:bookmarkEnd w:id="82"/>
      <w:bookmarkEnd w:id="83"/>
      <w:bookmarkEnd w:id="84"/>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85" w:name="_Toc8623545"/>
      <w:bookmarkStart w:id="86" w:name="_Toc11229386"/>
      <w:bookmarkStart w:id="87" w:name="_Toc104276535"/>
      <w:bookmarkStart w:id="88" w:name="_Toc127337927"/>
      <w:r>
        <w:rPr>
          <w:rStyle w:val="CharSectno"/>
        </w:rPr>
        <w:t>4F</w:t>
      </w:r>
      <w:r>
        <w:t>.</w:t>
      </w:r>
      <w:r>
        <w:tab/>
        <w:t>Permit conditions</w:t>
      </w:r>
      <w:bookmarkEnd w:id="85"/>
      <w:bookmarkEnd w:id="86"/>
      <w:bookmarkEnd w:id="87"/>
      <w:bookmarkEnd w:id="88"/>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 xml:space="preserve">if the application for the permit is not accompanied by a licensee statement, a condition requiring the permit holder not to prospect on the land before the permit comes into operation under regulation 4I; </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89" w:name="_Toc8623546"/>
      <w:bookmarkStart w:id="90" w:name="_Toc11229387"/>
      <w:bookmarkStart w:id="91" w:name="_Toc104276536"/>
      <w:bookmarkStart w:id="92" w:name="_Toc127337928"/>
      <w:r>
        <w:rPr>
          <w:rStyle w:val="CharSectno"/>
        </w:rPr>
        <w:t>4G</w:t>
      </w:r>
      <w:r>
        <w:t>.</w:t>
      </w:r>
      <w:r>
        <w:tab/>
        <w:t>Notice of issue of permit</w:t>
      </w:r>
      <w:bookmarkEnd w:id="89"/>
      <w:bookmarkEnd w:id="90"/>
      <w:bookmarkEnd w:id="91"/>
      <w:bookmarkEnd w:id="92"/>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93" w:name="_Toc8623547"/>
      <w:bookmarkStart w:id="94" w:name="_Toc11229388"/>
      <w:bookmarkStart w:id="95" w:name="_Toc104276537"/>
      <w:bookmarkStart w:id="96" w:name="_Toc127337929"/>
      <w:r>
        <w:rPr>
          <w:rStyle w:val="CharSectno"/>
        </w:rPr>
        <w:t>4H</w:t>
      </w:r>
      <w:r>
        <w:t>.</w:t>
      </w:r>
      <w:r>
        <w:tab/>
        <w:t xml:space="preserve">Statement by holder of exploration </w:t>
      </w:r>
      <w:bookmarkEnd w:id="93"/>
      <w:r>
        <w:t>licence</w:t>
      </w:r>
      <w:bookmarkEnd w:id="94"/>
      <w:bookmarkEnd w:id="95"/>
      <w:bookmarkEnd w:id="96"/>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97" w:name="_Toc8623548"/>
      <w:bookmarkStart w:id="98" w:name="_Toc11229389"/>
      <w:bookmarkStart w:id="99" w:name="_Toc104276538"/>
      <w:bookmarkStart w:id="100" w:name="_Toc127337930"/>
      <w:r>
        <w:rPr>
          <w:rStyle w:val="CharSectno"/>
        </w:rPr>
        <w:t>4I</w:t>
      </w:r>
      <w:r>
        <w:t>.</w:t>
      </w:r>
      <w:r>
        <w:tab/>
        <w:t>Commencement of operation of permit</w:t>
      </w:r>
      <w:bookmarkEnd w:id="97"/>
      <w:bookmarkEnd w:id="98"/>
      <w:bookmarkEnd w:id="99"/>
      <w:bookmarkEnd w:id="100"/>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01" w:name="_Toc8623549"/>
      <w:bookmarkStart w:id="102" w:name="_Toc11229390"/>
      <w:bookmarkStart w:id="103" w:name="_Toc104276539"/>
      <w:bookmarkStart w:id="104" w:name="_Toc127337931"/>
      <w:r>
        <w:rPr>
          <w:rStyle w:val="CharSectno"/>
        </w:rPr>
        <w:t>4J</w:t>
      </w:r>
      <w:r>
        <w:t>.</w:t>
      </w:r>
      <w:r>
        <w:tab/>
        <w:t>Expiry of permit</w:t>
      </w:r>
      <w:bookmarkEnd w:id="101"/>
      <w:bookmarkEnd w:id="102"/>
      <w:bookmarkEnd w:id="103"/>
      <w:bookmarkEnd w:id="104"/>
    </w:p>
    <w:p>
      <w:pPr>
        <w:pStyle w:val="Subsection"/>
      </w:pPr>
      <w:r>
        <w:tab/>
        <w:t>(1)</w:t>
      </w:r>
      <w:r>
        <w:tab/>
        <w:t xml:space="preserve">A permit stops being in force in respect of land when one of the following happens —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105" w:name="_Toc8623550"/>
      <w:bookmarkStart w:id="106" w:name="_Toc11229391"/>
      <w:bookmarkStart w:id="107" w:name="_Toc104276540"/>
      <w:bookmarkStart w:id="108" w:name="_Toc127337932"/>
      <w:r>
        <w:rPr>
          <w:rStyle w:val="CharSectno"/>
        </w:rPr>
        <w:t>4K</w:t>
      </w:r>
      <w:r>
        <w:t>.</w:t>
      </w:r>
      <w:r>
        <w:tab/>
        <w:t>Surrender of permit</w:t>
      </w:r>
      <w:bookmarkEnd w:id="105"/>
      <w:bookmarkEnd w:id="106"/>
      <w:bookmarkEnd w:id="107"/>
      <w:bookmarkEnd w:id="108"/>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109" w:name="_Toc8623551"/>
      <w:bookmarkStart w:id="110" w:name="_Toc11229392"/>
      <w:bookmarkStart w:id="111" w:name="_Toc104276541"/>
      <w:bookmarkStart w:id="112" w:name="_Toc127337933"/>
      <w:r>
        <w:rPr>
          <w:rStyle w:val="CharSectno"/>
        </w:rPr>
        <w:t>4L</w:t>
      </w:r>
      <w:r>
        <w:t>.</w:t>
      </w:r>
      <w:r>
        <w:tab/>
        <w:t>Powers available to Minister where breach of condition, etc.</w:t>
      </w:r>
      <w:bookmarkEnd w:id="109"/>
      <w:bookmarkEnd w:id="110"/>
      <w:bookmarkEnd w:id="111"/>
      <w:bookmarkEnd w:id="112"/>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113" w:name="_Toc8623552"/>
      <w:bookmarkStart w:id="114" w:name="_Toc11229393"/>
      <w:bookmarkStart w:id="115" w:name="_Toc104276542"/>
      <w:bookmarkStart w:id="116" w:name="_Toc127337934"/>
      <w:r>
        <w:rPr>
          <w:rStyle w:val="CharSectno"/>
        </w:rPr>
        <w:t>4M</w:t>
      </w:r>
      <w:r>
        <w:t>.</w:t>
      </w:r>
      <w:r>
        <w:tab/>
        <w:t>Right of permit holder to make submissions</w:t>
      </w:r>
      <w:bookmarkEnd w:id="113"/>
      <w:bookmarkEnd w:id="114"/>
      <w:bookmarkEnd w:id="115"/>
      <w:bookmarkEnd w:id="116"/>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117" w:name="_Toc8623553"/>
      <w:bookmarkStart w:id="118" w:name="_Toc11229394"/>
      <w:bookmarkStart w:id="119" w:name="_Toc104276543"/>
      <w:bookmarkStart w:id="120" w:name="_Toc127337935"/>
      <w:r>
        <w:rPr>
          <w:rStyle w:val="CharSectno"/>
        </w:rPr>
        <w:t>4N</w:t>
      </w:r>
      <w:r>
        <w:t>.</w:t>
      </w:r>
      <w:r>
        <w:tab/>
        <w:t>Prospecting report on recovered minerals</w:t>
      </w:r>
      <w:bookmarkEnd w:id="117"/>
      <w:bookmarkEnd w:id="118"/>
      <w:bookmarkEnd w:id="119"/>
      <w:bookmarkEnd w:id="120"/>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 xml:space="preserve">The permit holder must, within 14 days after the permit stops being in force —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121" w:name="_Toc8623554"/>
      <w:bookmarkStart w:id="122" w:name="_Toc11229395"/>
      <w:bookmarkStart w:id="123" w:name="_Toc104276544"/>
      <w:bookmarkStart w:id="124" w:name="_Toc127337936"/>
      <w:r>
        <w:rPr>
          <w:rStyle w:val="CharSectno"/>
        </w:rPr>
        <w:t>4O</w:t>
      </w:r>
      <w:r>
        <w:t>.</w:t>
      </w:r>
      <w:r>
        <w:tab/>
        <w:t>Prohibition of use of certain hand tools</w:t>
      </w:r>
      <w:bookmarkEnd w:id="121"/>
      <w:bookmarkEnd w:id="122"/>
      <w:bookmarkEnd w:id="123"/>
      <w:bookmarkEnd w:id="124"/>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125" w:name="_Toc8623555"/>
      <w:bookmarkStart w:id="126" w:name="_Toc11229396"/>
      <w:bookmarkStart w:id="127" w:name="_Toc104276545"/>
      <w:bookmarkStart w:id="128" w:name="_Toc127337937"/>
      <w:r>
        <w:rPr>
          <w:rStyle w:val="CharSectno"/>
        </w:rPr>
        <w:t>4P</w:t>
      </w:r>
      <w:r>
        <w:t>.</w:t>
      </w:r>
      <w:r>
        <w:tab/>
        <w:t>Application of regulations 98 and 99</w:t>
      </w:r>
      <w:bookmarkEnd w:id="125"/>
      <w:bookmarkEnd w:id="126"/>
      <w:bookmarkEnd w:id="127"/>
      <w:bookmarkEnd w:id="128"/>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129" w:name="_Toc74978829"/>
      <w:bookmarkStart w:id="130" w:name="_Toc74979093"/>
      <w:bookmarkStart w:id="131" w:name="_Toc79976391"/>
      <w:bookmarkStart w:id="132" w:name="_Toc80759662"/>
      <w:bookmarkStart w:id="133" w:name="_Toc80783425"/>
      <w:bookmarkStart w:id="134" w:name="_Toc94931092"/>
      <w:bookmarkStart w:id="135" w:name="_Toc104275215"/>
      <w:bookmarkStart w:id="136" w:name="_Toc104276546"/>
      <w:bookmarkStart w:id="137" w:name="_Toc107198767"/>
      <w:bookmarkStart w:id="138" w:name="_Toc107799218"/>
      <w:bookmarkStart w:id="139" w:name="_Toc127087225"/>
      <w:bookmarkStart w:id="140" w:name="_Toc127183517"/>
      <w:bookmarkStart w:id="141" w:name="_Toc127337938"/>
      <w:r>
        <w:rPr>
          <w:rStyle w:val="CharPartNo"/>
        </w:rPr>
        <w:t>Part III</w:t>
      </w:r>
      <w:r>
        <w:rPr>
          <w:rStyle w:val="CharDivNo"/>
        </w:rPr>
        <w:t> </w:t>
      </w:r>
      <w:r>
        <w:t>—</w:t>
      </w:r>
      <w:r>
        <w:rPr>
          <w:rStyle w:val="CharDivText"/>
        </w:rPr>
        <w:t> </w:t>
      </w:r>
      <w:r>
        <w:rPr>
          <w:rStyle w:val="CharPartText"/>
        </w:rPr>
        <w:t>Mining on private land</w:t>
      </w:r>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PartText"/>
        </w:rPr>
        <w:t xml:space="preserve"> </w:t>
      </w:r>
    </w:p>
    <w:p>
      <w:pPr>
        <w:pStyle w:val="Heading5"/>
        <w:spacing w:before="200"/>
        <w:rPr>
          <w:snapToGrid w:val="0"/>
        </w:rPr>
      </w:pPr>
      <w:bookmarkStart w:id="142" w:name="_Toc474633020"/>
      <w:bookmarkStart w:id="143" w:name="_Toc488740169"/>
      <w:bookmarkStart w:id="144" w:name="_Toc8623556"/>
      <w:bookmarkStart w:id="145" w:name="_Toc11229397"/>
      <w:bookmarkStart w:id="146" w:name="_Toc104276547"/>
      <w:bookmarkStart w:id="147" w:name="_Toc127337939"/>
      <w:r>
        <w:rPr>
          <w:rStyle w:val="CharSectno"/>
        </w:rPr>
        <w:t>5</w:t>
      </w:r>
      <w:r>
        <w:rPr>
          <w:snapToGrid w:val="0"/>
        </w:rPr>
        <w:t>.</w:t>
      </w:r>
      <w:r>
        <w:rPr>
          <w:snapToGrid w:val="0"/>
        </w:rPr>
        <w:tab/>
        <w:t>Application for permit to enter private land</w:t>
      </w:r>
      <w:bookmarkEnd w:id="142"/>
      <w:bookmarkEnd w:id="143"/>
      <w:bookmarkEnd w:id="144"/>
      <w:bookmarkEnd w:id="145"/>
      <w:bookmarkEnd w:id="146"/>
      <w:bookmarkEnd w:id="147"/>
      <w:r>
        <w:rPr>
          <w:snapToGrid w:val="0"/>
        </w:rPr>
        <w:t xml:space="preserve"> </w:t>
      </w:r>
    </w:p>
    <w:p>
      <w:pPr>
        <w:pStyle w:val="Subsection"/>
        <w:spacing w:before="140"/>
        <w:rPr>
          <w:snapToGrid w:val="0"/>
        </w:rPr>
      </w:pPr>
      <w:r>
        <w:rPr>
          <w:snapToGrid w:val="0"/>
        </w:rPr>
        <w:tab/>
      </w:r>
      <w:r>
        <w:rPr>
          <w:snapToGrid w:val="0"/>
        </w:rPr>
        <w:tab/>
        <w:t>Application under section 30 of the Act for a permit to enter on any private land shall be — </w:t>
      </w:r>
    </w:p>
    <w:p>
      <w:pPr>
        <w:pStyle w:val="Indenta"/>
        <w:rPr>
          <w:snapToGrid w:val="0"/>
        </w:rPr>
      </w:pPr>
      <w:r>
        <w:rPr>
          <w:snapToGrid w:val="0"/>
        </w:rPr>
        <w:tab/>
        <w:t>(a)</w:t>
      </w:r>
      <w:r>
        <w:rPr>
          <w:snapToGrid w:val="0"/>
        </w:rPr>
        <w:tab/>
        <w:t>lodged at the office of a mining registrar in the form No. 2 in the First Schedule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Footnotesection"/>
      </w:pPr>
      <w:r>
        <w:tab/>
        <w:t xml:space="preserve">[Regulation 5 amended in Gazette 31 Jul 1992 p. 3775.] </w:t>
      </w:r>
    </w:p>
    <w:p>
      <w:pPr>
        <w:pStyle w:val="Heading5"/>
        <w:rPr>
          <w:snapToGrid w:val="0"/>
        </w:rPr>
      </w:pPr>
      <w:bookmarkStart w:id="148" w:name="_Toc474633021"/>
      <w:bookmarkStart w:id="149" w:name="_Toc488740170"/>
      <w:bookmarkStart w:id="150" w:name="_Toc8623557"/>
      <w:bookmarkStart w:id="151" w:name="_Toc11229398"/>
      <w:bookmarkStart w:id="152" w:name="_Toc104276548"/>
      <w:bookmarkStart w:id="153" w:name="_Toc127337940"/>
      <w:r>
        <w:rPr>
          <w:rStyle w:val="CharSectno"/>
        </w:rPr>
        <w:t>6</w:t>
      </w:r>
      <w:r>
        <w:rPr>
          <w:snapToGrid w:val="0"/>
        </w:rPr>
        <w:t>.</w:t>
      </w:r>
      <w:r>
        <w:rPr>
          <w:snapToGrid w:val="0"/>
        </w:rPr>
        <w:tab/>
        <w:t>Form of permit to enter</w:t>
      </w:r>
      <w:bookmarkEnd w:id="148"/>
      <w:bookmarkEnd w:id="149"/>
      <w:bookmarkEnd w:id="150"/>
      <w:bookmarkEnd w:id="151"/>
      <w:bookmarkEnd w:id="152"/>
      <w:bookmarkEnd w:id="153"/>
      <w:r>
        <w:rPr>
          <w:snapToGrid w:val="0"/>
        </w:rPr>
        <w:t xml:space="preserve"> </w:t>
      </w:r>
    </w:p>
    <w:p>
      <w:pPr>
        <w:pStyle w:val="Subsection"/>
        <w:spacing w:before="140"/>
        <w:rPr>
          <w:snapToGrid w:val="0"/>
        </w:rPr>
      </w:pPr>
      <w:r>
        <w:rPr>
          <w:snapToGrid w:val="0"/>
        </w:rPr>
        <w:tab/>
      </w:r>
      <w:r>
        <w:rPr>
          <w:snapToGrid w:val="0"/>
        </w:rPr>
        <w:tab/>
        <w:t>A permit to enter upon private land shall be in the form No. 3 in the First Schedule.</w:t>
      </w:r>
    </w:p>
    <w:p>
      <w:pPr>
        <w:pStyle w:val="Heading5"/>
        <w:spacing w:before="200"/>
        <w:rPr>
          <w:snapToGrid w:val="0"/>
        </w:rPr>
      </w:pPr>
      <w:bookmarkStart w:id="154" w:name="_Toc474633022"/>
      <w:bookmarkStart w:id="155" w:name="_Toc488740171"/>
      <w:bookmarkStart w:id="156" w:name="_Toc8623558"/>
      <w:bookmarkStart w:id="157" w:name="_Toc11229399"/>
      <w:bookmarkStart w:id="158" w:name="_Toc104276549"/>
      <w:bookmarkStart w:id="159" w:name="_Toc127337941"/>
      <w:r>
        <w:rPr>
          <w:rStyle w:val="CharSectno"/>
        </w:rPr>
        <w:t>7</w:t>
      </w:r>
      <w:r>
        <w:rPr>
          <w:snapToGrid w:val="0"/>
        </w:rPr>
        <w:t>.</w:t>
      </w:r>
      <w:r>
        <w:rPr>
          <w:snapToGrid w:val="0"/>
        </w:rPr>
        <w:tab/>
        <w:t>Notice of application relating to private land</w:t>
      </w:r>
      <w:bookmarkEnd w:id="154"/>
      <w:bookmarkEnd w:id="155"/>
      <w:bookmarkEnd w:id="156"/>
      <w:bookmarkEnd w:id="157"/>
      <w:bookmarkEnd w:id="158"/>
      <w:bookmarkEnd w:id="159"/>
      <w:r>
        <w:rPr>
          <w:snapToGrid w:val="0"/>
        </w:rPr>
        <w:t xml:space="preserve"> </w:t>
      </w:r>
    </w:p>
    <w:p>
      <w:pPr>
        <w:pStyle w:val="Subsection"/>
        <w:spacing w:before="140"/>
        <w:rPr>
          <w:snapToGrid w:val="0"/>
        </w:rPr>
      </w:pPr>
      <w:r>
        <w:rPr>
          <w:snapToGrid w:val="0"/>
        </w:rPr>
        <w:tab/>
        <w:t>(1)</w:t>
      </w:r>
      <w:r>
        <w:rPr>
          <w:snapToGrid w:val="0"/>
        </w:rPr>
        <w:tab/>
        <w:t>The notice required to be given under section 33(1) of the Act is —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80"/>
        <w:rPr>
          <w:snapToGrid w:val="0"/>
        </w:rPr>
      </w:pPr>
      <w:r>
        <w:rPr>
          <w:snapToGrid w:val="0"/>
        </w:rPr>
        <w:tab/>
      </w:r>
      <w:r>
        <w:rPr>
          <w:snapToGrid w:val="0"/>
        </w:rPr>
        <w:tab/>
        <w:t>to be served within 14 days of the date of lodgment of the application.</w:t>
      </w:r>
    </w:p>
    <w:p>
      <w:pPr>
        <w:pStyle w:val="Subsection"/>
        <w:spacing w:before="140"/>
        <w:rPr>
          <w:snapToGrid w:val="0"/>
        </w:rPr>
      </w:pPr>
      <w:r>
        <w:rPr>
          <w:snapToGrid w:val="0"/>
        </w:rPr>
        <w:tab/>
        <w:t>(2)</w:t>
      </w:r>
      <w:r>
        <w:rPr>
          <w:snapToGrid w:val="0"/>
        </w:rPr>
        <w:tab/>
        <w:t>If the time prescribed for giving notice under section 33(1) is extended under regulation 104, 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 xml:space="preserve">[Regulation 7 amended in Gazette 16 Nov 1990 p. 5728; 31 May 1991 p. 2696.] </w:t>
      </w:r>
    </w:p>
    <w:p>
      <w:pPr>
        <w:pStyle w:val="Heading5"/>
        <w:rPr>
          <w:snapToGrid w:val="0"/>
        </w:rPr>
      </w:pPr>
      <w:bookmarkStart w:id="160" w:name="_Toc474633023"/>
      <w:bookmarkStart w:id="161" w:name="_Toc488740172"/>
      <w:bookmarkStart w:id="162" w:name="_Toc8623559"/>
      <w:bookmarkStart w:id="163" w:name="_Toc11229400"/>
      <w:bookmarkStart w:id="164" w:name="_Toc104276550"/>
      <w:bookmarkStart w:id="165" w:name="_Toc127337942"/>
      <w:r>
        <w:rPr>
          <w:rStyle w:val="CharSectno"/>
        </w:rPr>
        <w:t>8</w:t>
      </w:r>
      <w:r>
        <w:rPr>
          <w:snapToGrid w:val="0"/>
        </w:rPr>
        <w:t>.</w:t>
      </w:r>
      <w:r>
        <w:rPr>
          <w:snapToGrid w:val="0"/>
        </w:rPr>
        <w:tab/>
        <w:t>Application to bring private land under the Act</w:t>
      </w:r>
      <w:bookmarkEnd w:id="160"/>
      <w:bookmarkEnd w:id="161"/>
      <w:bookmarkEnd w:id="162"/>
      <w:bookmarkEnd w:id="163"/>
      <w:bookmarkEnd w:id="164"/>
      <w:bookmarkEnd w:id="165"/>
      <w:r>
        <w:rPr>
          <w:snapToGrid w:val="0"/>
        </w:rPr>
        <w:t xml:space="preserve"> </w:t>
      </w:r>
    </w:p>
    <w:p>
      <w:pPr>
        <w:pStyle w:val="Subsection"/>
        <w:spacing w:before="140"/>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spacing w:before="140"/>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166" w:name="_Toc474633024"/>
      <w:bookmarkStart w:id="167" w:name="_Toc488740173"/>
      <w:bookmarkStart w:id="168" w:name="_Toc8623560"/>
      <w:bookmarkStart w:id="169" w:name="_Toc11229401"/>
      <w:bookmarkStart w:id="170" w:name="_Toc104276551"/>
      <w:bookmarkStart w:id="171" w:name="_Toc127337943"/>
      <w:r>
        <w:rPr>
          <w:rStyle w:val="CharSectno"/>
        </w:rPr>
        <w:t>9</w:t>
      </w:r>
      <w:r>
        <w:rPr>
          <w:snapToGrid w:val="0"/>
        </w:rPr>
        <w:t>.</w:t>
      </w:r>
      <w:r>
        <w:rPr>
          <w:snapToGrid w:val="0"/>
        </w:rPr>
        <w:tab/>
        <w:t>Right of way on private land</w:t>
      </w:r>
      <w:bookmarkEnd w:id="166"/>
      <w:bookmarkEnd w:id="167"/>
      <w:bookmarkEnd w:id="168"/>
      <w:bookmarkEnd w:id="169"/>
      <w:bookmarkEnd w:id="170"/>
      <w:bookmarkEnd w:id="171"/>
      <w:r>
        <w:rPr>
          <w:snapToGrid w:val="0"/>
        </w:rPr>
        <w:t xml:space="preserve"> </w:t>
      </w:r>
    </w:p>
    <w:p>
      <w:pPr>
        <w:pStyle w:val="Subsection"/>
        <w:spacing w:before="140"/>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172" w:name="_Toc474633025"/>
      <w:bookmarkStart w:id="173" w:name="_Toc488740174"/>
      <w:bookmarkStart w:id="174" w:name="_Toc8623561"/>
      <w:bookmarkStart w:id="175" w:name="_Toc11229402"/>
      <w:bookmarkStart w:id="176" w:name="_Toc104276552"/>
      <w:bookmarkStart w:id="177" w:name="_Toc127337944"/>
      <w:r>
        <w:rPr>
          <w:rStyle w:val="CharSectno"/>
        </w:rPr>
        <w:t>10</w:t>
      </w:r>
      <w:r>
        <w:rPr>
          <w:snapToGrid w:val="0"/>
        </w:rPr>
        <w:t>.</w:t>
      </w:r>
      <w:r>
        <w:rPr>
          <w:snapToGrid w:val="0"/>
        </w:rPr>
        <w:tab/>
        <w:t>Consents under section 29</w:t>
      </w:r>
      <w:bookmarkEnd w:id="172"/>
      <w:bookmarkEnd w:id="173"/>
      <w:bookmarkEnd w:id="174"/>
      <w:bookmarkEnd w:id="175"/>
      <w:bookmarkEnd w:id="176"/>
      <w:bookmarkEnd w:id="177"/>
      <w:r>
        <w:rPr>
          <w:snapToGrid w:val="0"/>
        </w:rPr>
        <w:t xml:space="preserve"> </w:t>
      </w:r>
    </w:p>
    <w:p>
      <w:pPr>
        <w:pStyle w:val="Subsection"/>
        <w:spacing w:before="140"/>
        <w:rPr>
          <w:snapToGrid w:val="0"/>
        </w:rPr>
      </w:pPr>
      <w:r>
        <w:rPr>
          <w:snapToGrid w:val="0"/>
        </w:rPr>
        <w:tab/>
        <w:t>(1)</w:t>
      </w:r>
      <w:r>
        <w:rPr>
          <w:snapToGrid w:val="0"/>
        </w:rPr>
        <w:tab/>
        <w:t>The consents in writing referred to in section 29(2) shall be —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spacing w:before="140"/>
        <w:rPr>
          <w:snapToGrid w:val="0"/>
        </w:rPr>
      </w:pPr>
      <w:r>
        <w:rPr>
          <w:snapToGrid w:val="0"/>
        </w:rPr>
        <w:tab/>
        <w:t>(2)</w:t>
      </w:r>
      <w:r>
        <w:rPr>
          <w:snapToGrid w:val="0"/>
        </w:rPr>
        <w:tab/>
        <w:t>The consents in writing referred to in section 29(6) shall be —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 xml:space="preserve">[Regulation 10 inserted in Gazette 2 Oct 1987 p. 3814; amended in Gazette 4 Apr 1997 p. 1778.] </w:t>
      </w:r>
    </w:p>
    <w:p>
      <w:pPr>
        <w:pStyle w:val="Heading5"/>
        <w:rPr>
          <w:snapToGrid w:val="0"/>
        </w:rPr>
      </w:pPr>
      <w:bookmarkStart w:id="178" w:name="_Toc474633026"/>
      <w:bookmarkStart w:id="179" w:name="_Toc488740175"/>
      <w:bookmarkStart w:id="180" w:name="_Toc8623562"/>
      <w:bookmarkStart w:id="181" w:name="_Toc11229403"/>
      <w:bookmarkStart w:id="182" w:name="_Toc104276553"/>
      <w:bookmarkStart w:id="183" w:name="_Toc127337945"/>
      <w:r>
        <w:rPr>
          <w:rStyle w:val="CharSectno"/>
        </w:rPr>
        <w:t>10A</w:t>
      </w:r>
      <w:r>
        <w:rPr>
          <w:snapToGrid w:val="0"/>
        </w:rPr>
        <w:t>.</w:t>
      </w:r>
      <w:r>
        <w:rPr>
          <w:snapToGrid w:val="0"/>
        </w:rPr>
        <w:tab/>
        <w:t>Compensation</w:t>
      </w:r>
      <w:bookmarkEnd w:id="178"/>
      <w:bookmarkEnd w:id="179"/>
      <w:bookmarkEnd w:id="180"/>
      <w:bookmarkEnd w:id="181"/>
      <w:bookmarkEnd w:id="182"/>
      <w:bookmarkEnd w:id="183"/>
      <w:r>
        <w:rPr>
          <w:snapToGrid w:val="0"/>
        </w:rPr>
        <w:t xml:space="preserve"> </w:t>
      </w:r>
    </w:p>
    <w:p>
      <w:pPr>
        <w:pStyle w:val="Subsection"/>
        <w:spacing w:before="140"/>
        <w:rPr>
          <w:snapToGrid w:val="0"/>
        </w:rPr>
      </w:pPr>
      <w:r>
        <w:rPr>
          <w:snapToGrid w:val="0"/>
        </w:rPr>
        <w:tab/>
        <w:t>(1)</w:t>
      </w:r>
      <w:r>
        <w:rPr>
          <w:snapToGrid w:val="0"/>
        </w:rPr>
        <w:tab/>
        <w:t>A claim for compensation under section 123(3)(a) shall be in the form No. 3A in the First Schedule.</w:t>
      </w:r>
    </w:p>
    <w:p>
      <w:pPr>
        <w:pStyle w:val="Subsection"/>
        <w:rPr>
          <w:snapToGrid w:val="0"/>
        </w:rPr>
      </w:pPr>
      <w:r>
        <w:rPr>
          <w:snapToGrid w:val="0"/>
        </w:rPr>
        <w:tab/>
        <w:t>(2)</w:t>
      </w:r>
      <w:r>
        <w:rPr>
          <w:snapToGrid w:val="0"/>
        </w:rPr>
        <w:tab/>
        <w:t>On receipt of a claim for compensation under section 123(3)(a) the mining registrar shall — </w:t>
      </w:r>
    </w:p>
    <w:p>
      <w:pPr>
        <w:pStyle w:val="Indenta"/>
        <w:rPr>
          <w:snapToGrid w:val="0"/>
        </w:rPr>
      </w:pPr>
      <w:r>
        <w:rPr>
          <w:snapToGrid w:val="0"/>
        </w:rPr>
        <w:tab/>
        <w:t>(a)</w:t>
      </w:r>
      <w:r>
        <w:rPr>
          <w:snapToGrid w:val="0"/>
        </w:rPr>
        <w:tab/>
        <w:t>fix a date and time for informal proceedings to be heard by the warden;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Attendance at informal proceedings referred to in subregulation (2)(a) is not compulsory and parties may submit written submissions to the warden.</w:t>
      </w:r>
    </w:p>
    <w:p>
      <w:pPr>
        <w:pStyle w:val="Footnotesection"/>
      </w:pPr>
      <w:r>
        <w:tab/>
        <w:t xml:space="preserve">[Regulation 10A inserted in Gazette 2 Oct 1987 p. 3814.] </w:t>
      </w:r>
    </w:p>
    <w:p>
      <w:pPr>
        <w:pStyle w:val="Heading2"/>
      </w:pPr>
      <w:bookmarkStart w:id="184" w:name="_Toc74978837"/>
      <w:bookmarkStart w:id="185" w:name="_Toc74979101"/>
      <w:bookmarkStart w:id="186" w:name="_Toc79976399"/>
      <w:bookmarkStart w:id="187" w:name="_Toc80759670"/>
      <w:bookmarkStart w:id="188" w:name="_Toc80783433"/>
      <w:bookmarkStart w:id="189" w:name="_Toc94931100"/>
      <w:bookmarkStart w:id="190" w:name="_Toc104275223"/>
      <w:bookmarkStart w:id="191" w:name="_Toc104276554"/>
      <w:bookmarkStart w:id="192" w:name="_Toc107198775"/>
      <w:bookmarkStart w:id="193" w:name="_Toc107799226"/>
      <w:bookmarkStart w:id="194" w:name="_Toc127087233"/>
      <w:bookmarkStart w:id="195" w:name="_Toc127183525"/>
      <w:bookmarkStart w:id="196" w:name="_Toc127337946"/>
      <w:r>
        <w:rPr>
          <w:rStyle w:val="CharPartNo"/>
        </w:rPr>
        <w:t>Part IV</w:t>
      </w:r>
      <w:r>
        <w:t> — </w:t>
      </w:r>
      <w:r>
        <w:rPr>
          <w:rStyle w:val="CharPartText"/>
        </w:rPr>
        <w:t>Mining tenements</w:t>
      </w:r>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PartText"/>
        </w:rPr>
        <w:t xml:space="preserve"> </w:t>
      </w:r>
    </w:p>
    <w:p>
      <w:pPr>
        <w:pStyle w:val="Heading3"/>
        <w:spacing w:before="180"/>
        <w:rPr>
          <w:snapToGrid w:val="0"/>
        </w:rPr>
      </w:pPr>
      <w:bookmarkStart w:id="197" w:name="_Toc74978838"/>
      <w:bookmarkStart w:id="198" w:name="_Toc74979102"/>
      <w:bookmarkStart w:id="199" w:name="_Toc79976400"/>
      <w:bookmarkStart w:id="200" w:name="_Toc80759671"/>
      <w:bookmarkStart w:id="201" w:name="_Toc80783434"/>
      <w:bookmarkStart w:id="202" w:name="_Toc94931101"/>
      <w:bookmarkStart w:id="203" w:name="_Toc104275224"/>
      <w:bookmarkStart w:id="204" w:name="_Toc104276555"/>
      <w:bookmarkStart w:id="205" w:name="_Toc107198776"/>
      <w:bookmarkStart w:id="206" w:name="_Toc107799227"/>
      <w:bookmarkStart w:id="207" w:name="_Toc127087234"/>
      <w:bookmarkStart w:id="208" w:name="_Toc127183526"/>
      <w:bookmarkStart w:id="209" w:name="_Toc127337947"/>
      <w:r>
        <w:rPr>
          <w:rStyle w:val="CharDivNo"/>
        </w:rPr>
        <w:t>Division 1</w:t>
      </w:r>
      <w:r>
        <w:rPr>
          <w:snapToGrid w:val="0"/>
        </w:rPr>
        <w:t> — </w:t>
      </w:r>
      <w:r>
        <w:rPr>
          <w:rStyle w:val="CharDivText"/>
        </w:rPr>
        <w:t>Prospecting licences</w:t>
      </w:r>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DivText"/>
        </w:rPr>
        <w:t xml:space="preserve"> </w:t>
      </w:r>
    </w:p>
    <w:p>
      <w:pPr>
        <w:pStyle w:val="Heading5"/>
        <w:spacing w:before="180"/>
        <w:rPr>
          <w:snapToGrid w:val="0"/>
        </w:rPr>
      </w:pPr>
      <w:bookmarkStart w:id="210" w:name="_Toc474633027"/>
      <w:bookmarkStart w:id="211" w:name="_Toc488740176"/>
      <w:bookmarkStart w:id="212" w:name="_Toc8623563"/>
      <w:bookmarkStart w:id="213" w:name="_Toc11229404"/>
      <w:bookmarkStart w:id="214" w:name="_Toc104276556"/>
      <w:bookmarkStart w:id="215" w:name="_Toc127337948"/>
      <w:r>
        <w:rPr>
          <w:rStyle w:val="CharSectno"/>
        </w:rPr>
        <w:t>11</w:t>
      </w:r>
      <w:r>
        <w:rPr>
          <w:snapToGrid w:val="0"/>
        </w:rPr>
        <w:t>.</w:t>
      </w:r>
      <w:r>
        <w:rPr>
          <w:snapToGrid w:val="0"/>
        </w:rPr>
        <w:tab/>
        <w:t>Marking out and application</w:t>
      </w:r>
      <w:bookmarkEnd w:id="210"/>
      <w:bookmarkEnd w:id="211"/>
      <w:bookmarkEnd w:id="212"/>
      <w:bookmarkEnd w:id="213"/>
      <w:bookmarkEnd w:id="214"/>
      <w:bookmarkEnd w:id="215"/>
      <w:r>
        <w:rPr>
          <w:snapToGrid w:val="0"/>
        </w:rPr>
        <w:t xml:space="preserve"> </w:t>
      </w:r>
    </w:p>
    <w:p>
      <w:pPr>
        <w:pStyle w:val="Subsection"/>
        <w:spacing w:before="120"/>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Repealed in Gazette 2 Feb 2001 p. 712.]</w:t>
      </w:r>
    </w:p>
    <w:p>
      <w:pPr>
        <w:pStyle w:val="Heading5"/>
        <w:spacing w:before="180"/>
        <w:rPr>
          <w:snapToGrid w:val="0"/>
        </w:rPr>
      </w:pPr>
      <w:bookmarkStart w:id="216" w:name="_Toc474633029"/>
      <w:bookmarkStart w:id="217" w:name="_Toc488740178"/>
      <w:bookmarkStart w:id="218" w:name="_Toc8623564"/>
      <w:bookmarkStart w:id="219" w:name="_Toc11229405"/>
      <w:bookmarkStart w:id="220" w:name="_Toc104276557"/>
      <w:bookmarkStart w:id="221" w:name="_Toc127337949"/>
      <w:r>
        <w:rPr>
          <w:rStyle w:val="CharSectno"/>
        </w:rPr>
        <w:t>13</w:t>
      </w:r>
      <w:r>
        <w:rPr>
          <w:snapToGrid w:val="0"/>
        </w:rPr>
        <w:t>.</w:t>
      </w:r>
      <w:r>
        <w:rPr>
          <w:snapToGrid w:val="0"/>
        </w:rPr>
        <w:tab/>
        <w:t xml:space="preserve">Instrument of </w:t>
      </w:r>
      <w:bookmarkEnd w:id="216"/>
      <w:bookmarkEnd w:id="217"/>
      <w:bookmarkEnd w:id="218"/>
      <w:r>
        <w:rPr>
          <w:snapToGrid w:val="0"/>
        </w:rPr>
        <w:t>licence</w:t>
      </w:r>
      <w:bookmarkEnd w:id="219"/>
      <w:bookmarkEnd w:id="220"/>
      <w:bookmarkEnd w:id="221"/>
      <w:r>
        <w:rPr>
          <w:snapToGrid w:val="0"/>
        </w:rPr>
        <w:t xml:space="preserve"> </w:t>
      </w:r>
    </w:p>
    <w:p>
      <w:pPr>
        <w:pStyle w:val="Subsection"/>
        <w:spacing w:before="120"/>
        <w:rPr>
          <w:snapToGrid w:val="0"/>
        </w:rPr>
      </w:pPr>
      <w:r>
        <w:rPr>
          <w:snapToGrid w:val="0"/>
        </w:rPr>
        <w:tab/>
      </w:r>
      <w:r>
        <w:rPr>
          <w:snapToGrid w:val="0"/>
        </w:rPr>
        <w:tab/>
        <w:t>The instrument of licence for a prospecting licence shall be in the form No. 4 in the First Schedule.</w:t>
      </w:r>
    </w:p>
    <w:p>
      <w:pPr>
        <w:pStyle w:val="Heading5"/>
      </w:pPr>
      <w:bookmarkStart w:id="222" w:name="_Toc127337950"/>
      <w:bookmarkStart w:id="223" w:name="_Toc474633030"/>
      <w:bookmarkStart w:id="224" w:name="_Toc488740179"/>
      <w:bookmarkStart w:id="225" w:name="_Toc8623565"/>
      <w:bookmarkStart w:id="226" w:name="_Toc11229406"/>
      <w:bookmarkStart w:id="227" w:name="_Toc104276558"/>
      <w:r>
        <w:rPr>
          <w:rStyle w:val="CharSectno"/>
        </w:rPr>
        <w:t>13A</w:t>
      </w:r>
      <w:r>
        <w:t>.</w:t>
      </w:r>
      <w:r>
        <w:tab/>
        <w:t>Programme of work for ground disturbing equipment</w:t>
      </w:r>
      <w:bookmarkEnd w:id="222"/>
    </w:p>
    <w:p>
      <w:pPr>
        <w:pStyle w:val="Subsection"/>
      </w:pPr>
      <w:r>
        <w:tab/>
        <w:t>(1)</w:t>
      </w:r>
      <w:r>
        <w:tab/>
        <w:t>The programme of work referred to in section 46(aa)(i)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46(aa)(ii).</w:t>
      </w:r>
    </w:p>
    <w:p>
      <w:pPr>
        <w:pStyle w:val="Footnotesection"/>
      </w:pPr>
      <w:r>
        <w:tab/>
        <w:t>[Regulation 13A inserted in Gazette 3 Feb 2006 p. 576.]</w:t>
      </w:r>
    </w:p>
    <w:p>
      <w:pPr>
        <w:pStyle w:val="Heading5"/>
        <w:spacing w:before="180"/>
        <w:rPr>
          <w:snapToGrid w:val="0"/>
        </w:rPr>
      </w:pPr>
      <w:bookmarkStart w:id="228" w:name="_Toc127337951"/>
      <w:r>
        <w:rPr>
          <w:rStyle w:val="CharSectno"/>
        </w:rPr>
        <w:t>14</w:t>
      </w:r>
      <w:r>
        <w:rPr>
          <w:snapToGrid w:val="0"/>
        </w:rPr>
        <w:t>.</w:t>
      </w:r>
      <w:r>
        <w:rPr>
          <w:snapToGrid w:val="0"/>
        </w:rPr>
        <w:tab/>
        <w:t>Limit on amount of earth, etc., that may be removed</w:t>
      </w:r>
      <w:bookmarkEnd w:id="223"/>
      <w:bookmarkEnd w:id="224"/>
      <w:bookmarkEnd w:id="225"/>
      <w:bookmarkEnd w:id="226"/>
      <w:bookmarkEnd w:id="227"/>
      <w:bookmarkEnd w:id="228"/>
      <w:r>
        <w:rPr>
          <w:snapToGrid w:val="0"/>
        </w:rPr>
        <w:t xml:space="preserve"> </w:t>
      </w:r>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 xml:space="preserve">[Regulation 14 inserted in Gazette 31 May 1991 p. 2696.] </w:t>
      </w:r>
    </w:p>
    <w:p>
      <w:pPr>
        <w:pStyle w:val="Heading5"/>
        <w:spacing w:before="200"/>
        <w:rPr>
          <w:snapToGrid w:val="0"/>
        </w:rPr>
      </w:pPr>
      <w:bookmarkStart w:id="229" w:name="_Toc474633031"/>
      <w:bookmarkStart w:id="230" w:name="_Toc488740180"/>
      <w:bookmarkStart w:id="231" w:name="_Toc8623566"/>
      <w:bookmarkStart w:id="232" w:name="_Toc11229407"/>
      <w:bookmarkStart w:id="233" w:name="_Toc104276559"/>
      <w:bookmarkStart w:id="234" w:name="_Toc127337952"/>
      <w:r>
        <w:rPr>
          <w:rStyle w:val="CharSectno"/>
        </w:rPr>
        <w:t>15</w:t>
      </w:r>
      <w:r>
        <w:rPr>
          <w:snapToGrid w:val="0"/>
        </w:rPr>
        <w:t>.</w:t>
      </w:r>
      <w:r>
        <w:rPr>
          <w:snapToGrid w:val="0"/>
        </w:rPr>
        <w:tab/>
        <w:t>Expenditure condition</w:t>
      </w:r>
      <w:bookmarkEnd w:id="229"/>
      <w:bookmarkEnd w:id="230"/>
      <w:bookmarkEnd w:id="231"/>
      <w:bookmarkEnd w:id="232"/>
      <w:bookmarkEnd w:id="233"/>
      <w:bookmarkEnd w:id="234"/>
      <w:r>
        <w:rPr>
          <w:snapToGrid w:val="0"/>
        </w:rPr>
        <w:t xml:space="preserve"> </w:t>
      </w:r>
    </w:p>
    <w:p>
      <w:pPr>
        <w:pStyle w:val="Subsection"/>
        <w:spacing w:before="120"/>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 xml:space="preserve">[Regulation 15 amended in Gazette 16 Nov 1990 p. 5728; 31 Jul 1992 p. 3776; 11 Jun 1999 p. 2543; 18 Jun 1999 p. 2642; 17 Jan 2003 p. 110; 3 Feb 2006 p. 577.] </w:t>
      </w:r>
    </w:p>
    <w:p>
      <w:pPr>
        <w:pStyle w:val="Heading5"/>
        <w:rPr>
          <w:snapToGrid w:val="0"/>
        </w:rPr>
      </w:pPr>
      <w:bookmarkStart w:id="235" w:name="_Toc474633032"/>
      <w:bookmarkStart w:id="236" w:name="_Toc488740181"/>
      <w:bookmarkStart w:id="237" w:name="_Toc8623567"/>
      <w:bookmarkStart w:id="238" w:name="_Toc11229408"/>
      <w:bookmarkStart w:id="239" w:name="_Toc104276560"/>
      <w:bookmarkStart w:id="240" w:name="_Toc127337953"/>
      <w:r>
        <w:rPr>
          <w:rStyle w:val="CharSectno"/>
        </w:rPr>
        <w:t>16</w:t>
      </w:r>
      <w:r>
        <w:rPr>
          <w:snapToGrid w:val="0"/>
        </w:rPr>
        <w:t>.</w:t>
      </w:r>
      <w:r>
        <w:rPr>
          <w:snapToGrid w:val="0"/>
        </w:rPr>
        <w:tab/>
        <w:t>Reports to be filed</w:t>
      </w:r>
      <w:bookmarkEnd w:id="235"/>
      <w:bookmarkEnd w:id="236"/>
      <w:bookmarkEnd w:id="237"/>
      <w:bookmarkEnd w:id="238"/>
      <w:bookmarkEnd w:id="239"/>
      <w:bookmarkEnd w:id="240"/>
      <w:r>
        <w:rPr>
          <w:snapToGrid w:val="0"/>
        </w:rPr>
        <w:t xml:space="preserve"> </w:t>
      </w:r>
    </w:p>
    <w:p>
      <w:pPr>
        <w:pStyle w:val="Subsection"/>
      </w:pPr>
      <w:r>
        <w:tab/>
        <w:t>(1)</w:t>
      </w:r>
      <w:r>
        <w:tab/>
        <w:t xml:space="preserve">A report required under section 51 is to be in the form No. 5 in the First Schedule and is to be filed —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 xml:space="preserve">[Regulation 16 amended in Gazette 2 Jul 1993 p. 3270; 17 Jan 2003 p. 110.] </w:t>
      </w:r>
    </w:p>
    <w:p>
      <w:pPr>
        <w:pStyle w:val="Heading5"/>
      </w:pPr>
      <w:bookmarkStart w:id="241" w:name="_Toc127337954"/>
      <w:bookmarkStart w:id="242" w:name="_Toc74978845"/>
      <w:bookmarkStart w:id="243" w:name="_Toc74979109"/>
      <w:bookmarkStart w:id="244" w:name="_Toc79976407"/>
      <w:bookmarkStart w:id="245" w:name="_Toc80759678"/>
      <w:bookmarkStart w:id="246" w:name="_Toc80783441"/>
      <w:bookmarkStart w:id="247" w:name="_Toc94931108"/>
      <w:bookmarkStart w:id="248" w:name="_Toc104275231"/>
      <w:bookmarkStart w:id="249" w:name="_Toc104276562"/>
      <w:bookmarkStart w:id="250" w:name="_Toc107198783"/>
      <w:bookmarkStart w:id="251" w:name="_Toc107799234"/>
      <w:bookmarkStart w:id="252" w:name="_Toc127087241"/>
      <w:r>
        <w:rPr>
          <w:rStyle w:val="CharSectno"/>
        </w:rPr>
        <w:t>16A</w:t>
      </w:r>
      <w:r>
        <w:t>.</w:t>
      </w:r>
      <w:r>
        <w:tab/>
        <w:t>Grounds for extension under section 45(1a)</w:t>
      </w:r>
      <w:bookmarkEnd w:id="241"/>
    </w:p>
    <w:p>
      <w:pPr>
        <w:pStyle w:val="Subsection"/>
      </w:pPr>
      <w:r>
        <w:tab/>
      </w:r>
      <w:r>
        <w:tab/>
        <w:t xml:space="preserve">Each of the following is a ground for extension for the purposes of section 45(1a) — </w:t>
      </w:r>
    </w:p>
    <w:p>
      <w:pPr>
        <w:pStyle w:val="Indenta"/>
      </w:pPr>
      <w:r>
        <w:tab/>
        <w:t>(a)</w:t>
      </w:r>
      <w:r>
        <w:tab/>
        <w:t xml:space="preserve">by reason of difficulties or delays —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253" w:name="_Toc127337955"/>
      <w:r>
        <w:rPr>
          <w:rStyle w:val="CharSectno"/>
        </w:rPr>
        <w:t>16B</w:t>
      </w:r>
      <w:r>
        <w:t>.</w:t>
      </w:r>
      <w:r>
        <w:tab/>
        <w:t>Application for extension of prospecting licence</w:t>
      </w:r>
      <w:bookmarkEnd w:id="253"/>
    </w:p>
    <w:p>
      <w:pPr>
        <w:pStyle w:val="Subsection"/>
      </w:pPr>
      <w:r>
        <w:tab/>
        <w:t>(1)</w:t>
      </w:r>
      <w:r>
        <w:tab/>
        <w:t xml:space="preserve">An application under section 45(1a) shall — </w:t>
      </w:r>
    </w:p>
    <w:p>
      <w:pPr>
        <w:pStyle w:val="Indenta"/>
      </w:pPr>
      <w:r>
        <w:tab/>
        <w:t>(a)</w:t>
      </w:r>
      <w:r>
        <w:tab/>
        <w:t>be lodged at an office of the Department during the final year of the term of the licence;</w:t>
      </w:r>
    </w:p>
    <w:p>
      <w:pPr>
        <w:pStyle w:val="Indenta"/>
      </w:pPr>
      <w:r>
        <w:tab/>
        <w:t>(b)</w:t>
      </w:r>
      <w:r>
        <w:tab/>
        <w:t>be in the form No. 9 in the First Schedule; and</w:t>
      </w:r>
    </w:p>
    <w:p>
      <w:pPr>
        <w:pStyle w:val="Indenta"/>
      </w:pPr>
      <w:r>
        <w:tab/>
        <w:t>(c)</w:t>
      </w:r>
      <w:r>
        <w:tab/>
        <w:t xml:space="preserve">be accompanied by —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w:t>
      </w:r>
    </w:p>
    <w:p>
      <w:pPr>
        <w:pStyle w:val="Heading5"/>
      </w:pPr>
      <w:bookmarkStart w:id="254" w:name="_Toc127337956"/>
      <w:r>
        <w:rPr>
          <w:rStyle w:val="CharSectno"/>
        </w:rPr>
        <w:t>16C</w:t>
      </w:r>
      <w:r>
        <w:t>.</w:t>
      </w:r>
      <w:r>
        <w:tab/>
        <w:t>Application for retention status</w:t>
      </w:r>
      <w:bookmarkEnd w:id="254"/>
    </w:p>
    <w:p>
      <w:pPr>
        <w:pStyle w:val="Subsection"/>
      </w:pPr>
      <w:r>
        <w:tab/>
        <w:t>(1)</w:t>
      </w:r>
      <w:r>
        <w:tab/>
        <w:t xml:space="preserve">An application under section 53(2) shall — </w:t>
      </w:r>
    </w:p>
    <w:p>
      <w:pPr>
        <w:pStyle w:val="Indenta"/>
      </w:pPr>
      <w:r>
        <w:tab/>
        <w:t>(a)</w:t>
      </w:r>
      <w:r>
        <w:tab/>
        <w:t>be lodged at an office of the Department;</w:t>
      </w:r>
    </w:p>
    <w:p>
      <w:pPr>
        <w:pStyle w:val="Indenta"/>
      </w:pPr>
      <w:r>
        <w:tab/>
        <w:t>(b)</w:t>
      </w:r>
      <w:r>
        <w:tab/>
        <w:t xml:space="preserve">be accompanied by a statement specifying —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 xml:space="preserve">be accompanied by a statutory declaration made by the applicant or a person authorised by the applicant to the effect that —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 xml:space="preserve">be accompanied by a map that clearly indicates —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item 2A of the Second Schedule.</w:t>
      </w:r>
    </w:p>
    <w:p>
      <w:pPr>
        <w:pStyle w:val="Footnotesection"/>
      </w:pPr>
      <w:r>
        <w:tab/>
        <w:t>[Regulation 16C inserted in Gazette 3 Feb 2006 p. 579-80.]</w:t>
      </w:r>
    </w:p>
    <w:p>
      <w:pPr>
        <w:pStyle w:val="Heading5"/>
      </w:pPr>
      <w:bookmarkStart w:id="255" w:name="_Toc127337957"/>
      <w:r>
        <w:rPr>
          <w:rStyle w:val="CharSectno"/>
        </w:rPr>
        <w:t>16D</w:t>
      </w:r>
      <w:r>
        <w:t>.</w:t>
      </w:r>
      <w:r>
        <w:tab/>
        <w:t>Marking out of land that has retention status</w:t>
      </w:r>
      <w:bookmarkEnd w:id="255"/>
    </w:p>
    <w:p>
      <w:pPr>
        <w:pStyle w:val="Subsection"/>
      </w:pPr>
      <w:r>
        <w:tab/>
      </w:r>
      <w:r>
        <w:tab/>
        <w:t>Regulations 59, 60 and 61 apply, with any necessary modifications, in relation to marking out the boundaries of land for the purposes of section 54(6).</w:t>
      </w:r>
    </w:p>
    <w:p>
      <w:pPr>
        <w:pStyle w:val="Footnotesection"/>
      </w:pPr>
      <w:r>
        <w:tab/>
        <w:t>[Regulation 16D inserted in Gazette 3 Feb 2006 p. 580.]</w:t>
      </w:r>
    </w:p>
    <w:p>
      <w:pPr>
        <w:pStyle w:val="Heading5"/>
      </w:pPr>
      <w:bookmarkStart w:id="256" w:name="_Toc127337958"/>
      <w:r>
        <w:rPr>
          <w:rStyle w:val="CharSectno"/>
        </w:rPr>
        <w:t>16E</w:t>
      </w:r>
      <w:r>
        <w:t>.</w:t>
      </w:r>
      <w:r>
        <w:tab/>
        <w:t>Application for special prospecting licence</w:t>
      </w:r>
      <w:bookmarkEnd w:id="256"/>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pPr>
      <w:r>
        <w:tab/>
        <w:t>[Regulation 16E inserted in Gazette 3 Feb 2006 p. 580.]</w:t>
      </w:r>
    </w:p>
    <w:p>
      <w:pPr>
        <w:pStyle w:val="Heading3"/>
        <w:rPr>
          <w:snapToGrid w:val="0"/>
        </w:rPr>
      </w:pPr>
      <w:bookmarkStart w:id="257" w:name="_Toc127183538"/>
      <w:bookmarkStart w:id="258" w:name="_Toc127337959"/>
      <w:r>
        <w:rPr>
          <w:rStyle w:val="CharDivNo"/>
        </w:rPr>
        <w:t>Division 2</w:t>
      </w:r>
      <w:r>
        <w:rPr>
          <w:snapToGrid w:val="0"/>
        </w:rPr>
        <w:t> — </w:t>
      </w:r>
      <w:r>
        <w:rPr>
          <w:rStyle w:val="CharDivText"/>
        </w:rPr>
        <w:t>Exploration licences</w:t>
      </w:r>
      <w:bookmarkEnd w:id="242"/>
      <w:bookmarkEnd w:id="243"/>
      <w:bookmarkEnd w:id="244"/>
      <w:bookmarkEnd w:id="245"/>
      <w:bookmarkEnd w:id="246"/>
      <w:bookmarkEnd w:id="247"/>
      <w:bookmarkEnd w:id="248"/>
      <w:bookmarkEnd w:id="249"/>
      <w:bookmarkEnd w:id="250"/>
      <w:bookmarkEnd w:id="251"/>
      <w:bookmarkEnd w:id="252"/>
      <w:bookmarkEnd w:id="257"/>
      <w:bookmarkEnd w:id="258"/>
      <w:r>
        <w:rPr>
          <w:rStyle w:val="CharDivText"/>
        </w:rPr>
        <w:t xml:space="preserve"> </w:t>
      </w:r>
    </w:p>
    <w:p>
      <w:pPr>
        <w:pStyle w:val="Heading5"/>
        <w:spacing w:before="160"/>
        <w:rPr>
          <w:snapToGrid w:val="0"/>
        </w:rPr>
      </w:pPr>
      <w:bookmarkStart w:id="259" w:name="_Toc474633034"/>
      <w:bookmarkStart w:id="260" w:name="_Toc488740183"/>
      <w:bookmarkStart w:id="261" w:name="_Toc8623569"/>
      <w:bookmarkStart w:id="262" w:name="_Toc11229410"/>
      <w:bookmarkStart w:id="263" w:name="_Toc104276563"/>
      <w:bookmarkStart w:id="264" w:name="_Toc127337960"/>
      <w:r>
        <w:rPr>
          <w:rStyle w:val="CharSectno"/>
        </w:rPr>
        <w:t>17</w:t>
      </w:r>
      <w:r>
        <w:rPr>
          <w:snapToGrid w:val="0"/>
        </w:rPr>
        <w:t>.</w:t>
      </w:r>
      <w:r>
        <w:rPr>
          <w:snapToGrid w:val="0"/>
        </w:rPr>
        <w:tab/>
        <w:t>Application</w:t>
      </w:r>
      <w:bookmarkEnd w:id="259"/>
      <w:bookmarkEnd w:id="260"/>
      <w:bookmarkEnd w:id="261"/>
      <w:bookmarkEnd w:id="262"/>
      <w:bookmarkEnd w:id="263"/>
      <w:bookmarkEnd w:id="264"/>
      <w:r>
        <w:rPr>
          <w:snapToGrid w:val="0"/>
        </w:rPr>
        <w:t xml:space="preserve"> </w:t>
      </w:r>
    </w:p>
    <w:p>
      <w:pPr>
        <w:pStyle w:val="Subsection"/>
        <w:spacing w:before="10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265" w:name="_Toc474633036"/>
      <w:bookmarkStart w:id="266" w:name="_Toc488740185"/>
      <w:r>
        <w:t>[</w:t>
      </w:r>
      <w:r>
        <w:rPr>
          <w:b/>
        </w:rPr>
        <w:t>18.</w:t>
      </w:r>
      <w:r>
        <w:rPr>
          <w:b/>
        </w:rPr>
        <w:tab/>
      </w:r>
      <w:r>
        <w:t>Repealed in Gazette 2 Feb 2001 p. 712.]</w:t>
      </w:r>
    </w:p>
    <w:p>
      <w:pPr>
        <w:pStyle w:val="Ednotesection"/>
        <w:rPr>
          <w:b/>
        </w:rPr>
      </w:pPr>
      <w:bookmarkStart w:id="267" w:name="_Toc474633037"/>
      <w:bookmarkStart w:id="268" w:name="_Toc488740186"/>
      <w:bookmarkStart w:id="269" w:name="_Toc8623571"/>
      <w:bookmarkStart w:id="270" w:name="_Toc11229412"/>
      <w:bookmarkStart w:id="271" w:name="_Toc104276565"/>
      <w:bookmarkEnd w:id="265"/>
      <w:bookmarkEnd w:id="266"/>
      <w:r>
        <w:t>[</w:t>
      </w:r>
      <w:r>
        <w:rPr>
          <w:b/>
        </w:rPr>
        <w:t>18A.</w:t>
      </w:r>
      <w:r>
        <w:rPr>
          <w:b/>
        </w:rPr>
        <w:tab/>
      </w:r>
      <w:r>
        <w:t>Repealed in Gazette 3 Feb 2006 p. 580.]</w:t>
      </w:r>
    </w:p>
    <w:p>
      <w:pPr>
        <w:pStyle w:val="Heading5"/>
        <w:spacing w:before="180"/>
        <w:rPr>
          <w:snapToGrid w:val="0"/>
        </w:rPr>
      </w:pPr>
      <w:bookmarkStart w:id="272" w:name="_Toc127337961"/>
      <w:r>
        <w:rPr>
          <w:rStyle w:val="CharSectno"/>
        </w:rPr>
        <w:t>19</w:t>
      </w:r>
      <w:r>
        <w:rPr>
          <w:snapToGrid w:val="0"/>
        </w:rPr>
        <w:t>.</w:t>
      </w:r>
      <w:r>
        <w:rPr>
          <w:snapToGrid w:val="0"/>
        </w:rPr>
        <w:tab/>
        <w:t xml:space="preserve">Instrument of </w:t>
      </w:r>
      <w:bookmarkEnd w:id="267"/>
      <w:bookmarkEnd w:id="268"/>
      <w:bookmarkEnd w:id="269"/>
      <w:r>
        <w:rPr>
          <w:snapToGrid w:val="0"/>
        </w:rPr>
        <w:t>licence</w:t>
      </w:r>
      <w:bookmarkEnd w:id="270"/>
      <w:bookmarkEnd w:id="271"/>
      <w:bookmarkEnd w:id="272"/>
      <w:r>
        <w:rPr>
          <w:snapToGrid w:val="0"/>
        </w:rPr>
        <w:t xml:space="preserve"> </w:t>
      </w:r>
    </w:p>
    <w:p>
      <w:pPr>
        <w:pStyle w:val="Subsection"/>
        <w:spacing w:before="120"/>
        <w:rPr>
          <w:snapToGrid w:val="0"/>
        </w:rPr>
      </w:pPr>
      <w:r>
        <w:rPr>
          <w:snapToGrid w:val="0"/>
        </w:rPr>
        <w:tab/>
      </w:r>
      <w:r>
        <w:rPr>
          <w:snapToGrid w:val="0"/>
        </w:rPr>
        <w:tab/>
        <w:t>The instrument of licence for an exploration licence shall be in the form No. 6 in the First Schedule.</w:t>
      </w:r>
    </w:p>
    <w:p>
      <w:pPr>
        <w:pStyle w:val="Heading5"/>
        <w:spacing w:before="180"/>
        <w:rPr>
          <w:snapToGrid w:val="0"/>
        </w:rPr>
      </w:pPr>
      <w:bookmarkStart w:id="273" w:name="_Toc474633038"/>
      <w:bookmarkStart w:id="274" w:name="_Toc488740187"/>
      <w:bookmarkStart w:id="275" w:name="_Toc8623572"/>
      <w:bookmarkStart w:id="276" w:name="_Toc11229413"/>
      <w:bookmarkStart w:id="277" w:name="_Toc104276566"/>
      <w:bookmarkStart w:id="278" w:name="_Toc127337962"/>
      <w:r>
        <w:rPr>
          <w:rStyle w:val="CharSectno"/>
        </w:rPr>
        <w:t>20</w:t>
      </w:r>
      <w:r>
        <w:rPr>
          <w:snapToGrid w:val="0"/>
        </w:rPr>
        <w:t>.</w:t>
      </w:r>
      <w:r>
        <w:rPr>
          <w:snapToGrid w:val="0"/>
        </w:rPr>
        <w:tab/>
        <w:t>Limit on amount of earth, etc., that may be removed</w:t>
      </w:r>
      <w:bookmarkEnd w:id="273"/>
      <w:bookmarkEnd w:id="274"/>
      <w:bookmarkEnd w:id="275"/>
      <w:bookmarkEnd w:id="276"/>
      <w:bookmarkEnd w:id="277"/>
      <w:bookmarkEnd w:id="278"/>
      <w:r>
        <w:rPr>
          <w:snapToGrid w:val="0"/>
        </w:rPr>
        <w:t xml:space="preserve"> </w:t>
      </w:r>
    </w:p>
    <w:p>
      <w:pPr>
        <w:pStyle w:val="Subsection"/>
        <w:spacing w:before="120"/>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 xml:space="preserve">[Regulation 20 inserted in Gazette 31 May 1991 p. 2697.] </w:t>
      </w:r>
    </w:p>
    <w:p>
      <w:pPr>
        <w:pStyle w:val="Heading5"/>
        <w:spacing w:before="180"/>
        <w:rPr>
          <w:snapToGrid w:val="0"/>
        </w:rPr>
      </w:pPr>
      <w:bookmarkStart w:id="279" w:name="_Toc474633039"/>
      <w:bookmarkStart w:id="280" w:name="_Toc488740188"/>
      <w:bookmarkStart w:id="281" w:name="_Toc8623573"/>
      <w:bookmarkStart w:id="282" w:name="_Toc11229414"/>
      <w:bookmarkStart w:id="283" w:name="_Toc104276567"/>
      <w:bookmarkStart w:id="284" w:name="_Toc127337963"/>
      <w:r>
        <w:rPr>
          <w:rStyle w:val="CharSectno"/>
        </w:rPr>
        <w:t>21</w:t>
      </w:r>
      <w:r>
        <w:rPr>
          <w:snapToGrid w:val="0"/>
        </w:rPr>
        <w:t>.</w:t>
      </w:r>
      <w:r>
        <w:rPr>
          <w:snapToGrid w:val="0"/>
        </w:rPr>
        <w:tab/>
        <w:t>Expenditure condition</w:t>
      </w:r>
      <w:bookmarkEnd w:id="279"/>
      <w:bookmarkEnd w:id="280"/>
      <w:bookmarkEnd w:id="281"/>
      <w:bookmarkEnd w:id="282"/>
      <w:bookmarkEnd w:id="283"/>
      <w:bookmarkEnd w:id="284"/>
      <w:r>
        <w:rPr>
          <w:snapToGrid w:val="0"/>
        </w:rPr>
        <w:t xml:space="preserve"> </w:t>
      </w:r>
    </w:p>
    <w:p>
      <w:pPr>
        <w:pStyle w:val="Subsection"/>
        <w:spacing w:before="120"/>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 </w:t>
      </w:r>
    </w:p>
    <w:p>
      <w:pPr>
        <w:pStyle w:val="Indenta"/>
        <w:spacing w:before="70"/>
        <w:rPr>
          <w:snapToGrid w:val="0"/>
        </w:rPr>
      </w:pPr>
      <w:r>
        <w:rPr>
          <w:snapToGrid w:val="0"/>
        </w:rPr>
        <w:tab/>
        <w:t>(a)</w:t>
      </w:r>
      <w:r>
        <w:rPr>
          <w:snapToGrid w:val="0"/>
        </w:rPr>
        <w:tab/>
      </w:r>
      <w:r>
        <w:t>during each of years 1 to 5 of that term</w:t>
      </w:r>
      <w:r>
        <w:rPr>
          <w:snapToGrid w:val="0"/>
        </w:rPr>
        <w:t>, not less that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pPr>
      <w:r>
        <w:tab/>
        <w:t>(1b)</w:t>
      </w:r>
      <w:r>
        <w:tab/>
        <w:t>The holder of a graticular exploration licence shall expend, or cause to be expended, in mining on or in connection with mining on the licence</w:t>
      </w:r>
      <w:r>
        <w:rPr>
          <w:b/>
          <w:bCs/>
          <w:i/>
          <w:iCs/>
        </w:rPr>
        <w:t> </w:t>
      </w:r>
      <w:r>
        <w:rPr>
          <w:b/>
          <w:bCs/>
        </w:rPr>
        <w:t xml:space="preserve">— </w:t>
      </w:r>
    </w:p>
    <w:p>
      <w:pPr>
        <w:pStyle w:val="Indenta"/>
      </w:pPr>
      <w:r>
        <w:tab/>
        <w:t>(a)</w:t>
      </w:r>
      <w:r>
        <w:tab/>
        <w:t xml:space="preserve">during each of years 1 to 3 of the term of the licence, $1 000 per block —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t>(b)</w:t>
      </w:r>
      <w:r>
        <w:tab/>
        <w:t xml:space="preserve">during each of years 4 and 5 of the term of the licence, $1 500 per block —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t>(c)</w:t>
      </w:r>
      <w:r>
        <w:tab/>
        <w:t xml:space="preserve">during each of years 6 and 7 of the term of the licence, $2 000 per block —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 xml:space="preserve">during year 8, and each subsequent year of the term of the licence, $3 000 per block —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 xml:space="preserve">3; 17 Jan 2003 p. 110; 3 Feb 2006 p. 581-3.] </w:t>
      </w:r>
    </w:p>
    <w:p>
      <w:pPr>
        <w:pStyle w:val="Heading5"/>
      </w:pPr>
      <w:bookmarkStart w:id="285" w:name="_Toc127337964"/>
      <w:bookmarkStart w:id="286" w:name="_Toc474633040"/>
      <w:bookmarkStart w:id="287" w:name="_Toc488740189"/>
      <w:bookmarkStart w:id="288" w:name="_Toc8623574"/>
      <w:bookmarkStart w:id="289" w:name="_Toc11229415"/>
      <w:bookmarkStart w:id="290" w:name="_Toc104276568"/>
      <w:r>
        <w:rPr>
          <w:rStyle w:val="CharSectno"/>
        </w:rPr>
        <w:t>21A</w:t>
      </w:r>
      <w:r>
        <w:t>.</w:t>
      </w:r>
      <w:r>
        <w:tab/>
        <w:t>Programme of work for ground disturbing equipment</w:t>
      </w:r>
      <w:bookmarkEnd w:id="285"/>
    </w:p>
    <w:p>
      <w:pPr>
        <w:pStyle w:val="Subsection"/>
      </w:pPr>
      <w:r>
        <w:tab/>
        <w:t>(1)</w:t>
      </w:r>
      <w:r>
        <w:tab/>
        <w:t>The programme of work referred to in section 63(aa)(i)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63(aa)(ii).</w:t>
      </w:r>
    </w:p>
    <w:p>
      <w:pPr>
        <w:pStyle w:val="Footnotesection"/>
      </w:pPr>
      <w:r>
        <w:tab/>
        <w:t>[Regulation 21A inserted in Gazette 3 Feb 2006 p. 584.]</w:t>
      </w:r>
    </w:p>
    <w:p>
      <w:pPr>
        <w:pStyle w:val="Heading5"/>
        <w:spacing w:before="120"/>
        <w:rPr>
          <w:snapToGrid w:val="0"/>
        </w:rPr>
      </w:pPr>
      <w:bookmarkStart w:id="291" w:name="_Toc127337965"/>
      <w:r>
        <w:rPr>
          <w:rStyle w:val="CharSectno"/>
        </w:rPr>
        <w:t>22</w:t>
      </w:r>
      <w:r>
        <w:rPr>
          <w:snapToGrid w:val="0"/>
        </w:rPr>
        <w:t>.</w:t>
      </w:r>
      <w:r>
        <w:rPr>
          <w:snapToGrid w:val="0"/>
        </w:rPr>
        <w:tab/>
        <w:t>Reports to be filed</w:t>
      </w:r>
      <w:bookmarkEnd w:id="286"/>
      <w:bookmarkEnd w:id="287"/>
      <w:bookmarkEnd w:id="288"/>
      <w:bookmarkEnd w:id="289"/>
      <w:bookmarkEnd w:id="290"/>
      <w:bookmarkEnd w:id="291"/>
      <w:r>
        <w:rPr>
          <w:snapToGrid w:val="0"/>
        </w:rPr>
        <w:t xml:space="preserve"> </w:t>
      </w:r>
    </w:p>
    <w:p>
      <w:pPr>
        <w:pStyle w:val="Subsection"/>
      </w:pPr>
      <w:r>
        <w:rPr>
          <w:snapToGrid w:val="0"/>
        </w:rPr>
        <w:tab/>
        <w:t>(1)</w:t>
      </w:r>
      <w:r>
        <w:rPr>
          <w:snapToGrid w:val="0"/>
        </w:rPr>
        <w:tab/>
        <w:t xml:space="preserve">The reports required under section 68(3) shall be a report on operations on the mining tenement in the form No. 5 in the First Schedule to be </w:t>
      </w:r>
      <w:r>
        <w:t xml:space="preserve">filed —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 xml:space="preserve">11.] </w:t>
      </w:r>
    </w:p>
    <w:p>
      <w:pPr>
        <w:pStyle w:val="Heading5"/>
      </w:pPr>
      <w:bookmarkStart w:id="292" w:name="_Toc127337966"/>
      <w:bookmarkStart w:id="293" w:name="_Toc474633041"/>
      <w:bookmarkStart w:id="294" w:name="_Toc488740190"/>
      <w:bookmarkStart w:id="295" w:name="_Toc8623575"/>
      <w:bookmarkStart w:id="296" w:name="_Toc11229416"/>
      <w:bookmarkStart w:id="297" w:name="_Toc104276569"/>
      <w:r>
        <w:rPr>
          <w:rStyle w:val="CharSectno"/>
        </w:rPr>
        <w:t>22A</w:t>
      </w:r>
      <w:r>
        <w:t>.</w:t>
      </w:r>
      <w:r>
        <w:tab/>
        <w:t>Grounds for deferral under section 65(3b)</w:t>
      </w:r>
      <w:bookmarkEnd w:id="292"/>
    </w:p>
    <w:p>
      <w:pPr>
        <w:pStyle w:val="Subsection"/>
      </w:pPr>
      <w:r>
        <w:tab/>
      </w:r>
      <w:r>
        <w:tab/>
        <w:t xml:space="preserve">Each of the following is a ground for deferral for the purposes of section 65(3b) —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 xml:space="preserve">by reason of difficulties or delays —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 to which the application for deferral relates (</w:t>
      </w:r>
      <w:r>
        <w:rPr>
          <w:rStyle w:val="CharDefText"/>
          <w:b w:val="0"/>
          <w:bCs/>
        </w:rPr>
        <w:t xml:space="preserve">the </w:t>
      </w:r>
      <w:r>
        <w:rPr>
          <w:b/>
          <w:bCs/>
        </w:rPr>
        <w:t>“</w:t>
      </w:r>
      <w:r>
        <w:rPr>
          <w:rStyle w:val="CharDefText"/>
        </w:rPr>
        <w:t>relevant land</w:t>
      </w:r>
      <w:r>
        <w:rPr>
          <w:b/>
          <w:bCs/>
        </w:rPr>
        <w:t>”</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Footnotesection"/>
      </w:pPr>
      <w:r>
        <w:tab/>
        <w:t>[Regulation 22A inserted in Gazette 3 Feb 2006 p. 585-6.]</w:t>
      </w:r>
    </w:p>
    <w:p>
      <w:pPr>
        <w:pStyle w:val="Heading5"/>
      </w:pPr>
      <w:bookmarkStart w:id="298" w:name="_Toc127337967"/>
      <w:r>
        <w:rPr>
          <w:rStyle w:val="CharSectno"/>
        </w:rPr>
        <w:t>22B</w:t>
      </w:r>
      <w:r>
        <w:t>.</w:t>
      </w:r>
      <w:r>
        <w:tab/>
        <w:t>Application for deferral</w:t>
      </w:r>
      <w:bookmarkEnd w:id="298"/>
    </w:p>
    <w:p>
      <w:pPr>
        <w:pStyle w:val="Subsection"/>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rPr>
          <w:snapToGrid w:val="0"/>
        </w:rPr>
      </w:pPr>
      <w:bookmarkStart w:id="299" w:name="_Toc127337968"/>
      <w:r>
        <w:rPr>
          <w:rStyle w:val="CharSectno"/>
        </w:rPr>
        <w:t>23</w:t>
      </w:r>
      <w:r>
        <w:rPr>
          <w:snapToGrid w:val="0"/>
        </w:rPr>
        <w:t>.</w:t>
      </w:r>
      <w:r>
        <w:rPr>
          <w:snapToGrid w:val="0"/>
        </w:rPr>
        <w:tab/>
        <w:t>Endorsement of plans upon surrender</w:t>
      </w:r>
      <w:bookmarkEnd w:id="293"/>
      <w:bookmarkEnd w:id="294"/>
      <w:bookmarkEnd w:id="295"/>
      <w:bookmarkEnd w:id="296"/>
      <w:bookmarkEnd w:id="297"/>
      <w:bookmarkEnd w:id="299"/>
      <w:r>
        <w:rPr>
          <w:snapToGrid w:val="0"/>
        </w:rPr>
        <w:t xml:space="preserve"> </w:t>
      </w:r>
    </w:p>
    <w:p>
      <w:pPr>
        <w:pStyle w:val="Subsection"/>
        <w:spacing w:before="14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b/>
          <w:bCs/>
        </w:rPr>
        <w:t>“</w:t>
      </w:r>
      <w:r>
        <w:rPr>
          <w:rStyle w:val="CharDefText"/>
        </w:rPr>
        <w:t>release date</w:t>
      </w:r>
      <w:r>
        <w:rPr>
          <w:b/>
          <w:bCs/>
        </w:rPr>
        <w:t>”</w:t>
      </w:r>
      <w:r>
        <w:t>) and time chosen under subregulation (1)(c) on the plans referred to in section 65(5) at least 14 days before the release date.</w:t>
      </w:r>
    </w:p>
    <w:p>
      <w:pPr>
        <w:pStyle w:val="Footnotesection"/>
      </w:pPr>
      <w:r>
        <w:tab/>
        <w:t xml:space="preserve">[Regulation 23 inserted in Gazette 31 May 1991 p. 2697; amended in Gazette 3 Feb 2006 p. 586.] </w:t>
      </w:r>
    </w:p>
    <w:p>
      <w:pPr>
        <w:pStyle w:val="Heading5"/>
        <w:spacing w:before="180"/>
        <w:rPr>
          <w:snapToGrid w:val="0"/>
        </w:rPr>
      </w:pPr>
      <w:bookmarkStart w:id="300" w:name="_Toc474633042"/>
      <w:bookmarkStart w:id="301" w:name="_Toc488740191"/>
      <w:bookmarkStart w:id="302" w:name="_Toc8623576"/>
      <w:bookmarkStart w:id="303" w:name="_Toc11229417"/>
      <w:bookmarkStart w:id="304" w:name="_Toc104276570"/>
      <w:bookmarkStart w:id="305" w:name="_Toc127337969"/>
      <w:r>
        <w:rPr>
          <w:rStyle w:val="CharSectno"/>
        </w:rPr>
        <w:t>23AA</w:t>
      </w:r>
      <w:r>
        <w:rPr>
          <w:snapToGrid w:val="0"/>
        </w:rPr>
        <w:t>.</w:t>
      </w:r>
      <w:r>
        <w:rPr>
          <w:snapToGrid w:val="0"/>
        </w:rPr>
        <w:tab/>
        <w:t>Refund of rent following unsuccessful application under section 65(1a)</w:t>
      </w:r>
      <w:bookmarkEnd w:id="300"/>
      <w:bookmarkEnd w:id="301"/>
      <w:bookmarkEnd w:id="302"/>
      <w:bookmarkEnd w:id="303"/>
      <w:bookmarkEnd w:id="304"/>
      <w:bookmarkEnd w:id="305"/>
      <w:r>
        <w:rPr>
          <w:snapToGrid w:val="0"/>
        </w:rPr>
        <w:t xml:space="preserve"> </w:t>
      </w:r>
    </w:p>
    <w:p>
      <w:pPr>
        <w:pStyle w:val="Subsection"/>
        <w:spacing w:before="140"/>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spacing w:before="14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 xml:space="preserve">[Regulation 23AA inserted in Gazette 13 Oct 1995 p. 4815.] </w:t>
      </w:r>
    </w:p>
    <w:p>
      <w:pPr>
        <w:pStyle w:val="Heading5"/>
        <w:spacing w:before="180"/>
        <w:rPr>
          <w:snapToGrid w:val="0"/>
        </w:rPr>
      </w:pPr>
      <w:bookmarkStart w:id="306" w:name="_Toc474633043"/>
      <w:bookmarkStart w:id="307" w:name="_Toc488740192"/>
      <w:bookmarkStart w:id="308" w:name="_Toc8623577"/>
      <w:bookmarkStart w:id="309" w:name="_Toc11229418"/>
      <w:bookmarkStart w:id="310" w:name="_Toc104276571"/>
      <w:bookmarkStart w:id="311" w:name="_Toc127337970"/>
      <w:r>
        <w:rPr>
          <w:rStyle w:val="CharSectno"/>
        </w:rPr>
        <w:t>23AB</w:t>
      </w:r>
      <w:r>
        <w:rPr>
          <w:snapToGrid w:val="0"/>
        </w:rPr>
        <w:t>.</w:t>
      </w:r>
      <w:r>
        <w:rPr>
          <w:snapToGrid w:val="0"/>
        </w:rPr>
        <w:tab/>
        <w:t>Prescribed circumstances under section 61(2)(a)</w:t>
      </w:r>
      <w:bookmarkEnd w:id="306"/>
      <w:bookmarkEnd w:id="307"/>
      <w:bookmarkEnd w:id="308"/>
      <w:bookmarkEnd w:id="309"/>
      <w:bookmarkEnd w:id="310"/>
      <w:bookmarkEnd w:id="311"/>
      <w:r>
        <w:rPr>
          <w:snapToGrid w:val="0"/>
        </w:rPr>
        <w:t xml:space="preserve"> </w:t>
      </w:r>
    </w:p>
    <w:p>
      <w:pPr>
        <w:pStyle w:val="Subsection"/>
        <w:spacing w:before="140"/>
        <w:rPr>
          <w:snapToGrid w:val="0"/>
        </w:rPr>
      </w:pPr>
      <w:r>
        <w:rPr>
          <w:snapToGrid w:val="0"/>
        </w:rPr>
        <w:tab/>
      </w:r>
      <w:r>
        <w:rPr>
          <w:snapToGrid w:val="0"/>
        </w:rPr>
        <w:tab/>
      </w:r>
      <w:r>
        <w:t>Each of the following is a ground for extension for the purposes of section 61(2) — </w:t>
      </w:r>
    </w:p>
    <w:p>
      <w:pPr>
        <w:pStyle w:val="Indenta"/>
        <w:spacing w:before="70"/>
        <w:rPr>
          <w:snapToGrid w:val="0"/>
        </w:rPr>
      </w:pPr>
      <w:r>
        <w:rPr>
          <w:snapToGrid w:val="0"/>
        </w:rPr>
        <w:tab/>
        <w:t>(a)</w:t>
      </w:r>
      <w:r>
        <w:rPr>
          <w:snapToGrid w:val="0"/>
        </w:rPr>
        <w:tab/>
        <w:t>by reason of difficulties or delays —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exploration; or</w:t>
      </w:r>
    </w:p>
    <w:p>
      <w:pPr>
        <w:pStyle w:val="Indenta"/>
      </w:pPr>
      <w:r>
        <w:tab/>
        <w:t>(d)</w:t>
      </w:r>
      <w:r>
        <w:tab/>
        <w:t>if the exploration licence has retention status, the grounds for approval of retention status under section 69B continue to exist.</w:t>
      </w:r>
    </w:p>
    <w:p>
      <w:pPr>
        <w:pStyle w:val="Footnotesection"/>
      </w:pPr>
      <w:r>
        <w:tab/>
        <w:t xml:space="preserve">[Regulation 23AB inserted in Gazette 13 Oct 1995 p. 4816; amended in Gazette 3 Feb 2006 p. 586-7.] </w:t>
      </w:r>
    </w:p>
    <w:p>
      <w:pPr>
        <w:pStyle w:val="Heading5"/>
        <w:spacing w:before="180"/>
        <w:rPr>
          <w:snapToGrid w:val="0"/>
        </w:rPr>
      </w:pPr>
      <w:bookmarkStart w:id="312" w:name="_Toc474633044"/>
      <w:bookmarkStart w:id="313" w:name="_Toc488740193"/>
      <w:bookmarkStart w:id="314" w:name="_Toc8623578"/>
      <w:bookmarkStart w:id="315" w:name="_Toc11229419"/>
      <w:bookmarkStart w:id="316" w:name="_Toc104276572"/>
      <w:bookmarkStart w:id="317" w:name="_Toc127337971"/>
      <w:r>
        <w:rPr>
          <w:rStyle w:val="CharSectno"/>
        </w:rPr>
        <w:t>23A</w:t>
      </w:r>
      <w:r>
        <w:rPr>
          <w:snapToGrid w:val="0"/>
        </w:rPr>
        <w:t>.</w:t>
      </w:r>
      <w:r>
        <w:rPr>
          <w:snapToGrid w:val="0"/>
        </w:rPr>
        <w:tab/>
        <w:t xml:space="preserve">Extension of exploration </w:t>
      </w:r>
      <w:bookmarkEnd w:id="312"/>
      <w:bookmarkEnd w:id="313"/>
      <w:bookmarkEnd w:id="314"/>
      <w:r>
        <w:rPr>
          <w:snapToGrid w:val="0"/>
        </w:rPr>
        <w:t>licence</w:t>
      </w:r>
      <w:bookmarkEnd w:id="315"/>
      <w:bookmarkEnd w:id="316"/>
      <w:bookmarkEnd w:id="317"/>
      <w:r>
        <w:rPr>
          <w:snapToGrid w:val="0"/>
        </w:rPr>
        <w:t xml:space="preserve"> </w:t>
      </w:r>
    </w:p>
    <w:p>
      <w:pPr>
        <w:pStyle w:val="Subsection"/>
        <w:spacing w:before="120"/>
        <w:rPr>
          <w:snapToGrid w:val="0"/>
        </w:rPr>
      </w:pPr>
      <w:r>
        <w:rPr>
          <w:snapToGrid w:val="0"/>
        </w:rPr>
        <w:tab/>
        <w:t>(1)</w:t>
      </w:r>
      <w:r>
        <w:rPr>
          <w:snapToGrid w:val="0"/>
        </w:rPr>
        <w:tab/>
        <w:t>An application under section 61 to extend the term of an exploration licence shall —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be in the form No. 9 in the First Schedule; and</w:t>
      </w:r>
    </w:p>
    <w:p>
      <w:pPr>
        <w:pStyle w:val="Indenta"/>
        <w:spacing w:before="70"/>
        <w:rPr>
          <w:snapToGrid w:val="0"/>
        </w:rPr>
      </w:pPr>
      <w:r>
        <w:rPr>
          <w:snapToGrid w:val="0"/>
        </w:rPr>
        <w:tab/>
        <w:t>(c)</w:t>
      </w:r>
      <w:r>
        <w:rPr>
          <w:snapToGrid w:val="0"/>
        </w:rPr>
        <w:tab/>
        <w:t>be accompanied by —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23A inserted in Gazette 2 Oct 1987 p. 3815; amended in Gazette 13 Oct 1995 p. 4816; 2 Feb 2001 p. 712; 3 Feb 2006 p. 587-8.] </w:t>
      </w:r>
    </w:p>
    <w:p>
      <w:pPr>
        <w:pStyle w:val="Heading5"/>
      </w:pPr>
      <w:bookmarkStart w:id="318" w:name="_Toc127337972"/>
      <w:bookmarkStart w:id="319" w:name="_Toc74978856"/>
      <w:bookmarkStart w:id="320" w:name="_Toc74979120"/>
      <w:bookmarkStart w:id="321" w:name="_Toc79976418"/>
      <w:bookmarkStart w:id="322" w:name="_Toc80759689"/>
      <w:bookmarkStart w:id="323" w:name="_Toc80783452"/>
      <w:bookmarkStart w:id="324" w:name="_Toc94931119"/>
      <w:bookmarkStart w:id="325" w:name="_Toc104275242"/>
      <w:bookmarkStart w:id="326" w:name="_Toc104276573"/>
      <w:bookmarkStart w:id="327" w:name="_Toc107198794"/>
      <w:bookmarkStart w:id="328" w:name="_Toc107799245"/>
      <w:bookmarkStart w:id="329" w:name="_Toc127087252"/>
      <w:r>
        <w:rPr>
          <w:rStyle w:val="CharSectno"/>
        </w:rPr>
        <w:t>23BA</w:t>
      </w:r>
      <w:r>
        <w:t>.</w:t>
      </w:r>
      <w:r>
        <w:tab/>
        <w:t>Application for retention status</w:t>
      </w:r>
      <w:bookmarkEnd w:id="318"/>
    </w:p>
    <w:p>
      <w:pPr>
        <w:pStyle w:val="Subsection"/>
      </w:pPr>
      <w:r>
        <w:tab/>
        <w:t>(1)</w:t>
      </w:r>
      <w:r>
        <w:tab/>
        <w:t xml:space="preserve">An application under section 69A(2) shall — </w:t>
      </w:r>
    </w:p>
    <w:p>
      <w:pPr>
        <w:pStyle w:val="Indenta"/>
      </w:pPr>
      <w:r>
        <w:tab/>
        <w:t>(a)</w:t>
      </w:r>
      <w:r>
        <w:tab/>
        <w:t>be lodged at an office of the Department;</w:t>
      </w:r>
    </w:p>
    <w:p>
      <w:pPr>
        <w:pStyle w:val="Indenta"/>
      </w:pPr>
      <w:r>
        <w:tab/>
        <w:t>(b)</w:t>
      </w:r>
      <w:r>
        <w:tab/>
        <w:t xml:space="preserve">be accompanied by a statement specifying —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 xml:space="preserve">be accompanied by a statutory declaration made by the applicant or a person authorised by the applicant to the effect that —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 xml:space="preserve">be accompanied by a map that clearly indicates —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item 2A of the Second Schedule.</w:t>
      </w:r>
    </w:p>
    <w:p>
      <w:pPr>
        <w:pStyle w:val="Footnotesection"/>
      </w:pPr>
      <w:r>
        <w:tab/>
        <w:t>[Regulation 23BA inserted in Gazette 3 Feb 2006 p. 588-9.]</w:t>
      </w:r>
    </w:p>
    <w:p>
      <w:pPr>
        <w:pStyle w:val="Heading5"/>
      </w:pPr>
      <w:bookmarkStart w:id="330" w:name="_Toc127337973"/>
      <w:r>
        <w:rPr>
          <w:rStyle w:val="CharSectno"/>
        </w:rPr>
        <w:t>23BB</w:t>
      </w:r>
      <w:r>
        <w:t>.</w:t>
      </w:r>
      <w:r>
        <w:tab/>
        <w:t>Application for special prospecting licence</w:t>
      </w:r>
      <w:bookmarkEnd w:id="330"/>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rPr>
          <w:snapToGrid w:val="0"/>
        </w:rPr>
      </w:pPr>
      <w:bookmarkStart w:id="331" w:name="_Toc127183553"/>
      <w:bookmarkStart w:id="332" w:name="_Toc127337974"/>
      <w:r>
        <w:rPr>
          <w:rStyle w:val="CharDivNo"/>
        </w:rPr>
        <w:t>Division 2A</w:t>
      </w:r>
      <w:r>
        <w:rPr>
          <w:snapToGrid w:val="0"/>
        </w:rPr>
        <w:t> — </w:t>
      </w:r>
      <w:r>
        <w:rPr>
          <w:rStyle w:val="CharDivText"/>
        </w:rPr>
        <w:t>Retention licences</w:t>
      </w:r>
      <w:bookmarkEnd w:id="319"/>
      <w:bookmarkEnd w:id="320"/>
      <w:bookmarkEnd w:id="321"/>
      <w:bookmarkEnd w:id="322"/>
      <w:bookmarkEnd w:id="323"/>
      <w:bookmarkEnd w:id="324"/>
      <w:bookmarkEnd w:id="325"/>
      <w:bookmarkEnd w:id="326"/>
      <w:bookmarkEnd w:id="327"/>
      <w:bookmarkEnd w:id="328"/>
      <w:bookmarkEnd w:id="329"/>
      <w:bookmarkEnd w:id="331"/>
      <w:bookmarkEnd w:id="332"/>
      <w:r>
        <w:rPr>
          <w:rStyle w:val="CharDivText"/>
        </w:rPr>
        <w:t xml:space="preserve"> </w:t>
      </w:r>
    </w:p>
    <w:p>
      <w:pPr>
        <w:pStyle w:val="Footnoteheading"/>
        <w:ind w:left="890"/>
        <w:rPr>
          <w:snapToGrid w:val="0"/>
        </w:rPr>
      </w:pPr>
      <w:r>
        <w:rPr>
          <w:snapToGrid w:val="0"/>
        </w:rPr>
        <w:tab/>
        <w:t>[Heading inserted in Gazette 24 Jun 1994 p. 2928.]</w:t>
      </w:r>
    </w:p>
    <w:p>
      <w:pPr>
        <w:pStyle w:val="Heading5"/>
        <w:rPr>
          <w:snapToGrid w:val="0"/>
        </w:rPr>
      </w:pPr>
      <w:bookmarkStart w:id="333" w:name="_Toc474633045"/>
      <w:bookmarkStart w:id="334" w:name="_Toc488740194"/>
      <w:bookmarkStart w:id="335" w:name="_Toc8623579"/>
      <w:bookmarkStart w:id="336" w:name="_Toc11229420"/>
      <w:bookmarkStart w:id="337" w:name="_Toc104276574"/>
      <w:bookmarkStart w:id="338" w:name="_Toc127337975"/>
      <w:r>
        <w:rPr>
          <w:rStyle w:val="CharSectno"/>
        </w:rPr>
        <w:t>23B</w:t>
      </w:r>
      <w:r>
        <w:rPr>
          <w:snapToGrid w:val="0"/>
        </w:rPr>
        <w:t>.</w:t>
      </w:r>
      <w:r>
        <w:rPr>
          <w:snapToGrid w:val="0"/>
        </w:rPr>
        <w:tab/>
        <w:t>Application and marking out</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 xml:space="preserve">[Regulation 23B inserted in Gazette 24 Jun 1994 p. 2928; amended in Gazette 4 Apr 1997 p. 1778.] </w:t>
      </w:r>
    </w:p>
    <w:p>
      <w:pPr>
        <w:pStyle w:val="Ednotesection"/>
        <w:rPr>
          <w:b/>
        </w:rPr>
      </w:pPr>
      <w:bookmarkStart w:id="339" w:name="_Toc474633047"/>
      <w:bookmarkStart w:id="340" w:name="_Toc488740196"/>
      <w:r>
        <w:t>[</w:t>
      </w:r>
      <w:r>
        <w:rPr>
          <w:b/>
        </w:rPr>
        <w:t>23C.</w:t>
      </w:r>
      <w:r>
        <w:rPr>
          <w:b/>
        </w:rPr>
        <w:tab/>
      </w:r>
      <w:r>
        <w:t>Repealed in Gazette 2 Feb 2001 p. 712.]</w:t>
      </w:r>
    </w:p>
    <w:p>
      <w:pPr>
        <w:pStyle w:val="Heading5"/>
        <w:rPr>
          <w:snapToGrid w:val="0"/>
        </w:rPr>
      </w:pPr>
      <w:bookmarkStart w:id="341" w:name="_Toc8623580"/>
      <w:bookmarkStart w:id="342" w:name="_Toc11229421"/>
      <w:bookmarkStart w:id="343" w:name="_Toc104276575"/>
      <w:bookmarkStart w:id="344" w:name="_Toc127337976"/>
      <w:r>
        <w:rPr>
          <w:rStyle w:val="CharSectno"/>
        </w:rPr>
        <w:t>23D</w:t>
      </w:r>
      <w:r>
        <w:rPr>
          <w:snapToGrid w:val="0"/>
        </w:rPr>
        <w:t>.</w:t>
      </w:r>
      <w:r>
        <w:rPr>
          <w:snapToGrid w:val="0"/>
        </w:rPr>
        <w:tab/>
        <w:t xml:space="preserve">Instrument of </w:t>
      </w:r>
      <w:bookmarkEnd w:id="339"/>
      <w:bookmarkEnd w:id="340"/>
      <w:bookmarkEnd w:id="341"/>
      <w:r>
        <w:rPr>
          <w:snapToGrid w:val="0"/>
        </w:rPr>
        <w:t>licence</w:t>
      </w:r>
      <w:bookmarkEnd w:id="342"/>
      <w:bookmarkEnd w:id="343"/>
      <w:bookmarkEnd w:id="344"/>
      <w:r>
        <w:rPr>
          <w:snapToGrid w:val="0"/>
        </w:rPr>
        <w:t xml:space="preserve"> </w:t>
      </w:r>
    </w:p>
    <w:p>
      <w:pPr>
        <w:pStyle w:val="Subsection"/>
        <w:rPr>
          <w:snapToGrid w:val="0"/>
        </w:rPr>
      </w:pPr>
      <w:r>
        <w:rPr>
          <w:snapToGrid w:val="0"/>
        </w:rPr>
        <w:tab/>
      </w:r>
      <w:r>
        <w:rPr>
          <w:snapToGrid w:val="0"/>
        </w:rPr>
        <w:tab/>
        <w:t>The instrument of licence for a retention licence shall be in the form No. 7 in the First Schedule.</w:t>
      </w:r>
    </w:p>
    <w:p>
      <w:pPr>
        <w:pStyle w:val="Footnotesection"/>
      </w:pPr>
      <w:r>
        <w:tab/>
        <w:t xml:space="preserve">[Regulation 23D inserted in Gazette 24 Jun 1994 p. 2928.] </w:t>
      </w:r>
    </w:p>
    <w:p>
      <w:pPr>
        <w:pStyle w:val="Heading5"/>
      </w:pPr>
      <w:bookmarkStart w:id="345" w:name="_Toc127337977"/>
      <w:bookmarkStart w:id="346" w:name="_Toc474633048"/>
      <w:bookmarkStart w:id="347" w:name="_Toc488740197"/>
      <w:bookmarkStart w:id="348" w:name="_Toc8623581"/>
      <w:bookmarkStart w:id="349" w:name="_Toc11229422"/>
      <w:bookmarkStart w:id="350" w:name="_Toc104276576"/>
      <w:r>
        <w:rPr>
          <w:rStyle w:val="CharSectno"/>
        </w:rPr>
        <w:t>23DA</w:t>
      </w:r>
      <w:r>
        <w:t>.</w:t>
      </w:r>
      <w:r>
        <w:tab/>
        <w:t>Programme of work for ground disturbing equipment</w:t>
      </w:r>
      <w:bookmarkEnd w:id="345"/>
    </w:p>
    <w:p>
      <w:pPr>
        <w:pStyle w:val="Subsection"/>
      </w:pPr>
      <w:r>
        <w:tab/>
        <w:t>(1)</w:t>
      </w:r>
      <w:r>
        <w:tab/>
        <w:t>The programme of work referred to in section 70H(1)(aa)(i)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70H(1)(aa)(ii).</w:t>
      </w:r>
    </w:p>
    <w:p>
      <w:pPr>
        <w:pStyle w:val="Footnotesection"/>
      </w:pPr>
      <w:r>
        <w:tab/>
        <w:t>[Regulation 23DA inserted in Gazette 3 Feb 2006 p. 589-90.]</w:t>
      </w:r>
    </w:p>
    <w:p>
      <w:pPr>
        <w:pStyle w:val="Heading5"/>
        <w:spacing w:before="120"/>
        <w:rPr>
          <w:snapToGrid w:val="0"/>
        </w:rPr>
      </w:pPr>
      <w:bookmarkStart w:id="351" w:name="_Toc127337978"/>
      <w:r>
        <w:rPr>
          <w:rStyle w:val="CharSectno"/>
        </w:rPr>
        <w:t>23E</w:t>
      </w:r>
      <w:r>
        <w:rPr>
          <w:snapToGrid w:val="0"/>
        </w:rPr>
        <w:t>.</w:t>
      </w:r>
      <w:r>
        <w:rPr>
          <w:snapToGrid w:val="0"/>
        </w:rPr>
        <w:tab/>
        <w:t>Reports to be lodged</w:t>
      </w:r>
      <w:bookmarkEnd w:id="346"/>
      <w:bookmarkEnd w:id="347"/>
      <w:bookmarkEnd w:id="348"/>
      <w:bookmarkEnd w:id="349"/>
      <w:bookmarkEnd w:id="350"/>
      <w:bookmarkEnd w:id="351"/>
      <w:r>
        <w:rPr>
          <w:snapToGrid w:val="0"/>
        </w:rPr>
        <w:t xml:space="preserve"> </w:t>
      </w:r>
    </w:p>
    <w:p>
      <w:pPr>
        <w:pStyle w:val="Subsection"/>
        <w:spacing w:before="100"/>
      </w:pPr>
      <w:r>
        <w:rPr>
          <w:snapToGrid w:val="0"/>
        </w:rPr>
        <w:tab/>
        <w:t>(1)</w:t>
      </w:r>
      <w:r>
        <w:rPr>
          <w:snapToGrid w:val="0"/>
        </w:rPr>
        <w:tab/>
        <w:t xml:space="preserve">The periodical reports and returns required under section 70H(1)(f) shall be a report on operations on the mining tenement in the form No. 5 in the First Schedule, to be </w:t>
      </w:r>
      <w:r>
        <w:t xml:space="preserve">lodged —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spacing w:before="140"/>
        <w:rPr>
          <w:snapToGrid w:val="0"/>
        </w:rPr>
      </w:pPr>
      <w:r>
        <w:rPr>
          <w:snapToGrid w:val="0"/>
        </w:rPr>
        <w:tab/>
        <w:t>(2)</w:t>
      </w:r>
      <w:r>
        <w:rPr>
          <w:snapToGrid w:val="0"/>
        </w:rPr>
        <w:tab/>
        <w:t xml:space="preserve">A person who, in a report required under section 70H(1)(f), gives information that the person knows is false or misleading in a material respect commits an offence. </w:t>
      </w:r>
    </w:p>
    <w:p>
      <w:pPr>
        <w:pStyle w:val="Footnotesection"/>
      </w:pPr>
      <w:r>
        <w:tab/>
        <w:t>[Regulation 23E inserted in Gazette 24 Jun 1994 p. 2928</w:t>
      </w:r>
      <w:r>
        <w:noBreakHyphen/>
        <w:t xml:space="preserve">9; amended in Gazette 17 Jan 2003 p. 111.] </w:t>
      </w:r>
    </w:p>
    <w:p>
      <w:pPr>
        <w:pStyle w:val="Heading5"/>
        <w:rPr>
          <w:snapToGrid w:val="0"/>
        </w:rPr>
      </w:pPr>
      <w:bookmarkStart w:id="352" w:name="_Toc474633049"/>
      <w:bookmarkStart w:id="353" w:name="_Toc488740198"/>
      <w:bookmarkStart w:id="354" w:name="_Toc8623582"/>
      <w:bookmarkStart w:id="355" w:name="_Toc11229423"/>
      <w:bookmarkStart w:id="356" w:name="_Toc104276577"/>
      <w:bookmarkStart w:id="357" w:name="_Toc127337979"/>
      <w:r>
        <w:rPr>
          <w:rStyle w:val="CharSectno"/>
        </w:rPr>
        <w:t>23F</w:t>
      </w:r>
      <w:r>
        <w:rPr>
          <w:snapToGrid w:val="0"/>
        </w:rPr>
        <w:t>.</w:t>
      </w:r>
      <w:r>
        <w:rPr>
          <w:snapToGrid w:val="0"/>
        </w:rPr>
        <w:tab/>
        <w:t>Application for renewal</w:t>
      </w:r>
      <w:bookmarkEnd w:id="352"/>
      <w:bookmarkEnd w:id="353"/>
      <w:bookmarkEnd w:id="354"/>
      <w:bookmarkEnd w:id="355"/>
      <w:bookmarkEnd w:id="356"/>
      <w:bookmarkEnd w:id="357"/>
      <w:r>
        <w:rPr>
          <w:snapToGrid w:val="0"/>
        </w:rPr>
        <w:t xml:space="preserve"> </w:t>
      </w:r>
    </w:p>
    <w:p>
      <w:pPr>
        <w:pStyle w:val="Subsection"/>
        <w:spacing w:before="100"/>
        <w:rPr>
          <w:snapToGrid w:val="0"/>
        </w:rPr>
      </w:pPr>
      <w:r>
        <w:rPr>
          <w:snapToGrid w:val="0"/>
        </w:rPr>
        <w:tab/>
        <w:t>(1)</w:t>
      </w:r>
      <w:r>
        <w:rPr>
          <w:snapToGrid w:val="0"/>
        </w:rPr>
        <w:tab/>
        <w:t>An application under section 70E(2) for the renewal or further renewal of a retention licence shall be — </w:t>
      </w:r>
    </w:p>
    <w:p>
      <w:pPr>
        <w:pStyle w:val="Indenta"/>
        <w:rPr>
          <w:snapToGrid w:val="0"/>
        </w:rPr>
      </w:pPr>
      <w:r>
        <w:rPr>
          <w:snapToGrid w:val="0"/>
        </w:rPr>
        <w:tab/>
        <w:t>(a)</w:t>
      </w:r>
      <w:r>
        <w:rPr>
          <w:snapToGrid w:val="0"/>
        </w:rPr>
        <w:tab/>
        <w:t>made in the form No. 9 in the First Schedule;</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0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23F inserted in Gazette 24 Jun 1994 p. 2929; amended in Gazette 2 Feb 2001 p. 712.] </w:t>
      </w:r>
    </w:p>
    <w:p>
      <w:pPr>
        <w:pStyle w:val="Heading5"/>
        <w:spacing w:before="120"/>
        <w:rPr>
          <w:snapToGrid w:val="0"/>
        </w:rPr>
      </w:pPr>
      <w:bookmarkStart w:id="358" w:name="_Toc474633050"/>
      <w:bookmarkStart w:id="359" w:name="_Toc488740199"/>
      <w:bookmarkStart w:id="360" w:name="_Toc8623583"/>
      <w:bookmarkStart w:id="361" w:name="_Toc11229424"/>
      <w:bookmarkStart w:id="362" w:name="_Toc104276578"/>
      <w:bookmarkStart w:id="363" w:name="_Toc127337980"/>
      <w:r>
        <w:rPr>
          <w:rStyle w:val="CharSectno"/>
        </w:rPr>
        <w:t>23G</w:t>
      </w:r>
      <w:r>
        <w:rPr>
          <w:snapToGrid w:val="0"/>
        </w:rPr>
        <w:t>.</w:t>
      </w:r>
      <w:r>
        <w:rPr>
          <w:snapToGrid w:val="0"/>
        </w:rPr>
        <w:tab/>
        <w:t>Limit on amount of earth, etc., that may be removed</w:t>
      </w:r>
      <w:bookmarkEnd w:id="358"/>
      <w:bookmarkEnd w:id="359"/>
      <w:bookmarkEnd w:id="360"/>
      <w:bookmarkEnd w:id="361"/>
      <w:bookmarkEnd w:id="362"/>
      <w:bookmarkEnd w:id="363"/>
      <w:r>
        <w:rPr>
          <w:snapToGrid w:val="0"/>
        </w:rPr>
        <w:t xml:space="preserve"> </w:t>
      </w:r>
    </w:p>
    <w:p>
      <w:pPr>
        <w:pStyle w:val="Subsection"/>
        <w:spacing w:before="10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 xml:space="preserve">[Regulation 23G inserted in Gazette 24 Jun 1994 p. 2929.] </w:t>
      </w:r>
    </w:p>
    <w:p>
      <w:pPr>
        <w:pStyle w:val="Ednotesection"/>
        <w:rPr>
          <w:b/>
        </w:rPr>
      </w:pPr>
      <w:bookmarkStart w:id="364" w:name="_Toc74978863"/>
      <w:bookmarkStart w:id="365" w:name="_Toc74979127"/>
      <w:bookmarkStart w:id="366" w:name="_Toc79976425"/>
      <w:bookmarkStart w:id="367" w:name="_Toc80759696"/>
      <w:bookmarkStart w:id="368" w:name="_Toc80783459"/>
      <w:bookmarkStart w:id="369" w:name="_Toc94931126"/>
      <w:bookmarkStart w:id="370" w:name="_Toc104275249"/>
      <w:bookmarkStart w:id="371" w:name="_Toc104276580"/>
      <w:bookmarkStart w:id="372" w:name="_Toc107198801"/>
      <w:bookmarkStart w:id="373" w:name="_Toc107799252"/>
      <w:bookmarkStart w:id="374" w:name="_Toc127087259"/>
      <w:r>
        <w:t>[</w:t>
      </w:r>
      <w:r>
        <w:rPr>
          <w:b/>
        </w:rPr>
        <w:t>23H.</w:t>
      </w:r>
      <w:r>
        <w:rPr>
          <w:b/>
        </w:rPr>
        <w:tab/>
      </w:r>
      <w:r>
        <w:t>Repealed in Gazette 3 Feb 2006 p. 590.]</w:t>
      </w:r>
    </w:p>
    <w:p>
      <w:pPr>
        <w:pStyle w:val="Heading3"/>
        <w:spacing w:before="120"/>
        <w:rPr>
          <w:snapToGrid w:val="0"/>
        </w:rPr>
      </w:pPr>
      <w:bookmarkStart w:id="375" w:name="_Toc127183560"/>
      <w:bookmarkStart w:id="376" w:name="_Toc127337981"/>
      <w:r>
        <w:rPr>
          <w:rStyle w:val="CharDivNo"/>
        </w:rPr>
        <w:t>Division 3</w:t>
      </w:r>
      <w:r>
        <w:rPr>
          <w:snapToGrid w:val="0"/>
        </w:rPr>
        <w:t> — </w:t>
      </w:r>
      <w:r>
        <w:rPr>
          <w:rStyle w:val="CharDivText"/>
        </w:rPr>
        <w:t>Mining leases</w:t>
      </w:r>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DivText"/>
        </w:rPr>
        <w:t xml:space="preserve"> </w:t>
      </w:r>
    </w:p>
    <w:p>
      <w:pPr>
        <w:pStyle w:val="Heading5"/>
        <w:spacing w:before="120"/>
        <w:rPr>
          <w:snapToGrid w:val="0"/>
        </w:rPr>
      </w:pPr>
      <w:bookmarkStart w:id="377" w:name="_Toc474633052"/>
      <w:bookmarkStart w:id="378" w:name="_Toc488740201"/>
      <w:bookmarkStart w:id="379" w:name="_Toc8623585"/>
      <w:bookmarkStart w:id="380" w:name="_Toc11229426"/>
      <w:bookmarkStart w:id="381" w:name="_Toc104276581"/>
      <w:bookmarkStart w:id="382" w:name="_Toc127337982"/>
      <w:r>
        <w:rPr>
          <w:rStyle w:val="CharSectno"/>
        </w:rPr>
        <w:t>24</w:t>
      </w:r>
      <w:r>
        <w:rPr>
          <w:snapToGrid w:val="0"/>
        </w:rPr>
        <w:t>.</w:t>
      </w:r>
      <w:r>
        <w:rPr>
          <w:snapToGrid w:val="0"/>
        </w:rPr>
        <w:tab/>
        <w:t>Marking out and application</w:t>
      </w:r>
      <w:bookmarkEnd w:id="377"/>
      <w:bookmarkEnd w:id="378"/>
      <w:bookmarkEnd w:id="379"/>
      <w:bookmarkEnd w:id="380"/>
      <w:bookmarkEnd w:id="381"/>
      <w:bookmarkEnd w:id="382"/>
      <w:r>
        <w:rPr>
          <w:snapToGrid w:val="0"/>
        </w:rPr>
        <w:t xml:space="preserve"> </w:t>
      </w:r>
    </w:p>
    <w:p>
      <w:pPr>
        <w:pStyle w:val="Subsection"/>
        <w:spacing w:before="100"/>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383" w:name="_Toc127337983"/>
      <w:bookmarkStart w:id="384" w:name="_Toc474633054"/>
      <w:bookmarkStart w:id="385" w:name="_Toc488740203"/>
      <w:bookmarkStart w:id="386" w:name="_Toc8623586"/>
      <w:bookmarkStart w:id="387" w:name="_Toc11229427"/>
      <w:bookmarkStart w:id="388" w:name="_Toc104276582"/>
      <w:r>
        <w:rPr>
          <w:rStyle w:val="CharSectno"/>
        </w:rPr>
        <w:t>25</w:t>
      </w:r>
      <w:r>
        <w:t>.</w:t>
      </w:r>
      <w:r>
        <w:tab/>
        <w:t>Guidelines under Part IV Division 3 of the Act</w:t>
      </w:r>
      <w:bookmarkEnd w:id="383"/>
    </w:p>
    <w:p>
      <w:pPr>
        <w:pStyle w:val="Subsection"/>
      </w:pPr>
      <w:r>
        <w:tab/>
      </w:r>
      <w:r>
        <w:tab/>
        <w:t xml:space="preserve">For the purposes of section 70P —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pPr>
      <w:bookmarkStart w:id="389" w:name="_Toc127337984"/>
      <w:r>
        <w:rPr>
          <w:rStyle w:val="CharSectno"/>
        </w:rPr>
        <w:t>25A</w:t>
      </w:r>
      <w:r>
        <w:t>.</w:t>
      </w:r>
      <w:r>
        <w:tab/>
        <w:t>Marking out after grant of lease</w:t>
      </w:r>
      <w:bookmarkEnd w:id="389"/>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pPr>
      <w:bookmarkStart w:id="390" w:name="_Toc127337985"/>
      <w:r>
        <w:t>25B.</w:t>
      </w:r>
      <w:r>
        <w:tab/>
        <w:t>Fees for copies of certain documents</w:t>
      </w:r>
      <w:bookmarkEnd w:id="390"/>
    </w:p>
    <w:p>
      <w:pPr>
        <w:pStyle w:val="Subsection"/>
      </w:pPr>
      <w:r>
        <w:tab/>
      </w:r>
      <w:r>
        <w:tab/>
        <w:t xml:space="preserve">A person who wishes to obtain —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the Second Schedule.</w:t>
      </w:r>
    </w:p>
    <w:p>
      <w:pPr>
        <w:pStyle w:val="Footnotesection"/>
      </w:pPr>
      <w:r>
        <w:tab/>
        <w:t>[Regulation 25B inserted in Gazette 3 Feb 2006 p. 590.]</w:t>
      </w:r>
    </w:p>
    <w:p>
      <w:pPr>
        <w:pStyle w:val="Heading5"/>
      </w:pPr>
      <w:bookmarkStart w:id="391" w:name="_Toc127337986"/>
      <w:r>
        <w:t>25C.</w:t>
      </w:r>
      <w:r>
        <w:tab/>
        <w:t>Qualified persons — section 74</w:t>
      </w:r>
      <w:bookmarkEnd w:id="391"/>
    </w:p>
    <w:p>
      <w:pPr>
        <w:pStyle w:val="Subsection"/>
      </w:pPr>
      <w:r>
        <w:tab/>
      </w:r>
      <w:r>
        <w:tab/>
        <w:t xml:space="preserve">For the purposes of paragraph (a) of the definition of “qualified person” in section 74(7) each of the following is a prescribed body — </w:t>
      </w:r>
    </w:p>
    <w:p>
      <w:pPr>
        <w:pStyle w:val="Indenta"/>
      </w:pPr>
      <w:r>
        <w:tab/>
        <w:t>(a)</w:t>
      </w:r>
      <w:r>
        <w:tab/>
        <w:t>the Australasian Institute of Mining and Metallurgy;</w:t>
      </w:r>
    </w:p>
    <w:p>
      <w:pPr>
        <w:pStyle w:val="Indenta"/>
      </w:pPr>
      <w:r>
        <w:tab/>
        <w:t>(b)</w:t>
      </w:r>
      <w:r>
        <w:tab/>
        <w:t>the Australian Institute of Geoscientists.</w:t>
      </w:r>
    </w:p>
    <w:p>
      <w:pPr>
        <w:pStyle w:val="Footnotesection"/>
      </w:pPr>
      <w:r>
        <w:tab/>
        <w:t>[Regulation 2C inserted in Gazette 3 Feb 2006 p. 591.]</w:t>
      </w:r>
    </w:p>
    <w:p>
      <w:pPr>
        <w:pStyle w:val="Heading5"/>
        <w:spacing w:before="120"/>
        <w:rPr>
          <w:snapToGrid w:val="0"/>
        </w:rPr>
      </w:pPr>
      <w:bookmarkStart w:id="392" w:name="_Toc127337987"/>
      <w:r>
        <w:rPr>
          <w:rStyle w:val="CharSectno"/>
        </w:rPr>
        <w:t>26</w:t>
      </w:r>
      <w:r>
        <w:rPr>
          <w:snapToGrid w:val="0"/>
        </w:rPr>
        <w:t>.</w:t>
      </w:r>
      <w:r>
        <w:rPr>
          <w:snapToGrid w:val="0"/>
        </w:rPr>
        <w:tab/>
        <w:t>Instrument of lease</w:t>
      </w:r>
      <w:bookmarkEnd w:id="384"/>
      <w:bookmarkEnd w:id="385"/>
      <w:bookmarkEnd w:id="386"/>
      <w:bookmarkEnd w:id="387"/>
      <w:bookmarkEnd w:id="388"/>
      <w:bookmarkEnd w:id="392"/>
      <w:r>
        <w:rPr>
          <w:snapToGrid w:val="0"/>
        </w:rPr>
        <w:t xml:space="preserve"> </w:t>
      </w:r>
    </w:p>
    <w:p>
      <w:pPr>
        <w:pStyle w:val="Subsection"/>
        <w:spacing w:before="100"/>
        <w:rPr>
          <w:snapToGrid w:val="0"/>
        </w:rPr>
      </w:pPr>
      <w:r>
        <w:rPr>
          <w:snapToGrid w:val="0"/>
        </w:rPr>
        <w:tab/>
      </w:r>
      <w:r>
        <w:rPr>
          <w:snapToGrid w:val="0"/>
        </w:rPr>
        <w:tab/>
        <w:t>The instrument of lease for a mining lease shall be in the form No. 8 in the First Schedule.</w:t>
      </w:r>
    </w:p>
    <w:p>
      <w:pPr>
        <w:pStyle w:val="Heading5"/>
        <w:keepNext w:val="0"/>
        <w:spacing w:before="200"/>
        <w:rPr>
          <w:snapToGrid w:val="0"/>
        </w:rPr>
      </w:pPr>
      <w:bookmarkStart w:id="393" w:name="_Toc474633055"/>
      <w:bookmarkStart w:id="394" w:name="_Toc488740204"/>
      <w:bookmarkStart w:id="395" w:name="_Toc8623587"/>
      <w:bookmarkStart w:id="396" w:name="_Toc11229428"/>
      <w:bookmarkStart w:id="397" w:name="_Toc104276583"/>
      <w:bookmarkStart w:id="398" w:name="_Toc127337988"/>
      <w:r>
        <w:rPr>
          <w:rStyle w:val="CharSectno"/>
        </w:rPr>
        <w:t>27</w:t>
      </w:r>
      <w:r>
        <w:rPr>
          <w:snapToGrid w:val="0"/>
        </w:rPr>
        <w:t>.</w:t>
      </w:r>
      <w:r>
        <w:rPr>
          <w:snapToGrid w:val="0"/>
        </w:rPr>
        <w:tab/>
        <w:t>Covenants</w:t>
      </w:r>
      <w:bookmarkEnd w:id="393"/>
      <w:bookmarkEnd w:id="394"/>
      <w:bookmarkEnd w:id="395"/>
      <w:bookmarkEnd w:id="396"/>
      <w:bookmarkEnd w:id="397"/>
      <w:bookmarkEnd w:id="398"/>
      <w:r>
        <w:rPr>
          <w:snapToGrid w:val="0"/>
        </w:rPr>
        <w:t xml:space="preserve"> </w:t>
      </w:r>
    </w:p>
    <w:p>
      <w:pPr>
        <w:pStyle w:val="Subsection"/>
        <w:spacing w:before="100"/>
        <w:rPr>
          <w:snapToGrid w:val="0"/>
        </w:rPr>
      </w:pPr>
      <w:r>
        <w:rPr>
          <w:snapToGrid w:val="0"/>
        </w:rPr>
        <w:tab/>
      </w:r>
      <w:r>
        <w:rPr>
          <w:snapToGrid w:val="0"/>
        </w:rPr>
        <w:tab/>
        <w:t>Every mining lease shall contain and be subject to the following covenants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pPr>
      <w:r>
        <w:tab/>
        <w:t>[Regulation 27 amended in Gazette 3 Feb 2006 p. 519.]</w:t>
      </w:r>
    </w:p>
    <w:p>
      <w:pPr>
        <w:pStyle w:val="Heading5"/>
        <w:spacing w:before="120"/>
        <w:rPr>
          <w:snapToGrid w:val="0"/>
        </w:rPr>
      </w:pPr>
      <w:bookmarkStart w:id="399" w:name="_Toc474633056"/>
      <w:bookmarkStart w:id="400" w:name="_Toc488740205"/>
      <w:bookmarkStart w:id="401" w:name="_Toc8623588"/>
      <w:bookmarkStart w:id="402" w:name="_Toc11229429"/>
      <w:bookmarkStart w:id="403" w:name="_Toc104276584"/>
      <w:bookmarkStart w:id="404" w:name="_Toc127337989"/>
      <w:r>
        <w:rPr>
          <w:rStyle w:val="CharSectno"/>
        </w:rPr>
        <w:t>28</w:t>
      </w:r>
      <w:r>
        <w:rPr>
          <w:snapToGrid w:val="0"/>
        </w:rPr>
        <w:t>.</w:t>
      </w:r>
      <w:r>
        <w:rPr>
          <w:snapToGrid w:val="0"/>
        </w:rPr>
        <w:tab/>
        <w:t>Additional condition</w:t>
      </w:r>
      <w:bookmarkEnd w:id="399"/>
      <w:bookmarkEnd w:id="400"/>
      <w:bookmarkEnd w:id="401"/>
      <w:bookmarkEnd w:id="402"/>
      <w:bookmarkEnd w:id="403"/>
      <w:bookmarkEnd w:id="404"/>
      <w:r>
        <w:rPr>
          <w:snapToGrid w:val="0"/>
        </w:rPr>
        <w:t xml:space="preserve"> </w:t>
      </w:r>
    </w:p>
    <w:p>
      <w:pPr>
        <w:pStyle w:val="Subsection"/>
        <w:spacing w:before="10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spacing w:before="120"/>
        <w:rPr>
          <w:snapToGrid w:val="0"/>
        </w:rPr>
      </w:pPr>
      <w:bookmarkStart w:id="405" w:name="_Toc474633057"/>
      <w:bookmarkStart w:id="406" w:name="_Toc488740206"/>
      <w:bookmarkStart w:id="407" w:name="_Toc8623589"/>
      <w:bookmarkStart w:id="408" w:name="_Toc11229430"/>
      <w:bookmarkStart w:id="409" w:name="_Toc104276585"/>
      <w:bookmarkStart w:id="410" w:name="_Toc127337990"/>
      <w:r>
        <w:rPr>
          <w:rStyle w:val="CharSectno"/>
        </w:rPr>
        <w:t>28A</w:t>
      </w:r>
      <w:r>
        <w:rPr>
          <w:snapToGrid w:val="0"/>
        </w:rPr>
        <w:t>.</w:t>
      </w:r>
      <w:r>
        <w:rPr>
          <w:snapToGrid w:val="0"/>
        </w:rPr>
        <w:tab/>
        <w:t>Additional rent for mining lease producing iron ore</w:t>
      </w:r>
      <w:bookmarkEnd w:id="405"/>
      <w:bookmarkEnd w:id="406"/>
      <w:bookmarkEnd w:id="407"/>
      <w:bookmarkEnd w:id="408"/>
      <w:bookmarkEnd w:id="409"/>
      <w:bookmarkEnd w:id="410"/>
      <w:r>
        <w:rPr>
          <w:snapToGrid w:val="0"/>
        </w:rPr>
        <w:t xml:space="preserve"> </w:t>
      </w:r>
    </w:p>
    <w:p>
      <w:pPr>
        <w:pStyle w:val="Subsection"/>
        <w:spacing w:before="100"/>
        <w:rPr>
          <w:snapToGrid w:val="0"/>
        </w:rPr>
      </w:pPr>
      <w:r>
        <w:rPr>
          <w:snapToGrid w:val="0"/>
        </w:rPr>
        <w:tab/>
        <w:t>(1)</w:t>
      </w:r>
      <w:r>
        <w:rPr>
          <w:snapToGrid w:val="0"/>
        </w:rPr>
        <w:tab/>
        <w:t>In addition to the rent prescribed in the Second Schedule, a lessee shall pay rent calculated at the rate of 25 cents per tonne of all forms of iron ore obtained from the mining lease after the expiry of the period of 15 years from —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t>Despite regulation 93, the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 xml:space="preserve">[Regulation 28A inserted in Gazette 13 Sep 1996 p. 4598.] </w:t>
      </w:r>
    </w:p>
    <w:p>
      <w:pPr>
        <w:pStyle w:val="Heading5"/>
        <w:rPr>
          <w:snapToGrid w:val="0"/>
        </w:rPr>
      </w:pPr>
      <w:bookmarkStart w:id="411" w:name="_Toc474633058"/>
      <w:bookmarkStart w:id="412" w:name="_Toc488740207"/>
      <w:bookmarkStart w:id="413" w:name="_Toc8623590"/>
      <w:bookmarkStart w:id="414" w:name="_Toc11229431"/>
      <w:bookmarkStart w:id="415" w:name="_Toc104276586"/>
      <w:bookmarkStart w:id="416" w:name="_Toc127337991"/>
      <w:r>
        <w:rPr>
          <w:rStyle w:val="CharSectno"/>
        </w:rPr>
        <w:t>29</w:t>
      </w:r>
      <w:r>
        <w:rPr>
          <w:snapToGrid w:val="0"/>
        </w:rPr>
        <w:t>.</w:t>
      </w:r>
      <w:r>
        <w:rPr>
          <w:snapToGrid w:val="0"/>
        </w:rPr>
        <w:tab/>
        <w:t>Application for renewal</w:t>
      </w:r>
      <w:bookmarkEnd w:id="411"/>
      <w:bookmarkEnd w:id="412"/>
      <w:bookmarkEnd w:id="413"/>
      <w:bookmarkEnd w:id="414"/>
      <w:bookmarkEnd w:id="415"/>
      <w:bookmarkEnd w:id="416"/>
      <w:r>
        <w:rPr>
          <w:snapToGrid w:val="0"/>
        </w:rPr>
        <w:t xml:space="preserve"> </w:t>
      </w:r>
    </w:p>
    <w:p>
      <w:pPr>
        <w:pStyle w:val="Subsection"/>
        <w:spacing w:before="120"/>
        <w:rPr>
          <w:snapToGrid w:val="0"/>
        </w:rPr>
      </w:pPr>
      <w:r>
        <w:rPr>
          <w:snapToGrid w:val="0"/>
        </w:rPr>
        <w:tab/>
        <w:t>(1)</w:t>
      </w:r>
      <w:r>
        <w:rPr>
          <w:snapToGrid w:val="0"/>
        </w:rPr>
        <w:tab/>
        <w:t>Application for renewal of a mining lease under section 78 shall be — </w:t>
      </w:r>
    </w:p>
    <w:p>
      <w:pPr>
        <w:pStyle w:val="Indenta"/>
        <w:spacing w:before="70"/>
        <w:rPr>
          <w:snapToGrid w:val="0"/>
        </w:rPr>
      </w:pPr>
      <w:r>
        <w:rPr>
          <w:snapToGrid w:val="0"/>
        </w:rPr>
        <w:tab/>
        <w:t>(a)</w:t>
      </w:r>
      <w:r>
        <w:rPr>
          <w:snapToGrid w:val="0"/>
        </w:rPr>
        <w:tab/>
        <w:t>made in the form No. 9 in the First Schedule;</w:t>
      </w:r>
    </w:p>
    <w:p>
      <w:pPr>
        <w:pStyle w:val="Indenta"/>
        <w:spacing w:before="70"/>
        <w:rPr>
          <w:snapToGrid w:val="0"/>
        </w:rPr>
      </w:pPr>
      <w:r>
        <w:rPr>
          <w:snapToGrid w:val="0"/>
        </w:rPr>
        <w:tab/>
        <w:t>(b)</w:t>
      </w:r>
      <w:r>
        <w:rPr>
          <w:snapToGrid w:val="0"/>
        </w:rPr>
        <w:tab/>
        <w:t>accompanied by —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29 inserted in Gazette 2 Oct 1987 p. 3816; amended in Gazette 2 Feb 2001 p. 712.] </w:t>
      </w:r>
    </w:p>
    <w:p>
      <w:pPr>
        <w:pStyle w:val="Heading5"/>
        <w:rPr>
          <w:snapToGrid w:val="0"/>
        </w:rPr>
      </w:pPr>
      <w:bookmarkStart w:id="417" w:name="_Toc474633059"/>
      <w:bookmarkStart w:id="418" w:name="_Toc488740208"/>
      <w:bookmarkStart w:id="419" w:name="_Toc8623591"/>
      <w:bookmarkStart w:id="420" w:name="_Toc11229432"/>
      <w:bookmarkStart w:id="421" w:name="_Toc104276587"/>
      <w:bookmarkStart w:id="422" w:name="_Toc127337992"/>
      <w:r>
        <w:rPr>
          <w:rStyle w:val="CharSectno"/>
        </w:rPr>
        <w:t>30</w:t>
      </w:r>
      <w:r>
        <w:rPr>
          <w:snapToGrid w:val="0"/>
        </w:rPr>
        <w:t>.</w:t>
      </w:r>
      <w:r>
        <w:rPr>
          <w:snapToGrid w:val="0"/>
        </w:rPr>
        <w:tab/>
        <w:t>Notice required by section 56A(8), 70(6) or 85B(3)</w:t>
      </w:r>
      <w:bookmarkEnd w:id="417"/>
      <w:bookmarkEnd w:id="418"/>
      <w:bookmarkEnd w:id="419"/>
      <w:bookmarkEnd w:id="420"/>
      <w:bookmarkEnd w:id="421"/>
      <w:bookmarkEnd w:id="422"/>
      <w:r>
        <w:rPr>
          <w:snapToGrid w:val="0"/>
        </w:rPr>
        <w:t xml:space="preserve"> </w:t>
      </w:r>
    </w:p>
    <w:p>
      <w:pPr>
        <w:pStyle w:val="Subsection"/>
        <w:spacing w:before="120"/>
        <w:rPr>
          <w:snapToGrid w:val="0"/>
        </w:rPr>
      </w:pPr>
      <w:r>
        <w:rPr>
          <w:snapToGrid w:val="0"/>
        </w:rPr>
        <w:tab/>
      </w:r>
      <w:r>
        <w:rPr>
          <w:snapToGrid w:val="0"/>
        </w:rPr>
        <w:tab/>
        <w:t>When the holder of —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makes an application for a mining lease for gold in respect of the land or any part of the land which is the subject of a special prospecting licence, that person shall, within 14 days of the date of the application, serve notice in the form No. 21 in the First Schedule on the holder of —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 xml:space="preserve">[Regulation 30 inserted in Gazette 24 Jun 1994 p. 2930.] </w:t>
      </w:r>
    </w:p>
    <w:p>
      <w:pPr>
        <w:pStyle w:val="Heading5"/>
        <w:rPr>
          <w:snapToGrid w:val="0"/>
        </w:rPr>
      </w:pPr>
      <w:bookmarkStart w:id="423" w:name="_Toc474633060"/>
      <w:bookmarkStart w:id="424" w:name="_Toc488740209"/>
      <w:bookmarkStart w:id="425" w:name="_Toc8623592"/>
      <w:bookmarkStart w:id="426" w:name="_Toc11229433"/>
      <w:bookmarkStart w:id="427" w:name="_Toc104276588"/>
      <w:bookmarkStart w:id="428" w:name="_Toc127337993"/>
      <w:r>
        <w:rPr>
          <w:rStyle w:val="CharSectno"/>
        </w:rPr>
        <w:t>31</w:t>
      </w:r>
      <w:r>
        <w:rPr>
          <w:snapToGrid w:val="0"/>
        </w:rPr>
        <w:t>.</w:t>
      </w:r>
      <w:r>
        <w:rPr>
          <w:snapToGrid w:val="0"/>
        </w:rPr>
        <w:tab/>
        <w:t>Expenditure condition</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 xml:space="preserve">[Regulation 31 amended in Gazette 16 Nov 1990 p. 5728; 31 Jul 1992 p. 3776; 11 Jun 1999 p. 2544; 18 Jun 1999 p. 2643; 17 Jan 2003 p. 111.] </w:t>
      </w:r>
    </w:p>
    <w:p>
      <w:pPr>
        <w:pStyle w:val="Heading5"/>
      </w:pPr>
      <w:bookmarkStart w:id="429" w:name="_Toc127337994"/>
      <w:bookmarkStart w:id="430" w:name="_Toc474633061"/>
      <w:bookmarkStart w:id="431" w:name="_Toc488740210"/>
      <w:bookmarkStart w:id="432" w:name="_Toc8623593"/>
      <w:bookmarkStart w:id="433" w:name="_Toc11229434"/>
      <w:bookmarkStart w:id="434" w:name="_Toc104276589"/>
      <w:r>
        <w:rPr>
          <w:rStyle w:val="CharSectno"/>
        </w:rPr>
        <w:t>31A</w:t>
      </w:r>
      <w:r>
        <w:t>.</w:t>
      </w:r>
      <w:r>
        <w:tab/>
        <w:t>Programme of work for ground disturbing equipment</w:t>
      </w:r>
      <w:bookmarkEnd w:id="429"/>
    </w:p>
    <w:p>
      <w:pPr>
        <w:pStyle w:val="Subsection"/>
      </w:pPr>
      <w:r>
        <w:tab/>
        <w:t>(1)</w:t>
      </w:r>
      <w:r>
        <w:tab/>
        <w:t>The programme of work referred to in section 82(1)(ca)(i)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82(1)(ca)(i).</w:t>
      </w:r>
    </w:p>
    <w:p>
      <w:pPr>
        <w:pStyle w:val="Footnotesection"/>
      </w:pPr>
      <w:r>
        <w:tab/>
        <w:t>[Regulation 31A inserted in Gazette 3 Feb 2006 p. 591.]</w:t>
      </w:r>
    </w:p>
    <w:p>
      <w:pPr>
        <w:pStyle w:val="Heading5"/>
        <w:rPr>
          <w:snapToGrid w:val="0"/>
        </w:rPr>
      </w:pPr>
      <w:bookmarkStart w:id="435" w:name="_Toc127337995"/>
      <w:r>
        <w:rPr>
          <w:rStyle w:val="CharSectno"/>
        </w:rPr>
        <w:t>32</w:t>
      </w:r>
      <w:r>
        <w:rPr>
          <w:snapToGrid w:val="0"/>
        </w:rPr>
        <w:t>.</w:t>
      </w:r>
      <w:r>
        <w:rPr>
          <w:snapToGrid w:val="0"/>
        </w:rPr>
        <w:tab/>
        <w:t>Reports to be filed</w:t>
      </w:r>
      <w:bookmarkEnd w:id="430"/>
      <w:bookmarkEnd w:id="431"/>
      <w:bookmarkEnd w:id="432"/>
      <w:bookmarkEnd w:id="433"/>
      <w:bookmarkEnd w:id="434"/>
      <w:bookmarkEnd w:id="435"/>
      <w:r>
        <w:rPr>
          <w:snapToGrid w:val="0"/>
        </w:rPr>
        <w:t xml:space="preserve"> </w:t>
      </w:r>
    </w:p>
    <w:p>
      <w:pPr>
        <w:pStyle w:val="Subsection"/>
      </w:pPr>
      <w:r>
        <w:rPr>
          <w:snapToGrid w:val="0"/>
        </w:rPr>
        <w:tab/>
        <w:t>(1)</w:t>
      </w:r>
      <w:r>
        <w:rPr>
          <w:snapToGrid w:val="0"/>
        </w:rPr>
        <w:tab/>
        <w:t xml:space="preserve">The reports required under section 82(1) shall be in the form No. 5 in the First Schedule and </w:t>
      </w:r>
      <w:r>
        <w:t xml:space="preserve">filed —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 xml:space="preserve">[Regulation 32 amended in Gazette 2 Oct 1987 p. 3816; 2 Jul 1993 p. 3270; 17 Jan 2003 p. 112.] </w:t>
      </w:r>
    </w:p>
    <w:p>
      <w:pPr>
        <w:pStyle w:val="Heading5"/>
      </w:pPr>
      <w:bookmarkStart w:id="436" w:name="_Toc127337996"/>
      <w:bookmarkStart w:id="437" w:name="_Toc74978873"/>
      <w:bookmarkStart w:id="438" w:name="_Toc74979137"/>
      <w:bookmarkStart w:id="439" w:name="_Toc79976435"/>
      <w:bookmarkStart w:id="440" w:name="_Toc80759706"/>
      <w:bookmarkStart w:id="441" w:name="_Toc80783469"/>
      <w:bookmarkStart w:id="442" w:name="_Toc94931136"/>
      <w:bookmarkStart w:id="443" w:name="_Toc104275259"/>
      <w:bookmarkStart w:id="444" w:name="_Toc104276590"/>
      <w:bookmarkStart w:id="445" w:name="_Toc107198811"/>
      <w:bookmarkStart w:id="446" w:name="_Toc107799262"/>
      <w:bookmarkStart w:id="447" w:name="_Toc127087269"/>
      <w:r>
        <w:rPr>
          <w:rStyle w:val="CharSectno"/>
        </w:rPr>
        <w:t>32A</w:t>
      </w:r>
      <w:r>
        <w:t>.</w:t>
      </w:r>
      <w:r>
        <w:tab/>
        <w:t>Condition under section 82A</w:t>
      </w:r>
      <w:bookmarkEnd w:id="436"/>
    </w:p>
    <w:p>
      <w:pPr>
        <w:pStyle w:val="Subsection"/>
      </w:pPr>
      <w:r>
        <w:tab/>
        <w:t>(1)</w:t>
      </w:r>
      <w:r>
        <w:tab/>
        <w:t xml:space="preserve">For the purposes of section 82A(2) the following kinds of mining operations are prescribed —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Subsection"/>
      </w:pPr>
      <w:r>
        <w:tab/>
        <w:t>(2)</w:t>
      </w:r>
      <w:r>
        <w:tab/>
        <w:t>A mining proposal referred to in section 82A(2)(a) shall be lodged at an office of the Department.</w:t>
      </w:r>
    </w:p>
    <w:p>
      <w:pPr>
        <w:pStyle w:val="Subsection"/>
      </w:pPr>
      <w:r>
        <w:tab/>
        <w:t>(3)</w:t>
      </w:r>
      <w:r>
        <w:tab/>
        <w:t>The office of Director, Environment Division in the Department is prescribed for the purposes of the interpretation of the term “prescribed official” in section 82A(2)(b).</w:t>
      </w:r>
    </w:p>
    <w:p>
      <w:pPr>
        <w:pStyle w:val="Footnotesection"/>
      </w:pPr>
      <w:r>
        <w:tab/>
        <w:t>[Regulation 32A inserted in Gazette 3 Feb 2006 p. 592.]</w:t>
      </w:r>
    </w:p>
    <w:p>
      <w:pPr>
        <w:pStyle w:val="Heading3"/>
        <w:rPr>
          <w:snapToGrid w:val="0"/>
        </w:rPr>
      </w:pPr>
      <w:bookmarkStart w:id="448" w:name="_Toc127183576"/>
      <w:bookmarkStart w:id="449" w:name="_Toc127337997"/>
      <w:r>
        <w:rPr>
          <w:rStyle w:val="CharDivNo"/>
        </w:rPr>
        <w:t>Division 4</w:t>
      </w:r>
      <w:r>
        <w:rPr>
          <w:snapToGrid w:val="0"/>
        </w:rPr>
        <w:t> — </w:t>
      </w:r>
      <w:r>
        <w:rPr>
          <w:rStyle w:val="CharDivText"/>
        </w:rPr>
        <w:t>General purpose leases</w:t>
      </w:r>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DivText"/>
        </w:rPr>
        <w:t xml:space="preserve"> </w:t>
      </w:r>
    </w:p>
    <w:p>
      <w:pPr>
        <w:pStyle w:val="Heading5"/>
        <w:rPr>
          <w:snapToGrid w:val="0"/>
        </w:rPr>
      </w:pPr>
      <w:bookmarkStart w:id="450" w:name="_Toc474633062"/>
      <w:bookmarkStart w:id="451" w:name="_Toc488740211"/>
      <w:bookmarkStart w:id="452" w:name="_Toc8623594"/>
      <w:bookmarkStart w:id="453" w:name="_Toc11229435"/>
      <w:bookmarkStart w:id="454" w:name="_Toc104276591"/>
      <w:bookmarkStart w:id="455" w:name="_Toc127337998"/>
      <w:r>
        <w:rPr>
          <w:rStyle w:val="CharSectno"/>
        </w:rPr>
        <w:t>33</w:t>
      </w:r>
      <w:r>
        <w:rPr>
          <w:snapToGrid w:val="0"/>
        </w:rPr>
        <w:t>.</w:t>
      </w:r>
      <w:r>
        <w:rPr>
          <w:snapToGrid w:val="0"/>
        </w:rPr>
        <w:tab/>
        <w:t>Marking out and application</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456" w:name="_Toc474633064"/>
      <w:bookmarkStart w:id="457" w:name="_Toc488740213"/>
      <w:r>
        <w:t>[</w:t>
      </w:r>
      <w:r>
        <w:rPr>
          <w:b/>
        </w:rPr>
        <w:t>34.</w:t>
      </w:r>
      <w:r>
        <w:rPr>
          <w:b/>
        </w:rPr>
        <w:tab/>
      </w:r>
      <w:r>
        <w:t>Repealed in Gazette 2 Feb 2001 p. 712.]</w:t>
      </w:r>
    </w:p>
    <w:p>
      <w:pPr>
        <w:pStyle w:val="Heading5"/>
        <w:spacing w:before="160"/>
        <w:rPr>
          <w:snapToGrid w:val="0"/>
        </w:rPr>
      </w:pPr>
      <w:bookmarkStart w:id="458" w:name="_Toc8623595"/>
      <w:bookmarkStart w:id="459" w:name="_Toc11229436"/>
      <w:bookmarkStart w:id="460" w:name="_Toc104276592"/>
      <w:bookmarkStart w:id="461" w:name="_Toc127337999"/>
      <w:r>
        <w:rPr>
          <w:rStyle w:val="CharSectno"/>
        </w:rPr>
        <w:t>35</w:t>
      </w:r>
      <w:r>
        <w:rPr>
          <w:snapToGrid w:val="0"/>
        </w:rPr>
        <w:t>.</w:t>
      </w:r>
      <w:r>
        <w:rPr>
          <w:snapToGrid w:val="0"/>
        </w:rPr>
        <w:tab/>
        <w:t>Instrument of lease</w:t>
      </w:r>
      <w:bookmarkEnd w:id="456"/>
      <w:bookmarkEnd w:id="457"/>
      <w:bookmarkEnd w:id="458"/>
      <w:bookmarkEnd w:id="459"/>
      <w:bookmarkEnd w:id="460"/>
      <w:bookmarkEnd w:id="461"/>
      <w:r>
        <w:rPr>
          <w:snapToGrid w:val="0"/>
        </w:rPr>
        <w:t xml:space="preserve"> </w:t>
      </w:r>
    </w:p>
    <w:p>
      <w:pPr>
        <w:pStyle w:val="Subsection"/>
        <w:spacing w:before="100"/>
        <w:rPr>
          <w:snapToGrid w:val="0"/>
        </w:rPr>
      </w:pPr>
      <w:r>
        <w:rPr>
          <w:snapToGrid w:val="0"/>
        </w:rPr>
        <w:tab/>
      </w:r>
      <w:r>
        <w:rPr>
          <w:snapToGrid w:val="0"/>
        </w:rPr>
        <w:tab/>
        <w:t>The instrument of lease for a general purpose lease shall be in the form No. 10 in the First Schedule.</w:t>
      </w:r>
    </w:p>
    <w:p>
      <w:pPr>
        <w:pStyle w:val="Heading5"/>
        <w:spacing w:before="160"/>
        <w:rPr>
          <w:snapToGrid w:val="0"/>
        </w:rPr>
      </w:pPr>
      <w:bookmarkStart w:id="462" w:name="_Toc474633065"/>
      <w:bookmarkStart w:id="463" w:name="_Toc488740214"/>
      <w:bookmarkStart w:id="464" w:name="_Toc8623596"/>
      <w:bookmarkStart w:id="465" w:name="_Toc11229437"/>
      <w:bookmarkStart w:id="466" w:name="_Toc104276593"/>
      <w:bookmarkStart w:id="467" w:name="_Toc127338000"/>
      <w:r>
        <w:rPr>
          <w:rStyle w:val="CharSectno"/>
        </w:rPr>
        <w:t>36</w:t>
      </w:r>
      <w:r>
        <w:rPr>
          <w:snapToGrid w:val="0"/>
        </w:rPr>
        <w:t>.</w:t>
      </w:r>
      <w:r>
        <w:rPr>
          <w:snapToGrid w:val="0"/>
        </w:rPr>
        <w:tab/>
        <w:t>Covenants and conditions</w:t>
      </w:r>
      <w:bookmarkEnd w:id="462"/>
      <w:bookmarkEnd w:id="463"/>
      <w:bookmarkEnd w:id="464"/>
      <w:bookmarkEnd w:id="465"/>
      <w:bookmarkEnd w:id="466"/>
      <w:bookmarkEnd w:id="467"/>
      <w:r>
        <w:rPr>
          <w:snapToGrid w:val="0"/>
        </w:rPr>
        <w:t xml:space="preserve"> </w:t>
      </w:r>
    </w:p>
    <w:p>
      <w:pPr>
        <w:pStyle w:val="Subsection"/>
        <w:spacing w:before="100"/>
        <w:rPr>
          <w:snapToGrid w:val="0"/>
        </w:rPr>
      </w:pPr>
      <w:r>
        <w:rPr>
          <w:snapToGrid w:val="0"/>
        </w:rPr>
        <w:tab/>
      </w:r>
      <w:r>
        <w:rPr>
          <w:snapToGrid w:val="0"/>
        </w:rPr>
        <w:tab/>
        <w:t>Every general purpose lease shall contain and be subject to the following covenants and conditions that the lessee shall —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 xml:space="preserve">[Regulation 36 amended in Gazette 2 Oct 1987 p. 3837; 3 Feb 2006 p. 519.] </w:t>
      </w:r>
    </w:p>
    <w:p>
      <w:pPr>
        <w:pStyle w:val="Heading5"/>
        <w:rPr>
          <w:snapToGrid w:val="0"/>
        </w:rPr>
      </w:pPr>
      <w:bookmarkStart w:id="468" w:name="_Toc474633066"/>
      <w:bookmarkStart w:id="469" w:name="_Toc488740215"/>
      <w:bookmarkStart w:id="470" w:name="_Toc8623597"/>
      <w:bookmarkStart w:id="471" w:name="_Toc11229438"/>
      <w:bookmarkStart w:id="472" w:name="_Toc104276594"/>
      <w:bookmarkStart w:id="473" w:name="_Toc127338001"/>
      <w:r>
        <w:rPr>
          <w:rStyle w:val="CharSectno"/>
        </w:rPr>
        <w:t>36A</w:t>
      </w:r>
      <w:r>
        <w:rPr>
          <w:snapToGrid w:val="0"/>
        </w:rPr>
        <w:t>.</w:t>
      </w:r>
      <w:r>
        <w:rPr>
          <w:snapToGrid w:val="0"/>
        </w:rPr>
        <w:tab/>
        <w:t>Application for renewal</w:t>
      </w:r>
      <w:bookmarkEnd w:id="468"/>
      <w:bookmarkEnd w:id="469"/>
      <w:bookmarkEnd w:id="470"/>
      <w:bookmarkEnd w:id="471"/>
      <w:bookmarkEnd w:id="472"/>
      <w:bookmarkEnd w:id="473"/>
      <w:r>
        <w:rPr>
          <w:snapToGrid w:val="0"/>
        </w:rPr>
        <w:t xml:space="preserve"> </w:t>
      </w:r>
    </w:p>
    <w:p>
      <w:pPr>
        <w:pStyle w:val="Subsection"/>
        <w:spacing w:before="110"/>
        <w:rPr>
          <w:snapToGrid w:val="0"/>
        </w:rPr>
      </w:pPr>
      <w:r>
        <w:rPr>
          <w:snapToGrid w:val="0"/>
        </w:rPr>
        <w:tab/>
        <w:t>(1)</w:t>
      </w:r>
      <w:r>
        <w:rPr>
          <w:snapToGrid w:val="0"/>
        </w:rPr>
        <w:tab/>
        <w:t>Application for renewal of a general purpose lease under section 88 shall be — </w:t>
      </w:r>
    </w:p>
    <w:p>
      <w:pPr>
        <w:pStyle w:val="Indenta"/>
        <w:spacing w:before="70"/>
        <w:rPr>
          <w:snapToGrid w:val="0"/>
        </w:rPr>
      </w:pPr>
      <w:r>
        <w:rPr>
          <w:snapToGrid w:val="0"/>
        </w:rPr>
        <w:tab/>
        <w:t>(a)</w:t>
      </w:r>
      <w:r>
        <w:rPr>
          <w:snapToGrid w:val="0"/>
        </w:rPr>
        <w:tab/>
        <w:t>in the form No. 9 in the First Schedule;</w:t>
      </w:r>
    </w:p>
    <w:p>
      <w:pPr>
        <w:pStyle w:val="Indenta"/>
        <w:spacing w:before="70"/>
        <w:rPr>
          <w:snapToGrid w:val="0"/>
        </w:rPr>
      </w:pPr>
      <w:r>
        <w:rPr>
          <w:snapToGrid w:val="0"/>
        </w:rPr>
        <w:tab/>
        <w:t>(b)</w:t>
      </w:r>
      <w:r>
        <w:rPr>
          <w:snapToGrid w:val="0"/>
        </w:rPr>
        <w:tab/>
        <w:t>accompanied by —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spacing w:before="11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36A inserted in Gazette 2 Oct 1987 p. 3817; amended in Gazette 2 Feb 2001 p. 712.] </w:t>
      </w:r>
    </w:p>
    <w:p>
      <w:pPr>
        <w:pStyle w:val="Heading3"/>
        <w:spacing w:before="220"/>
        <w:rPr>
          <w:snapToGrid w:val="0"/>
        </w:rPr>
      </w:pPr>
      <w:bookmarkStart w:id="474" w:name="_Toc74978878"/>
      <w:bookmarkStart w:id="475" w:name="_Toc74979142"/>
      <w:bookmarkStart w:id="476" w:name="_Toc79976440"/>
      <w:bookmarkStart w:id="477" w:name="_Toc80759711"/>
      <w:bookmarkStart w:id="478" w:name="_Toc80783474"/>
      <w:bookmarkStart w:id="479" w:name="_Toc94931141"/>
      <w:bookmarkStart w:id="480" w:name="_Toc104275264"/>
      <w:bookmarkStart w:id="481" w:name="_Toc104276595"/>
      <w:bookmarkStart w:id="482" w:name="_Toc107198816"/>
      <w:bookmarkStart w:id="483" w:name="_Toc107799267"/>
      <w:bookmarkStart w:id="484" w:name="_Toc127087274"/>
      <w:bookmarkStart w:id="485" w:name="_Toc127183581"/>
      <w:bookmarkStart w:id="486" w:name="_Toc127338002"/>
      <w:r>
        <w:rPr>
          <w:rStyle w:val="CharDivNo"/>
        </w:rPr>
        <w:t>Division 5</w:t>
      </w:r>
      <w:r>
        <w:rPr>
          <w:snapToGrid w:val="0"/>
        </w:rPr>
        <w:t> — </w:t>
      </w:r>
      <w:r>
        <w:rPr>
          <w:rStyle w:val="CharDivText"/>
        </w:rPr>
        <w:t>Miscellaneous licences</w:t>
      </w:r>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spacing w:before="170"/>
        <w:rPr>
          <w:snapToGrid w:val="0"/>
        </w:rPr>
      </w:pPr>
      <w:bookmarkStart w:id="487" w:name="_Toc474633067"/>
      <w:bookmarkStart w:id="488" w:name="_Toc488740216"/>
      <w:bookmarkStart w:id="489" w:name="_Toc8623598"/>
      <w:bookmarkStart w:id="490" w:name="_Toc11229439"/>
      <w:bookmarkStart w:id="491" w:name="_Toc104276596"/>
      <w:bookmarkStart w:id="492" w:name="_Toc127338003"/>
      <w:r>
        <w:rPr>
          <w:rStyle w:val="CharSectno"/>
        </w:rPr>
        <w:t>37</w:t>
      </w:r>
      <w:r>
        <w:rPr>
          <w:snapToGrid w:val="0"/>
        </w:rPr>
        <w:t>.</w:t>
      </w:r>
      <w:r>
        <w:rPr>
          <w:snapToGrid w:val="0"/>
        </w:rPr>
        <w:tab/>
        <w:t>Marking out and application</w:t>
      </w:r>
      <w:bookmarkEnd w:id="487"/>
      <w:bookmarkEnd w:id="488"/>
      <w:bookmarkEnd w:id="489"/>
      <w:bookmarkEnd w:id="490"/>
      <w:bookmarkEnd w:id="491"/>
      <w:bookmarkEnd w:id="492"/>
      <w:r>
        <w:rPr>
          <w:snapToGrid w:val="0"/>
        </w:rPr>
        <w:t xml:space="preserve"> </w:t>
      </w:r>
    </w:p>
    <w:p>
      <w:pPr>
        <w:pStyle w:val="Subsection"/>
      </w:pPr>
      <w:r>
        <w:tab/>
        <w:t>(1)</w:t>
      </w:r>
      <w:r>
        <w:tab/>
        <w:t xml:space="preserve">A miscellaneous licence shall be marked out — </w:t>
      </w:r>
    </w:p>
    <w:p>
      <w:pPr>
        <w:pStyle w:val="Indenta"/>
      </w:pPr>
      <w:r>
        <w:tab/>
        <w:t>(a)</w:t>
      </w:r>
      <w:r>
        <w:tab/>
        <w:t xml:space="preserve">by erecting a post (the </w:t>
      </w:r>
      <w:r>
        <w:rPr>
          <w:b/>
        </w:rPr>
        <w:t>“</w:t>
      </w:r>
      <w:r>
        <w:rPr>
          <w:rStyle w:val="CharDefText"/>
        </w:rPr>
        <w:t>datum post</w:t>
      </w:r>
      <w:r>
        <w:rPr>
          <w:b/>
        </w:rPr>
        <w: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No. 20 in the First Schedule and a map as referred to in section 93(2).</w:t>
      </w:r>
    </w:p>
    <w:p>
      <w:pPr>
        <w:pStyle w:val="Subsection"/>
        <w:spacing w:before="110"/>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Within 35 days of the date of application for a miscellaneous licence the applicant shall lodge at the office of the mining registrar written details of —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pPr>
      <w:r>
        <w:tab/>
        <w:t xml:space="preserve">[Regulation 37 amended in Gazette 16 Nov 1990 p. 5728; 13 Oct 1995 p. 4816; 17 Jan 2003 p. 112; 15 Aug 2003 p. 3693.] </w:t>
      </w:r>
    </w:p>
    <w:p>
      <w:pPr>
        <w:pStyle w:val="Heading5"/>
        <w:rPr>
          <w:snapToGrid w:val="0"/>
        </w:rPr>
      </w:pPr>
      <w:bookmarkStart w:id="493" w:name="_Toc474633068"/>
      <w:bookmarkStart w:id="494" w:name="_Toc488740217"/>
      <w:bookmarkStart w:id="495" w:name="_Toc8623599"/>
      <w:bookmarkStart w:id="496" w:name="_Toc11229440"/>
      <w:bookmarkStart w:id="497" w:name="_Toc104276597"/>
      <w:bookmarkStart w:id="498" w:name="_Toc127338004"/>
      <w:r>
        <w:rPr>
          <w:rStyle w:val="CharSectno"/>
        </w:rPr>
        <w:t>38</w:t>
      </w:r>
      <w:r>
        <w:rPr>
          <w:snapToGrid w:val="0"/>
        </w:rPr>
        <w:t>.</w:t>
      </w:r>
      <w:r>
        <w:rPr>
          <w:snapToGrid w:val="0"/>
        </w:rPr>
        <w:tab/>
        <w:t xml:space="preserve">Shape of </w:t>
      </w:r>
      <w:bookmarkEnd w:id="493"/>
      <w:bookmarkEnd w:id="494"/>
      <w:bookmarkEnd w:id="495"/>
      <w:r>
        <w:rPr>
          <w:snapToGrid w:val="0"/>
        </w:rPr>
        <w:t>licence</w:t>
      </w:r>
      <w:bookmarkEnd w:id="496"/>
      <w:bookmarkEnd w:id="497"/>
      <w:bookmarkEnd w:id="498"/>
      <w:r>
        <w:rPr>
          <w:snapToGrid w:val="0"/>
        </w:rPr>
        <w:t xml:space="preserve"> </w:t>
      </w:r>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Repealed in Gazette 2 Feb 2001 p. 712.]</w:t>
      </w:r>
    </w:p>
    <w:p>
      <w:pPr>
        <w:pStyle w:val="Ednotesection"/>
      </w:pPr>
      <w:r>
        <w:t>[</w:t>
      </w:r>
      <w:r>
        <w:rPr>
          <w:b/>
        </w:rPr>
        <w:t>40.</w:t>
      </w:r>
      <w:r>
        <w:tab/>
        <w:t xml:space="preserve">Repealed in Gazette 13 Oct 1995 p. 4816.] </w:t>
      </w:r>
    </w:p>
    <w:p>
      <w:pPr>
        <w:pStyle w:val="Heading5"/>
        <w:rPr>
          <w:snapToGrid w:val="0"/>
        </w:rPr>
      </w:pPr>
      <w:bookmarkStart w:id="499" w:name="_Toc474633070"/>
      <w:bookmarkStart w:id="500" w:name="_Toc488740219"/>
      <w:bookmarkStart w:id="501" w:name="_Toc8623600"/>
      <w:bookmarkStart w:id="502" w:name="_Toc11229441"/>
      <w:bookmarkStart w:id="503" w:name="_Toc104276598"/>
      <w:bookmarkStart w:id="504" w:name="_Toc127338005"/>
      <w:r>
        <w:rPr>
          <w:rStyle w:val="CharSectno"/>
        </w:rPr>
        <w:t>41</w:t>
      </w:r>
      <w:r>
        <w:rPr>
          <w:snapToGrid w:val="0"/>
        </w:rPr>
        <w:t>.</w:t>
      </w:r>
      <w:r>
        <w:rPr>
          <w:snapToGrid w:val="0"/>
        </w:rPr>
        <w:tab/>
        <w:t>Covenants and conditions</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Every miscellaneous licence shall contain and be subject to the following covenants and conditions that the licensee shall —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pPr>
      <w:r>
        <w:tab/>
        <w:t xml:space="preserve">[Regulation 41 amended in Gazette 2 Oct 1987 p. 3837; 3 Feb 2006 p. 519.] </w:t>
      </w:r>
    </w:p>
    <w:p>
      <w:pPr>
        <w:pStyle w:val="Heading5"/>
        <w:rPr>
          <w:snapToGrid w:val="0"/>
        </w:rPr>
      </w:pPr>
      <w:bookmarkStart w:id="505" w:name="_Toc474633071"/>
      <w:bookmarkStart w:id="506" w:name="_Toc488740220"/>
      <w:bookmarkStart w:id="507" w:name="_Toc8623601"/>
      <w:bookmarkStart w:id="508" w:name="_Toc11229442"/>
      <w:bookmarkStart w:id="509" w:name="_Toc104276599"/>
      <w:bookmarkStart w:id="510" w:name="_Toc127338006"/>
      <w:r>
        <w:rPr>
          <w:rStyle w:val="CharSectno"/>
        </w:rPr>
        <w:t>42</w:t>
      </w:r>
      <w:r>
        <w:rPr>
          <w:snapToGrid w:val="0"/>
        </w:rPr>
        <w:t>.</w:t>
      </w:r>
      <w:r>
        <w:rPr>
          <w:snapToGrid w:val="0"/>
        </w:rPr>
        <w:tab/>
        <w:t xml:space="preserve">Instrument of </w:t>
      </w:r>
      <w:bookmarkEnd w:id="505"/>
      <w:bookmarkEnd w:id="506"/>
      <w:bookmarkEnd w:id="507"/>
      <w:r>
        <w:rPr>
          <w:snapToGrid w:val="0"/>
        </w:rPr>
        <w:t>licence</w:t>
      </w:r>
      <w:bookmarkEnd w:id="508"/>
      <w:bookmarkEnd w:id="509"/>
      <w:bookmarkEnd w:id="510"/>
      <w:r>
        <w:rPr>
          <w:snapToGrid w:val="0"/>
        </w:rPr>
        <w:t xml:space="preserve"> </w:t>
      </w:r>
    </w:p>
    <w:p>
      <w:pPr>
        <w:pStyle w:val="Subsection"/>
        <w:rPr>
          <w:snapToGrid w:val="0"/>
        </w:rPr>
      </w:pPr>
      <w:r>
        <w:rPr>
          <w:snapToGrid w:val="0"/>
        </w:rPr>
        <w:tab/>
      </w:r>
      <w:r>
        <w:rPr>
          <w:snapToGrid w:val="0"/>
        </w:rPr>
        <w:tab/>
        <w:t>The instrument of licence for a miscellaneous licence shall be in the form No. 11 in the First Schedule.</w:t>
      </w:r>
    </w:p>
    <w:p>
      <w:pPr>
        <w:pStyle w:val="Heading5"/>
        <w:rPr>
          <w:snapToGrid w:val="0"/>
        </w:rPr>
      </w:pPr>
      <w:bookmarkStart w:id="511" w:name="_Toc474633072"/>
      <w:bookmarkStart w:id="512" w:name="_Toc488740221"/>
      <w:bookmarkStart w:id="513" w:name="_Toc8623602"/>
      <w:bookmarkStart w:id="514" w:name="_Toc11229443"/>
      <w:bookmarkStart w:id="515" w:name="_Toc104276600"/>
      <w:bookmarkStart w:id="516" w:name="_Toc127338007"/>
      <w:r>
        <w:rPr>
          <w:rStyle w:val="CharSectno"/>
        </w:rPr>
        <w:t>42A</w:t>
      </w:r>
      <w:r>
        <w:rPr>
          <w:snapToGrid w:val="0"/>
        </w:rPr>
        <w:t>.</w:t>
      </w:r>
      <w:r>
        <w:rPr>
          <w:snapToGrid w:val="0"/>
        </w:rPr>
        <w:tab/>
        <w:t>Application for renewal</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Application for renewal of a miscellaneous licence under section 91A or 91B shall be — </w:t>
      </w:r>
    </w:p>
    <w:p>
      <w:pPr>
        <w:pStyle w:val="Indenta"/>
        <w:rPr>
          <w:snapToGrid w:val="0"/>
        </w:rPr>
      </w:pPr>
      <w:r>
        <w:rPr>
          <w:snapToGrid w:val="0"/>
        </w:rPr>
        <w:tab/>
        <w:t>(a)</w:t>
      </w:r>
      <w:r>
        <w:rPr>
          <w:snapToGrid w:val="0"/>
        </w:rPr>
        <w:tab/>
        <w:t>in the form No. 9 in the First Schedule;</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42A inserted in Gazette 2 Oct 1987 p. 3817; amended in Gazette 11 Jun 1999 p. 2544; 2 Feb 2001 p. 712.] </w:t>
      </w:r>
    </w:p>
    <w:p>
      <w:pPr>
        <w:pStyle w:val="Heading5"/>
        <w:rPr>
          <w:snapToGrid w:val="0"/>
        </w:rPr>
      </w:pPr>
      <w:bookmarkStart w:id="517" w:name="_Toc474633073"/>
      <w:bookmarkStart w:id="518" w:name="_Toc488740222"/>
      <w:bookmarkStart w:id="519" w:name="_Toc8623603"/>
      <w:bookmarkStart w:id="520" w:name="_Toc11229444"/>
      <w:bookmarkStart w:id="521" w:name="_Toc104276601"/>
      <w:bookmarkStart w:id="522" w:name="_Toc127338008"/>
      <w:r>
        <w:rPr>
          <w:rStyle w:val="CharSectno"/>
        </w:rPr>
        <w:t>42B</w:t>
      </w:r>
      <w:r>
        <w:rPr>
          <w:snapToGrid w:val="0"/>
        </w:rPr>
        <w:t>.</w:t>
      </w:r>
      <w:r>
        <w:rPr>
          <w:snapToGrid w:val="0"/>
        </w:rPr>
        <w:tab/>
        <w:t xml:space="preserve">Prescribed purposes for grant of miscellaneous </w:t>
      </w:r>
      <w:bookmarkEnd w:id="517"/>
      <w:bookmarkEnd w:id="518"/>
      <w:bookmarkEnd w:id="519"/>
      <w:r>
        <w:rPr>
          <w:snapToGrid w:val="0"/>
        </w:rPr>
        <w:t>licence</w:t>
      </w:r>
      <w:bookmarkEnd w:id="520"/>
      <w:bookmarkEnd w:id="521"/>
      <w:bookmarkEnd w:id="522"/>
      <w:r>
        <w:rPr>
          <w:snapToGrid w:val="0"/>
        </w:rPr>
        <w:t xml:space="preserve"> </w:t>
      </w:r>
    </w:p>
    <w:p>
      <w:pPr>
        <w:pStyle w:val="Subsection"/>
        <w:spacing w:before="100"/>
        <w:rPr>
          <w:snapToGrid w:val="0"/>
        </w:rPr>
      </w:pPr>
      <w:r>
        <w:rPr>
          <w:snapToGrid w:val="0"/>
        </w:rPr>
        <w:tab/>
      </w:r>
      <w:r>
        <w:rPr>
          <w:snapToGrid w:val="0"/>
        </w:rPr>
        <w:tab/>
        <w:t>For the purposes of section 91(1), a miscellaneous licence may be granted for the use of land for one or more of the following purposes —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 or</w:t>
      </w:r>
    </w:p>
    <w:p>
      <w:pPr>
        <w:pStyle w:val="Indenta"/>
        <w:spacing w:before="60"/>
        <w:rPr>
          <w:snapToGrid w:val="0"/>
        </w:rPr>
      </w:pPr>
      <w:r>
        <w:rPr>
          <w:snapToGrid w:val="0"/>
        </w:rPr>
        <w:tab/>
        <w:t>(n)</w:t>
      </w:r>
      <w:r>
        <w:rPr>
          <w:snapToGrid w:val="0"/>
        </w:rPr>
        <w:tab/>
        <w:t>any other purpose directly connected with mining operations approved by the Director General of Mines.</w:t>
      </w:r>
    </w:p>
    <w:p>
      <w:pPr>
        <w:pStyle w:val="Footnotesection"/>
      </w:pPr>
      <w:r>
        <w:tab/>
        <w:t xml:space="preserve">[Regulation 42B inserted in Gazette 13 Oct 1995 p. 4817; amended in Gazette 4 Apr 1997 p. 1778.] </w:t>
      </w:r>
    </w:p>
    <w:p>
      <w:pPr>
        <w:pStyle w:val="Heading3"/>
        <w:spacing w:before="120"/>
        <w:rPr>
          <w:snapToGrid w:val="0"/>
        </w:rPr>
      </w:pPr>
      <w:bookmarkStart w:id="523" w:name="_Toc74978885"/>
      <w:bookmarkStart w:id="524" w:name="_Toc74979149"/>
      <w:bookmarkStart w:id="525" w:name="_Toc79976447"/>
      <w:bookmarkStart w:id="526" w:name="_Toc80759718"/>
      <w:bookmarkStart w:id="527" w:name="_Toc80783481"/>
      <w:bookmarkStart w:id="528" w:name="_Toc94931148"/>
      <w:bookmarkStart w:id="529" w:name="_Toc104275271"/>
      <w:bookmarkStart w:id="530" w:name="_Toc104276602"/>
      <w:bookmarkStart w:id="531" w:name="_Toc107198823"/>
      <w:bookmarkStart w:id="532" w:name="_Toc107799274"/>
      <w:bookmarkStart w:id="533" w:name="_Toc127087281"/>
      <w:bookmarkStart w:id="534" w:name="_Toc127183588"/>
      <w:bookmarkStart w:id="535" w:name="_Toc127338009"/>
      <w:r>
        <w:rPr>
          <w:rStyle w:val="CharDivNo"/>
        </w:rPr>
        <w:t>Division 6</w:t>
      </w:r>
      <w:r>
        <w:rPr>
          <w:snapToGrid w:val="0"/>
        </w:rPr>
        <w:t> — </w:t>
      </w:r>
      <w:r>
        <w:rPr>
          <w:rStyle w:val="CharDivText"/>
        </w:rPr>
        <w:t>Surrenders and forfeitures</w:t>
      </w:r>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DivText"/>
        </w:rPr>
        <w:t xml:space="preserve"> </w:t>
      </w:r>
    </w:p>
    <w:p>
      <w:pPr>
        <w:pStyle w:val="Heading5"/>
        <w:spacing w:before="120"/>
        <w:rPr>
          <w:snapToGrid w:val="0"/>
        </w:rPr>
      </w:pPr>
      <w:bookmarkStart w:id="536" w:name="_Toc474633074"/>
      <w:bookmarkStart w:id="537" w:name="_Toc488740223"/>
      <w:bookmarkStart w:id="538" w:name="_Toc8623604"/>
      <w:bookmarkStart w:id="539" w:name="_Toc11229445"/>
      <w:bookmarkStart w:id="540" w:name="_Toc104276603"/>
      <w:bookmarkStart w:id="541" w:name="_Toc127338010"/>
      <w:r>
        <w:rPr>
          <w:rStyle w:val="CharSectno"/>
        </w:rPr>
        <w:t>43</w:t>
      </w:r>
      <w:r>
        <w:rPr>
          <w:snapToGrid w:val="0"/>
        </w:rPr>
        <w:t>.</w:t>
      </w:r>
      <w:r>
        <w:rPr>
          <w:snapToGrid w:val="0"/>
        </w:rPr>
        <w:tab/>
        <w:t>Surrender of tenement</w:t>
      </w:r>
      <w:bookmarkEnd w:id="536"/>
      <w:bookmarkEnd w:id="537"/>
      <w:bookmarkEnd w:id="538"/>
      <w:bookmarkEnd w:id="539"/>
      <w:bookmarkEnd w:id="540"/>
      <w:bookmarkEnd w:id="541"/>
      <w:r>
        <w:rPr>
          <w:snapToGrid w:val="0"/>
        </w:rPr>
        <w:t xml:space="preserve"> </w:t>
      </w:r>
    </w:p>
    <w:p>
      <w:pPr>
        <w:pStyle w:val="Subsection"/>
        <w:spacing w:before="100"/>
        <w:rPr>
          <w:snapToGrid w:val="0"/>
        </w:rPr>
      </w:pPr>
      <w:r>
        <w:rPr>
          <w:snapToGrid w:val="0"/>
        </w:rPr>
        <w:tab/>
        <w:t>(1)</w:t>
      </w:r>
      <w:r>
        <w:rPr>
          <w:snapToGrid w:val="0"/>
        </w:rPr>
        <w:tab/>
        <w:t>The holder of a mining tenement wishing to surrender in whole such tenement shall execute a surrender in the form No. 12 in the First Schedule and shall lodge the surrender with the instrument of lease or licence (if issued).</w:t>
      </w:r>
    </w:p>
    <w:p>
      <w:pPr>
        <w:pStyle w:val="Subsection"/>
        <w:spacing w:before="100"/>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 xml:space="preserve">[Regulation 43 amended in Gazette 12 Nov 1982 p. 4490.] </w:t>
      </w:r>
    </w:p>
    <w:p>
      <w:pPr>
        <w:pStyle w:val="Heading5"/>
        <w:spacing w:before="120"/>
        <w:rPr>
          <w:snapToGrid w:val="0"/>
        </w:rPr>
      </w:pPr>
      <w:bookmarkStart w:id="542" w:name="_Toc474633075"/>
      <w:bookmarkStart w:id="543" w:name="_Toc488740224"/>
      <w:bookmarkStart w:id="544" w:name="_Toc8623605"/>
      <w:bookmarkStart w:id="545" w:name="_Toc11229446"/>
      <w:bookmarkStart w:id="546" w:name="_Toc104276604"/>
      <w:bookmarkStart w:id="547" w:name="_Toc127338011"/>
      <w:r>
        <w:rPr>
          <w:rStyle w:val="CharSectno"/>
        </w:rPr>
        <w:t>44</w:t>
      </w:r>
      <w:r>
        <w:rPr>
          <w:snapToGrid w:val="0"/>
        </w:rPr>
        <w:t>.</w:t>
      </w:r>
      <w:r>
        <w:rPr>
          <w:snapToGrid w:val="0"/>
        </w:rPr>
        <w:tab/>
        <w:t>Shape of tenement after partial surrender</w:t>
      </w:r>
      <w:bookmarkEnd w:id="542"/>
      <w:bookmarkEnd w:id="543"/>
      <w:bookmarkEnd w:id="544"/>
      <w:bookmarkEnd w:id="545"/>
      <w:bookmarkEnd w:id="546"/>
      <w:bookmarkEnd w:id="547"/>
      <w:r>
        <w:rPr>
          <w:snapToGrid w:val="0"/>
        </w:rPr>
        <w:t xml:space="preserve"> </w:t>
      </w:r>
    </w:p>
    <w:p>
      <w:pPr>
        <w:pStyle w:val="Subsection"/>
        <w:spacing w:before="100"/>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spacing w:before="100"/>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spacing w:before="100"/>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 xml:space="preserve">8.] </w:t>
      </w:r>
    </w:p>
    <w:p>
      <w:pPr>
        <w:pStyle w:val="Heading5"/>
        <w:spacing w:before="120"/>
        <w:rPr>
          <w:snapToGrid w:val="0"/>
        </w:rPr>
      </w:pPr>
      <w:bookmarkStart w:id="548" w:name="_Toc474633076"/>
      <w:bookmarkStart w:id="549" w:name="_Toc488740225"/>
      <w:bookmarkStart w:id="550" w:name="_Toc8623606"/>
      <w:bookmarkStart w:id="551" w:name="_Toc11229447"/>
      <w:bookmarkStart w:id="552" w:name="_Toc104276605"/>
      <w:bookmarkStart w:id="553" w:name="_Toc127338012"/>
      <w:r>
        <w:rPr>
          <w:rStyle w:val="CharSectno"/>
        </w:rPr>
        <w:t>45</w:t>
      </w:r>
      <w:r>
        <w:rPr>
          <w:snapToGrid w:val="0"/>
        </w:rPr>
        <w:t>.</w:t>
      </w:r>
      <w:r>
        <w:rPr>
          <w:snapToGrid w:val="0"/>
        </w:rPr>
        <w:tab/>
        <w:t>Marking out etc., required for partial surrender</w:t>
      </w:r>
      <w:bookmarkEnd w:id="548"/>
      <w:bookmarkEnd w:id="549"/>
      <w:bookmarkEnd w:id="550"/>
      <w:bookmarkEnd w:id="551"/>
      <w:bookmarkEnd w:id="552"/>
      <w:bookmarkEnd w:id="553"/>
      <w:r>
        <w:rPr>
          <w:snapToGrid w:val="0"/>
        </w:rPr>
        <w:t xml:space="preserve"> </w:t>
      </w:r>
    </w:p>
    <w:p>
      <w:pPr>
        <w:pStyle w:val="Subsection"/>
        <w:keepNext/>
        <w:spacing w:before="100"/>
        <w:rPr>
          <w:snapToGrid w:val="0"/>
        </w:rPr>
      </w:pPr>
      <w:r>
        <w:rPr>
          <w:snapToGrid w:val="0"/>
        </w:rPr>
        <w:tab/>
        <w:t>(1)</w:t>
      </w:r>
      <w:r>
        <w:rPr>
          <w:snapToGrid w:val="0"/>
        </w:rPr>
        <w:tab/>
        <w:t>Where a mining tenement is being surrendered as to part only the holder shall —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spacing w:before="100"/>
        <w:rPr>
          <w:snapToGrid w:val="0"/>
        </w:rPr>
      </w:pPr>
      <w:r>
        <w:rPr>
          <w:snapToGrid w:val="0"/>
        </w:rPr>
        <w:tab/>
        <w:t>(2)</w:t>
      </w:r>
      <w:r>
        <w:rPr>
          <w:snapToGrid w:val="0"/>
        </w:rPr>
        <w:tab/>
        <w:t>Additional posts shall be erected and trenches cut as if the part of the tenement to be retained was being marked out as a new mining tenement in accordance with regulation 59 except that in lieu of a notice of marking out, a notice of re</w:t>
      </w:r>
      <w:r>
        <w:rPr>
          <w:snapToGrid w:val="0"/>
        </w:rPr>
        <w:noBreakHyphen/>
        <w:t>marking in the form No. 13 in the First Schedule, shall be used.</w:t>
      </w:r>
    </w:p>
    <w:p>
      <w:pPr>
        <w:pStyle w:val="Subsection"/>
        <w:spacing w:before="100"/>
        <w:rPr>
          <w:snapToGrid w:val="0"/>
        </w:rPr>
      </w:pPr>
      <w:r>
        <w:rPr>
          <w:snapToGrid w:val="0"/>
        </w:rPr>
        <w:tab/>
        <w:t>(3)</w:t>
      </w:r>
      <w:r>
        <w:rPr>
          <w:snapToGrid w:val="0"/>
        </w:rPr>
        <w:tab/>
        <w:t>A partial surrender in the form No. 14 in the First Schedule shall be executed and lodged with the instrument of lease or licence (if issued)</w:t>
      </w:r>
      <w:r>
        <w:t>, the prescribed fee and, in the case of an exploration licence, evidence of the approval required by section 95A(2).</w:t>
      </w:r>
    </w:p>
    <w:p>
      <w:pPr>
        <w:pStyle w:val="Subsection"/>
        <w:spacing w:before="100"/>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spacing w:before="100"/>
        <w:rPr>
          <w:snapToGrid w:val="0"/>
        </w:rPr>
      </w:pPr>
      <w:r>
        <w:rPr>
          <w:snapToGrid w:val="0"/>
        </w:rPr>
        <w:tab/>
        <w:t>(5)</w:t>
      </w:r>
      <w:r>
        <w:rPr>
          <w:snapToGrid w:val="0"/>
        </w:rPr>
        <w:tab/>
        <w:t>Where a part of a mining tenement is to be surrendered under section 26A, a surrender in the form No. 14 in the First Schedule 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 xml:space="preserve">[Regulation 45 amended in Gazette 15 Jun 1984 p. 1655; 20 Jun 1986 p. 2084; 26 Jun 1987 p. 2526; 2 Oct 1987 p. 3817; 16 Nov 1990 p. 5728; 31 May 1991 p. 2698 (corrigendum in Gazette 7 Jun 1991 p. 2836); 21 Jun 1991 p. 3055; 24 Jun 1994 p. 2931; 17 Jan 2003 p. 106.] </w:t>
      </w:r>
    </w:p>
    <w:p>
      <w:pPr>
        <w:pStyle w:val="Heading5"/>
        <w:rPr>
          <w:snapToGrid w:val="0"/>
        </w:rPr>
      </w:pPr>
      <w:bookmarkStart w:id="554" w:name="_Toc474633077"/>
      <w:bookmarkStart w:id="555" w:name="_Toc488740226"/>
      <w:bookmarkStart w:id="556" w:name="_Toc8623607"/>
      <w:bookmarkStart w:id="557" w:name="_Toc11229448"/>
      <w:bookmarkStart w:id="558" w:name="_Toc104276606"/>
      <w:bookmarkStart w:id="559" w:name="_Toc127338013"/>
      <w:r>
        <w:rPr>
          <w:rStyle w:val="CharSectno"/>
        </w:rPr>
        <w:t>46</w:t>
      </w:r>
      <w:r>
        <w:rPr>
          <w:snapToGrid w:val="0"/>
        </w:rPr>
        <w:t>.</w:t>
      </w:r>
      <w:r>
        <w:rPr>
          <w:snapToGrid w:val="0"/>
        </w:rPr>
        <w:tab/>
        <w:t>Partial surrender to be endorsed on instrument of lease/</w:t>
      </w:r>
      <w:bookmarkEnd w:id="554"/>
      <w:bookmarkEnd w:id="555"/>
      <w:bookmarkEnd w:id="556"/>
      <w:r>
        <w:rPr>
          <w:snapToGrid w:val="0"/>
        </w:rPr>
        <w:t>licence</w:t>
      </w:r>
      <w:bookmarkEnd w:id="557"/>
      <w:bookmarkEnd w:id="558"/>
      <w:bookmarkEnd w:id="559"/>
      <w:r>
        <w:rPr>
          <w:snapToGrid w:val="0"/>
        </w:rPr>
        <w:t xml:space="preserve"> </w:t>
      </w:r>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560" w:name="_Toc474633078"/>
      <w:bookmarkStart w:id="561" w:name="_Toc488740227"/>
      <w:bookmarkStart w:id="562" w:name="_Toc8623608"/>
      <w:bookmarkStart w:id="563" w:name="_Toc11229449"/>
      <w:bookmarkStart w:id="564" w:name="_Toc104276607"/>
      <w:bookmarkStart w:id="565" w:name="_Toc127338014"/>
      <w:r>
        <w:rPr>
          <w:rStyle w:val="CharSectno"/>
        </w:rPr>
        <w:t>47</w:t>
      </w:r>
      <w:r>
        <w:rPr>
          <w:snapToGrid w:val="0"/>
        </w:rPr>
        <w:t>.</w:t>
      </w:r>
      <w:r>
        <w:rPr>
          <w:snapToGrid w:val="0"/>
        </w:rPr>
        <w:tab/>
        <w:t>Consent of mortgagee to surrender</w:t>
      </w:r>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 xml:space="preserve">[Regulation 47 amended in Gazette 31 May 1991 p. 2698.] </w:t>
      </w:r>
    </w:p>
    <w:p>
      <w:pPr>
        <w:pStyle w:val="Heading5"/>
        <w:rPr>
          <w:snapToGrid w:val="0"/>
        </w:rPr>
      </w:pPr>
      <w:bookmarkStart w:id="566" w:name="_Toc474633079"/>
      <w:bookmarkStart w:id="567" w:name="_Toc488740228"/>
      <w:bookmarkStart w:id="568" w:name="_Toc8623609"/>
      <w:bookmarkStart w:id="569" w:name="_Toc11229450"/>
      <w:bookmarkStart w:id="570" w:name="_Toc104276608"/>
      <w:bookmarkStart w:id="571" w:name="_Toc127338015"/>
      <w:r>
        <w:rPr>
          <w:rStyle w:val="CharSectno"/>
        </w:rPr>
        <w:t>47A</w:t>
      </w:r>
      <w:r>
        <w:rPr>
          <w:snapToGrid w:val="0"/>
        </w:rPr>
        <w:t>.</w:t>
      </w:r>
      <w:r>
        <w:rPr>
          <w:snapToGrid w:val="0"/>
        </w:rPr>
        <w:tab/>
        <w:t>Refund where conditional surrender of mining lease or general purpose lease</w:t>
      </w:r>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If —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 xml:space="preserve">[Regulation 47A inserted in Gazette 13 Oct 1995 p. 4817.] </w:t>
      </w:r>
    </w:p>
    <w:p>
      <w:pPr>
        <w:pStyle w:val="Heading5"/>
        <w:rPr>
          <w:snapToGrid w:val="0"/>
        </w:rPr>
      </w:pPr>
      <w:bookmarkStart w:id="572" w:name="_Toc474633080"/>
      <w:bookmarkStart w:id="573" w:name="_Toc488740229"/>
      <w:bookmarkStart w:id="574" w:name="_Toc8623610"/>
      <w:bookmarkStart w:id="575" w:name="_Toc11229451"/>
      <w:bookmarkStart w:id="576" w:name="_Toc104276609"/>
      <w:bookmarkStart w:id="577" w:name="_Toc127338016"/>
      <w:r>
        <w:rPr>
          <w:rStyle w:val="CharSectno"/>
        </w:rPr>
        <w:t>48</w:t>
      </w:r>
      <w:r>
        <w:rPr>
          <w:snapToGrid w:val="0"/>
        </w:rPr>
        <w:t>.</w:t>
      </w:r>
      <w:r>
        <w:rPr>
          <w:snapToGrid w:val="0"/>
        </w:rPr>
        <w:tab/>
        <w:t>Plaint for forfeiture</w:t>
      </w:r>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An application for the forfeiture of a mining tenement under section 96(1)(b) or section 98 of the Act shall be made by way of plaint in the form No. 33 in the First Schedule.</w:t>
      </w:r>
    </w:p>
    <w:p>
      <w:pPr>
        <w:pStyle w:val="Heading5"/>
        <w:rPr>
          <w:snapToGrid w:val="0"/>
        </w:rPr>
      </w:pPr>
      <w:bookmarkStart w:id="578" w:name="_Toc474633081"/>
      <w:bookmarkStart w:id="579" w:name="_Toc488740230"/>
      <w:bookmarkStart w:id="580" w:name="_Toc8623611"/>
      <w:bookmarkStart w:id="581" w:name="_Toc11229452"/>
      <w:bookmarkStart w:id="582" w:name="_Toc104276610"/>
      <w:bookmarkStart w:id="583" w:name="_Toc127338017"/>
      <w:r>
        <w:rPr>
          <w:rStyle w:val="CharSectno"/>
        </w:rPr>
        <w:t>49</w:t>
      </w:r>
      <w:r>
        <w:rPr>
          <w:snapToGrid w:val="0"/>
        </w:rPr>
        <w:t>.</w:t>
      </w:r>
      <w:r>
        <w:rPr>
          <w:snapToGrid w:val="0"/>
        </w:rPr>
        <w:tab/>
        <w:t>Forfeiture for non</w:t>
      </w:r>
      <w:r>
        <w:rPr>
          <w:snapToGrid w:val="0"/>
        </w:rPr>
        <w:noBreakHyphen/>
        <w:t>payment of rent, etc.</w:t>
      </w:r>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An application for the forfeiture of a mining tenement under section 96(1)(a) of the Act shall be in the form No. 15 in the First Schedule.</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rPr>
          <w:snapToGrid w:val="0"/>
        </w:rPr>
      </w:pPr>
      <w:r>
        <w:rPr>
          <w:snapToGrid w:val="0"/>
        </w:rPr>
        <w:tab/>
        <w:t>(3)</w:t>
      </w:r>
      <w:r>
        <w:rPr>
          <w:snapToGrid w:val="0"/>
        </w:rPr>
        <w:tab/>
        <w:t>An objection in the form No. 16 in the First Schedule against the warden making an order for forfeiture referred to in subregulation (2) may be lodged at the office of the mining registrar at any time prior to the fixed date, and the warden shall hear and determine the matter.</w:t>
      </w:r>
    </w:p>
    <w:p>
      <w:pPr>
        <w:pStyle w:val="Footnotesection"/>
      </w:pPr>
      <w:r>
        <w:tab/>
        <w:t xml:space="preserve">[Regulation 49 amended in Gazette 24 Dec 1993 p. 6828.] </w:t>
      </w:r>
    </w:p>
    <w:p>
      <w:pPr>
        <w:pStyle w:val="Heading5"/>
        <w:rPr>
          <w:snapToGrid w:val="0"/>
        </w:rPr>
      </w:pPr>
      <w:bookmarkStart w:id="584" w:name="_Toc474633082"/>
      <w:bookmarkStart w:id="585" w:name="_Toc488740231"/>
      <w:bookmarkStart w:id="586" w:name="_Toc8623612"/>
      <w:bookmarkStart w:id="587" w:name="_Toc11229453"/>
      <w:bookmarkStart w:id="588" w:name="_Toc104276611"/>
      <w:bookmarkStart w:id="589" w:name="_Toc127338018"/>
      <w:r>
        <w:rPr>
          <w:rStyle w:val="CharSectno"/>
        </w:rPr>
        <w:t>50</w:t>
      </w:r>
      <w:r>
        <w:rPr>
          <w:snapToGrid w:val="0"/>
        </w:rPr>
        <w:t>.</w:t>
      </w:r>
      <w:r>
        <w:rPr>
          <w:snapToGrid w:val="0"/>
        </w:rPr>
        <w:tab/>
        <w:t>Notice to holder of mining tenement of intended forfeiture</w:t>
      </w:r>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rPr>
          <w:snapToGrid w:val="0"/>
        </w:rPr>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rPr>
          <w:snapToGrid w:val="0"/>
        </w:rPr>
        <w:t>.</w:t>
      </w:r>
    </w:p>
    <w:p>
      <w:pPr>
        <w:pStyle w:val="Footnotesection"/>
      </w:pPr>
      <w:r>
        <w:tab/>
        <w:t xml:space="preserve">[Regulation 50 amended in Gazette 24 Jun 1994 p. 2931.] </w:t>
      </w:r>
    </w:p>
    <w:p>
      <w:pPr>
        <w:pStyle w:val="Heading5"/>
        <w:rPr>
          <w:snapToGrid w:val="0"/>
        </w:rPr>
      </w:pPr>
      <w:bookmarkStart w:id="590" w:name="_Toc474633083"/>
      <w:bookmarkStart w:id="591" w:name="_Toc488740232"/>
      <w:bookmarkStart w:id="592" w:name="_Toc8623613"/>
      <w:bookmarkStart w:id="593" w:name="_Toc11229454"/>
      <w:bookmarkStart w:id="594" w:name="_Toc104276612"/>
      <w:bookmarkStart w:id="595" w:name="_Toc127338019"/>
      <w:r>
        <w:rPr>
          <w:rStyle w:val="CharSectno"/>
        </w:rPr>
        <w:t>51</w:t>
      </w:r>
      <w:r>
        <w:rPr>
          <w:snapToGrid w:val="0"/>
        </w:rPr>
        <w:t>.</w:t>
      </w:r>
      <w:r>
        <w:rPr>
          <w:snapToGrid w:val="0"/>
        </w:rPr>
        <w:tab/>
        <w:t>Application for restoration of tenement</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An application under section 97A for restoration of a mining tenement and cancellation of forfeiture shall be — </w:t>
      </w:r>
    </w:p>
    <w:p>
      <w:pPr>
        <w:pStyle w:val="Indenta"/>
        <w:rPr>
          <w:snapToGrid w:val="0"/>
        </w:rPr>
      </w:pPr>
      <w:r>
        <w:rPr>
          <w:snapToGrid w:val="0"/>
        </w:rPr>
        <w:tab/>
        <w:t>(a)</w:t>
      </w:r>
      <w:r>
        <w:rPr>
          <w:snapToGrid w:val="0"/>
        </w:rPr>
        <w:tab/>
        <w:t>in the form No. 17 in the First Schedule;</w:t>
      </w:r>
    </w:p>
    <w:p>
      <w:pPr>
        <w:pStyle w:val="Indenta"/>
        <w:rPr>
          <w:snapToGrid w:val="0"/>
        </w:rPr>
      </w:pPr>
      <w:r>
        <w:rPr>
          <w:snapToGrid w:val="0"/>
        </w:rPr>
        <w:tab/>
        <w:t>(b)</w:t>
      </w:r>
      <w:r>
        <w:rPr>
          <w:snapToGrid w:val="0"/>
        </w:rPr>
        <w:tab/>
        <w:t>accompanied by the prescribed fee;</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 xml:space="preserve">[Regulation 51 inserted in Gazette 2 Oct 1987 p. 3818; amended in Gazette 24 Jun 1994 p. 2931.] </w:t>
      </w:r>
    </w:p>
    <w:p>
      <w:pPr>
        <w:pStyle w:val="Heading5"/>
        <w:rPr>
          <w:snapToGrid w:val="0"/>
        </w:rPr>
      </w:pPr>
      <w:bookmarkStart w:id="596" w:name="_Toc474633084"/>
      <w:bookmarkStart w:id="597" w:name="_Toc488740233"/>
      <w:bookmarkStart w:id="598" w:name="_Toc8623614"/>
      <w:bookmarkStart w:id="599" w:name="_Toc11229455"/>
      <w:bookmarkStart w:id="600" w:name="_Toc104276613"/>
      <w:bookmarkStart w:id="601" w:name="_Toc127338020"/>
      <w:r>
        <w:rPr>
          <w:rStyle w:val="CharSectno"/>
        </w:rPr>
        <w:t>51A</w:t>
      </w:r>
      <w:r>
        <w:rPr>
          <w:snapToGrid w:val="0"/>
        </w:rPr>
        <w:t>.</w:t>
      </w:r>
      <w:r>
        <w:rPr>
          <w:snapToGrid w:val="0"/>
        </w:rPr>
        <w:tab/>
        <w:t>Notice of application for restoration</w:t>
      </w:r>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Notice of an application made under section 97A(1) shall be in the form No. 17 in the First Schedule.</w:t>
      </w:r>
    </w:p>
    <w:p>
      <w:pPr>
        <w:pStyle w:val="Footnotesection"/>
      </w:pPr>
      <w:r>
        <w:tab/>
        <w:t xml:space="preserve">[Regulation 51A inserted in Gazette 2 Oct 1987 p. 3818.] </w:t>
      </w:r>
    </w:p>
    <w:p>
      <w:pPr>
        <w:pStyle w:val="Heading5"/>
        <w:rPr>
          <w:snapToGrid w:val="0"/>
        </w:rPr>
      </w:pPr>
      <w:bookmarkStart w:id="602" w:name="_Toc474633085"/>
      <w:bookmarkStart w:id="603" w:name="_Toc488740234"/>
      <w:bookmarkStart w:id="604" w:name="_Toc8623615"/>
      <w:bookmarkStart w:id="605" w:name="_Toc11229456"/>
      <w:bookmarkStart w:id="606" w:name="_Toc104276614"/>
      <w:bookmarkStart w:id="607" w:name="_Toc127338021"/>
      <w:r>
        <w:rPr>
          <w:rStyle w:val="CharSectno"/>
        </w:rPr>
        <w:t>51B</w:t>
      </w:r>
      <w:r>
        <w:rPr>
          <w:snapToGrid w:val="0"/>
        </w:rPr>
        <w:t>.</w:t>
      </w:r>
      <w:r>
        <w:rPr>
          <w:snapToGrid w:val="0"/>
        </w:rPr>
        <w:tab/>
        <w:t>Objection to application</w:t>
      </w:r>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A notice of objection to the granting of an application under section 97A(1) shall be — </w:t>
      </w:r>
    </w:p>
    <w:p>
      <w:pPr>
        <w:pStyle w:val="Indenta"/>
        <w:rPr>
          <w:snapToGrid w:val="0"/>
        </w:rPr>
      </w:pPr>
      <w:r>
        <w:rPr>
          <w:snapToGrid w:val="0"/>
        </w:rPr>
        <w:tab/>
        <w:t>(a)</w:t>
      </w:r>
      <w:r>
        <w:rPr>
          <w:snapToGrid w:val="0"/>
        </w:rPr>
        <w:tab/>
        <w:t>in the form No. 16 in the First Schedule; and</w:t>
      </w:r>
    </w:p>
    <w:p>
      <w:pPr>
        <w:pStyle w:val="Indenta"/>
        <w:rPr>
          <w:snapToGrid w:val="0"/>
        </w:rPr>
      </w:pPr>
      <w:r>
        <w:rPr>
          <w:snapToGrid w:val="0"/>
        </w:rPr>
        <w:tab/>
        <w:t>(b)</w:t>
      </w:r>
      <w:r>
        <w:rPr>
          <w:snapToGrid w:val="0"/>
        </w:rPr>
        <w:tab/>
        <w:t>lodged at the office of the mining registrar within 30 days of the lodging of the application at the office of the mining registrar or within such further time as the warden considers reasonable.</w:t>
      </w:r>
    </w:p>
    <w:p>
      <w:pPr>
        <w:pStyle w:val="Subsection"/>
      </w:pPr>
      <w:r>
        <w:tab/>
        <w:t>(2)</w:t>
      </w:r>
      <w:r>
        <w:tab/>
        <w:t>A person who lodges a notice of objection referred to in subregulation (1) shall serve a copy of the notice on the applicant.</w:t>
      </w:r>
    </w:p>
    <w:p>
      <w:pPr>
        <w:pStyle w:val="Footnotesection"/>
      </w:pPr>
      <w:r>
        <w:tab/>
        <w:t xml:space="preserve">[Regulation 51B inserted in Gazette 2 Oct 1987 p. 3818; amended in Gazette 24 Dec 1993 p. 6828; 24 Jun 1994 p. 2931; 3 Feb 2006 p. 519-20.] </w:t>
      </w:r>
    </w:p>
    <w:p>
      <w:pPr>
        <w:pStyle w:val="Heading5"/>
        <w:rPr>
          <w:snapToGrid w:val="0"/>
        </w:rPr>
      </w:pPr>
      <w:bookmarkStart w:id="608" w:name="_Toc474633086"/>
      <w:bookmarkStart w:id="609" w:name="_Toc488740235"/>
      <w:bookmarkStart w:id="610" w:name="_Toc8623616"/>
      <w:bookmarkStart w:id="611" w:name="_Toc11229457"/>
      <w:bookmarkStart w:id="612" w:name="_Toc104276615"/>
      <w:bookmarkStart w:id="613" w:name="_Toc127338022"/>
      <w:r>
        <w:rPr>
          <w:rStyle w:val="CharSectno"/>
        </w:rPr>
        <w:t>52</w:t>
      </w:r>
      <w:r>
        <w:rPr>
          <w:snapToGrid w:val="0"/>
        </w:rPr>
        <w:t>.</w:t>
      </w:r>
      <w:r>
        <w:rPr>
          <w:snapToGrid w:val="0"/>
        </w:rPr>
        <w:tab/>
        <w:t>Reduced expenditure where forfeiture plaint lodged</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Notwithstanding regulations 15(1), 21(1) and (1b) and 31(1), where a plaint for forfeiture of a mining tenement is lodged, a pro rata reduction in the annual amount to be expended in respect of the mining tenement applies for each whole month from the date of lodgment to the date of determination of the plaint.</w:t>
      </w:r>
    </w:p>
    <w:p>
      <w:pPr>
        <w:pStyle w:val="Footnotesection"/>
      </w:pPr>
      <w:r>
        <w:tab/>
        <w:t xml:space="preserve">[Regulation 52 inserted in Gazette 16 Nov 1990 p. 5728; amended in Gazette 3 Feb 2006 p. 592.] </w:t>
      </w:r>
    </w:p>
    <w:p>
      <w:pPr>
        <w:pStyle w:val="Heading5"/>
        <w:rPr>
          <w:snapToGrid w:val="0"/>
        </w:rPr>
      </w:pPr>
      <w:bookmarkStart w:id="614" w:name="_Toc474633087"/>
      <w:bookmarkStart w:id="615" w:name="_Toc488740236"/>
      <w:bookmarkStart w:id="616" w:name="_Toc8623617"/>
      <w:bookmarkStart w:id="617" w:name="_Toc11229458"/>
      <w:bookmarkStart w:id="618" w:name="_Toc104276616"/>
      <w:bookmarkStart w:id="619" w:name="_Toc127338023"/>
      <w:r>
        <w:rPr>
          <w:rStyle w:val="CharSectno"/>
        </w:rPr>
        <w:t>53</w:t>
      </w:r>
      <w:r>
        <w:rPr>
          <w:snapToGrid w:val="0"/>
        </w:rPr>
        <w:t>.</w:t>
      </w:r>
      <w:r>
        <w:rPr>
          <w:snapToGrid w:val="0"/>
        </w:rPr>
        <w:tab/>
        <w:t>Notice to mortgagee</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Where a mining tenement that is liable to forfeiture is encumbered by a mortgage then at the same time as notification is sent to the holder pursuant to regulations 49 and 50 the warden or Minister as the case may be shall cause a copy of the notification to be forwarded to the mortgagee by post.</w:t>
      </w:r>
    </w:p>
    <w:p>
      <w:pPr>
        <w:pStyle w:val="Heading3"/>
        <w:rPr>
          <w:snapToGrid w:val="0"/>
        </w:rPr>
      </w:pPr>
      <w:bookmarkStart w:id="620" w:name="_Toc74978900"/>
      <w:bookmarkStart w:id="621" w:name="_Toc74979164"/>
      <w:bookmarkStart w:id="622" w:name="_Toc79976462"/>
      <w:bookmarkStart w:id="623" w:name="_Toc80759733"/>
      <w:bookmarkStart w:id="624" w:name="_Toc80783496"/>
      <w:bookmarkStart w:id="625" w:name="_Toc94931163"/>
      <w:bookmarkStart w:id="626" w:name="_Toc104275286"/>
      <w:bookmarkStart w:id="627" w:name="_Toc104276617"/>
      <w:bookmarkStart w:id="628" w:name="_Toc107198838"/>
      <w:bookmarkStart w:id="629" w:name="_Toc107799289"/>
      <w:bookmarkStart w:id="630" w:name="_Toc127087296"/>
      <w:bookmarkStart w:id="631" w:name="_Toc127183603"/>
      <w:bookmarkStart w:id="632" w:name="_Toc127338024"/>
      <w:r>
        <w:rPr>
          <w:rStyle w:val="CharDivNo"/>
        </w:rPr>
        <w:t>Division 7</w:t>
      </w:r>
      <w:r>
        <w:rPr>
          <w:snapToGrid w:val="0"/>
        </w:rPr>
        <w:t> — </w:t>
      </w:r>
      <w:r>
        <w:rPr>
          <w:rStyle w:val="CharDivText"/>
        </w:rPr>
        <w:t>Exemptions</w:t>
      </w:r>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DivText"/>
        </w:rPr>
        <w:t xml:space="preserve"> </w:t>
      </w:r>
    </w:p>
    <w:p>
      <w:pPr>
        <w:pStyle w:val="Heading5"/>
        <w:rPr>
          <w:snapToGrid w:val="0"/>
        </w:rPr>
      </w:pPr>
      <w:bookmarkStart w:id="633" w:name="_Toc474633088"/>
      <w:bookmarkStart w:id="634" w:name="_Toc488740237"/>
      <w:bookmarkStart w:id="635" w:name="_Toc8623618"/>
      <w:bookmarkStart w:id="636" w:name="_Toc11229459"/>
      <w:bookmarkStart w:id="637" w:name="_Toc104276618"/>
      <w:bookmarkStart w:id="638" w:name="_Toc127338025"/>
      <w:r>
        <w:rPr>
          <w:rStyle w:val="CharSectno"/>
        </w:rPr>
        <w:t>54</w:t>
      </w:r>
      <w:r>
        <w:rPr>
          <w:snapToGrid w:val="0"/>
        </w:rPr>
        <w:t>.</w:t>
      </w:r>
      <w:r>
        <w:rPr>
          <w:snapToGrid w:val="0"/>
        </w:rPr>
        <w:tab/>
        <w:t>Application for certificate of exemption</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An application for a certificate of exemption under section 102 shall be made in the form No. 18 in the First Schedule and lodged at the office of the mining registrar with the prescribed fee.</w:t>
      </w:r>
    </w:p>
    <w:p>
      <w:pPr>
        <w:pStyle w:val="Subsection"/>
        <w:spacing w:before="100"/>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spacing w:before="100"/>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spacing w:before="100"/>
        <w:rPr>
          <w:snapToGrid w:val="0"/>
        </w:rPr>
      </w:pPr>
      <w:r>
        <w:rPr>
          <w:snapToGrid w:val="0"/>
        </w:rPr>
        <w:tab/>
        <w:t>(2)</w:t>
      </w:r>
      <w:r>
        <w:rPr>
          <w:snapToGrid w:val="0"/>
        </w:rPr>
        <w:tab/>
        <w:t>An application for a certificate of exemption under section 102A shall be accompanied by the prescribed fee.</w:t>
      </w:r>
    </w:p>
    <w:p>
      <w:pPr>
        <w:pStyle w:val="Subsection"/>
        <w:spacing w:before="100"/>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spacing w:before="100"/>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 xml:space="preserve">[Regulation 54 inserted in Gazette 2 Oct 1987 p. 3818; amended in Gazette 31 May 1991 p. 2698; 13 Oct 1995 p. 4818; 4 Apr 1997 p. 1778; 17 Jan 2003 p. 113.] </w:t>
      </w:r>
    </w:p>
    <w:p>
      <w:pPr>
        <w:pStyle w:val="Heading5"/>
        <w:rPr>
          <w:snapToGrid w:val="0"/>
        </w:rPr>
      </w:pPr>
      <w:bookmarkStart w:id="639" w:name="_Toc474633089"/>
      <w:bookmarkStart w:id="640" w:name="_Toc488740238"/>
      <w:bookmarkStart w:id="641" w:name="_Toc8623619"/>
      <w:bookmarkStart w:id="642" w:name="_Toc11229460"/>
      <w:bookmarkStart w:id="643" w:name="_Toc104276619"/>
      <w:bookmarkStart w:id="644" w:name="_Toc127338026"/>
      <w:r>
        <w:rPr>
          <w:rStyle w:val="CharSectno"/>
        </w:rPr>
        <w:t>55</w:t>
      </w:r>
      <w:r>
        <w:rPr>
          <w:snapToGrid w:val="0"/>
        </w:rPr>
        <w:t>.</w:t>
      </w:r>
      <w:r>
        <w:rPr>
          <w:snapToGrid w:val="0"/>
        </w:rPr>
        <w:tab/>
        <w:t>Objection to application for exemption</w:t>
      </w:r>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A person may within 21 days of the date of lodgement of an application for a certificate of exemption under section 102, or within such further period as the warden considers reasonable, lodge an objection against that application in the form No. 16 in the First Schedule.</w:t>
      </w:r>
    </w:p>
    <w:p>
      <w:pPr>
        <w:pStyle w:val="Subsection"/>
      </w:pPr>
      <w:r>
        <w:tab/>
        <w:t>(2)</w:t>
      </w:r>
      <w:r>
        <w:tab/>
        <w:t>A person who lodges an objection referred to in subregulation (1) shall serve a copy of the objection on the applicant.</w:t>
      </w:r>
    </w:p>
    <w:p>
      <w:pPr>
        <w:pStyle w:val="Footnotesection"/>
        <w:ind w:left="890" w:hanging="890"/>
      </w:pPr>
      <w:r>
        <w:tab/>
        <w:t xml:space="preserve">[Regulation 55 inserted in Gazette 13 Oct 1995 p. 4818; amended in Gazette 4 Apr 1997 p. 1778; 3 Feb 2006 p. 520.] </w:t>
      </w:r>
    </w:p>
    <w:p>
      <w:pPr>
        <w:pStyle w:val="Heading5"/>
        <w:rPr>
          <w:snapToGrid w:val="0"/>
        </w:rPr>
      </w:pPr>
      <w:bookmarkStart w:id="645" w:name="_Toc474633090"/>
      <w:bookmarkStart w:id="646" w:name="_Toc488740239"/>
      <w:bookmarkStart w:id="647" w:name="_Toc8623620"/>
      <w:bookmarkStart w:id="648" w:name="_Toc11229461"/>
      <w:bookmarkStart w:id="649" w:name="_Toc104276620"/>
      <w:bookmarkStart w:id="650" w:name="_Toc127338027"/>
      <w:r>
        <w:rPr>
          <w:rStyle w:val="CharSectno"/>
        </w:rPr>
        <w:t>56</w:t>
      </w:r>
      <w:r>
        <w:rPr>
          <w:snapToGrid w:val="0"/>
        </w:rPr>
        <w:t>.</w:t>
      </w:r>
      <w:r>
        <w:rPr>
          <w:snapToGrid w:val="0"/>
        </w:rPr>
        <w:tab/>
        <w:t>Evidence in support of application</w:t>
      </w:r>
      <w:bookmarkEnd w:id="645"/>
      <w:r>
        <w:rPr>
          <w:snapToGrid w:val="0"/>
        </w:rPr>
        <w:t xml:space="preserve"> and objection</w:t>
      </w:r>
      <w:bookmarkEnd w:id="646"/>
      <w:bookmarkEnd w:id="647"/>
      <w:bookmarkEnd w:id="648"/>
      <w:bookmarkEnd w:id="649"/>
      <w:bookmarkEnd w:id="650"/>
    </w:p>
    <w:p>
      <w:pPr>
        <w:pStyle w:val="Subsection"/>
        <w:rPr>
          <w:snapToGrid w:val="0"/>
        </w:rPr>
      </w:pPr>
      <w:r>
        <w:rPr>
          <w:snapToGrid w:val="0"/>
        </w:rPr>
        <w:tab/>
        <w:t>(1)</w:t>
      </w:r>
      <w:r>
        <w:rPr>
          <w:snapToGrid w:val="0"/>
        </w:rPr>
        <w:tab/>
        <w:t>Where any objection against an application for a certificate of exemption under section 102 is lodged within the time allowed, the warden shall receive evidence in open court in support of the application and in support of any objection so lodged.</w:t>
      </w:r>
    </w:p>
    <w:p>
      <w:pPr>
        <w:pStyle w:val="Ednotesubsection"/>
        <w:keepNext/>
        <w:spacing w:before="110"/>
      </w:pPr>
      <w:r>
        <w:tab/>
        <w:t>[(2)</w:t>
      </w:r>
      <w:r>
        <w:tab/>
        <w:t>repealed]</w:t>
      </w:r>
    </w:p>
    <w:p>
      <w:pPr>
        <w:pStyle w:val="Footnotesection"/>
        <w:ind w:left="890" w:hanging="890"/>
      </w:pPr>
      <w:r>
        <w:tab/>
        <w:t xml:space="preserve">[Regulation 56 inserted in Gazette 2 Oct 1987 p. 3818; amended in Gazette 31 May 1991 p. 2698 (corrigendum in Gazette 21 Jun 1991 p. 3057).] </w:t>
      </w:r>
    </w:p>
    <w:p>
      <w:pPr>
        <w:pStyle w:val="Ednotesection"/>
        <w:spacing w:before="170"/>
      </w:pPr>
      <w:r>
        <w:t>[</w:t>
      </w:r>
      <w:r>
        <w:rPr>
          <w:b/>
        </w:rPr>
        <w:t>57.</w:t>
      </w:r>
      <w:r>
        <w:tab/>
        <w:t xml:space="preserve">Repealed in Gazette 2 Oct 1987 p. 3818.] </w:t>
      </w:r>
    </w:p>
    <w:p>
      <w:pPr>
        <w:pStyle w:val="Heading5"/>
        <w:rPr>
          <w:snapToGrid w:val="0"/>
        </w:rPr>
      </w:pPr>
      <w:bookmarkStart w:id="651" w:name="_Toc474633091"/>
      <w:bookmarkStart w:id="652" w:name="_Toc488740240"/>
      <w:bookmarkStart w:id="653" w:name="_Toc8623621"/>
      <w:bookmarkStart w:id="654" w:name="_Toc11229462"/>
      <w:bookmarkStart w:id="655" w:name="_Toc104276621"/>
      <w:bookmarkStart w:id="656" w:name="_Toc127338028"/>
      <w:r>
        <w:rPr>
          <w:rStyle w:val="CharSectno"/>
        </w:rPr>
        <w:t>58</w:t>
      </w:r>
      <w:r>
        <w:rPr>
          <w:snapToGrid w:val="0"/>
        </w:rPr>
        <w:t>.</w:t>
      </w:r>
      <w:r>
        <w:rPr>
          <w:snapToGrid w:val="0"/>
        </w:rPr>
        <w:tab/>
        <w:t>Certificate of exemption</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A certificate of exemption under section 102 or 102A shall be in the form No. 19 in the First Schedule.</w:t>
      </w:r>
    </w:p>
    <w:p>
      <w:pPr>
        <w:pStyle w:val="Footnotesection"/>
        <w:ind w:left="890" w:hanging="890"/>
      </w:pPr>
      <w:r>
        <w:tab/>
        <w:t xml:space="preserve">[Regulation 58 amended in Gazette 2 Oct 1987 p. 3819.] </w:t>
      </w:r>
    </w:p>
    <w:p>
      <w:pPr>
        <w:pStyle w:val="Heading5"/>
      </w:pPr>
      <w:bookmarkStart w:id="657" w:name="_Toc127338029"/>
      <w:bookmarkStart w:id="658" w:name="_Toc74978905"/>
      <w:bookmarkStart w:id="659" w:name="_Toc74979169"/>
      <w:bookmarkStart w:id="660" w:name="_Toc79976467"/>
      <w:bookmarkStart w:id="661" w:name="_Toc80759738"/>
      <w:bookmarkStart w:id="662" w:name="_Toc80783501"/>
      <w:bookmarkStart w:id="663" w:name="_Toc94931168"/>
      <w:bookmarkStart w:id="664" w:name="_Toc104275291"/>
      <w:bookmarkStart w:id="665" w:name="_Toc104276622"/>
      <w:bookmarkStart w:id="666" w:name="_Toc107198843"/>
      <w:bookmarkStart w:id="667" w:name="_Toc107799294"/>
      <w:bookmarkStart w:id="668" w:name="_Toc127087301"/>
      <w:r>
        <w:rPr>
          <w:rStyle w:val="CharSectno"/>
        </w:rPr>
        <w:t>58A</w:t>
      </w:r>
      <w:r>
        <w:t>.</w:t>
      </w:r>
      <w:r>
        <w:tab/>
        <w:t>Aggregate exploration expenditure</w:t>
      </w:r>
      <w:bookmarkEnd w:id="657"/>
    </w:p>
    <w:p>
      <w:pPr>
        <w:pStyle w:val="Subsection"/>
      </w:pPr>
      <w:r>
        <w:tab/>
        <w:t>(1)</w:t>
      </w:r>
      <w:r>
        <w:tab/>
        <w:t xml:space="preserve">In this regulation — </w:t>
      </w:r>
    </w:p>
    <w:p>
      <w:pPr>
        <w:pStyle w:val="Defstart"/>
      </w:pPr>
      <w:r>
        <w:rPr>
          <w:b/>
        </w:rPr>
        <w:tab/>
        <w:t>“</w:t>
      </w:r>
      <w:r>
        <w:rPr>
          <w:rStyle w:val="CharDefText"/>
        </w:rPr>
        <w:t>relevant operations report</w:t>
      </w:r>
      <w:r>
        <w:rPr>
          <w:b/>
        </w:rPr>
        <w:t>”</w:t>
      </w:r>
      <w:r>
        <w:t xml:space="preserve"> means a report of the kind required under section 51, 68(3), 70H(1)(f) or 82(1)(e) —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pPr>
      <w:r>
        <w:tab/>
        <w:t>(2)</w:t>
      </w:r>
      <w:r>
        <w:tab/>
        <w:t>For the purposes of the definition of “aggregate exploration expenditure”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669" w:name="_Toc127183609"/>
      <w:bookmarkStart w:id="670" w:name="_Toc127338030"/>
      <w:r>
        <w:rPr>
          <w:rStyle w:val="CharPartNo"/>
        </w:rPr>
        <w:t>Part V</w:t>
      </w:r>
      <w:r>
        <w:t> — </w:t>
      </w:r>
      <w:r>
        <w:rPr>
          <w:rStyle w:val="CharPartText"/>
        </w:rPr>
        <w:t>General regulations</w:t>
      </w:r>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PartText"/>
        </w:rPr>
        <w:t xml:space="preserve"> </w:t>
      </w:r>
    </w:p>
    <w:p>
      <w:pPr>
        <w:pStyle w:val="Heading3"/>
        <w:spacing w:before="160"/>
        <w:rPr>
          <w:snapToGrid w:val="0"/>
        </w:rPr>
      </w:pPr>
      <w:bookmarkStart w:id="671" w:name="_Toc74978906"/>
      <w:bookmarkStart w:id="672" w:name="_Toc74979170"/>
      <w:bookmarkStart w:id="673" w:name="_Toc79976468"/>
      <w:bookmarkStart w:id="674" w:name="_Toc80759739"/>
      <w:bookmarkStart w:id="675" w:name="_Toc80783502"/>
      <w:bookmarkStart w:id="676" w:name="_Toc94931169"/>
      <w:bookmarkStart w:id="677" w:name="_Toc104275292"/>
      <w:bookmarkStart w:id="678" w:name="_Toc104276623"/>
      <w:bookmarkStart w:id="679" w:name="_Toc107198844"/>
      <w:bookmarkStart w:id="680" w:name="_Toc107799295"/>
      <w:bookmarkStart w:id="681" w:name="_Toc127087302"/>
      <w:bookmarkStart w:id="682" w:name="_Toc127183610"/>
      <w:bookmarkStart w:id="683" w:name="_Toc127338031"/>
      <w:r>
        <w:rPr>
          <w:rStyle w:val="CharDivNo"/>
        </w:rPr>
        <w:t>Division 1</w:t>
      </w:r>
      <w:r>
        <w:rPr>
          <w:snapToGrid w:val="0"/>
        </w:rPr>
        <w:t> — </w:t>
      </w:r>
      <w:r>
        <w:rPr>
          <w:rStyle w:val="CharDivText"/>
        </w:rPr>
        <w:t>Marking out mining tenements</w:t>
      </w:r>
      <w:bookmarkEnd w:id="671"/>
      <w:bookmarkEnd w:id="672"/>
      <w:bookmarkEnd w:id="673"/>
      <w:bookmarkEnd w:id="674"/>
      <w:bookmarkEnd w:id="675"/>
      <w:bookmarkEnd w:id="676"/>
      <w:bookmarkEnd w:id="677"/>
      <w:bookmarkEnd w:id="678"/>
      <w:bookmarkEnd w:id="679"/>
      <w:bookmarkEnd w:id="680"/>
      <w:bookmarkEnd w:id="681"/>
      <w:bookmarkEnd w:id="682"/>
      <w:bookmarkEnd w:id="683"/>
      <w:r>
        <w:rPr>
          <w:rStyle w:val="CharDivText"/>
        </w:rPr>
        <w:t xml:space="preserve"> </w:t>
      </w:r>
    </w:p>
    <w:p>
      <w:pPr>
        <w:pStyle w:val="Heading5"/>
        <w:spacing w:before="140"/>
        <w:rPr>
          <w:snapToGrid w:val="0"/>
        </w:rPr>
      </w:pPr>
      <w:bookmarkStart w:id="684" w:name="_Toc474633092"/>
      <w:bookmarkStart w:id="685" w:name="_Toc488740241"/>
      <w:bookmarkStart w:id="686" w:name="_Toc8623622"/>
      <w:bookmarkStart w:id="687" w:name="_Toc11229463"/>
      <w:bookmarkStart w:id="688" w:name="_Toc104276624"/>
      <w:bookmarkStart w:id="689" w:name="_Toc127338032"/>
      <w:r>
        <w:rPr>
          <w:rStyle w:val="CharSectno"/>
        </w:rPr>
        <w:t>59</w:t>
      </w:r>
      <w:r>
        <w:rPr>
          <w:snapToGrid w:val="0"/>
        </w:rPr>
        <w:t>.</w:t>
      </w:r>
      <w:r>
        <w:rPr>
          <w:snapToGrid w:val="0"/>
        </w:rPr>
        <w:tab/>
        <w:t>Manner of marking out a tenement</w:t>
      </w:r>
      <w:bookmarkEnd w:id="684"/>
      <w:bookmarkEnd w:id="685"/>
      <w:bookmarkEnd w:id="686"/>
      <w:bookmarkEnd w:id="687"/>
      <w:bookmarkEnd w:id="688"/>
      <w:bookmarkEnd w:id="689"/>
      <w:r>
        <w:rPr>
          <w:snapToGrid w:val="0"/>
        </w:rPr>
        <w:t xml:space="preserve"> </w:t>
      </w:r>
    </w:p>
    <w:p>
      <w:pPr>
        <w:pStyle w:val="Subsection"/>
        <w:spacing w:before="110"/>
        <w:rPr>
          <w:snapToGrid w:val="0"/>
        </w:rPr>
      </w:pPr>
      <w:r>
        <w:rPr>
          <w:snapToGrid w:val="0"/>
        </w:rPr>
        <w:tab/>
        <w:t>(1)</w:t>
      </w:r>
      <w:r>
        <w:rPr>
          <w:snapToGrid w:val="0"/>
        </w:rPr>
        <w:tab/>
        <w:t>Land in respect of which a person is seeking a mining tenement shall, except where other provision is expressly made, be marked out — </w:t>
      </w:r>
    </w:p>
    <w:p>
      <w:pPr>
        <w:pStyle w:val="Indenta"/>
        <w:spacing w:before="60"/>
        <w:rPr>
          <w:snapToGrid w:val="0"/>
        </w:rPr>
      </w:pPr>
      <w:r>
        <w:rPr>
          <w:snapToGrid w:val="0"/>
        </w:rPr>
        <w:tab/>
        <w:t>(a)</w:t>
      </w:r>
      <w:r>
        <w:rPr>
          <w:snapToGrid w:val="0"/>
        </w:rPr>
        <w:tab/>
        <w:t>by fixing firmly in the ground —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then by fixing firmly to one of the posts as the datum post, notice of marking out in the form No. 20 in the First Schedule.</w:t>
      </w:r>
    </w:p>
    <w:p>
      <w:pPr>
        <w:pStyle w:val="Subsection"/>
        <w:spacing w:before="110"/>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spacing w:before="110"/>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 xml:space="preserve">[Regulation 59 inserted in Gazette 16 Nov 1990 p. 5728; amended in Gazette 2 Jul 1993 p. 3271; 15 Aug 2003 p. 3693.] </w:t>
      </w:r>
    </w:p>
    <w:p>
      <w:pPr>
        <w:pStyle w:val="Heading5"/>
        <w:rPr>
          <w:snapToGrid w:val="0"/>
        </w:rPr>
      </w:pPr>
      <w:bookmarkStart w:id="690" w:name="_Toc474633093"/>
      <w:bookmarkStart w:id="691" w:name="_Toc488740242"/>
      <w:bookmarkStart w:id="692" w:name="_Toc8623623"/>
      <w:bookmarkStart w:id="693" w:name="_Toc11229464"/>
      <w:bookmarkStart w:id="694" w:name="_Toc104276625"/>
      <w:bookmarkStart w:id="695" w:name="_Toc127338033"/>
      <w:r>
        <w:rPr>
          <w:rStyle w:val="CharSectno"/>
        </w:rPr>
        <w:t>60</w:t>
      </w:r>
      <w:r>
        <w:rPr>
          <w:snapToGrid w:val="0"/>
        </w:rPr>
        <w:t>.</w:t>
      </w:r>
      <w:r>
        <w:rPr>
          <w:snapToGrid w:val="0"/>
        </w:rPr>
        <w:tab/>
        <w:t>Stones used to support posts</w:t>
      </w:r>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 xml:space="preserve">[Regulation 60 inserted in Gazette 2 Jul 1993 p. 3271.] </w:t>
      </w:r>
    </w:p>
    <w:p>
      <w:pPr>
        <w:pStyle w:val="Heading5"/>
        <w:rPr>
          <w:snapToGrid w:val="0"/>
        </w:rPr>
      </w:pPr>
      <w:bookmarkStart w:id="696" w:name="_Toc474633094"/>
      <w:bookmarkStart w:id="697" w:name="_Toc488740243"/>
      <w:bookmarkStart w:id="698" w:name="_Toc8623624"/>
      <w:bookmarkStart w:id="699" w:name="_Toc11229465"/>
      <w:bookmarkStart w:id="700" w:name="_Toc104276626"/>
      <w:bookmarkStart w:id="701" w:name="_Toc127338034"/>
      <w:r>
        <w:rPr>
          <w:rStyle w:val="CharSectno"/>
        </w:rPr>
        <w:t>61</w:t>
      </w:r>
      <w:r>
        <w:rPr>
          <w:snapToGrid w:val="0"/>
        </w:rPr>
        <w:t>.</w:t>
      </w:r>
      <w:r>
        <w:rPr>
          <w:snapToGrid w:val="0"/>
        </w:rPr>
        <w:tab/>
        <w:t>Marking out surveyed land</w:t>
      </w:r>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No. 20 in the First Schedule is affixed.</w:t>
      </w:r>
    </w:p>
    <w:p>
      <w:pPr>
        <w:pStyle w:val="Footnotesection"/>
      </w:pPr>
      <w:r>
        <w:tab/>
        <w:t xml:space="preserve">[Regulation 61 amended in Gazette 2 Oct 1987 p. 3819; 2 Jul 1993 p. 3271.] </w:t>
      </w:r>
    </w:p>
    <w:p>
      <w:pPr>
        <w:pStyle w:val="Heading5"/>
        <w:rPr>
          <w:snapToGrid w:val="0"/>
        </w:rPr>
      </w:pPr>
      <w:bookmarkStart w:id="702" w:name="_Toc474633095"/>
      <w:bookmarkStart w:id="703" w:name="_Toc488740244"/>
      <w:bookmarkStart w:id="704" w:name="_Toc8623625"/>
      <w:bookmarkStart w:id="705" w:name="_Toc11229466"/>
      <w:bookmarkStart w:id="706" w:name="_Toc104276627"/>
      <w:bookmarkStart w:id="707" w:name="_Toc127338035"/>
      <w:r>
        <w:rPr>
          <w:rStyle w:val="CharSectno"/>
        </w:rPr>
        <w:t>62</w:t>
      </w:r>
      <w:r>
        <w:rPr>
          <w:snapToGrid w:val="0"/>
        </w:rPr>
        <w:t>.</w:t>
      </w:r>
      <w:r>
        <w:rPr>
          <w:snapToGrid w:val="0"/>
        </w:rPr>
        <w:tab/>
        <w:t>Surplus land may be applied for by others</w:t>
      </w:r>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spacing w:before="120"/>
        <w:rPr>
          <w:snapToGrid w:val="0"/>
        </w:rPr>
      </w:pPr>
      <w:bookmarkStart w:id="708" w:name="_Toc474633096"/>
      <w:bookmarkStart w:id="709" w:name="_Toc488740245"/>
      <w:bookmarkStart w:id="710" w:name="_Toc8623626"/>
      <w:bookmarkStart w:id="711" w:name="_Toc11229467"/>
      <w:bookmarkStart w:id="712" w:name="_Toc104276628"/>
      <w:bookmarkStart w:id="713" w:name="_Toc127338036"/>
      <w:r>
        <w:rPr>
          <w:rStyle w:val="CharSectno"/>
        </w:rPr>
        <w:t>63</w:t>
      </w:r>
      <w:r>
        <w:rPr>
          <w:snapToGrid w:val="0"/>
        </w:rPr>
        <w:t>.</w:t>
      </w:r>
      <w:r>
        <w:rPr>
          <w:snapToGrid w:val="0"/>
        </w:rPr>
        <w:tab/>
        <w:t>Land marked out but not applied for</w:t>
      </w:r>
      <w:bookmarkEnd w:id="708"/>
      <w:bookmarkEnd w:id="709"/>
      <w:bookmarkEnd w:id="710"/>
      <w:bookmarkEnd w:id="711"/>
      <w:bookmarkEnd w:id="712"/>
      <w:bookmarkEnd w:id="713"/>
      <w:r>
        <w:rPr>
          <w:snapToGrid w:val="0"/>
        </w:rPr>
        <w:t xml:space="preserve"> </w:t>
      </w:r>
    </w:p>
    <w:p>
      <w:pPr>
        <w:pStyle w:val="Subsection"/>
        <w:spacing w:before="10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0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714" w:name="_Toc127338037"/>
      <w:bookmarkStart w:id="715" w:name="_Toc74978912"/>
      <w:bookmarkStart w:id="716" w:name="_Toc74979176"/>
      <w:bookmarkStart w:id="717" w:name="_Toc79976474"/>
      <w:bookmarkStart w:id="718" w:name="_Toc80759745"/>
      <w:bookmarkStart w:id="719" w:name="_Toc80783508"/>
      <w:bookmarkStart w:id="720" w:name="_Toc94931175"/>
      <w:bookmarkStart w:id="721" w:name="_Toc104275298"/>
      <w:bookmarkStart w:id="722" w:name="_Toc104276629"/>
      <w:bookmarkStart w:id="723" w:name="_Toc107198850"/>
      <w:bookmarkStart w:id="724" w:name="_Toc107799301"/>
      <w:bookmarkStart w:id="725" w:name="_Toc127087308"/>
      <w:r>
        <w:rPr>
          <w:rStyle w:val="CharSectno"/>
        </w:rPr>
        <w:t>63A</w:t>
      </w:r>
      <w:r>
        <w:t>.</w:t>
      </w:r>
      <w:r>
        <w:tab/>
        <w:t>Requirement for marking out following grant of reversion licence</w:t>
      </w:r>
      <w:bookmarkEnd w:id="714"/>
    </w:p>
    <w:p>
      <w:pPr>
        <w:pStyle w:val="Subsection"/>
      </w:pPr>
      <w:r>
        <w:tab/>
        <w:t>(1)</w:t>
      </w:r>
      <w:r>
        <w:tab/>
        <w:t xml:space="preserve">If, as a result of a reversion licence application, a mining tenement (the </w:t>
      </w:r>
      <w:r>
        <w:rPr>
          <w:b/>
          <w:bCs/>
        </w:rPr>
        <w:t>“</w:t>
      </w:r>
      <w:r>
        <w:rPr>
          <w:rStyle w:val="CharDefText"/>
        </w:rPr>
        <w:t>reversion licence</w:t>
      </w:r>
      <w:r>
        <w:rPr>
          <w:b/>
          <w:bCs/>
        </w:rPr>
        <w:t>”</w:t>
      </w:r>
      <w:r>
        <w:t xml:space="preserve">) is granted in respect of part of the land the subject of an application for a mining lease (the </w:t>
      </w:r>
      <w:r>
        <w:rPr>
          <w:b/>
          <w:bCs/>
        </w:rPr>
        <w:t>“</w:t>
      </w:r>
      <w:r>
        <w:rPr>
          <w:rStyle w:val="CharDefText"/>
        </w:rPr>
        <w:t>lease application</w:t>
      </w:r>
      <w:r>
        <w:rPr>
          <w:b/>
          <w:bCs/>
        </w:rPr>
        <w:t>”</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spacing w:before="120"/>
        <w:rPr>
          <w:snapToGrid w:val="0"/>
        </w:rPr>
      </w:pPr>
      <w:bookmarkStart w:id="726" w:name="_Toc127183617"/>
      <w:bookmarkStart w:id="727" w:name="_Toc127338038"/>
      <w:r>
        <w:rPr>
          <w:rStyle w:val="CharDivNo"/>
        </w:rPr>
        <w:t>Division 2</w:t>
      </w:r>
      <w:r>
        <w:rPr>
          <w:snapToGrid w:val="0"/>
        </w:rPr>
        <w:t> — </w:t>
      </w:r>
      <w:r>
        <w:rPr>
          <w:rStyle w:val="CharDivText"/>
        </w:rPr>
        <w:t>Applications and objections</w:t>
      </w:r>
      <w:bookmarkEnd w:id="715"/>
      <w:bookmarkEnd w:id="716"/>
      <w:bookmarkEnd w:id="717"/>
      <w:bookmarkEnd w:id="718"/>
      <w:bookmarkEnd w:id="719"/>
      <w:bookmarkEnd w:id="720"/>
      <w:bookmarkEnd w:id="721"/>
      <w:bookmarkEnd w:id="722"/>
      <w:bookmarkEnd w:id="723"/>
      <w:bookmarkEnd w:id="724"/>
      <w:bookmarkEnd w:id="725"/>
      <w:bookmarkEnd w:id="726"/>
      <w:bookmarkEnd w:id="727"/>
      <w:r>
        <w:rPr>
          <w:rStyle w:val="CharDivText"/>
        </w:rPr>
        <w:t xml:space="preserve"> </w:t>
      </w:r>
    </w:p>
    <w:p>
      <w:pPr>
        <w:pStyle w:val="Heading5"/>
        <w:spacing w:before="120"/>
        <w:rPr>
          <w:snapToGrid w:val="0"/>
        </w:rPr>
      </w:pPr>
      <w:bookmarkStart w:id="728" w:name="_Toc474633097"/>
      <w:bookmarkStart w:id="729" w:name="_Toc488740246"/>
      <w:bookmarkStart w:id="730" w:name="_Toc8623627"/>
      <w:bookmarkStart w:id="731" w:name="_Toc11229468"/>
      <w:bookmarkStart w:id="732" w:name="_Toc104276630"/>
      <w:bookmarkStart w:id="733" w:name="_Toc127338039"/>
      <w:r>
        <w:rPr>
          <w:rStyle w:val="CharSectno"/>
        </w:rPr>
        <w:t>64</w:t>
      </w:r>
      <w:r>
        <w:rPr>
          <w:snapToGrid w:val="0"/>
        </w:rPr>
        <w:t>.</w:t>
      </w:r>
      <w:r>
        <w:rPr>
          <w:snapToGrid w:val="0"/>
        </w:rPr>
        <w:tab/>
        <w:t>Application for mining tenement</w:t>
      </w:r>
      <w:bookmarkEnd w:id="728"/>
      <w:bookmarkEnd w:id="729"/>
      <w:bookmarkEnd w:id="730"/>
      <w:bookmarkEnd w:id="731"/>
      <w:bookmarkEnd w:id="732"/>
      <w:bookmarkEnd w:id="733"/>
      <w:r>
        <w:rPr>
          <w:snapToGrid w:val="0"/>
        </w:rPr>
        <w:t xml:space="preserve"> </w:t>
      </w:r>
    </w:p>
    <w:p>
      <w:pPr>
        <w:pStyle w:val="Subsection"/>
        <w:spacing w:before="100"/>
        <w:rPr>
          <w:snapToGrid w:val="0"/>
        </w:rPr>
      </w:pPr>
      <w:r>
        <w:rPr>
          <w:snapToGrid w:val="0"/>
        </w:rPr>
        <w:tab/>
        <w:t>(1)</w:t>
      </w:r>
      <w:r>
        <w:rPr>
          <w:snapToGrid w:val="0"/>
        </w:rPr>
        <w:tab/>
        <w:t>Application for a mining tenement shall be in the form No. 21 in the First Schedule and lodged with the warden by being filed at the office of the mining registrar within 10 days of marking out or such further time as the warden considers reasonable.</w:t>
      </w:r>
    </w:p>
    <w:p>
      <w:pPr>
        <w:pStyle w:val="Subsection"/>
        <w:spacing w:before="100"/>
        <w:rPr>
          <w:snapToGrid w:val="0"/>
        </w:rPr>
      </w:pPr>
      <w:r>
        <w:rPr>
          <w:snapToGrid w:val="0"/>
        </w:rPr>
        <w:tab/>
        <w:t>(1a)</w:t>
      </w:r>
      <w:r>
        <w:rPr>
          <w:snapToGrid w:val="0"/>
        </w:rPr>
        <w:tab/>
        <w:t>For the purposes of section 58(1) an application for an exploration licence, in the form No. 21 of the First Schedule, includes — </w:t>
      </w:r>
    </w:p>
    <w:p>
      <w:pPr>
        <w:pStyle w:val="Indenta"/>
        <w:spacing w:before="60"/>
        <w:rPr>
          <w:snapToGrid w:val="0"/>
        </w:rPr>
      </w:pPr>
      <w:r>
        <w:rPr>
          <w:snapToGrid w:val="0"/>
        </w:rPr>
        <w:tab/>
        <w:t>(a)</w:t>
      </w:r>
      <w:r>
        <w:rPr>
          <w:snapToGrid w:val="0"/>
        </w:rPr>
        <w:tab/>
        <w:t>a completed copy of Attachment 1 to form No. 21, identifying the block or blocks to which the application relates by number; and</w:t>
      </w:r>
    </w:p>
    <w:p>
      <w:pPr>
        <w:pStyle w:val="Indenta"/>
        <w:spacing w:before="60"/>
        <w:rPr>
          <w:snapToGrid w:val="0"/>
        </w:rPr>
      </w:pPr>
      <w:r>
        <w:rPr>
          <w:snapToGrid w:val="0"/>
        </w:rPr>
        <w:tab/>
        <w:t>(b)</w:t>
      </w:r>
      <w:r>
        <w:rPr>
          <w:snapToGrid w:val="0"/>
        </w:rPr>
        <w:tab/>
        <w:t>a completed copy of Attachment 2 to form No. 21, clearly delineating the block or blocks to which the application relates,</w:t>
      </w:r>
    </w:p>
    <w:p>
      <w:pPr>
        <w:pStyle w:val="Subsection"/>
        <w:spacing w:before="60"/>
        <w:rPr>
          <w:snapToGrid w:val="0"/>
        </w:rPr>
      </w:pPr>
      <w:r>
        <w:rPr>
          <w:snapToGrid w:val="0"/>
        </w:rPr>
        <w:tab/>
      </w:r>
      <w:r>
        <w:rPr>
          <w:snapToGrid w:val="0"/>
        </w:rPr>
        <w:tab/>
        <w:t>in accordance with section 58(2)(a).</w:t>
      </w:r>
    </w:p>
    <w:p>
      <w:pPr>
        <w:pStyle w:val="Subsection"/>
        <w:spacing w:before="100"/>
      </w:pPr>
      <w:r>
        <w:tab/>
        <w:t>(1b)</w:t>
      </w:r>
      <w:r>
        <w:tab/>
        <w:t xml:space="preserve">The prescribed </w:t>
      </w:r>
      <w:r>
        <w:rPr>
          <w:snapToGrid w:val="0"/>
        </w:rPr>
        <w:t>application</w:t>
      </w:r>
      <w:r>
        <w:t xml:space="preserve"> fee for a mining tenement is set out in item 2 of the Second Schedule.</w:t>
      </w:r>
    </w:p>
    <w:p>
      <w:pPr>
        <w:pStyle w:val="Subsection"/>
        <w:spacing w:before="100"/>
      </w:pPr>
      <w:r>
        <w:tab/>
        <w:t>(1c)</w:t>
      </w:r>
      <w:r>
        <w:tab/>
        <w:t xml:space="preserve">An application </w:t>
      </w:r>
      <w:r>
        <w:rPr>
          <w:snapToGrid w:val="0"/>
        </w:rPr>
        <w:t>for</w:t>
      </w:r>
      <w:r>
        <w:t xml:space="preserve"> a mining tenement must be accompanied by ten elevenths of the annual rent set out in item 1 of the Second Schedule for that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85B, 91 or 118 of the Act, and compliance with subregulations (4), (5) and (6).</w:t>
      </w:r>
    </w:p>
    <w:p>
      <w:pPr>
        <w:pStyle w:val="Subsection"/>
        <w:spacing w:before="150"/>
        <w:rPr>
          <w:snapToGrid w:val="0"/>
        </w:rPr>
      </w:pPr>
      <w:r>
        <w:rPr>
          <w:snapToGrid w:val="0"/>
        </w:rPr>
        <w:tab/>
        <w:t>(4)</w:t>
      </w:r>
      <w:r>
        <w:rPr>
          <w:snapToGrid w:val="0"/>
        </w:rPr>
        <w:tab/>
        <w:t>The applicant shall affix a copy of the application to the datum post of the ground applied for within 14 days of the date of application, or such further period as the warden considers reasonable, and shall keep the copy intact and legible until the application is granted, but the affixing of the copy to the datum post may be dispensed with by the warden upon his being satisfied that the ground is situated in a remote or unoccupied locality and such affixing would not effect publicity.</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nominated by the Director General of Mines, within 14 days of the date of the application or within such further period as the warden considers reasonable.</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 xml:space="preserve">13; 3 Feb 2006 p. 520 and 594.] </w:t>
      </w:r>
    </w:p>
    <w:p>
      <w:pPr>
        <w:pStyle w:val="Heading5"/>
        <w:rPr>
          <w:snapToGrid w:val="0"/>
        </w:rPr>
      </w:pPr>
      <w:bookmarkStart w:id="734" w:name="_Toc474633098"/>
      <w:bookmarkStart w:id="735" w:name="_Toc488740247"/>
      <w:bookmarkStart w:id="736" w:name="_Toc8623628"/>
      <w:bookmarkStart w:id="737" w:name="_Toc11229469"/>
      <w:bookmarkStart w:id="738" w:name="_Toc104276631"/>
      <w:bookmarkStart w:id="739" w:name="_Toc127338040"/>
      <w:r>
        <w:rPr>
          <w:rStyle w:val="CharSectno"/>
        </w:rPr>
        <w:t>64A</w:t>
      </w:r>
      <w:r>
        <w:rPr>
          <w:snapToGrid w:val="0"/>
        </w:rPr>
        <w:t>.</w:t>
      </w:r>
      <w:r>
        <w:rPr>
          <w:snapToGrid w:val="0"/>
        </w:rPr>
        <w:tab/>
        <w:t>Notice of application for prospecting licence, exploration licence, retention licence or mining lease</w:t>
      </w:r>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For the purposes of sections 41(2), 58(4), 70C(4) and 74(3), the notice required to be served on the owner and occupier shall be — </w:t>
      </w:r>
    </w:p>
    <w:p>
      <w:pPr>
        <w:pStyle w:val="Indenta"/>
        <w:rPr>
          <w:snapToGrid w:val="0"/>
        </w:rPr>
      </w:pPr>
      <w:r>
        <w:rPr>
          <w:snapToGrid w:val="0"/>
        </w:rPr>
        <w:tab/>
        <w:t>(a)</w:t>
      </w:r>
      <w:r>
        <w:rPr>
          <w:snapToGrid w:val="0"/>
        </w:rPr>
        <w:tab/>
        <w:t>in the form No. 21 in the First Schedule; and</w:t>
      </w:r>
    </w:p>
    <w:p>
      <w:pPr>
        <w:pStyle w:val="Indenta"/>
        <w:rPr>
          <w:snapToGrid w:val="0"/>
        </w:rPr>
      </w:pPr>
      <w:r>
        <w:rPr>
          <w:snapToGrid w:val="0"/>
        </w:rPr>
        <w:tab/>
        <w:t>(b)</w:t>
      </w:r>
      <w:r>
        <w:rPr>
          <w:snapToGrid w:val="0"/>
        </w:rPr>
        <w:tab/>
        <w:t>served by the applicant within 14 days of the lodging of the application to which the notice relates.</w:t>
      </w:r>
    </w:p>
    <w:p>
      <w:pPr>
        <w:pStyle w:val="Footnotesection"/>
      </w:pPr>
      <w:r>
        <w:tab/>
        <w:t xml:space="preserve">[Regulation 64A inserted in Gazette 13 Oct 1995 p. 4818.] </w:t>
      </w:r>
    </w:p>
    <w:p>
      <w:pPr>
        <w:pStyle w:val="Heading5"/>
        <w:rPr>
          <w:snapToGrid w:val="0"/>
        </w:rPr>
      </w:pPr>
      <w:bookmarkStart w:id="740" w:name="_Toc474633099"/>
      <w:bookmarkStart w:id="741" w:name="_Toc488740248"/>
      <w:bookmarkStart w:id="742" w:name="_Toc8623629"/>
      <w:bookmarkStart w:id="743" w:name="_Toc11229470"/>
      <w:bookmarkStart w:id="744" w:name="_Toc104276632"/>
      <w:bookmarkStart w:id="745" w:name="_Toc127338041"/>
      <w:r>
        <w:rPr>
          <w:rStyle w:val="CharSectno"/>
        </w:rPr>
        <w:t>64B</w:t>
      </w:r>
      <w:r>
        <w:rPr>
          <w:snapToGrid w:val="0"/>
        </w:rPr>
        <w:t>.</w:t>
      </w:r>
      <w:r>
        <w:rPr>
          <w:snapToGrid w:val="0"/>
        </w:rPr>
        <w:tab/>
        <w:t>Notice of application for mining tenement — pastoral lessee or other leaseholder</w:t>
      </w:r>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 xml:space="preserve">[Regulation 64B inserted in Gazette 24 Jun 1994 p. 2931.] </w:t>
      </w:r>
    </w:p>
    <w:p>
      <w:pPr>
        <w:pStyle w:val="Heading5"/>
      </w:pPr>
      <w:bookmarkStart w:id="746" w:name="_Toc104276633"/>
      <w:bookmarkStart w:id="747" w:name="_Toc127338042"/>
      <w:bookmarkStart w:id="748" w:name="_Toc474633100"/>
      <w:bookmarkStart w:id="749" w:name="_Toc488740249"/>
      <w:bookmarkStart w:id="750" w:name="_Toc8623630"/>
      <w:bookmarkStart w:id="751" w:name="_Toc11229471"/>
      <w:r>
        <w:rPr>
          <w:rStyle w:val="CharSectno"/>
        </w:rPr>
        <w:t>64C</w:t>
      </w:r>
      <w:r>
        <w:t>.</w:t>
      </w:r>
      <w:r>
        <w:tab/>
        <w:t>Copy of application for miscellaneous licence</w:t>
      </w:r>
      <w:bookmarkEnd w:id="746"/>
      <w:bookmarkEnd w:id="747"/>
    </w:p>
    <w:p>
      <w:pPr>
        <w:pStyle w:val="Subsection"/>
      </w:pPr>
      <w:r>
        <w:tab/>
      </w:r>
      <w:r>
        <w:tab/>
        <w:t>For the purposes of section 91(9), the prescribed time is 14 days after the lodging of the application concerned.</w:t>
      </w:r>
    </w:p>
    <w:p>
      <w:pPr>
        <w:pStyle w:val="Footnotesection"/>
      </w:pPr>
      <w:r>
        <w:tab/>
        <w:t xml:space="preserve">[Regulation 64C inserted in Gazette 17 Jan 2003 p. 106.] </w:t>
      </w:r>
    </w:p>
    <w:p>
      <w:pPr>
        <w:pStyle w:val="Heading5"/>
        <w:rPr>
          <w:snapToGrid w:val="0"/>
        </w:rPr>
      </w:pPr>
      <w:bookmarkStart w:id="752" w:name="_Toc104276634"/>
      <w:bookmarkStart w:id="753" w:name="_Toc127338043"/>
      <w:r>
        <w:rPr>
          <w:rStyle w:val="CharSectno"/>
        </w:rPr>
        <w:t>65</w:t>
      </w:r>
      <w:r>
        <w:rPr>
          <w:snapToGrid w:val="0"/>
        </w:rPr>
        <w:t>.</w:t>
      </w:r>
      <w:r>
        <w:rPr>
          <w:snapToGrid w:val="0"/>
        </w:rPr>
        <w:tab/>
        <w:t>Number of shares to be stated on application</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754" w:name="_Toc474633101"/>
      <w:bookmarkStart w:id="755" w:name="_Toc488740250"/>
      <w:bookmarkStart w:id="756" w:name="_Toc8623631"/>
      <w:bookmarkStart w:id="757" w:name="_Toc11229472"/>
      <w:bookmarkStart w:id="758" w:name="_Toc104276635"/>
      <w:bookmarkStart w:id="759" w:name="_Toc127338044"/>
      <w:r>
        <w:rPr>
          <w:rStyle w:val="CharSectno"/>
        </w:rPr>
        <w:t>66</w:t>
      </w:r>
      <w:r>
        <w:rPr>
          <w:snapToGrid w:val="0"/>
        </w:rPr>
        <w:t>.</w:t>
      </w:r>
      <w:r>
        <w:rPr>
          <w:snapToGrid w:val="0"/>
        </w:rPr>
        <w:tab/>
        <w:t>Description of boundaries</w:t>
      </w:r>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The boundaries of every mining tenement applied for, other than an exploration licence, shall be described from either —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 xml:space="preserve">[Regulation 66 inserted in Gazette 2 Jul 1993 p. 3271; amended in Gazette 15 Dec 2000 p. 7219.] </w:t>
      </w:r>
    </w:p>
    <w:p>
      <w:pPr>
        <w:pStyle w:val="Ednotesection"/>
      </w:pPr>
      <w:r>
        <w:t>[</w:t>
      </w:r>
      <w:r>
        <w:rPr>
          <w:b/>
        </w:rPr>
        <w:t>66A.</w:t>
      </w:r>
      <w:r>
        <w:rPr>
          <w:b/>
        </w:rPr>
        <w:tab/>
      </w:r>
      <w:r>
        <w:t xml:space="preserve">Repealed in Gazette 4 Apr 1997 p. 1778.] </w:t>
      </w:r>
    </w:p>
    <w:p>
      <w:pPr>
        <w:pStyle w:val="Heading5"/>
        <w:rPr>
          <w:snapToGrid w:val="0"/>
        </w:rPr>
      </w:pPr>
      <w:bookmarkStart w:id="760" w:name="_Toc474633102"/>
      <w:bookmarkStart w:id="761" w:name="_Toc488740251"/>
      <w:bookmarkStart w:id="762" w:name="_Toc8623632"/>
      <w:bookmarkStart w:id="763" w:name="_Toc11229473"/>
      <w:bookmarkStart w:id="764" w:name="_Toc104276636"/>
      <w:bookmarkStart w:id="765" w:name="_Toc127338045"/>
      <w:r>
        <w:rPr>
          <w:rStyle w:val="CharSectno"/>
        </w:rPr>
        <w:t>67</w:t>
      </w:r>
      <w:r>
        <w:rPr>
          <w:snapToGrid w:val="0"/>
        </w:rPr>
        <w:t>.</w:t>
      </w:r>
      <w:r>
        <w:rPr>
          <w:snapToGrid w:val="0"/>
        </w:rPr>
        <w:tab/>
        <w:t>Objection against application</w:t>
      </w:r>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Within 35 days of the date of application for a mining tenement or such further period as the warden considers reasonable any person may lodge at the office of the mining registrar an objection in the form No. 16 in the First Schedule and the objector shall serve a copy of such objection on the applicant.</w:t>
      </w:r>
    </w:p>
    <w:p>
      <w:pPr>
        <w:pStyle w:val="Subsection"/>
        <w:rPr>
          <w:snapToGrid w:val="0"/>
        </w:rPr>
      </w:pPr>
      <w:r>
        <w:rPr>
          <w:snapToGrid w:val="0"/>
        </w:rPr>
        <w:tab/>
        <w:t>(2)</w:t>
      </w:r>
      <w:r>
        <w:rPr>
          <w:snapToGrid w:val="0"/>
        </w:rPr>
        <w:tab/>
        <w:t>Notwithstanding subregulation (1), where an application is made for a mining tenement that relates to private land, the period during which a person may lodge an objection is — </w:t>
      </w:r>
    </w:p>
    <w:p>
      <w:pPr>
        <w:pStyle w:val="Indenta"/>
        <w:rPr>
          <w:snapToGrid w:val="0"/>
        </w:rPr>
      </w:pPr>
      <w:r>
        <w:rPr>
          <w:snapToGrid w:val="0"/>
        </w:rPr>
        <w:tab/>
        <w:t>(a)</w:t>
      </w:r>
      <w:r>
        <w:rPr>
          <w:snapToGrid w:val="0"/>
        </w:rPr>
        <w:tab/>
        <w:t>within 21 days of the date on which the person was served with a copy of notice required to be given under section 33(1); or</w:t>
      </w:r>
    </w:p>
    <w:p>
      <w:pPr>
        <w:pStyle w:val="Indenta"/>
        <w:keepNext/>
        <w:rPr>
          <w:snapToGrid w:val="0"/>
        </w:rPr>
      </w:pPr>
      <w:r>
        <w:rPr>
          <w:snapToGrid w:val="0"/>
        </w:rPr>
        <w:tab/>
        <w:t>(b)</w:t>
      </w:r>
      <w:r>
        <w:rPr>
          <w:snapToGrid w:val="0"/>
        </w:rPr>
        <w:tab/>
        <w:t>within 35 days of the date of the application,</w:t>
      </w:r>
    </w:p>
    <w:p>
      <w:pPr>
        <w:pStyle w:val="Subsection"/>
        <w:keepNext/>
        <w:rPr>
          <w:snapToGrid w:val="0"/>
        </w:rPr>
      </w:pPr>
      <w:r>
        <w:rPr>
          <w:snapToGrid w:val="0"/>
        </w:rPr>
        <w:tab/>
      </w:r>
      <w:r>
        <w:rPr>
          <w:snapToGrid w:val="0"/>
        </w:rPr>
        <w:tab/>
        <w:t>whichever period ends later, or such further period as the warden considers reasonable.</w:t>
      </w:r>
    </w:p>
    <w:p>
      <w:pPr>
        <w:pStyle w:val="Footnotesection"/>
      </w:pPr>
      <w:r>
        <w:tab/>
        <w:t xml:space="preserve">[Regulation 67 amended in Gazette 31 May 1991 p. 2699; 2 Jul 1993 p. 3272; 24 Dec 1993 p. 6828.] </w:t>
      </w:r>
    </w:p>
    <w:p>
      <w:pPr>
        <w:pStyle w:val="Ednotesection"/>
        <w:ind w:left="890" w:hanging="890"/>
      </w:pPr>
      <w:r>
        <w:t>[</w:t>
      </w:r>
      <w:r>
        <w:rPr>
          <w:b/>
        </w:rPr>
        <w:t>67A.</w:t>
      </w:r>
      <w:r>
        <w:tab/>
        <w:t xml:space="preserve">Repealed in Gazette 4 Apr 1997 p. 1778.] </w:t>
      </w:r>
    </w:p>
    <w:p>
      <w:pPr>
        <w:pStyle w:val="Heading5"/>
        <w:rPr>
          <w:snapToGrid w:val="0"/>
        </w:rPr>
      </w:pPr>
      <w:bookmarkStart w:id="766" w:name="_Toc474633103"/>
      <w:bookmarkStart w:id="767" w:name="_Toc488740252"/>
      <w:bookmarkStart w:id="768" w:name="_Toc8623633"/>
      <w:bookmarkStart w:id="769" w:name="_Toc11229474"/>
      <w:bookmarkStart w:id="770" w:name="_Toc104276637"/>
      <w:bookmarkStart w:id="771" w:name="_Toc127338046"/>
      <w:r>
        <w:rPr>
          <w:rStyle w:val="CharSectno"/>
        </w:rPr>
        <w:t>68</w:t>
      </w:r>
      <w:r>
        <w:rPr>
          <w:snapToGrid w:val="0"/>
        </w:rPr>
        <w:t>.</w:t>
      </w:r>
      <w:r>
        <w:rPr>
          <w:snapToGrid w:val="0"/>
        </w:rPr>
        <w:tab/>
        <w:t>Warden may obtain report</w:t>
      </w:r>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pPr>
      <w:r>
        <w:tab/>
        <w:t>[Regulation 68 amended in Gazette 3 Feb 2006 p. 594.]</w:t>
      </w:r>
    </w:p>
    <w:p>
      <w:pPr>
        <w:pStyle w:val="Heading5"/>
        <w:spacing w:before="180"/>
        <w:rPr>
          <w:snapToGrid w:val="0"/>
        </w:rPr>
      </w:pPr>
      <w:bookmarkStart w:id="772" w:name="_Toc474633104"/>
      <w:bookmarkStart w:id="773" w:name="_Toc488740253"/>
      <w:bookmarkStart w:id="774" w:name="_Toc8623634"/>
      <w:bookmarkStart w:id="775" w:name="_Toc11229475"/>
      <w:bookmarkStart w:id="776" w:name="_Toc104276638"/>
      <w:bookmarkStart w:id="777" w:name="_Toc127338047"/>
      <w:r>
        <w:rPr>
          <w:rStyle w:val="CharSectno"/>
        </w:rPr>
        <w:t>69</w:t>
      </w:r>
      <w:r>
        <w:rPr>
          <w:snapToGrid w:val="0"/>
        </w:rPr>
        <w:t>.</w:t>
      </w:r>
      <w:r>
        <w:rPr>
          <w:snapToGrid w:val="0"/>
        </w:rPr>
        <w:tab/>
        <w:t>Withdrawal of applications</w:t>
      </w:r>
      <w:bookmarkEnd w:id="772"/>
      <w:bookmarkEnd w:id="773"/>
      <w:bookmarkEnd w:id="774"/>
      <w:bookmarkEnd w:id="775"/>
      <w:bookmarkEnd w:id="776"/>
      <w:bookmarkEnd w:id="777"/>
      <w:r>
        <w:rPr>
          <w:snapToGrid w:val="0"/>
        </w:rPr>
        <w:t xml:space="preserve"> </w:t>
      </w:r>
    </w:p>
    <w:p>
      <w:pPr>
        <w:pStyle w:val="Subsection"/>
        <w:spacing w:before="120"/>
        <w:rPr>
          <w:snapToGrid w:val="0"/>
        </w:rPr>
      </w:pPr>
      <w:r>
        <w:rPr>
          <w:snapToGrid w:val="0"/>
        </w:rPr>
        <w:tab/>
      </w:r>
      <w:r>
        <w:rPr>
          <w:snapToGrid w:val="0"/>
        </w:rPr>
        <w:tab/>
        <w:t>An applicant for a mining tenement may, at any time before the granting of the application, apply to withdraw his application by lodging a withdrawal in the form No. 22 in the First Schedule, but if — </w:t>
      </w:r>
    </w:p>
    <w:p>
      <w:pPr>
        <w:pStyle w:val="Indenta"/>
        <w:spacing w:before="70"/>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spacing w:before="80"/>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w:t>
      </w:r>
    </w:p>
    <w:p>
      <w:pPr>
        <w:pStyle w:val="Heading5"/>
        <w:spacing w:before="180"/>
      </w:pPr>
      <w:bookmarkStart w:id="778" w:name="_Toc8623635"/>
      <w:bookmarkStart w:id="779" w:name="_Toc11229476"/>
      <w:bookmarkStart w:id="780" w:name="_Toc104276639"/>
      <w:bookmarkStart w:id="781" w:name="_Toc127338048"/>
      <w:bookmarkStart w:id="782" w:name="_Toc474633105"/>
      <w:bookmarkStart w:id="783" w:name="_Toc488740254"/>
      <w:r>
        <w:rPr>
          <w:rStyle w:val="CharSectno"/>
        </w:rPr>
        <w:t>69A</w:t>
      </w:r>
      <w:r>
        <w:t>.</w:t>
      </w:r>
      <w:r>
        <w:tab/>
        <w:t>GST to be paid at time of grant of application</w:t>
      </w:r>
      <w:bookmarkEnd w:id="778"/>
      <w:bookmarkEnd w:id="779"/>
      <w:bookmarkEnd w:id="780"/>
      <w:bookmarkEnd w:id="781"/>
    </w:p>
    <w:p>
      <w:pPr>
        <w:pStyle w:val="Subsection"/>
        <w:spacing w:before="120"/>
      </w:pPr>
      <w:r>
        <w:tab/>
        <w:t>(1)</w:t>
      </w:r>
      <w:r>
        <w:tab/>
        <w:t xml:space="preserve">In this regulation — </w:t>
      </w:r>
    </w:p>
    <w:p>
      <w:pPr>
        <w:pStyle w:val="Defstart"/>
      </w:pPr>
      <w:r>
        <w:tab/>
      </w:r>
      <w:r>
        <w:rPr>
          <w:b/>
        </w:rPr>
        <w:t>“</w:t>
      </w:r>
      <w:r>
        <w:rPr>
          <w:rStyle w:val="CharDefText"/>
        </w:rPr>
        <w:t>prescribed application</w:t>
      </w:r>
      <w:r>
        <w:rPr>
          <w:b/>
        </w:rPr>
        <w:t>”</w:t>
      </w:r>
      <w:r>
        <w:t xml:space="preserve"> means an application for a mining tenement that is made after 5 February 2001.</w:t>
      </w:r>
    </w:p>
    <w:p>
      <w:pPr>
        <w:pStyle w:val="Subsection"/>
        <w:spacing w:before="120"/>
      </w:pPr>
      <w:r>
        <w:tab/>
        <w:t>(2)</w:t>
      </w:r>
      <w:r>
        <w:tab/>
        <w:t>A prescribed application shall not be granted unless the applicant pays one eleventh of the annual rent that was prescribed for that tenement at the time the application was made.</w:t>
      </w:r>
    </w:p>
    <w:p>
      <w:pPr>
        <w:pStyle w:val="Subsection"/>
        <w:spacing w:before="120"/>
      </w:pPr>
      <w:r>
        <w:tab/>
        <w:t>(3)</w:t>
      </w:r>
      <w:r>
        <w:tab/>
        <w:t>Written notice requiring the payment of the amount referred to in subregulation (2) within 30 days of the date of the issue of the notice may be given to the applicant.</w:t>
      </w:r>
    </w:p>
    <w:p>
      <w:pPr>
        <w:pStyle w:val="Subsection"/>
        <w:spacing w:before="120"/>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spacing w:before="180"/>
        <w:rPr>
          <w:snapToGrid w:val="0"/>
        </w:rPr>
      </w:pPr>
      <w:bookmarkStart w:id="784" w:name="_Toc8623636"/>
      <w:bookmarkStart w:id="785" w:name="_Toc11229477"/>
      <w:bookmarkStart w:id="786" w:name="_Toc104276640"/>
      <w:bookmarkStart w:id="787" w:name="_Toc127338049"/>
      <w:r>
        <w:rPr>
          <w:rStyle w:val="CharSectno"/>
        </w:rPr>
        <w:t>70</w:t>
      </w:r>
      <w:r>
        <w:rPr>
          <w:snapToGrid w:val="0"/>
        </w:rPr>
        <w:t>.</w:t>
      </w:r>
      <w:r>
        <w:rPr>
          <w:snapToGrid w:val="0"/>
        </w:rPr>
        <w:tab/>
        <w:t>Refund of rent on withdrawal or refusal of application</w:t>
      </w:r>
      <w:bookmarkEnd w:id="782"/>
      <w:bookmarkEnd w:id="783"/>
      <w:bookmarkEnd w:id="784"/>
      <w:bookmarkEnd w:id="785"/>
      <w:bookmarkEnd w:id="786"/>
      <w:bookmarkEnd w:id="787"/>
      <w:r>
        <w:rPr>
          <w:snapToGrid w:val="0"/>
        </w:rPr>
        <w:t xml:space="preserve"> </w:t>
      </w:r>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 xml:space="preserve">[Regulation 70 inserted in Gazette 2 Oct 1987 p. 3819.] </w:t>
      </w:r>
    </w:p>
    <w:p>
      <w:pPr>
        <w:pStyle w:val="Heading5"/>
        <w:rPr>
          <w:snapToGrid w:val="0"/>
        </w:rPr>
      </w:pPr>
      <w:bookmarkStart w:id="788" w:name="_Toc474633106"/>
      <w:bookmarkStart w:id="789" w:name="_Toc488740255"/>
      <w:bookmarkStart w:id="790" w:name="_Toc8623637"/>
      <w:bookmarkStart w:id="791" w:name="_Toc11229478"/>
      <w:bookmarkStart w:id="792" w:name="_Toc104276641"/>
      <w:bookmarkStart w:id="793" w:name="_Toc127338050"/>
      <w:r>
        <w:rPr>
          <w:rStyle w:val="CharSectno"/>
        </w:rPr>
        <w:t>70A</w:t>
      </w:r>
      <w:r>
        <w:rPr>
          <w:snapToGrid w:val="0"/>
        </w:rPr>
        <w:t>.</w:t>
      </w:r>
      <w:r>
        <w:rPr>
          <w:snapToGrid w:val="0"/>
        </w:rPr>
        <w:tab/>
        <w:t>Amalgamation of secondary tenement</w:t>
      </w:r>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An application to amalgamate a secondary tenement under section 67A shall —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 xml:space="preserve">19.] </w:t>
      </w:r>
    </w:p>
    <w:p>
      <w:pPr>
        <w:pStyle w:val="Heading5"/>
        <w:rPr>
          <w:snapToGrid w:val="0"/>
        </w:rPr>
      </w:pPr>
      <w:bookmarkStart w:id="794" w:name="_Toc474633107"/>
      <w:bookmarkStart w:id="795" w:name="_Toc488740256"/>
      <w:bookmarkStart w:id="796" w:name="_Toc8623638"/>
      <w:bookmarkStart w:id="797" w:name="_Toc11229479"/>
      <w:bookmarkStart w:id="798" w:name="_Toc104276642"/>
      <w:bookmarkStart w:id="799" w:name="_Toc127338051"/>
      <w:r>
        <w:rPr>
          <w:rStyle w:val="CharSectno"/>
        </w:rPr>
        <w:t>70B</w:t>
      </w:r>
      <w:r>
        <w:rPr>
          <w:snapToGrid w:val="0"/>
        </w:rPr>
        <w:t>.</w:t>
      </w:r>
      <w:r>
        <w:rPr>
          <w:snapToGrid w:val="0"/>
        </w:rPr>
        <w:tab/>
        <w:t>Agreement as to priority</w:t>
      </w:r>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 xml:space="preserve">[Regulation 70B inserted in Gazette 31 May 1991 p. 2699.] </w:t>
      </w:r>
    </w:p>
    <w:p>
      <w:pPr>
        <w:pStyle w:val="Heading5"/>
        <w:rPr>
          <w:snapToGrid w:val="0"/>
        </w:rPr>
      </w:pPr>
      <w:bookmarkStart w:id="800" w:name="_Toc474633108"/>
      <w:bookmarkStart w:id="801" w:name="_Toc488740257"/>
      <w:bookmarkStart w:id="802" w:name="_Toc8623639"/>
      <w:bookmarkStart w:id="803" w:name="_Toc11229480"/>
      <w:bookmarkStart w:id="804" w:name="_Toc104276643"/>
      <w:bookmarkStart w:id="805" w:name="_Toc127338052"/>
      <w:r>
        <w:rPr>
          <w:rStyle w:val="CharSectno"/>
        </w:rPr>
        <w:t>70C</w:t>
      </w:r>
      <w:r>
        <w:rPr>
          <w:snapToGrid w:val="0"/>
        </w:rPr>
        <w:t>.</w:t>
      </w:r>
      <w:r>
        <w:rPr>
          <w:snapToGrid w:val="0"/>
        </w:rPr>
        <w:tab/>
        <w:t>Refund where licence substituted or lease refused</w:t>
      </w:r>
      <w:bookmarkEnd w:id="800"/>
      <w:bookmarkEnd w:id="801"/>
      <w:bookmarkEnd w:id="802"/>
      <w:bookmarkEnd w:id="803"/>
      <w:bookmarkEnd w:id="804"/>
      <w:bookmarkEnd w:id="805"/>
      <w:r>
        <w:rPr>
          <w:snapToGrid w:val="0"/>
        </w:rPr>
        <w:t xml:space="preserve"> </w:t>
      </w:r>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 xml:space="preserve">[Regulation 70C inserted in Gazette 31 May 1991 p. 2699; amended in Gazette 24 Jun 1994 p. 2932.] </w:t>
      </w:r>
    </w:p>
    <w:p>
      <w:pPr>
        <w:pStyle w:val="Heading5"/>
        <w:spacing w:before="180"/>
        <w:rPr>
          <w:snapToGrid w:val="0"/>
        </w:rPr>
      </w:pPr>
      <w:bookmarkStart w:id="806" w:name="_Toc474633109"/>
      <w:bookmarkStart w:id="807" w:name="_Toc488740258"/>
      <w:bookmarkStart w:id="808" w:name="_Toc8623640"/>
      <w:bookmarkStart w:id="809" w:name="_Toc11229481"/>
      <w:bookmarkStart w:id="810" w:name="_Toc104276644"/>
      <w:bookmarkStart w:id="811" w:name="_Toc127338053"/>
      <w:r>
        <w:rPr>
          <w:rStyle w:val="CharSectno"/>
        </w:rPr>
        <w:t>70D</w:t>
      </w:r>
      <w:r>
        <w:rPr>
          <w:snapToGrid w:val="0"/>
        </w:rPr>
        <w:t>.</w:t>
      </w:r>
      <w:r>
        <w:rPr>
          <w:snapToGrid w:val="0"/>
        </w:rPr>
        <w:tab/>
        <w:t>Refund when retention licence granted or refused</w:t>
      </w:r>
      <w:bookmarkEnd w:id="806"/>
      <w:bookmarkEnd w:id="807"/>
      <w:bookmarkEnd w:id="808"/>
      <w:bookmarkEnd w:id="809"/>
      <w:bookmarkEnd w:id="810"/>
      <w:bookmarkEnd w:id="811"/>
      <w:r>
        <w:rPr>
          <w:snapToGrid w:val="0"/>
        </w:rPr>
        <w:t xml:space="preserve"> </w:t>
      </w:r>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 xml:space="preserve">[Regulation 70D inserted in Gazette 24 Jun 1994 p. 2932.] </w:t>
      </w:r>
    </w:p>
    <w:p>
      <w:pPr>
        <w:pStyle w:val="Heading5"/>
      </w:pPr>
      <w:bookmarkStart w:id="812" w:name="_Toc104276645"/>
      <w:bookmarkStart w:id="813" w:name="_Toc127338054"/>
      <w:r>
        <w:rPr>
          <w:rStyle w:val="CharSectno"/>
        </w:rPr>
        <w:t>70E</w:t>
      </w:r>
      <w:r>
        <w:t>.</w:t>
      </w:r>
      <w:r>
        <w:tab/>
        <w:t>Partial refund of application fee in certain circumstances</w:t>
      </w:r>
      <w:bookmarkEnd w:id="812"/>
      <w:bookmarkEnd w:id="813"/>
    </w:p>
    <w:p>
      <w:pPr>
        <w:pStyle w:val="Subsection"/>
      </w:pPr>
      <w:r>
        <w:tab/>
      </w:r>
      <w:r>
        <w:tab/>
        <w:t xml:space="preserve">An applicant for a mining tenement is entitled to a refund of $110 of the application fee paid by the applicant if —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 xml:space="preserve">[Regulation 70E inserted in Gazette 15 Aug 2003 p. 3694.] </w:t>
      </w:r>
    </w:p>
    <w:p>
      <w:pPr>
        <w:pStyle w:val="Heading3"/>
        <w:rPr>
          <w:snapToGrid w:val="0"/>
        </w:rPr>
      </w:pPr>
      <w:bookmarkStart w:id="814" w:name="_Toc74978929"/>
      <w:bookmarkStart w:id="815" w:name="_Toc74979193"/>
      <w:bookmarkStart w:id="816" w:name="_Toc79976491"/>
      <w:bookmarkStart w:id="817" w:name="_Toc80759762"/>
      <w:bookmarkStart w:id="818" w:name="_Toc80783525"/>
      <w:bookmarkStart w:id="819" w:name="_Toc94931192"/>
      <w:bookmarkStart w:id="820" w:name="_Toc104275315"/>
      <w:bookmarkStart w:id="821" w:name="_Toc104276646"/>
      <w:bookmarkStart w:id="822" w:name="_Toc107198867"/>
      <w:bookmarkStart w:id="823" w:name="_Toc107799318"/>
      <w:bookmarkStart w:id="824" w:name="_Toc127087325"/>
      <w:bookmarkStart w:id="825" w:name="_Toc127183634"/>
      <w:bookmarkStart w:id="826" w:name="_Toc127338055"/>
      <w:r>
        <w:rPr>
          <w:rStyle w:val="CharDivNo"/>
        </w:rPr>
        <w:t>Division 3</w:t>
      </w:r>
      <w:r>
        <w:rPr>
          <w:snapToGrid w:val="0"/>
        </w:rPr>
        <w:t> — </w:t>
      </w:r>
      <w:r>
        <w:rPr>
          <w:rStyle w:val="CharDivText"/>
        </w:rPr>
        <w:t>Boundary marks</w:t>
      </w:r>
      <w:bookmarkEnd w:id="814"/>
      <w:bookmarkEnd w:id="815"/>
      <w:bookmarkEnd w:id="816"/>
      <w:bookmarkEnd w:id="817"/>
      <w:bookmarkEnd w:id="818"/>
      <w:bookmarkEnd w:id="819"/>
      <w:bookmarkEnd w:id="820"/>
      <w:bookmarkEnd w:id="821"/>
      <w:bookmarkEnd w:id="822"/>
      <w:bookmarkEnd w:id="823"/>
      <w:bookmarkEnd w:id="824"/>
      <w:bookmarkEnd w:id="825"/>
      <w:bookmarkEnd w:id="826"/>
      <w:r>
        <w:rPr>
          <w:rStyle w:val="CharDivText"/>
        </w:rPr>
        <w:t xml:space="preserve"> </w:t>
      </w:r>
    </w:p>
    <w:p>
      <w:pPr>
        <w:pStyle w:val="Heading5"/>
        <w:rPr>
          <w:snapToGrid w:val="0"/>
        </w:rPr>
      </w:pPr>
      <w:bookmarkStart w:id="827" w:name="_Toc474633110"/>
      <w:bookmarkStart w:id="828" w:name="_Toc488740259"/>
      <w:bookmarkStart w:id="829" w:name="_Toc8623641"/>
      <w:bookmarkStart w:id="830" w:name="_Toc11229482"/>
      <w:bookmarkStart w:id="831" w:name="_Toc104276647"/>
      <w:bookmarkStart w:id="832" w:name="_Toc127338056"/>
      <w:r>
        <w:rPr>
          <w:rStyle w:val="CharSectno"/>
        </w:rPr>
        <w:t>71</w:t>
      </w:r>
      <w:r>
        <w:rPr>
          <w:snapToGrid w:val="0"/>
        </w:rPr>
        <w:t>.</w:t>
      </w:r>
      <w:r>
        <w:rPr>
          <w:snapToGrid w:val="0"/>
        </w:rPr>
        <w:tab/>
        <w:t>Boundary marks to be maintained</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 xml:space="preserve">[Regulation 71 amended in Gazette 16 Nov 1990 p. 5729.] </w:t>
      </w:r>
    </w:p>
    <w:p>
      <w:pPr>
        <w:pStyle w:val="Heading5"/>
        <w:rPr>
          <w:snapToGrid w:val="0"/>
        </w:rPr>
      </w:pPr>
      <w:bookmarkStart w:id="833" w:name="_Toc474633111"/>
      <w:bookmarkStart w:id="834" w:name="_Toc488740260"/>
      <w:bookmarkStart w:id="835" w:name="_Toc8623642"/>
      <w:bookmarkStart w:id="836" w:name="_Toc11229483"/>
      <w:bookmarkStart w:id="837" w:name="_Toc104276648"/>
      <w:bookmarkStart w:id="838" w:name="_Toc127338057"/>
      <w:r>
        <w:rPr>
          <w:rStyle w:val="CharSectno"/>
        </w:rPr>
        <w:t>72</w:t>
      </w:r>
      <w:r>
        <w:rPr>
          <w:snapToGrid w:val="0"/>
        </w:rPr>
        <w:t>.</w:t>
      </w:r>
      <w:r>
        <w:rPr>
          <w:snapToGrid w:val="0"/>
        </w:rPr>
        <w:tab/>
        <w:t>No liability for mining if boundary marks not maintained</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 xml:space="preserve">[Regulation 72 amended in Gazette 16 Nov 1990 p. 5729.] </w:t>
      </w:r>
    </w:p>
    <w:p>
      <w:pPr>
        <w:pStyle w:val="Heading5"/>
        <w:rPr>
          <w:snapToGrid w:val="0"/>
        </w:rPr>
      </w:pPr>
      <w:bookmarkStart w:id="839" w:name="_Toc474633112"/>
      <w:bookmarkStart w:id="840" w:name="_Toc488740261"/>
      <w:bookmarkStart w:id="841" w:name="_Toc8623643"/>
      <w:bookmarkStart w:id="842" w:name="_Toc11229484"/>
      <w:bookmarkStart w:id="843" w:name="_Toc104276649"/>
      <w:bookmarkStart w:id="844" w:name="_Toc127338058"/>
      <w:r>
        <w:rPr>
          <w:rStyle w:val="CharSectno"/>
        </w:rPr>
        <w:t>73</w:t>
      </w:r>
      <w:r>
        <w:rPr>
          <w:snapToGrid w:val="0"/>
        </w:rPr>
        <w:t>.</w:t>
      </w:r>
      <w:r>
        <w:rPr>
          <w:snapToGrid w:val="0"/>
        </w:rPr>
        <w:tab/>
        <w:t>Holder to identify boundaries</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 xml:space="preserve">[Regulation 73 amended in Gazette 16 Nov 1990 p. 5729.] </w:t>
      </w:r>
    </w:p>
    <w:p>
      <w:pPr>
        <w:pStyle w:val="Heading5"/>
        <w:rPr>
          <w:snapToGrid w:val="0"/>
        </w:rPr>
      </w:pPr>
      <w:bookmarkStart w:id="845" w:name="_Toc474633113"/>
      <w:bookmarkStart w:id="846" w:name="_Toc488740262"/>
      <w:bookmarkStart w:id="847" w:name="_Toc8623644"/>
      <w:bookmarkStart w:id="848" w:name="_Toc11229485"/>
      <w:bookmarkStart w:id="849" w:name="_Toc104276650"/>
      <w:bookmarkStart w:id="850" w:name="_Toc127338059"/>
      <w:r>
        <w:rPr>
          <w:rStyle w:val="CharSectno"/>
        </w:rPr>
        <w:t>74</w:t>
      </w:r>
      <w:r>
        <w:rPr>
          <w:snapToGrid w:val="0"/>
        </w:rPr>
        <w:t>.</w:t>
      </w:r>
      <w:r>
        <w:rPr>
          <w:snapToGrid w:val="0"/>
        </w:rPr>
        <w:tab/>
        <w:t>False documents/notices not to be posted</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rPr>
          <w:snapToGrid w:val="0"/>
        </w:rPr>
      </w:pPr>
      <w:bookmarkStart w:id="851" w:name="_Toc74978934"/>
      <w:bookmarkStart w:id="852" w:name="_Toc74979198"/>
      <w:bookmarkStart w:id="853" w:name="_Toc79976496"/>
      <w:bookmarkStart w:id="854" w:name="_Toc80759767"/>
      <w:bookmarkStart w:id="855" w:name="_Toc80783530"/>
      <w:bookmarkStart w:id="856" w:name="_Toc94931197"/>
      <w:bookmarkStart w:id="857" w:name="_Toc104275320"/>
      <w:bookmarkStart w:id="858" w:name="_Toc104276651"/>
      <w:bookmarkStart w:id="859" w:name="_Toc107198872"/>
      <w:bookmarkStart w:id="860" w:name="_Toc107799323"/>
      <w:bookmarkStart w:id="861" w:name="_Toc127087330"/>
      <w:bookmarkStart w:id="862" w:name="_Toc127183639"/>
      <w:bookmarkStart w:id="863" w:name="_Toc127338060"/>
      <w:r>
        <w:rPr>
          <w:rStyle w:val="CharDivNo"/>
        </w:rPr>
        <w:t>Division 3A</w:t>
      </w:r>
      <w:r>
        <w:rPr>
          <w:snapToGrid w:val="0"/>
        </w:rPr>
        <w:t> — </w:t>
      </w:r>
      <w:r>
        <w:rPr>
          <w:rStyle w:val="CharDivText"/>
        </w:rPr>
        <w:t>Fossicking</w:t>
      </w:r>
      <w:bookmarkEnd w:id="851"/>
      <w:bookmarkEnd w:id="852"/>
      <w:bookmarkEnd w:id="853"/>
      <w:bookmarkEnd w:id="854"/>
      <w:bookmarkEnd w:id="855"/>
      <w:bookmarkEnd w:id="856"/>
      <w:bookmarkEnd w:id="857"/>
      <w:bookmarkEnd w:id="858"/>
      <w:bookmarkEnd w:id="859"/>
      <w:bookmarkEnd w:id="860"/>
      <w:bookmarkEnd w:id="861"/>
      <w:bookmarkEnd w:id="862"/>
      <w:bookmarkEnd w:id="863"/>
      <w:r>
        <w:rPr>
          <w:rStyle w:val="CharDivText"/>
        </w:rPr>
        <w:t xml:space="preserve"> </w:t>
      </w:r>
    </w:p>
    <w:p>
      <w:pPr>
        <w:pStyle w:val="Footnoteheading"/>
        <w:keepNext/>
        <w:ind w:left="890"/>
        <w:rPr>
          <w:snapToGrid w:val="0"/>
        </w:rPr>
      </w:pPr>
      <w:r>
        <w:rPr>
          <w:snapToGrid w:val="0"/>
        </w:rPr>
        <w:tab/>
        <w:t>[Heading inserted in Gazette 2 Oct 1987 p. 3820.]</w:t>
      </w:r>
    </w:p>
    <w:p>
      <w:pPr>
        <w:pStyle w:val="Heading5"/>
        <w:rPr>
          <w:snapToGrid w:val="0"/>
        </w:rPr>
      </w:pPr>
      <w:bookmarkStart w:id="864" w:name="_Toc474633114"/>
      <w:bookmarkStart w:id="865" w:name="_Toc488740263"/>
      <w:bookmarkStart w:id="866" w:name="_Toc8623645"/>
      <w:bookmarkStart w:id="867" w:name="_Toc11229486"/>
      <w:bookmarkStart w:id="868" w:name="_Toc104276652"/>
      <w:bookmarkStart w:id="869" w:name="_Toc127338061"/>
      <w:r>
        <w:rPr>
          <w:rStyle w:val="CharSectno"/>
        </w:rPr>
        <w:t>74A</w:t>
      </w:r>
      <w:r>
        <w:rPr>
          <w:snapToGrid w:val="0"/>
        </w:rPr>
        <w:t>.</w:t>
      </w:r>
      <w:r>
        <w:rPr>
          <w:snapToGrid w:val="0"/>
        </w:rPr>
        <w:tab/>
        <w:t>Means of fossicking</w:t>
      </w:r>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 xml:space="preserve">[Regulation 74A inserted in Gazette 20 Oct 1987 p. 3820.] </w:t>
      </w:r>
    </w:p>
    <w:p>
      <w:pPr>
        <w:pStyle w:val="Heading3"/>
        <w:rPr>
          <w:snapToGrid w:val="0"/>
        </w:rPr>
      </w:pPr>
      <w:bookmarkStart w:id="870" w:name="_Toc74978936"/>
      <w:bookmarkStart w:id="871" w:name="_Toc74979200"/>
      <w:bookmarkStart w:id="872" w:name="_Toc79976498"/>
      <w:bookmarkStart w:id="873" w:name="_Toc80759769"/>
      <w:bookmarkStart w:id="874" w:name="_Toc80783532"/>
      <w:bookmarkStart w:id="875" w:name="_Toc94931199"/>
      <w:bookmarkStart w:id="876" w:name="_Toc104275322"/>
      <w:bookmarkStart w:id="877" w:name="_Toc104276653"/>
      <w:bookmarkStart w:id="878" w:name="_Toc107198874"/>
      <w:bookmarkStart w:id="879" w:name="_Toc107799325"/>
      <w:bookmarkStart w:id="880" w:name="_Toc127087332"/>
      <w:bookmarkStart w:id="881" w:name="_Toc127183641"/>
      <w:bookmarkStart w:id="882" w:name="_Toc127338062"/>
      <w:r>
        <w:rPr>
          <w:rStyle w:val="CharDivNo"/>
        </w:rPr>
        <w:t>Division 4</w:t>
      </w:r>
      <w:r>
        <w:rPr>
          <w:snapToGrid w:val="0"/>
        </w:rPr>
        <w:t> — </w:t>
      </w:r>
      <w:r>
        <w:rPr>
          <w:rStyle w:val="CharDivText"/>
        </w:rPr>
        <w:t>Transfers, caveats, mortgages</w:t>
      </w:r>
      <w:bookmarkEnd w:id="870"/>
      <w:bookmarkEnd w:id="871"/>
      <w:bookmarkEnd w:id="872"/>
      <w:bookmarkEnd w:id="873"/>
      <w:bookmarkEnd w:id="874"/>
      <w:bookmarkEnd w:id="875"/>
      <w:bookmarkEnd w:id="876"/>
      <w:bookmarkEnd w:id="877"/>
      <w:bookmarkEnd w:id="878"/>
      <w:bookmarkEnd w:id="879"/>
      <w:bookmarkEnd w:id="880"/>
      <w:bookmarkEnd w:id="881"/>
      <w:bookmarkEnd w:id="882"/>
      <w:r>
        <w:rPr>
          <w:rStyle w:val="CharDivText"/>
        </w:rPr>
        <w:t xml:space="preserve"> </w:t>
      </w:r>
    </w:p>
    <w:p>
      <w:pPr>
        <w:pStyle w:val="Heading5"/>
        <w:spacing w:before="120"/>
        <w:rPr>
          <w:snapToGrid w:val="0"/>
        </w:rPr>
      </w:pPr>
      <w:bookmarkStart w:id="883" w:name="_Toc474633115"/>
      <w:bookmarkStart w:id="884" w:name="_Toc488740264"/>
      <w:bookmarkStart w:id="885" w:name="_Toc8623646"/>
      <w:bookmarkStart w:id="886" w:name="_Toc11229487"/>
      <w:bookmarkStart w:id="887" w:name="_Toc104276654"/>
      <w:bookmarkStart w:id="888" w:name="_Toc127338063"/>
      <w:r>
        <w:rPr>
          <w:rStyle w:val="CharSectno"/>
        </w:rPr>
        <w:t>75</w:t>
      </w:r>
      <w:r>
        <w:rPr>
          <w:snapToGrid w:val="0"/>
        </w:rPr>
        <w:t>.</w:t>
      </w:r>
      <w:r>
        <w:rPr>
          <w:snapToGrid w:val="0"/>
        </w:rPr>
        <w:tab/>
        <w:t>Transfer of tenement</w:t>
      </w:r>
      <w:bookmarkEnd w:id="883"/>
      <w:bookmarkEnd w:id="884"/>
      <w:bookmarkEnd w:id="885"/>
      <w:bookmarkEnd w:id="886"/>
      <w:bookmarkEnd w:id="887"/>
      <w:bookmarkEnd w:id="888"/>
      <w:r>
        <w:rPr>
          <w:snapToGrid w:val="0"/>
        </w:rPr>
        <w:t xml:space="preserve"> </w:t>
      </w:r>
    </w:p>
    <w:p>
      <w:pPr>
        <w:pStyle w:val="Subsection"/>
        <w:spacing w:before="80"/>
        <w:rPr>
          <w:snapToGrid w:val="0"/>
        </w:rPr>
      </w:pPr>
      <w:r>
        <w:rPr>
          <w:snapToGrid w:val="0"/>
        </w:rPr>
        <w:tab/>
      </w:r>
      <w:r>
        <w:rPr>
          <w:snapToGrid w:val="0"/>
        </w:rPr>
        <w:tab/>
        <w:t>Unless otherwise provided in the Act or these regulations the holder of a mining tenement may apply to transfer the whole of it or an interest in it by lodging a transfer in the form No. 23 in the First Schedule with the prescribed fee, but — </w:t>
      </w:r>
    </w:p>
    <w:p>
      <w:pPr>
        <w:pStyle w:val="Indenta"/>
        <w:spacing w:before="56"/>
        <w:rPr>
          <w:snapToGrid w:val="0"/>
        </w:rPr>
      </w:pPr>
      <w:r>
        <w:rPr>
          <w:snapToGrid w:val="0"/>
        </w:rPr>
        <w:tab/>
        <w:t>(a)</w:t>
      </w:r>
      <w:r>
        <w:rPr>
          <w:snapToGrid w:val="0"/>
        </w:rPr>
        <w:tab/>
        <w:t>every transfer shall be accompanied by the instrument of lease or licence (if issued) and, where applicable, a security similar to that required under sections 26, 52, 60 or 70F of the Act;</w:t>
      </w:r>
    </w:p>
    <w:p>
      <w:pPr>
        <w:pStyle w:val="Indenta"/>
        <w:spacing w:before="56"/>
        <w:rPr>
          <w:snapToGrid w:val="0"/>
        </w:rPr>
      </w:pPr>
      <w:r>
        <w:rPr>
          <w:snapToGrid w:val="0"/>
        </w:rPr>
        <w:tab/>
        <w:t>(b)</w:t>
      </w:r>
      <w:r>
        <w:rPr>
          <w:snapToGrid w:val="0"/>
        </w:rPr>
        <w:tab/>
        <w:t>when 2 or more tenements, the property of the same holder, are to be transferred, a separate transfer shall be executed for each;</w:t>
      </w:r>
    </w:p>
    <w:p>
      <w:pPr>
        <w:pStyle w:val="Indenta"/>
        <w:spacing w:before="56"/>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w:t>
      </w:r>
    </w:p>
    <w:p>
      <w:pPr>
        <w:pStyle w:val="Indenta"/>
        <w:spacing w:before="56"/>
        <w:rPr>
          <w:snapToGrid w:val="0"/>
        </w:rPr>
      </w:pPr>
      <w:r>
        <w:rPr>
          <w:snapToGrid w:val="0"/>
        </w:rPr>
        <w:tab/>
        <w:t>(d)</w:t>
      </w:r>
      <w:r>
        <w:rPr>
          <w:snapToGrid w:val="0"/>
        </w:rPr>
        <w:tab/>
        <w:t>when all holders desire to simultaneously transfer the whole tenement, one transfer, executed by all the holders shall be sufficient;</w:t>
      </w:r>
    </w:p>
    <w:p>
      <w:pPr>
        <w:pStyle w:val="Indenta"/>
        <w:spacing w:before="56"/>
        <w:rPr>
          <w:snapToGrid w:val="0"/>
        </w:rPr>
      </w:pPr>
      <w:r>
        <w:rPr>
          <w:snapToGrid w:val="0"/>
        </w:rPr>
        <w:tab/>
        <w:t>(e)</w:t>
      </w:r>
      <w:r>
        <w:rPr>
          <w:snapToGrid w:val="0"/>
        </w:rPr>
        <w:tab/>
        <w:t>when a holder desires to transfer portions of his interest in a tenement to 2 or more persons a separate transfer for each interest transferred shall be executed;</w:t>
      </w:r>
    </w:p>
    <w:p>
      <w:pPr>
        <w:pStyle w:val="Indenta"/>
        <w:spacing w:before="56"/>
        <w:rPr>
          <w:snapToGrid w:val="0"/>
        </w:rPr>
      </w:pPr>
      <w:r>
        <w:rPr>
          <w:snapToGrid w:val="0"/>
        </w:rPr>
        <w:tab/>
        <w:t>(f)</w:t>
      </w:r>
      <w:r>
        <w:rPr>
          <w:snapToGrid w:val="0"/>
        </w:rPr>
        <w:tab/>
        <w:t>all transfers shall take priority according to the date and time of their registration; and</w:t>
      </w:r>
    </w:p>
    <w:p>
      <w:pPr>
        <w:pStyle w:val="Indenta"/>
        <w:spacing w:before="56"/>
        <w:rPr>
          <w:snapToGrid w:val="0"/>
        </w:rPr>
      </w:pPr>
      <w:r>
        <w:rPr>
          <w:snapToGrid w:val="0"/>
        </w:rPr>
        <w:tab/>
        <w:t>(g)</w:t>
      </w:r>
      <w:r>
        <w:rPr>
          <w:snapToGrid w:val="0"/>
        </w:rPr>
        <w:tab/>
        <w:t>when — </w:t>
      </w:r>
    </w:p>
    <w:p>
      <w:pPr>
        <w:pStyle w:val="Indenti"/>
        <w:spacing w:before="56"/>
        <w:rPr>
          <w:snapToGrid w:val="0"/>
        </w:rPr>
      </w:pPr>
      <w:r>
        <w:rPr>
          <w:snapToGrid w:val="0"/>
        </w:rPr>
        <w:tab/>
        <w:t>(i)</w:t>
      </w:r>
      <w:r>
        <w:rPr>
          <w:snapToGrid w:val="0"/>
        </w:rPr>
        <w:tab/>
        <w:t>a mining tenement is encumbered by a mortgage; or</w:t>
      </w:r>
    </w:p>
    <w:p>
      <w:pPr>
        <w:pStyle w:val="Indenti"/>
        <w:spacing w:before="56"/>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 xml:space="preserve">[Regulation 75 amended in Gazette 31 May 1991 p. 2699; 24 Jun 1994 p. 2933.] </w:t>
      </w:r>
    </w:p>
    <w:p>
      <w:pPr>
        <w:pStyle w:val="Heading5"/>
      </w:pPr>
      <w:bookmarkStart w:id="889" w:name="_Toc127338064"/>
      <w:bookmarkStart w:id="890" w:name="_Toc474633117"/>
      <w:bookmarkStart w:id="891" w:name="_Toc488740266"/>
      <w:bookmarkStart w:id="892" w:name="_Toc8623648"/>
      <w:bookmarkStart w:id="893" w:name="_Toc11229489"/>
      <w:bookmarkStart w:id="894" w:name="_Toc104276656"/>
      <w:r>
        <w:rPr>
          <w:rStyle w:val="CharSectno"/>
        </w:rPr>
        <w:t>76</w:t>
      </w:r>
      <w:r>
        <w:t>.</w:t>
      </w:r>
      <w:r>
        <w:tab/>
        <w:t>Lodgment of caveats</w:t>
      </w:r>
      <w:bookmarkEnd w:id="889"/>
    </w:p>
    <w:p>
      <w:pPr>
        <w:pStyle w:val="Subsection"/>
      </w:pPr>
      <w:r>
        <w:tab/>
        <w:t>(1)</w:t>
      </w:r>
      <w:r>
        <w:tab/>
        <w:t xml:space="preserve">For the purposes of section 122A a caveat shall be — </w:t>
      </w:r>
    </w:p>
    <w:p>
      <w:pPr>
        <w:pStyle w:val="Indenta"/>
      </w:pPr>
      <w:r>
        <w:tab/>
        <w:t>(a)</w:t>
      </w:r>
      <w:r>
        <w:tab/>
        <w:t>in the form No. 24 in the First Schedule; and</w:t>
      </w:r>
    </w:p>
    <w:p>
      <w:pPr>
        <w:pStyle w:val="Indenta"/>
      </w:pPr>
      <w:r>
        <w:tab/>
        <w:t>(b)</w:t>
      </w:r>
      <w:r>
        <w:tab/>
        <w:t>accompanied by the prescribed fee.</w:t>
      </w:r>
    </w:p>
    <w:p>
      <w:pPr>
        <w:pStyle w:val="Subsection"/>
      </w:pPr>
      <w:r>
        <w:tab/>
        <w:t>(2)</w:t>
      </w:r>
      <w:r>
        <w:tab/>
        <w:t>A separate caveat shall be lodged in respect of each mining tenement affected.</w:t>
      </w:r>
    </w:p>
    <w:p>
      <w:pPr>
        <w:pStyle w:val="Footnotesection"/>
      </w:pPr>
      <w:r>
        <w:tab/>
        <w:t>[Regulation 76 inserted in Gazette 3 Feb 2006 p. 520.]</w:t>
      </w:r>
    </w:p>
    <w:p>
      <w:pPr>
        <w:pStyle w:val="Heading5"/>
        <w:spacing w:before="180"/>
        <w:rPr>
          <w:snapToGrid w:val="0"/>
        </w:rPr>
      </w:pPr>
      <w:bookmarkStart w:id="895" w:name="_Toc127338065"/>
      <w:r>
        <w:rPr>
          <w:rStyle w:val="CharSectno"/>
        </w:rPr>
        <w:t>76A</w:t>
      </w:r>
      <w:r>
        <w:rPr>
          <w:snapToGrid w:val="0"/>
        </w:rPr>
        <w:t>.</w:t>
      </w:r>
      <w:r>
        <w:rPr>
          <w:snapToGrid w:val="0"/>
        </w:rPr>
        <w:tab/>
        <w:t>Withdrawal of caveats</w:t>
      </w:r>
      <w:bookmarkEnd w:id="890"/>
      <w:bookmarkEnd w:id="891"/>
      <w:bookmarkEnd w:id="892"/>
      <w:bookmarkEnd w:id="893"/>
      <w:bookmarkEnd w:id="894"/>
      <w:bookmarkEnd w:id="895"/>
      <w:r>
        <w:rPr>
          <w:snapToGrid w:val="0"/>
        </w:rPr>
        <w:t xml:space="preserve"> </w:t>
      </w:r>
    </w:p>
    <w:p>
      <w:pPr>
        <w:pStyle w:val="Subsection"/>
        <w:spacing w:before="120"/>
        <w:rPr>
          <w:snapToGrid w:val="0"/>
        </w:rPr>
      </w:pPr>
      <w:r>
        <w:rPr>
          <w:snapToGrid w:val="0"/>
        </w:rPr>
        <w:tab/>
      </w:r>
      <w:r>
        <w:rPr>
          <w:snapToGrid w:val="0"/>
        </w:rPr>
        <w:tab/>
        <w:t>One or more caveats may be withdrawn by lodging a withdrawal of caveat in Form 24A in the First Schedule with the prescribed fee.</w:t>
      </w:r>
    </w:p>
    <w:p>
      <w:pPr>
        <w:pStyle w:val="Footnotesection"/>
      </w:pPr>
      <w:r>
        <w:tab/>
        <w:t xml:space="preserve">[Regulation 76A inserted in Gazette 31 Jul 1992 p. 3776.] </w:t>
      </w:r>
    </w:p>
    <w:p>
      <w:pPr>
        <w:pStyle w:val="Heading5"/>
        <w:spacing w:before="180"/>
        <w:rPr>
          <w:snapToGrid w:val="0"/>
        </w:rPr>
      </w:pPr>
      <w:bookmarkStart w:id="896" w:name="_Toc474633118"/>
      <w:bookmarkStart w:id="897" w:name="_Toc488740267"/>
      <w:bookmarkStart w:id="898" w:name="_Toc8623649"/>
      <w:bookmarkStart w:id="899" w:name="_Toc11229490"/>
      <w:bookmarkStart w:id="900" w:name="_Toc104276657"/>
      <w:bookmarkStart w:id="901" w:name="_Toc127338066"/>
      <w:r>
        <w:rPr>
          <w:rStyle w:val="CharSectno"/>
        </w:rPr>
        <w:t>76B</w:t>
      </w:r>
      <w:r>
        <w:rPr>
          <w:snapToGrid w:val="0"/>
        </w:rPr>
        <w:t>.</w:t>
      </w:r>
      <w:r>
        <w:rPr>
          <w:snapToGrid w:val="0"/>
        </w:rPr>
        <w:tab/>
        <w:t>Notification of registration of surrender</w:t>
      </w:r>
      <w:bookmarkEnd w:id="896"/>
      <w:bookmarkEnd w:id="897"/>
      <w:bookmarkEnd w:id="898"/>
      <w:bookmarkEnd w:id="899"/>
      <w:bookmarkEnd w:id="900"/>
      <w:bookmarkEnd w:id="901"/>
      <w:r>
        <w:rPr>
          <w:snapToGrid w:val="0"/>
        </w:rPr>
        <w:t xml:space="preserve"> </w:t>
      </w:r>
    </w:p>
    <w:p>
      <w:pPr>
        <w:pStyle w:val="Subsection"/>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 xml:space="preserve">[Regulation 76B inserted in Gazette 24 Jun 1994 p. 2933; amended in Gazette 3 Feb 2006 p. 520-1.] </w:t>
      </w:r>
    </w:p>
    <w:p>
      <w:pPr>
        <w:pStyle w:val="Heading5"/>
      </w:pPr>
      <w:bookmarkStart w:id="902" w:name="_Toc127338067"/>
      <w:bookmarkStart w:id="903" w:name="_Toc474633120"/>
      <w:bookmarkStart w:id="904" w:name="_Toc488740269"/>
      <w:bookmarkStart w:id="905" w:name="_Toc8623651"/>
      <w:bookmarkStart w:id="906" w:name="_Toc11229492"/>
      <w:bookmarkStart w:id="907" w:name="_Toc104276659"/>
      <w:r>
        <w:rPr>
          <w:rStyle w:val="CharSectno"/>
        </w:rPr>
        <w:t>77</w:t>
      </w:r>
      <w:r>
        <w:t>.</w:t>
      </w:r>
      <w:r>
        <w:tab/>
        <w:t>Mortgage</w:t>
      </w:r>
      <w:bookmarkEnd w:id="902"/>
    </w:p>
    <w:p>
      <w:pPr>
        <w:pStyle w:val="Subsection"/>
      </w:pPr>
      <w:r>
        <w:tab/>
      </w:r>
      <w:r>
        <w:tab/>
        <w:t xml:space="preserve">A mortgage shall be — </w:t>
      </w:r>
    </w:p>
    <w:p>
      <w:pPr>
        <w:pStyle w:val="Indenta"/>
      </w:pPr>
      <w:r>
        <w:tab/>
        <w:t>(a)</w:t>
      </w:r>
      <w:r>
        <w:tab/>
        <w:t>lodged in the form No. 25 in the First Schedule; and</w:t>
      </w:r>
    </w:p>
    <w:p>
      <w:pPr>
        <w:pStyle w:val="Indenta"/>
      </w:pPr>
      <w:r>
        <w:tab/>
        <w:t>(b)</w:t>
      </w:r>
      <w:r>
        <w:tab/>
        <w:t>accompanied by the prescribed fee.</w:t>
      </w:r>
    </w:p>
    <w:p>
      <w:pPr>
        <w:pStyle w:val="Footnotesection"/>
      </w:pPr>
      <w:r>
        <w:tab/>
        <w:t>[Regulation 77 inserted in Gazette 3 Feb 2006 p. 521.]</w:t>
      </w:r>
    </w:p>
    <w:p>
      <w:pPr>
        <w:pStyle w:val="Ednotesection"/>
      </w:pPr>
      <w:bookmarkStart w:id="908" w:name="_Toc474633121"/>
      <w:bookmarkStart w:id="909" w:name="_Toc488740270"/>
      <w:bookmarkStart w:id="910" w:name="_Toc8623652"/>
      <w:bookmarkStart w:id="911" w:name="_Toc11229493"/>
      <w:bookmarkStart w:id="912" w:name="_Toc104276660"/>
      <w:bookmarkEnd w:id="903"/>
      <w:bookmarkEnd w:id="904"/>
      <w:bookmarkEnd w:id="905"/>
      <w:bookmarkEnd w:id="906"/>
      <w:bookmarkEnd w:id="907"/>
      <w:r>
        <w:t>[</w:t>
      </w:r>
      <w:r>
        <w:rPr>
          <w:b/>
          <w:bCs/>
        </w:rPr>
        <w:t>78.</w:t>
      </w:r>
      <w:r>
        <w:tab/>
        <w:t>Repealed in Gazette 3 Feb 2006 p. 521.]</w:t>
      </w:r>
    </w:p>
    <w:p>
      <w:pPr>
        <w:pStyle w:val="Heading5"/>
        <w:spacing w:before="180"/>
        <w:rPr>
          <w:snapToGrid w:val="0"/>
        </w:rPr>
      </w:pPr>
      <w:bookmarkStart w:id="913" w:name="_Toc127338068"/>
      <w:r>
        <w:rPr>
          <w:rStyle w:val="CharSectno"/>
        </w:rPr>
        <w:t>79</w:t>
      </w:r>
      <w:r>
        <w:rPr>
          <w:snapToGrid w:val="0"/>
        </w:rPr>
        <w:t>.</w:t>
      </w:r>
      <w:r>
        <w:rPr>
          <w:snapToGrid w:val="0"/>
        </w:rPr>
        <w:tab/>
        <w:t>Covenants included in mortgage</w:t>
      </w:r>
      <w:bookmarkEnd w:id="908"/>
      <w:bookmarkEnd w:id="909"/>
      <w:bookmarkEnd w:id="910"/>
      <w:bookmarkEnd w:id="911"/>
      <w:bookmarkEnd w:id="912"/>
      <w:bookmarkEnd w:id="913"/>
      <w:r>
        <w:rPr>
          <w:snapToGrid w:val="0"/>
        </w:rPr>
        <w:t xml:space="preserve"> </w:t>
      </w:r>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spacing w:before="120"/>
        <w:rPr>
          <w:snapToGrid w:val="0"/>
        </w:rPr>
      </w:pPr>
      <w:r>
        <w:rPr>
          <w:snapToGrid w:val="0"/>
        </w:rPr>
        <w:tab/>
        <w:t>(2)</w:t>
      </w:r>
      <w:r>
        <w:rPr>
          <w:snapToGrid w:val="0"/>
        </w:rPr>
        <w:tab/>
        <w:t>Except as is otherwise provided by a mortgage there shall be deemed to be included in every mortgage —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 </w:t>
      </w:r>
    </w:p>
    <w:p>
      <w:pPr>
        <w:pStyle w:val="IndentI0"/>
        <w:rPr>
          <w:snapToGrid w:val="0"/>
        </w:rPr>
      </w:pPr>
      <w:r>
        <w:rPr>
          <w:snapToGrid w:val="0"/>
        </w:rPr>
        <w:tab/>
        <w:t>(I)</w:t>
      </w:r>
      <w:r>
        <w:rPr>
          <w:snapToGrid w:val="0"/>
        </w:rPr>
        <w:tab/>
        <w:t>advertised his intention so to do by such means as the Minister approves; but —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914" w:name="_Toc474633122"/>
      <w:bookmarkStart w:id="915" w:name="_Toc488740271"/>
      <w:bookmarkStart w:id="916" w:name="_Toc8623653"/>
      <w:bookmarkStart w:id="917" w:name="_Toc11229494"/>
      <w:bookmarkStart w:id="918" w:name="_Toc104276661"/>
      <w:bookmarkStart w:id="919" w:name="_Toc127338069"/>
      <w:r>
        <w:rPr>
          <w:rStyle w:val="CharSectno"/>
        </w:rPr>
        <w:t>80</w:t>
      </w:r>
      <w:r>
        <w:rPr>
          <w:snapToGrid w:val="0"/>
        </w:rPr>
        <w:t>.</w:t>
      </w:r>
      <w:r>
        <w:rPr>
          <w:snapToGrid w:val="0"/>
        </w:rPr>
        <w:tab/>
        <w:t>Mortgagee’s expenses may be added to security</w:t>
      </w:r>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920" w:name="_Toc474633123"/>
      <w:bookmarkStart w:id="921" w:name="_Toc488740272"/>
      <w:bookmarkStart w:id="922" w:name="_Toc8623654"/>
      <w:bookmarkStart w:id="923" w:name="_Toc11229495"/>
      <w:bookmarkStart w:id="924" w:name="_Toc104276662"/>
      <w:bookmarkStart w:id="925" w:name="_Toc127338070"/>
      <w:r>
        <w:rPr>
          <w:rStyle w:val="CharSectno"/>
        </w:rPr>
        <w:t>81</w:t>
      </w:r>
      <w:r>
        <w:rPr>
          <w:snapToGrid w:val="0"/>
        </w:rPr>
        <w:t>.</w:t>
      </w:r>
      <w:r>
        <w:rPr>
          <w:snapToGrid w:val="0"/>
        </w:rPr>
        <w:tab/>
        <w:t>Transfer under powers contained in mortgage</w:t>
      </w:r>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r>
      <w:r>
        <w:rPr>
          <w:snapToGrid w:val="0"/>
        </w:rPr>
        <w:tab/>
        <w:t>When a mining tenement secured by a mortgage is sold under the powers contained or implied therein, the mortgagee shall as if he were the holder execute a transfer of the tenement in the form No. 23 in the First Schedule and the transfer requirements of this Division shall be complied with.</w:t>
      </w:r>
    </w:p>
    <w:p>
      <w:pPr>
        <w:pStyle w:val="Heading5"/>
        <w:rPr>
          <w:snapToGrid w:val="0"/>
        </w:rPr>
      </w:pPr>
      <w:bookmarkStart w:id="926" w:name="_Toc474633124"/>
      <w:bookmarkStart w:id="927" w:name="_Toc488740273"/>
      <w:bookmarkStart w:id="928" w:name="_Toc8623655"/>
      <w:bookmarkStart w:id="929" w:name="_Toc11229496"/>
      <w:bookmarkStart w:id="930" w:name="_Toc104276663"/>
      <w:bookmarkStart w:id="931" w:name="_Toc127338071"/>
      <w:r>
        <w:rPr>
          <w:rStyle w:val="CharSectno"/>
        </w:rPr>
        <w:t>82</w:t>
      </w:r>
      <w:r>
        <w:rPr>
          <w:snapToGrid w:val="0"/>
        </w:rPr>
        <w:t>.</w:t>
      </w:r>
      <w:r>
        <w:rPr>
          <w:snapToGrid w:val="0"/>
        </w:rPr>
        <w:tab/>
        <w:t>Redemption of mortgage</w:t>
      </w:r>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932" w:name="_Toc474633125"/>
      <w:bookmarkStart w:id="933" w:name="_Toc488740274"/>
      <w:bookmarkStart w:id="934" w:name="_Toc8623656"/>
      <w:bookmarkStart w:id="935" w:name="_Toc11229497"/>
      <w:bookmarkStart w:id="936" w:name="_Toc104276664"/>
      <w:bookmarkStart w:id="937" w:name="_Toc127338072"/>
      <w:r>
        <w:rPr>
          <w:rStyle w:val="CharSectno"/>
        </w:rPr>
        <w:t>83</w:t>
      </w:r>
      <w:r>
        <w:rPr>
          <w:snapToGrid w:val="0"/>
        </w:rPr>
        <w:t>.</w:t>
      </w:r>
      <w:r>
        <w:rPr>
          <w:snapToGrid w:val="0"/>
        </w:rPr>
        <w:tab/>
        <w:t>Discharge of mortgage</w:t>
      </w:r>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r>
      <w:r>
        <w:rPr>
          <w:snapToGrid w:val="0"/>
        </w:rPr>
        <w:tab/>
        <w:t>When the debt or liability secured by a mortgage has been fully paid or discharged the mortgagee shall lodge an instrument of discharge, in Form 26 or 26A, as applicable, in the First Schedule with the prescribed fee and the instrument of lease or licence (if issued).</w:t>
      </w:r>
    </w:p>
    <w:p>
      <w:pPr>
        <w:pStyle w:val="Footnotesection"/>
      </w:pPr>
      <w:r>
        <w:tab/>
        <w:t xml:space="preserve">[Regulation 83 amended in Gazette 31 Jul 1992 p. 3776.] </w:t>
      </w:r>
    </w:p>
    <w:p>
      <w:pPr>
        <w:pStyle w:val="Heading5"/>
        <w:rPr>
          <w:snapToGrid w:val="0"/>
        </w:rPr>
      </w:pPr>
      <w:bookmarkStart w:id="938" w:name="_Toc474633126"/>
      <w:bookmarkStart w:id="939" w:name="_Toc488740275"/>
      <w:bookmarkStart w:id="940" w:name="_Toc8623657"/>
      <w:bookmarkStart w:id="941" w:name="_Toc11229498"/>
      <w:bookmarkStart w:id="942" w:name="_Toc104276665"/>
      <w:bookmarkStart w:id="943" w:name="_Toc127338073"/>
      <w:r>
        <w:rPr>
          <w:rStyle w:val="CharSectno"/>
        </w:rPr>
        <w:t>84</w:t>
      </w:r>
      <w:r>
        <w:rPr>
          <w:snapToGrid w:val="0"/>
        </w:rPr>
        <w:t>.</w:t>
      </w:r>
      <w:r>
        <w:rPr>
          <w:snapToGrid w:val="0"/>
        </w:rPr>
        <w:tab/>
        <w:t>Transfer of mortgage</w:t>
      </w:r>
      <w:bookmarkEnd w:id="938"/>
      <w:bookmarkEnd w:id="939"/>
      <w:bookmarkEnd w:id="940"/>
      <w:bookmarkEnd w:id="941"/>
      <w:bookmarkEnd w:id="942"/>
      <w:bookmarkEnd w:id="943"/>
      <w:r>
        <w:rPr>
          <w:snapToGrid w:val="0"/>
        </w:rPr>
        <w:t xml:space="preserve"> </w:t>
      </w:r>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944" w:name="_Toc127338074"/>
      <w:bookmarkStart w:id="945" w:name="_Toc74978949"/>
      <w:bookmarkStart w:id="946" w:name="_Toc74979213"/>
      <w:bookmarkStart w:id="947" w:name="_Toc79976511"/>
      <w:bookmarkStart w:id="948" w:name="_Toc80759782"/>
      <w:bookmarkStart w:id="949" w:name="_Toc80783545"/>
      <w:bookmarkStart w:id="950" w:name="_Toc94931212"/>
      <w:bookmarkStart w:id="951" w:name="_Toc104275335"/>
      <w:bookmarkStart w:id="952" w:name="_Toc104276666"/>
      <w:bookmarkStart w:id="953" w:name="_Toc107198887"/>
      <w:bookmarkStart w:id="954" w:name="_Toc107799338"/>
      <w:bookmarkStart w:id="955" w:name="_Toc127087345"/>
      <w:bookmarkStart w:id="956" w:name="_Toc127183654"/>
      <w:r>
        <w:rPr>
          <w:rStyle w:val="CharDivNo"/>
        </w:rPr>
        <w:t>Division 4A</w:t>
      </w:r>
      <w:r>
        <w:t> — </w:t>
      </w:r>
      <w:r>
        <w:rPr>
          <w:rStyle w:val="CharDivText"/>
        </w:rPr>
        <w:t>Lodgment of instruments and the register</w:t>
      </w:r>
      <w:bookmarkEnd w:id="944"/>
    </w:p>
    <w:p>
      <w:pPr>
        <w:pStyle w:val="Footnoteheading"/>
      </w:pPr>
      <w:r>
        <w:tab/>
        <w:t>[Heading inserted in Gazette 3 Feb 2006 p. 521.]</w:t>
      </w:r>
    </w:p>
    <w:p>
      <w:pPr>
        <w:pStyle w:val="Heading5"/>
      </w:pPr>
      <w:bookmarkStart w:id="957" w:name="_Toc127338075"/>
      <w:r>
        <w:rPr>
          <w:rStyle w:val="CharSectno"/>
        </w:rPr>
        <w:t>84A</w:t>
      </w:r>
      <w:r>
        <w:t>.</w:t>
      </w:r>
      <w:r>
        <w:tab/>
        <w:t>Lodgment of instruments</w:t>
      </w:r>
      <w:bookmarkEnd w:id="957"/>
    </w:p>
    <w:p>
      <w:pPr>
        <w:pStyle w:val="Subsection"/>
      </w:pPr>
      <w:r>
        <w:tab/>
      </w:r>
      <w:r>
        <w:tab/>
        <w:t xml:space="preserve">An instrument to which section 103C applies shall be —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958" w:name="_Toc127338076"/>
      <w:r>
        <w:rPr>
          <w:rStyle w:val="CharSectno"/>
        </w:rPr>
        <w:t>84B</w:t>
      </w:r>
      <w:r>
        <w:t>.</w:t>
      </w:r>
      <w:r>
        <w:tab/>
        <w:t>Provisional lodgment</w:t>
      </w:r>
      <w:bookmarkEnd w:id="958"/>
    </w:p>
    <w:p>
      <w:pPr>
        <w:pStyle w:val="Subsection"/>
      </w:pPr>
      <w:r>
        <w:tab/>
        <w:t>(1)</w:t>
      </w:r>
      <w:r>
        <w:tab/>
        <w:t xml:space="preserve">In this regulation — </w:t>
      </w:r>
    </w:p>
    <w:p>
      <w:pPr>
        <w:pStyle w:val="Defstart"/>
      </w:pPr>
      <w:r>
        <w:rPr>
          <w:b/>
        </w:rPr>
        <w:tab/>
        <w:t>“</w:t>
      </w:r>
      <w:r>
        <w:rPr>
          <w:rStyle w:val="CharDefText"/>
        </w:rPr>
        <w:t>allowed period</w:t>
      </w:r>
      <w:r>
        <w:rPr>
          <w:b/>
        </w:rPr>
        <w:t>”</w:t>
      </w:r>
      <w:r>
        <w:t xml:space="preserve"> means —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 xml:space="preserve">This regulation applies to the following instruments —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 xml:space="preserve">Where a direction is given under subregulation (4) in relation to an instrument —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pPr>
      <w:r>
        <w:tab/>
        <w:t>(8)</w:t>
      </w:r>
      <w:r>
        <w:tab/>
        <w:t xml:space="preserve">An authorised officer —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959" w:name="_Toc127338077"/>
      <w:r>
        <w:rPr>
          <w:rStyle w:val="CharSectno"/>
        </w:rPr>
        <w:t>84C</w:t>
      </w:r>
      <w:r>
        <w:t>.</w:t>
      </w:r>
      <w:r>
        <w:tab/>
        <w:t>Content of register</w:t>
      </w:r>
      <w:bookmarkEnd w:id="959"/>
    </w:p>
    <w:p>
      <w:pPr>
        <w:pStyle w:val="Subsection"/>
      </w:pPr>
      <w:r>
        <w:tab/>
      </w:r>
      <w:r>
        <w:tab/>
        <w:t xml:space="preserve">The register is to contain the following particulars — </w:t>
      </w:r>
    </w:p>
    <w:p>
      <w:pPr>
        <w:pStyle w:val="Indenta"/>
      </w:pPr>
      <w:r>
        <w:tab/>
        <w:t>(a)</w:t>
      </w:r>
      <w:r>
        <w:tab/>
        <w:t xml:space="preserve">in relation to an application for a mining tenement —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 xml:space="preserve">in relation to a mining tenement —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960" w:name="_Toc127338078"/>
      <w:r>
        <w:rPr>
          <w:rStyle w:val="CharSectno"/>
        </w:rPr>
        <w:t>84D</w:t>
      </w:r>
      <w:r>
        <w:t>.</w:t>
      </w:r>
      <w:r>
        <w:tab/>
        <w:t>Fees for copies of entries, dealings, etc.</w:t>
      </w:r>
      <w:bookmarkEnd w:id="960"/>
    </w:p>
    <w:p>
      <w:pPr>
        <w:pStyle w:val="Subsection"/>
      </w:pPr>
      <w:r>
        <w:tab/>
      </w:r>
      <w:r>
        <w:tab/>
        <w:t>For the purposes of section 103F(4) the fees set out in item 3 of the Second Schedule are prescribed.</w:t>
      </w:r>
    </w:p>
    <w:p>
      <w:pPr>
        <w:pStyle w:val="Footnotesection"/>
      </w:pPr>
      <w:r>
        <w:tab/>
        <w:t>[Regulation 84D inserted in Gazette 3 Feb 2006 p. 523.]</w:t>
      </w:r>
    </w:p>
    <w:p>
      <w:pPr>
        <w:pStyle w:val="Heading5"/>
      </w:pPr>
      <w:bookmarkStart w:id="961" w:name="_Toc127338079"/>
      <w:r>
        <w:rPr>
          <w:rStyle w:val="CharSectno"/>
        </w:rPr>
        <w:t>84E</w:t>
      </w:r>
      <w:r>
        <w:t>.</w:t>
      </w:r>
      <w:r>
        <w:tab/>
        <w:t>Amendment of register</w:t>
      </w:r>
      <w:bookmarkEnd w:id="961"/>
    </w:p>
    <w:p>
      <w:pPr>
        <w:pStyle w:val="Subsection"/>
      </w:pPr>
      <w:r>
        <w:tab/>
      </w:r>
      <w:r>
        <w:tab/>
        <w:t xml:space="preserve">An application to amend particulars in the register shall be — </w:t>
      </w:r>
    </w:p>
    <w:p>
      <w:pPr>
        <w:pStyle w:val="Indenta"/>
      </w:pPr>
      <w:r>
        <w:tab/>
        <w:t>(a)</w:t>
      </w:r>
      <w:r>
        <w:tab/>
        <w:t>made in the form No. 30 in the First Schedule; and</w:t>
      </w:r>
    </w:p>
    <w:p>
      <w:pPr>
        <w:pStyle w:val="Indenta"/>
      </w:pPr>
      <w:r>
        <w:tab/>
        <w:t>(b)</w:t>
      </w:r>
      <w:r>
        <w:tab/>
        <w:t>lodged at the office of the mining registrar or the Department at Perth.</w:t>
      </w:r>
    </w:p>
    <w:p>
      <w:pPr>
        <w:pStyle w:val="Footnotesection"/>
      </w:pPr>
      <w:r>
        <w:tab/>
        <w:t>[Regulation 84E inserted in Gazette 3 Feb 2006 p. 523.]</w:t>
      </w:r>
    </w:p>
    <w:p>
      <w:pPr>
        <w:pStyle w:val="Heading5"/>
      </w:pPr>
      <w:bookmarkStart w:id="962" w:name="_Toc127338080"/>
      <w:r>
        <w:rPr>
          <w:rStyle w:val="CharSectno"/>
        </w:rPr>
        <w:t>84F</w:t>
      </w:r>
      <w:r>
        <w:t>.</w:t>
      </w:r>
      <w:r>
        <w:tab/>
        <w:t>Inclusion of information in register despite late lodgment of report</w:t>
      </w:r>
      <w:bookmarkEnd w:id="962"/>
    </w:p>
    <w:p>
      <w:pPr>
        <w:pStyle w:val="Subsection"/>
      </w:pPr>
      <w:r>
        <w:tab/>
        <w:t>(1)</w:t>
      </w:r>
      <w:r>
        <w:tab/>
        <w:t xml:space="preserve">In this regulation — </w:t>
      </w:r>
    </w:p>
    <w:p>
      <w:pPr>
        <w:pStyle w:val="Defstart"/>
      </w:pPr>
      <w:r>
        <w:rPr>
          <w:b/>
        </w:rPr>
        <w:tab/>
        <w:t>“</w:t>
      </w:r>
      <w:r>
        <w:rPr>
          <w:rStyle w:val="CharDefText"/>
        </w:rPr>
        <w:t>prescribed period</w:t>
      </w:r>
      <w:r>
        <w:rPr>
          <w:b/>
        </w:rPr>
        <w:t>”</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rPr>
          <w:snapToGrid w:val="0"/>
        </w:rPr>
      </w:pPr>
      <w:bookmarkStart w:id="963" w:name="_Toc127338081"/>
      <w:r>
        <w:rPr>
          <w:rStyle w:val="CharDivNo"/>
        </w:rPr>
        <w:t>Division 5</w:t>
      </w:r>
      <w:r>
        <w:rPr>
          <w:snapToGrid w:val="0"/>
        </w:rPr>
        <w:t> — </w:t>
      </w:r>
      <w:r>
        <w:rPr>
          <w:rStyle w:val="CharDivText"/>
        </w:rPr>
        <w:t>Production and royalties</w:t>
      </w:r>
      <w:bookmarkEnd w:id="945"/>
      <w:bookmarkEnd w:id="946"/>
      <w:bookmarkEnd w:id="947"/>
      <w:bookmarkEnd w:id="948"/>
      <w:bookmarkEnd w:id="949"/>
      <w:bookmarkEnd w:id="950"/>
      <w:bookmarkEnd w:id="951"/>
      <w:bookmarkEnd w:id="952"/>
      <w:bookmarkEnd w:id="953"/>
      <w:bookmarkEnd w:id="954"/>
      <w:bookmarkEnd w:id="955"/>
      <w:bookmarkEnd w:id="956"/>
      <w:bookmarkEnd w:id="963"/>
      <w:r>
        <w:rPr>
          <w:rStyle w:val="CharDivText"/>
        </w:rPr>
        <w:t xml:space="preserve"> </w:t>
      </w:r>
    </w:p>
    <w:p>
      <w:pPr>
        <w:pStyle w:val="Heading5"/>
      </w:pPr>
      <w:bookmarkStart w:id="964" w:name="_Toc486150003"/>
      <w:bookmarkStart w:id="965" w:name="_Toc488740276"/>
      <w:bookmarkStart w:id="966" w:name="_Toc8623658"/>
      <w:bookmarkStart w:id="967" w:name="_Toc11229499"/>
      <w:bookmarkStart w:id="968" w:name="_Toc104276667"/>
      <w:bookmarkStart w:id="969" w:name="_Toc127338082"/>
      <w:bookmarkStart w:id="970" w:name="_Toc474633128"/>
      <w:r>
        <w:rPr>
          <w:rStyle w:val="CharSectno"/>
        </w:rPr>
        <w:t>85</w:t>
      </w:r>
      <w:r>
        <w:t>.</w:t>
      </w:r>
      <w:r>
        <w:tab/>
        <w:t>Interpretation of Division</w:t>
      </w:r>
      <w:bookmarkEnd w:id="964"/>
      <w:bookmarkEnd w:id="965"/>
      <w:bookmarkEnd w:id="966"/>
      <w:bookmarkEnd w:id="967"/>
      <w:bookmarkEnd w:id="968"/>
      <w:bookmarkEnd w:id="969"/>
    </w:p>
    <w:p>
      <w:pPr>
        <w:pStyle w:val="Subsection"/>
      </w:pPr>
      <w:r>
        <w:tab/>
        <w:t>(1)</w:t>
      </w:r>
      <w:r>
        <w:tab/>
        <w:t>In this Division, unless the contrary intention appears —</w:t>
      </w:r>
    </w:p>
    <w:p>
      <w:pPr>
        <w:pStyle w:val="Defstart"/>
      </w:pPr>
      <w:r>
        <w:tab/>
      </w:r>
      <w:r>
        <w:rPr>
          <w:b/>
        </w:rPr>
        <w:t>“</w:t>
      </w:r>
      <w:r>
        <w:rPr>
          <w:rStyle w:val="CharDefText"/>
        </w:rPr>
        <w:t>allowable deductions</w:t>
      </w:r>
      <w:r>
        <w:rPr>
          <w:b/>
        </w:rPr>
        <w:t>”</w:t>
      </w:r>
      <w:r>
        <w:t xml:space="preserve">, in relation to a mineral, means — </w:t>
      </w:r>
    </w:p>
    <w:p>
      <w:pPr>
        <w:pStyle w:val="Defpara"/>
      </w:pPr>
      <w:r>
        <w:tab/>
        <w:t>(a)</w:t>
      </w:r>
      <w:r>
        <w:tab/>
        <w:t xml:space="preserve">the amount, in Australian currency, of any reasonable costs incurred in transporting the mineral, in the form in which it is first sold, where those costs —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b/>
        </w:rPr>
        <w:t>“</w:t>
      </w:r>
      <w:r>
        <w:rPr>
          <w:rStyle w:val="CharDefText"/>
        </w:rPr>
        <w:t>concentrate</w:t>
      </w:r>
      <w:r>
        <w:rPr>
          <w:b/>
        </w:rPr>
        <w:t>”</w:t>
      </w:r>
      <w:r>
        <w:t xml:space="preserve"> means the product of a process of extraction of metal or a metallic mineral from mineral ore that results in substantial enrichment of the metal or metallic mineral concerned;</w:t>
      </w:r>
    </w:p>
    <w:p>
      <w:pPr>
        <w:pStyle w:val="Defstart"/>
      </w:pPr>
      <w:r>
        <w:tab/>
      </w:r>
      <w:r>
        <w:rPr>
          <w:b/>
        </w:rPr>
        <w:t>“</w:t>
      </w:r>
      <w:r>
        <w:rPr>
          <w:rStyle w:val="CharDefText"/>
        </w:rPr>
        <w:t>gross invoice value</w:t>
      </w:r>
      <w:r>
        <w:rPr>
          <w:b/>
        </w:rPr>
        <w:t>”</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b/>
        </w:rPr>
        <w:t>“</w:t>
      </w:r>
      <w:r>
        <w:rPr>
          <w:rStyle w:val="CharDefText"/>
        </w:rPr>
        <w:t>nickel by</w:t>
      </w:r>
      <w:r>
        <w:rPr>
          <w:rStyle w:val="CharDefText"/>
        </w:rPr>
        <w:noBreakHyphen/>
        <w:t>product</w:t>
      </w:r>
      <w:r>
        <w:rPr>
          <w:b/>
        </w:rPr>
        <w:t>”</w:t>
      </w:r>
      <w:r>
        <w:t xml:space="preserve"> means a by</w:t>
      </w:r>
      <w:r>
        <w:noBreakHyphen/>
        <w:t>product or co</w:t>
      </w:r>
      <w:r>
        <w:noBreakHyphen/>
        <w:t>product of nickel mining or processing;</w:t>
      </w:r>
    </w:p>
    <w:p>
      <w:pPr>
        <w:pStyle w:val="Defstart"/>
        <w:spacing w:before="60"/>
      </w:pPr>
      <w:r>
        <w:tab/>
      </w:r>
      <w:r>
        <w:rPr>
          <w:b/>
        </w:rPr>
        <w:t>“</w:t>
      </w:r>
      <w:r>
        <w:rPr>
          <w:rStyle w:val="CharDefText"/>
        </w:rPr>
        <w:t>purchaser</w:t>
      </w:r>
      <w:r>
        <w:rPr>
          <w:b/>
        </w:rPr>
        <w:t>”</w:t>
      </w:r>
      <w:r>
        <w:t>, in relation to a mineral, means the person to whom the mineral is first sold;</w:t>
      </w:r>
    </w:p>
    <w:p>
      <w:pPr>
        <w:pStyle w:val="Defstart"/>
        <w:spacing w:before="60"/>
      </w:pPr>
      <w:r>
        <w:tab/>
      </w:r>
      <w:r>
        <w:rPr>
          <w:b/>
        </w:rPr>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related corporation</w:t>
      </w:r>
      <w:r>
        <w:rPr>
          <w:b/>
        </w:rPr>
        <w:t>”</w:t>
      </w:r>
      <w:r>
        <w:t xml:space="preserve">, in relation to a body corporate (the </w:t>
      </w:r>
      <w:r>
        <w:rPr>
          <w:b/>
        </w:rPr>
        <w:t>“</w:t>
      </w:r>
      <w:r>
        <w:rPr>
          <w:rStyle w:val="CharDefText"/>
        </w:rPr>
        <w:t>first body corporate</w:t>
      </w:r>
      <w:r>
        <w:rPr>
          <w:b/>
        </w:rPr>
        <w:t>”</w:t>
      </w:r>
      <w:r>
        <w:t>), means a body corporate that, under section 50 of the Corporations Act, is related to the first body corporate;</w:t>
      </w:r>
    </w:p>
    <w:p>
      <w:pPr>
        <w:pStyle w:val="Defstart"/>
        <w:spacing w:before="60"/>
      </w:pPr>
      <w:r>
        <w:tab/>
      </w:r>
      <w:r>
        <w:rPr>
          <w:b/>
        </w:rPr>
        <w:t>“</w:t>
      </w:r>
      <w:r>
        <w:rPr>
          <w:rStyle w:val="CharDefText"/>
        </w:rPr>
        <w:t>royalty value</w:t>
      </w:r>
      <w:r>
        <w:rPr>
          <w:b/>
        </w:rPr>
        <w:t>”</w:t>
      </w:r>
      <w:r>
        <w:t>, in relation to a mineral other than gold, means the gross invoice value of the mineral less any allowable deductions for the mineral;</w:t>
      </w:r>
    </w:p>
    <w:p>
      <w:pPr>
        <w:pStyle w:val="Defstart"/>
        <w:spacing w:before="60"/>
      </w:pPr>
      <w:r>
        <w:tab/>
      </w:r>
      <w:r>
        <w:rPr>
          <w:b/>
        </w:rPr>
        <w:t>“</w:t>
      </w:r>
      <w:r>
        <w:rPr>
          <w:rStyle w:val="CharDefText"/>
        </w:rPr>
        <w:t>shipment date</w:t>
      </w:r>
      <w:r>
        <w:rPr>
          <w:b/>
        </w:rPr>
        <w:t>”</w:t>
      </w:r>
      <w:r>
        <w:t xml:space="preserve">, in relation to a mineral, means —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b/>
        </w:rPr>
        <w:t>“</w:t>
      </w:r>
      <w:r>
        <w:rPr>
          <w:rStyle w:val="CharDefText"/>
        </w:rPr>
        <w:t>sold</w:t>
      </w:r>
      <w:r>
        <w:rPr>
          <w:b/>
        </w:rPr>
        <w:t>”</w:t>
      </w:r>
      <w:r>
        <w:t xml:space="preserve"> includes transferred, shipped or otherwise disposed of, and </w:t>
      </w:r>
      <w:r>
        <w:rPr>
          <w:b/>
        </w:rPr>
        <w:t>“</w:t>
      </w:r>
      <w:r>
        <w:rPr>
          <w:rStyle w:val="CharDefText"/>
        </w:rPr>
        <w:t>sale</w:t>
      </w:r>
      <w:r>
        <w:rPr>
          <w:b/>
        </w:rPr>
        <w:t>”</w:t>
      </w:r>
      <w:r>
        <w:t xml:space="preserve"> has a corresponding meaning.</w:t>
      </w:r>
    </w:p>
    <w:p>
      <w:pPr>
        <w:pStyle w:val="Subsection"/>
        <w:spacing w:before="140"/>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971" w:name="_Toc486150004"/>
      <w:bookmarkStart w:id="972" w:name="_Toc488740277"/>
      <w:bookmarkStart w:id="973" w:name="_Toc8623659"/>
      <w:bookmarkStart w:id="974" w:name="_Toc11229500"/>
      <w:bookmarkStart w:id="975" w:name="_Toc104276668"/>
      <w:bookmarkStart w:id="976" w:name="_Toc127338083"/>
      <w:r>
        <w:rPr>
          <w:rStyle w:val="CharSectno"/>
        </w:rPr>
        <w:t>85AA</w:t>
      </w:r>
      <w:r>
        <w:t>.</w:t>
      </w:r>
      <w:r>
        <w:tab/>
        <w:t>Effect of GST etc. on royalties</w:t>
      </w:r>
      <w:bookmarkEnd w:id="971"/>
      <w:bookmarkEnd w:id="972"/>
      <w:bookmarkEnd w:id="973"/>
      <w:bookmarkEnd w:id="974"/>
      <w:bookmarkEnd w:id="975"/>
      <w:bookmarkEnd w:id="976"/>
    </w:p>
    <w:p>
      <w:pPr>
        <w:pStyle w:val="Subsection"/>
        <w:spacing w:before="14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b/>
        </w:rPr>
        <w:t>“</w:t>
      </w:r>
      <w:r>
        <w:rPr>
          <w:rStyle w:val="CharDefText"/>
        </w:rPr>
        <w:t>expense</w:t>
      </w:r>
      <w:r>
        <w:rPr>
          <w:b/>
        </w:rPr>
        <w:t>”</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b/>
        </w:rPr>
        <w:t>“</w:t>
      </w:r>
      <w:r>
        <w:rPr>
          <w:rStyle w:val="CharDefText"/>
        </w:rPr>
        <w:t>net input tax credit</w:t>
      </w:r>
      <w:r>
        <w:rPr>
          <w:b/>
        </w:rPr>
        <w: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b/>
        </w:rPr>
        <w:t>“</w:t>
      </w:r>
      <w:r>
        <w:rPr>
          <w:rStyle w:val="CharDefText"/>
        </w:rPr>
        <w:t>decreasing adjustment</w:t>
      </w:r>
      <w:r>
        <w:rPr>
          <w:b/>
        </w:rPr>
        <w:t>”</w:t>
      </w:r>
      <w:r>
        <w:t xml:space="preserve">, </w:t>
      </w:r>
      <w:r>
        <w:rPr>
          <w:b/>
        </w:rPr>
        <w:t>“</w:t>
      </w:r>
      <w:r>
        <w:rPr>
          <w:rStyle w:val="CharDefText"/>
        </w:rPr>
        <w:t>GST</w:t>
      </w:r>
      <w:r>
        <w:rPr>
          <w:b/>
        </w:rPr>
        <w:t>”</w:t>
      </w:r>
      <w:r>
        <w:t xml:space="preserve">, </w:t>
      </w:r>
      <w:r>
        <w:rPr>
          <w:b/>
        </w:rPr>
        <w:t>“</w:t>
      </w:r>
      <w:r>
        <w:rPr>
          <w:rStyle w:val="CharDefText"/>
        </w:rPr>
        <w:t>increasing adjustment</w:t>
      </w:r>
      <w:r>
        <w:rPr>
          <w:b/>
        </w:rPr>
        <w:t>”</w:t>
      </w:r>
      <w:r>
        <w:t xml:space="preserve">, </w:t>
      </w:r>
      <w:r>
        <w:rPr>
          <w:b/>
        </w:rPr>
        <w:t>“</w:t>
      </w:r>
      <w:r>
        <w:rPr>
          <w:rStyle w:val="CharDefText"/>
        </w:rPr>
        <w:t>input tax credit</w:t>
      </w:r>
      <w:r>
        <w:rPr>
          <w:b/>
        </w:rPr>
        <w:t>”</w:t>
      </w:r>
      <w:r>
        <w:t>,</w:t>
      </w:r>
      <w:r>
        <w:rPr>
          <w:b/>
        </w:rPr>
        <w:t xml:space="preserve"> “</w:t>
      </w:r>
      <w:r>
        <w:rPr>
          <w:rStyle w:val="CharDefText"/>
        </w:rPr>
        <w:t>net GST</w:t>
      </w:r>
      <w:r>
        <w:rPr>
          <w:b/>
        </w:rPr>
        <w:t>”</w:t>
      </w:r>
      <w:r>
        <w:t xml:space="preserve"> and </w:t>
      </w:r>
      <w:r>
        <w:rPr>
          <w:b/>
        </w:rPr>
        <w:t>“</w:t>
      </w:r>
      <w:r>
        <w:rPr>
          <w:rStyle w:val="CharDefText"/>
        </w:rPr>
        <w:t>supply</w:t>
      </w:r>
      <w:r>
        <w:rPr>
          <w:b/>
        </w:rPr>
        <w:t>”</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977" w:name="_Toc8623660"/>
      <w:bookmarkStart w:id="978" w:name="_Toc11229501"/>
      <w:bookmarkStart w:id="979" w:name="_Toc104276669"/>
      <w:bookmarkStart w:id="980" w:name="_Toc127338084"/>
      <w:bookmarkStart w:id="981" w:name="_Toc488740278"/>
      <w:r>
        <w:rPr>
          <w:rStyle w:val="CharSectno"/>
        </w:rPr>
        <w:t>85AB</w:t>
      </w:r>
      <w:r>
        <w:t>.</w:t>
      </w:r>
      <w:r>
        <w:tab/>
        <w:t>Conversion to Australian currency</w:t>
      </w:r>
      <w:bookmarkEnd w:id="977"/>
      <w:bookmarkEnd w:id="978"/>
      <w:bookmarkEnd w:id="979"/>
      <w:bookmarkEnd w:id="980"/>
    </w:p>
    <w:p>
      <w:pPr>
        <w:pStyle w:val="Subsection"/>
        <w:keepNext/>
      </w:pPr>
      <w:r>
        <w:tab/>
        <w:t>(1)</w:t>
      </w:r>
      <w:r>
        <w:tab/>
        <w:t xml:space="preserve">In this regulation — </w:t>
      </w:r>
    </w:p>
    <w:p>
      <w:pPr>
        <w:pStyle w:val="Defstart"/>
      </w:pPr>
      <w:r>
        <w:tab/>
      </w:r>
      <w:r>
        <w:rPr>
          <w:b/>
        </w:rPr>
        <w:t>“</w:t>
      </w:r>
      <w:r>
        <w:rPr>
          <w:rStyle w:val="CharDefText"/>
        </w:rPr>
        <w:t>RBA rate</w:t>
      </w:r>
      <w:r>
        <w:rPr>
          <w:b/>
        </w:rPr>
        <w:t>”</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spacing w:before="140"/>
      </w:pPr>
      <w:r>
        <w:tab/>
        <w:t>(3)</w:t>
      </w:r>
      <w:r>
        <w:tab/>
        <w:t xml:space="preserve">Where, for the purposes of the definition of “gold spot price” in regulation 86AA(11), it is necessary to convert a price to Australian currency, the conversion is to be calculated — </w:t>
      </w:r>
    </w:p>
    <w:p>
      <w:pPr>
        <w:pStyle w:val="Indenta"/>
        <w:spacing w:before="60"/>
      </w:pPr>
      <w:r>
        <w:tab/>
        <w:t>(a)</w:t>
      </w:r>
      <w:r>
        <w:tab/>
        <w:t>using the RBA rate for the day on which the price was fixed; or</w:t>
      </w:r>
    </w:p>
    <w:p>
      <w:pPr>
        <w:pStyle w:val="Indenta"/>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982" w:name="_Toc104276670"/>
      <w:bookmarkStart w:id="983" w:name="_Toc127338085"/>
      <w:bookmarkStart w:id="984" w:name="_Toc474633129"/>
      <w:bookmarkStart w:id="985" w:name="_Toc488740279"/>
      <w:bookmarkStart w:id="986" w:name="_Toc8623662"/>
      <w:bookmarkStart w:id="987" w:name="_Toc11229503"/>
      <w:bookmarkEnd w:id="970"/>
      <w:bookmarkEnd w:id="981"/>
      <w:r>
        <w:rPr>
          <w:rStyle w:val="CharSectno"/>
        </w:rPr>
        <w:t>85A</w:t>
      </w:r>
      <w:r>
        <w:t>.</w:t>
      </w:r>
      <w:r>
        <w:tab/>
        <w:t>Quarterly production reports</w:t>
      </w:r>
      <w:bookmarkEnd w:id="982"/>
      <w:bookmarkEnd w:id="983"/>
    </w:p>
    <w:p>
      <w:pPr>
        <w:pStyle w:val="Subsection"/>
      </w:pPr>
      <w:r>
        <w:tab/>
        <w:t>(1)</w:t>
      </w:r>
      <w:r>
        <w:tab/>
        <w:t xml:space="preserve">The holder of a mining tenement, and the applicant for a mining tenement in respect of any land, shall, unless the Director General of Mines in a particular case otherwise approves, furnish the Director General of Mines with a production report in the form No. 27 in the First Schedule —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 xml:space="preserve">The holder of a mining tenement, and the applicant for a mining tenement in respect of any land, shall, unless the Director General of Mines in a particular case otherwise approves, furnish the Director General of Mines with a production report in the form No. 27A in the First Schedule —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w:t>
      </w:r>
    </w:p>
    <w:p>
      <w:pPr>
        <w:pStyle w:val="Heading5"/>
        <w:rPr>
          <w:snapToGrid w:val="0"/>
        </w:rPr>
      </w:pPr>
      <w:bookmarkStart w:id="988" w:name="_Toc104276671"/>
      <w:bookmarkStart w:id="989" w:name="_Toc127338086"/>
      <w:r>
        <w:rPr>
          <w:rStyle w:val="CharSectno"/>
        </w:rPr>
        <w:t>85B</w:t>
      </w:r>
      <w:r>
        <w:rPr>
          <w:snapToGrid w:val="0"/>
        </w:rPr>
        <w:t>.</w:t>
      </w:r>
      <w:r>
        <w:rPr>
          <w:snapToGrid w:val="0"/>
        </w:rPr>
        <w:tab/>
        <w:t>Royalty return</w:t>
      </w:r>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 xml:space="preserve">[Regulation 85B inserted in Gazette 20 May 1988 p. 1705; amended in Gazette 3 Oct 1997 p. 5530; 14 Dec 2001 p. 6405; 8 Feb 2002 p. 607.] </w:t>
      </w:r>
    </w:p>
    <w:p>
      <w:pPr>
        <w:pStyle w:val="Heading5"/>
        <w:rPr>
          <w:snapToGrid w:val="0"/>
        </w:rPr>
      </w:pPr>
      <w:bookmarkStart w:id="990" w:name="_Toc474633130"/>
      <w:bookmarkStart w:id="991" w:name="_Toc488740280"/>
      <w:bookmarkStart w:id="992" w:name="_Toc8623663"/>
      <w:bookmarkStart w:id="993" w:name="_Toc11229504"/>
      <w:bookmarkStart w:id="994" w:name="_Toc104276672"/>
      <w:bookmarkStart w:id="995" w:name="_Toc127338087"/>
      <w:r>
        <w:rPr>
          <w:rStyle w:val="CharSectno"/>
        </w:rPr>
        <w:t>86</w:t>
      </w:r>
      <w:r>
        <w:rPr>
          <w:snapToGrid w:val="0"/>
        </w:rPr>
        <w:t>.</w:t>
      </w:r>
      <w:r>
        <w:rPr>
          <w:snapToGrid w:val="0"/>
        </w:rPr>
        <w:tab/>
        <w:t>Rates of royalty</w:t>
      </w:r>
      <w:bookmarkEnd w:id="990"/>
      <w:bookmarkEnd w:id="991"/>
      <w:bookmarkEnd w:id="992"/>
      <w:bookmarkEnd w:id="993"/>
      <w:bookmarkEnd w:id="994"/>
      <w:bookmarkEnd w:id="995"/>
      <w:r>
        <w:rPr>
          <w:snapToGrid w:val="0"/>
        </w:rPr>
        <w:t xml:space="preserve"> </w:t>
      </w:r>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 xml:space="preserve">In the Table to this regulation — </w:t>
      </w:r>
    </w:p>
    <w:p>
      <w:pPr>
        <w:pStyle w:val="Defstart"/>
      </w:pPr>
      <w:r>
        <w:rPr>
          <w:b/>
        </w:rPr>
        <w:tab/>
        <w:t>“</w:t>
      </w:r>
      <w:r>
        <w:rPr>
          <w:rStyle w:val="CharDefText"/>
        </w:rPr>
        <w:t>Amount A</w:t>
      </w:r>
      <w:r>
        <w:rPr>
          <w:b/>
        </w:rPr>
        <w:t>”</w:t>
      </w:r>
      <w:r>
        <w:t xml:space="preserve"> means —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b/>
          <w:bCs/>
        </w:rPr>
        <w:t>“</w:t>
      </w:r>
      <w:r>
        <w:rPr>
          <w:rStyle w:val="CharDefText"/>
        </w:rPr>
        <w:t>relevant period</w:t>
      </w:r>
      <w:r>
        <w:rPr>
          <w:b/>
          <w:bCs/>
        </w:rPr>
        <w:t>”</w:t>
      </w:r>
      <w:r>
        <w:t>), the amount calculated under subregulation (2b) or provided for in subregulation (2d), as the case requires;</w:t>
      </w:r>
    </w:p>
    <w:p>
      <w:pPr>
        <w:pStyle w:val="Defstart"/>
      </w:pPr>
      <w:r>
        <w:rPr>
          <w:b/>
        </w:rPr>
        <w:tab/>
        <w:t>“</w:t>
      </w:r>
      <w:r>
        <w:rPr>
          <w:rStyle w:val="CharDefText"/>
        </w:rPr>
        <w:t>Amount B</w:t>
      </w:r>
      <w:r>
        <w:rPr>
          <w:b/>
        </w:rPr>
        <w:t>”</w:t>
      </w:r>
      <w:r>
        <w:t xml:space="preserve"> means —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b/>
          <w:bCs/>
        </w:rPr>
        <w:t>“</w:t>
      </w:r>
      <w:r>
        <w:rPr>
          <w:rStyle w:val="CharDefText"/>
        </w:rPr>
        <w:t>relevant period</w:t>
      </w:r>
      <w:r>
        <w:rPr>
          <w:b/>
          <w:bCs/>
        </w:rPr>
        <w:t>”</w:t>
      </w:r>
      <w:r>
        <w:t>), the amount calculated under subregulation (2b) or provided for in subregulation (2d), as the case requires.</w:t>
      </w:r>
    </w:p>
    <w:p>
      <w:pPr>
        <w:pStyle w:val="Subsection"/>
      </w:pPr>
      <w:r>
        <w:tab/>
        <w:t>(2b)</w:t>
      </w:r>
      <w:r>
        <w:tab/>
        <w:t xml:space="preserve">Subject to subregulations (2c) and (2d), the amount for the relevant period is the amount calculated using the formula — </w:t>
      </w:r>
    </w:p>
    <w:p>
      <w:pPr>
        <w:pStyle w:val="Equation"/>
        <w:ind w:left="851"/>
        <w:jc w:val="center"/>
      </w:pPr>
      <w:r>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1.5pt" o:ole="">
            <v:imagedata r:id="rId19" o:title=""/>
          </v:shape>
          <o:OLEObject Type="Embed" ProgID="Equation.3" ShapeID="_x0000_i1025" DrawAspect="Content" ObjectID="_1644289564" r:id="rId20"/>
        </w:object>
      </w:r>
    </w:p>
    <w:p>
      <w:pPr>
        <w:pStyle w:val="Subsection"/>
      </w:pPr>
      <w:r>
        <w:tab/>
      </w:r>
      <w:r>
        <w:tab/>
        <w:t xml:space="preserve">where — </w:t>
      </w:r>
    </w:p>
    <w:p>
      <w:pPr>
        <w:pStyle w:val="Indenta"/>
      </w:pPr>
      <w:r>
        <w:tab/>
        <w:t>R</w:t>
      </w:r>
      <w:r>
        <w:tab/>
        <w:t>is the amount;</w:t>
      </w:r>
    </w:p>
    <w:p>
      <w:pPr>
        <w:pStyle w:val="Indenta"/>
      </w:pPr>
      <w:r>
        <w:tab/>
        <w:t>C</w:t>
      </w:r>
      <w:r>
        <w:tab/>
        <w:t xml:space="preserve">is —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b/>
          <w:bCs/>
        </w:rPr>
        <w:t>“</w:t>
      </w:r>
      <w:r>
        <w:rPr>
          <w:rStyle w:val="CharDefText"/>
        </w:rPr>
        <w:t>existing amount</w:t>
      </w:r>
      <w:r>
        <w:rPr>
          <w:b/>
          <w:bCs/>
        </w:rPr>
        <w: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Coal</w:t>
            </w:r>
          </w:p>
          <w:p>
            <w:pPr>
              <w:pStyle w:val="Table"/>
              <w:spacing w:before="0" w:line="160" w:lineRule="atLeast"/>
              <w:ind w:left="-56"/>
              <w:rPr>
                <w:sz w:val="16"/>
              </w:rPr>
            </w:pPr>
            <w:r>
              <w:rPr>
                <w:sz w:val="16"/>
              </w:rPr>
              <w:t xml:space="preserve">  (including</w:t>
            </w:r>
          </w:p>
          <w:p>
            <w:pPr>
              <w:pStyle w:val="Table"/>
              <w:spacing w:before="0" w:line="160" w:lineRule="atLeast"/>
              <w:ind w:left="-56"/>
              <w:rPr>
                <w:sz w:val="16"/>
              </w:rPr>
            </w:pPr>
            <w:r>
              <w:rPr>
                <w:sz w:val="16"/>
              </w:rPr>
              <w:t xml:space="preserve">  lignite) </w:t>
            </w:r>
            <w:r>
              <w:rPr>
                <w:snapToGrid w:val="0"/>
                <w:sz w:val="16"/>
              </w:rPr>
              <w:t>—</w:t>
            </w:r>
          </w:p>
          <w:p>
            <w:pPr>
              <w:pStyle w:val="Table"/>
              <w:spacing w:before="0" w:line="160" w:lineRule="atLeast"/>
              <w:ind w:left="-56"/>
              <w:rPr>
                <w:sz w:val="16"/>
              </w:rPr>
            </w:pPr>
            <w:r>
              <w:rPr>
                <w:sz w:val="16"/>
              </w:rPr>
              <w:t xml:space="preserve">  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56"/>
              <w:rPr>
                <w:sz w:val="16"/>
              </w:rPr>
            </w:pPr>
            <w:r>
              <w:rPr>
                <w:sz w:val="16"/>
              </w:rPr>
              <w:t xml:space="preserve">  </w:t>
            </w: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r>
              <w:rPr>
                <w:position w:val="-18"/>
                <w:sz w:val="16"/>
              </w:rPr>
              <w:object w:dxaOrig="1980" w:dyaOrig="460">
                <v:shape id="_x0000_i1026" type="#_x0000_t75" style="width:99pt;height:23.25pt" o:ole="" fillcolor="window">
                  <v:imagedata r:id="rId21" o:title=""/>
                </v:shape>
                <o:OLEObject Type="Embed" ProgID="Equation.3" ShapeID="_x0000_i1026" DrawAspect="Content" ObjectID="_1644289565" r:id="rId22"/>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 xml:space="preserve">Where —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r>
              <w:rPr>
                <w:position w:val="-18"/>
                <w:sz w:val="16"/>
              </w:rPr>
              <w:object w:dxaOrig="2000" w:dyaOrig="460">
                <v:shape id="_x0000_i1027" type="#_x0000_t75" style="width:99.75pt;height:23.25pt" o:ole="" fillcolor="window">
                  <v:imagedata r:id="rId23" o:title=""/>
                </v:shape>
                <o:OLEObject Type="Embed" ProgID="Equation.3" ShapeID="_x0000_i1027" DrawAspect="Content" ObjectID="_1644289566" r:id="rId24"/>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 xml:space="preserve">Where —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Ilmenite (other than ilmenite feedstock as defined in regulations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 —</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7.5%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56"/>
              <w:rPr>
                <w:sz w:val="16"/>
              </w:rPr>
            </w:pPr>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r>
              <w:rPr>
                <w:spacing w:val="-2"/>
                <w:position w:val="-24"/>
                <w:sz w:val="20"/>
              </w:rPr>
              <w:object w:dxaOrig="1900" w:dyaOrig="620">
                <v:shape id="_x0000_i1028" type="#_x0000_t75" style="width:95.25pt;height:31.5pt" o:ole="" fillcolor="window">
                  <v:imagedata r:id="rId25" o:title=""/>
                </v:shape>
                <o:OLEObject Type="Embed" ProgID="Equation.3" ShapeID="_x0000_i1028" DrawAspect="Content" ObjectID="_1644289567" r:id="rId26"/>
              </w:objec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 xml:space="preserve">The rate is — </w:t>
            </w:r>
          </w:p>
          <w:p>
            <w:pPr>
              <w:pStyle w:val="Table"/>
              <w:tabs>
                <w:tab w:val="left" w:pos="280"/>
                <w:tab w:val="left" w:pos="699"/>
              </w:tabs>
              <w:spacing w:before="0" w:line="160" w:lineRule="atLeast"/>
              <w:ind w:left="714" w:hanging="714"/>
              <w:rPr>
                <w:sz w:val="16"/>
              </w:rPr>
            </w:pPr>
            <w:r>
              <w:rPr>
                <w:sz w:val="16"/>
              </w:rPr>
              <w:tab/>
              <w:t>(a)</w:t>
            </w:r>
            <w:r>
              <w:rPr>
                <w:sz w:val="16"/>
              </w:rPr>
              <w:tab/>
              <w:t xml:space="preserve">in the period beginning on 1 January 2003 and ending on 30 June 2003 —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 xml:space="preserve">in the period beginning on 1 July 2003 and ending on 30 June 2004 —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 xml:space="preserve">on or after 1 July 2004 —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 xml:space="preserve">The rate is —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 xml:space="preserve">7; 13 Dec 2002 p. 5805; 20 Aug 2004 p. 3619-21; 28 Jan 2005 p. 360; 7 Feb 2006 p. 622-3; 4 Apr 2006 p. 1409.] </w:t>
      </w:r>
    </w:p>
    <w:p>
      <w:pPr>
        <w:pStyle w:val="Heading5"/>
        <w:rPr>
          <w:snapToGrid w:val="0"/>
        </w:rPr>
      </w:pPr>
      <w:bookmarkStart w:id="996" w:name="_Toc474633131"/>
      <w:bookmarkStart w:id="997" w:name="_Toc488740281"/>
      <w:bookmarkStart w:id="998" w:name="_Toc8623664"/>
      <w:bookmarkStart w:id="999" w:name="_Toc11229505"/>
      <w:bookmarkStart w:id="1000" w:name="_Toc104276673"/>
      <w:bookmarkStart w:id="1001" w:name="_Toc127338088"/>
      <w:r>
        <w:rPr>
          <w:rStyle w:val="CharSectno"/>
        </w:rPr>
        <w:t>86AA</w:t>
      </w:r>
      <w:r>
        <w:rPr>
          <w:snapToGrid w:val="0"/>
        </w:rPr>
        <w:t>.</w:t>
      </w:r>
      <w:r>
        <w:rPr>
          <w:snapToGrid w:val="0"/>
        </w:rPr>
        <w:tab/>
        <w:t>Rates of royalty in respect of gold</w:t>
      </w:r>
      <w:bookmarkEnd w:id="996"/>
      <w:bookmarkEnd w:id="997"/>
      <w:bookmarkEnd w:id="998"/>
      <w:bookmarkEnd w:id="999"/>
      <w:bookmarkEnd w:id="1000"/>
      <w:bookmarkEnd w:id="1001"/>
      <w:r>
        <w:rPr>
          <w:snapToGrid w:val="0"/>
        </w:rPr>
        <w:t xml:space="preserve"> </w:t>
      </w:r>
    </w:p>
    <w:p>
      <w:pPr>
        <w:pStyle w:val="Subsection"/>
        <w:spacing w:before="120"/>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spacing w:before="120"/>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2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2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2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2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spacing w:before="120"/>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spacing w:before="120"/>
        <w:rPr>
          <w:snapToGrid w:val="0"/>
        </w:rPr>
      </w:pPr>
      <w:r>
        <w:rPr>
          <w:snapToGrid w:val="0"/>
        </w:rPr>
        <w:tab/>
        <w:t>(8)</w:t>
      </w:r>
      <w:r>
        <w:rPr>
          <w:snapToGrid w:val="0"/>
        </w:rPr>
        <w:tab/>
        <w:t>If gold bearing material is delivered to a refinery within 3 months after it, or gold bearing material from which it was produced, was taken from the ground —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 </w:t>
      </w:r>
    </w:p>
    <w:p>
      <w:pPr>
        <w:pStyle w:val="Defstart"/>
      </w:pPr>
      <w:r>
        <w:rPr>
          <w:b/>
        </w:rPr>
        <w:tab/>
        <w:t>“</w:t>
      </w:r>
      <w:r>
        <w:rPr>
          <w:rStyle w:val="CharDefText"/>
        </w:rPr>
        <w:t>deliverer</w:t>
      </w:r>
      <w:r>
        <w:rPr>
          <w:b/>
        </w:rPr>
        <w:t>”</w:t>
      </w:r>
      <w:r>
        <w:t xml:space="preserve"> means the person who produces the gold bearing material that is delivered to a refinery;</w:t>
      </w:r>
    </w:p>
    <w:p>
      <w:pPr>
        <w:pStyle w:val="Defstart"/>
      </w:pPr>
      <w:r>
        <w:rPr>
          <w:b/>
        </w:rPr>
        <w:tab/>
        <w:t>“</w:t>
      </w:r>
      <w:r>
        <w:rPr>
          <w:rStyle w:val="CharDefText"/>
        </w:rPr>
        <w:t>gold bearing material</w:t>
      </w:r>
      <w:r>
        <w:rPr>
          <w:b/>
        </w:rPr>
        <w:t>”</w:t>
      </w:r>
      <w:r>
        <w:t xml:space="preserve"> is material of any kind containing gold;</w:t>
      </w:r>
    </w:p>
    <w:p>
      <w:pPr>
        <w:pStyle w:val="Defstart"/>
      </w:pPr>
      <w:r>
        <w:rPr>
          <w:b/>
        </w:rPr>
        <w:tab/>
        <w:t>“</w:t>
      </w:r>
      <w:r>
        <w:rPr>
          <w:rStyle w:val="CharDefText"/>
        </w:rPr>
        <w:t>gold metal</w:t>
      </w:r>
      <w:r>
        <w:rPr>
          <w:b/>
        </w:rPr>
        <w:t>”</w:t>
      </w:r>
      <w:r>
        <w:t xml:space="preserve"> means gold that is at least 99.5% pure;</w:t>
      </w:r>
    </w:p>
    <w:p>
      <w:pPr>
        <w:pStyle w:val="Defstart"/>
        <w:keepNext/>
      </w:pPr>
      <w:r>
        <w:rPr>
          <w:b/>
        </w:rPr>
        <w:tab/>
        <w:t>“</w:t>
      </w:r>
      <w:r>
        <w:rPr>
          <w:rStyle w:val="CharDefText"/>
        </w:rPr>
        <w:t>gold royalty project</w:t>
      </w:r>
      <w:r>
        <w:rPr>
          <w:b/>
        </w:rPr>
        <w:t>”</w:t>
      </w:r>
      <w:r>
        <w:t xml:space="preserve"> means — </w:t>
      </w:r>
    </w:p>
    <w:p>
      <w:pPr>
        <w:pStyle w:val="Defpara"/>
      </w:pPr>
      <w:r>
        <w:tab/>
        <w:t>(a)</w:t>
      </w:r>
      <w:r>
        <w:tab/>
        <w:t>subject to subregulation (12), the mining tenement or, if there is more than one, all mining tenements from which anyone produces or obtains gold bearing material that is treated or processed at a common —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t>“</w:t>
      </w:r>
      <w:r>
        <w:rPr>
          <w:rStyle w:val="CharDefText"/>
        </w:rPr>
        <w:t>gold spot price</w:t>
      </w:r>
      <w:r>
        <w:rPr>
          <w:b/>
        </w:rPr>
        <w:t>”</w:t>
      </w:r>
      <w:r>
        <w:t xml:space="preserve"> means —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t>“</w:t>
      </w:r>
      <w:r>
        <w:rPr>
          <w:rStyle w:val="CharDefText"/>
        </w:rPr>
        <w:t>mining tenement</w:t>
      </w:r>
      <w:r>
        <w:rPr>
          <w:b/>
        </w:rPr>
        <w:t>”</w:t>
      </w:r>
      <w:r>
        <w:t xml:space="preserve"> includes land the subject of an application for a mining tenement;</w:t>
      </w:r>
    </w:p>
    <w:p>
      <w:pPr>
        <w:pStyle w:val="Defstart"/>
      </w:pPr>
      <w:r>
        <w:rPr>
          <w:b/>
        </w:rPr>
        <w:tab/>
        <w:t>“</w:t>
      </w:r>
      <w:r>
        <w:rPr>
          <w:rStyle w:val="CharDefText"/>
        </w:rPr>
        <w:t>refiner</w:t>
      </w:r>
      <w:r>
        <w:rPr>
          <w:b/>
        </w:rPr>
        <w:t>”</w:t>
      </w:r>
      <w:r>
        <w:t xml:space="preserve"> means the operator of a refinery;</w:t>
      </w:r>
    </w:p>
    <w:p>
      <w:pPr>
        <w:pStyle w:val="Defstart"/>
      </w:pPr>
      <w:r>
        <w:rPr>
          <w:b/>
        </w:rPr>
        <w:tab/>
        <w:t>“</w:t>
      </w:r>
      <w:r>
        <w:rPr>
          <w:rStyle w:val="CharDefText"/>
        </w:rPr>
        <w:t>refinery</w:t>
      </w:r>
      <w:r>
        <w:rPr>
          <w:b/>
        </w:rPr>
        <w:t>”</w:t>
      </w:r>
      <w:r>
        <w:t xml:space="preserve"> means a place where gold metal is produced;</w:t>
      </w:r>
    </w:p>
    <w:p>
      <w:pPr>
        <w:pStyle w:val="Defstart"/>
      </w:pPr>
      <w:r>
        <w:rPr>
          <w:b/>
        </w:rPr>
        <w:tab/>
        <w:t>“</w:t>
      </w:r>
      <w:r>
        <w:rPr>
          <w:rStyle w:val="CharDefText"/>
        </w:rPr>
        <w:t>treatment facility</w:t>
      </w:r>
      <w:r>
        <w:rPr>
          <w:b/>
        </w:rPr>
        <w:t>”</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 xml:space="preserve">3; amended in Gazette 24 Apr 1998 p. 2153; 14 Apr 2000 p. 1891; 14 Dec 2001 p. 6406.] </w:t>
      </w:r>
    </w:p>
    <w:p>
      <w:pPr>
        <w:pStyle w:val="Heading5"/>
      </w:pPr>
      <w:bookmarkStart w:id="1002" w:name="_Toc486150009"/>
      <w:bookmarkStart w:id="1003" w:name="_Toc488740282"/>
      <w:bookmarkStart w:id="1004" w:name="_Toc8623665"/>
      <w:bookmarkStart w:id="1005" w:name="_Toc11229506"/>
      <w:bookmarkStart w:id="1006" w:name="_Toc104276674"/>
      <w:bookmarkStart w:id="1007" w:name="_Toc127338089"/>
      <w:bookmarkStart w:id="1008" w:name="_Toc474633132"/>
      <w:r>
        <w:rPr>
          <w:rStyle w:val="CharSectno"/>
        </w:rPr>
        <w:t>86AB</w:t>
      </w:r>
      <w:r>
        <w:t>.</w:t>
      </w:r>
      <w:r>
        <w:tab/>
        <w:t>Optional royalty rate for cobalt sold as a nickel by</w:t>
      </w:r>
      <w:r>
        <w:noBreakHyphen/>
        <w:t>product</w:t>
      </w:r>
      <w:bookmarkEnd w:id="1002"/>
      <w:bookmarkEnd w:id="1003"/>
      <w:bookmarkEnd w:id="1004"/>
      <w:bookmarkEnd w:id="1005"/>
      <w:bookmarkEnd w:id="1006"/>
      <w:bookmarkEnd w:id="1007"/>
    </w:p>
    <w:p>
      <w:pPr>
        <w:pStyle w:val="Subsection"/>
      </w:pPr>
      <w:r>
        <w:tab/>
        <w:t>(1)</w:t>
      </w:r>
      <w:r>
        <w:tab/>
        <w:t>In this regulation —</w:t>
      </w:r>
    </w:p>
    <w:p>
      <w:pPr>
        <w:pStyle w:val="Defstart"/>
      </w:pPr>
      <w:r>
        <w:tab/>
      </w:r>
      <w:r>
        <w:rPr>
          <w:b/>
        </w:rPr>
        <w:t>“</w:t>
      </w:r>
      <w:r>
        <w:rPr>
          <w:rStyle w:val="CharDefText"/>
        </w:rPr>
        <w:t>optional royalty period</w:t>
      </w:r>
      <w:r>
        <w:rPr>
          <w:b/>
        </w:rPr>
        <w:t>”</w:t>
      </w:r>
      <w:r>
        <w:t xml:space="preserve"> means the period beginning on 1 July 2000 and ending on 30 June 2005;</w:t>
      </w:r>
    </w:p>
    <w:p>
      <w:pPr>
        <w:pStyle w:val="Defstart"/>
      </w:pPr>
      <w:r>
        <w:tab/>
      </w:r>
      <w:r>
        <w:rPr>
          <w:b/>
        </w:rPr>
        <w:t>“</w:t>
      </w:r>
      <w:r>
        <w:rPr>
          <w:rStyle w:val="CharDefText"/>
        </w:rPr>
        <w:t>optional royalty rate</w:t>
      </w:r>
      <w:r>
        <w:rPr>
          <w:b/>
        </w:rPr>
        <w:t>”</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009" w:name="_Toc127338090"/>
      <w:bookmarkStart w:id="1010" w:name="_Toc8623666"/>
      <w:bookmarkStart w:id="1011" w:name="_Toc11229507"/>
      <w:bookmarkStart w:id="1012" w:name="_Toc104276675"/>
      <w:bookmarkStart w:id="1013" w:name="_Toc474633133"/>
      <w:bookmarkStart w:id="1014" w:name="_Toc488740284"/>
      <w:bookmarkEnd w:id="1008"/>
      <w:r>
        <w:t>86AC.</w:t>
      </w:r>
      <w:r>
        <w:tab/>
        <w:t>Rates of royalty for ilmenite feedstock</w:t>
      </w:r>
      <w:bookmarkEnd w:id="1009"/>
    </w:p>
    <w:p>
      <w:pPr>
        <w:pStyle w:val="Subsection"/>
      </w:pPr>
      <w:r>
        <w:tab/>
        <w:t>(1)</w:t>
      </w:r>
      <w:r>
        <w:tab/>
        <w:t xml:space="preserve">In this regulation — </w:t>
      </w:r>
    </w:p>
    <w:p>
      <w:pPr>
        <w:pStyle w:val="Defstart"/>
      </w:pPr>
      <w:r>
        <w:rPr>
          <w:b/>
        </w:rPr>
        <w:tab/>
        <w:t>“</w:t>
      </w:r>
      <w:r>
        <w:rPr>
          <w:rStyle w:val="CharDefText"/>
        </w:rPr>
        <w:t>beneficiation plant</w:t>
      </w:r>
      <w:r>
        <w:rPr>
          <w:b/>
        </w:rPr>
        <w:t>”</w:t>
      </w:r>
      <w:r>
        <w:t xml:space="preserve"> means a mineral processing plant located in Western Australia that produces or is designed to produce upgraded ilmenite with an average titanium dioxide content of not less than 90%;</w:t>
      </w:r>
    </w:p>
    <w:p>
      <w:pPr>
        <w:pStyle w:val="Defstart"/>
      </w:pPr>
      <w:r>
        <w:rPr>
          <w:b/>
        </w:rPr>
        <w:tab/>
        <w:t>“</w:t>
      </w:r>
      <w:r>
        <w:rPr>
          <w:rStyle w:val="CharDefText"/>
        </w:rPr>
        <w:t>ilmenite feedstock</w:t>
      </w:r>
      <w:r>
        <w:rPr>
          <w:b/>
        </w:rPr>
        <w:t>”</w:t>
      </w:r>
      <w:r>
        <w:t xml:space="preserve"> means ilmenite concentrate intended for use as feedstock in a beneficiation plant that is owned or operated by —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pPr>
      <w:r>
        <w:tab/>
        <w:t>(4)</w:t>
      </w:r>
      <w:r>
        <w:tab/>
        <w:t xml:space="preserve">The rate of royalty payable for ilmenite feedstock that is of marketable quality is —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015" w:name="_Toc127338091"/>
      <w:r>
        <w:rPr>
          <w:rStyle w:val="CharSectno"/>
        </w:rPr>
        <w:t>86A</w:t>
      </w:r>
      <w:r>
        <w:t>.</w:t>
      </w:r>
      <w:r>
        <w:tab/>
        <w:t>Payment of royalties</w:t>
      </w:r>
      <w:bookmarkEnd w:id="1010"/>
      <w:bookmarkEnd w:id="1011"/>
      <w:bookmarkEnd w:id="1012"/>
      <w:bookmarkEnd w:id="1015"/>
    </w:p>
    <w:p>
      <w:pPr>
        <w:pStyle w:val="Subsection"/>
        <w:spacing w:before="120"/>
      </w:pPr>
      <w:r>
        <w:tab/>
        <w:t>(1)</w:t>
      </w:r>
      <w:r>
        <w:tab/>
        <w:t>Royalties for a mineral shall be paid to the Department at Perth.</w:t>
      </w:r>
    </w:p>
    <w:p>
      <w:pPr>
        <w:pStyle w:val="Subsection"/>
        <w:spacing w:before="120"/>
      </w:pPr>
      <w:r>
        <w:tab/>
        <w:t>(2)</w:t>
      </w:r>
      <w:r>
        <w:tab/>
        <w:t>Subject to this regulation, royalties for a mineral shall be paid within 30 days after the end of the quarter during which the relevant amount of the mineral was produced or obtained.</w:t>
      </w:r>
    </w:p>
    <w:p>
      <w:pPr>
        <w:pStyle w:val="Subsection"/>
        <w:spacing w:before="120"/>
      </w:pPr>
      <w:r>
        <w:tab/>
        <w:t>(3)</w:t>
      </w:r>
      <w:r>
        <w:tab/>
        <w:t>In the case of gold metal, royalties shall be paid within 30 days after the end of the quarter during which the gold metal is to be regarded because of regulation 86AA as having been produced.</w:t>
      </w:r>
    </w:p>
    <w:p>
      <w:pPr>
        <w:pStyle w:val="Subsection"/>
        <w:spacing w:before="120"/>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spacing w:before="120"/>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spacing w:before="120"/>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spacing w:before="120"/>
        <w:rPr>
          <w:snapToGrid w:val="0"/>
        </w:rPr>
      </w:pPr>
      <w:bookmarkStart w:id="1016" w:name="_Toc8623667"/>
      <w:bookmarkStart w:id="1017" w:name="_Toc11229508"/>
      <w:bookmarkStart w:id="1018" w:name="_Toc104276676"/>
      <w:bookmarkStart w:id="1019" w:name="_Toc127338092"/>
      <w:r>
        <w:rPr>
          <w:rStyle w:val="CharSectno"/>
        </w:rPr>
        <w:t>86B</w:t>
      </w:r>
      <w:r>
        <w:rPr>
          <w:snapToGrid w:val="0"/>
        </w:rPr>
        <w:t>.</w:t>
      </w:r>
      <w:r>
        <w:rPr>
          <w:snapToGrid w:val="0"/>
        </w:rPr>
        <w:tab/>
        <w:t>Tenement within Carnarvon Irrigation District</w:t>
      </w:r>
      <w:bookmarkEnd w:id="1013"/>
      <w:bookmarkEnd w:id="1014"/>
      <w:bookmarkEnd w:id="1016"/>
      <w:bookmarkEnd w:id="1017"/>
      <w:bookmarkEnd w:id="1018"/>
      <w:bookmarkEnd w:id="1019"/>
      <w:r>
        <w:rPr>
          <w:snapToGrid w:val="0"/>
        </w:rPr>
        <w:t xml:space="preserve"> </w:t>
      </w:r>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 xml:space="preserve">Repealed in Gazette 3 Oct 1997 p. 5533.] </w:t>
      </w:r>
    </w:p>
    <w:p>
      <w:pPr>
        <w:pStyle w:val="Heading5"/>
        <w:rPr>
          <w:snapToGrid w:val="0"/>
        </w:rPr>
      </w:pPr>
      <w:bookmarkStart w:id="1020" w:name="_Toc474633134"/>
      <w:bookmarkStart w:id="1021" w:name="_Toc488740285"/>
      <w:bookmarkStart w:id="1022" w:name="_Toc8623668"/>
      <w:bookmarkStart w:id="1023" w:name="_Toc11229509"/>
      <w:bookmarkStart w:id="1024" w:name="_Toc104276677"/>
      <w:bookmarkStart w:id="1025" w:name="_Toc127338093"/>
      <w:r>
        <w:rPr>
          <w:rStyle w:val="CharSectno"/>
        </w:rPr>
        <w:t>86D</w:t>
      </w:r>
      <w:r>
        <w:rPr>
          <w:snapToGrid w:val="0"/>
        </w:rPr>
        <w:t>.</w:t>
      </w:r>
      <w:r>
        <w:rPr>
          <w:snapToGrid w:val="0"/>
        </w:rPr>
        <w:tab/>
        <w:t>Exemption in respect of certain clay, gravel, limestone, rock or sand</w:t>
      </w:r>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 xml:space="preserve">[Regulation 86D inserted in Gazette 12 Nov 1982 p. 4490.] </w:t>
      </w:r>
    </w:p>
    <w:p>
      <w:pPr>
        <w:pStyle w:val="Heading5"/>
        <w:rPr>
          <w:snapToGrid w:val="0"/>
        </w:rPr>
      </w:pPr>
      <w:bookmarkStart w:id="1026" w:name="_Toc474633135"/>
      <w:bookmarkStart w:id="1027" w:name="_Toc488740286"/>
      <w:bookmarkStart w:id="1028" w:name="_Toc8623669"/>
      <w:bookmarkStart w:id="1029" w:name="_Toc11229510"/>
      <w:bookmarkStart w:id="1030" w:name="_Toc104276678"/>
      <w:bookmarkStart w:id="1031" w:name="_Toc127338094"/>
      <w:r>
        <w:rPr>
          <w:rStyle w:val="CharSectno"/>
        </w:rPr>
        <w:t>86E</w:t>
      </w:r>
      <w:r>
        <w:rPr>
          <w:snapToGrid w:val="0"/>
        </w:rPr>
        <w:t>.</w:t>
      </w:r>
      <w:r>
        <w:rPr>
          <w:snapToGrid w:val="0"/>
        </w:rPr>
        <w:tab/>
        <w:t>Exemption in respect of rock for the Eyre Highway</w:t>
      </w:r>
      <w:bookmarkEnd w:id="1026"/>
      <w:bookmarkEnd w:id="1027"/>
      <w:bookmarkEnd w:id="1028"/>
      <w:bookmarkEnd w:id="1029"/>
      <w:bookmarkEnd w:id="1030"/>
      <w:bookmarkEnd w:id="1031"/>
      <w:r>
        <w:rPr>
          <w:snapToGrid w:val="0"/>
        </w:rPr>
        <w:t xml:space="preserve"> </w:t>
      </w:r>
    </w:p>
    <w:p>
      <w:pPr>
        <w:pStyle w:val="Subsection"/>
        <w:keepNext/>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 xml:space="preserve">[Regulation 86E inserted in Gazette 3 Jul 1992 p. 2973; amended in Gazette 4 Apr 1997 p. 1779.] </w:t>
      </w:r>
    </w:p>
    <w:p>
      <w:pPr>
        <w:pStyle w:val="Heading5"/>
      </w:pPr>
      <w:bookmarkStart w:id="1032" w:name="_Toc486150014"/>
      <w:bookmarkStart w:id="1033" w:name="_Toc488740287"/>
      <w:bookmarkStart w:id="1034" w:name="_Toc8623670"/>
      <w:bookmarkStart w:id="1035" w:name="_Toc11229511"/>
      <w:bookmarkStart w:id="1036" w:name="_Toc104276679"/>
      <w:bookmarkStart w:id="1037" w:name="_Toc127338095"/>
      <w:bookmarkStart w:id="1038" w:name="_Toc474633137"/>
      <w:r>
        <w:rPr>
          <w:rStyle w:val="CharSectno"/>
        </w:rPr>
        <w:t>86F</w:t>
      </w:r>
      <w:r>
        <w:t>.</w:t>
      </w:r>
      <w:r>
        <w:tab/>
        <w:t>Royalty relief</w:t>
      </w:r>
      <w:bookmarkEnd w:id="1032"/>
      <w:bookmarkEnd w:id="1033"/>
      <w:bookmarkEnd w:id="1034"/>
      <w:bookmarkEnd w:id="1035"/>
      <w:bookmarkEnd w:id="1036"/>
      <w:bookmarkEnd w:id="1037"/>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 xml:space="preserve">under regulation 86, for any mineral produced or obtained while the determination is expressed to apply; </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spacing w:before="120"/>
      </w:pPr>
      <w:r>
        <w:tab/>
      </w:r>
      <w:r>
        <w:tab/>
        <w:t>is to be on the basis of a portion only, as specified in the determination, of the royalty base.</w:t>
      </w:r>
    </w:p>
    <w:p>
      <w:pPr>
        <w:pStyle w:val="Subsection"/>
        <w:spacing w:before="120"/>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spacing w:before="120"/>
      </w:pPr>
      <w:r>
        <w:tab/>
        <w:t>(3)</w:t>
      </w:r>
      <w:r>
        <w:tab/>
        <w:t>In this regulation —</w:t>
      </w:r>
    </w:p>
    <w:p>
      <w:pPr>
        <w:pStyle w:val="Defstart"/>
      </w:pPr>
      <w:r>
        <w:tab/>
      </w:r>
      <w:r>
        <w:rPr>
          <w:b/>
        </w:rPr>
        <w:t>“</w:t>
      </w:r>
      <w:r>
        <w:rPr>
          <w:rStyle w:val="CharDefText"/>
        </w:rPr>
        <w:t>circumstances justifying royalty relief</w:t>
      </w:r>
      <w:r>
        <w:rPr>
          <w:b/>
        </w:rPr>
        <w:t>”</w:t>
      </w:r>
      <w:r>
        <w:t xml:space="preserve"> means circumstances that meet criteria for the giving of royalty relief that the Minister has published in the </w:t>
      </w:r>
      <w:r>
        <w:rPr>
          <w:i/>
        </w:rPr>
        <w:t>Gazette</w:t>
      </w:r>
      <w:r>
        <w:t>;</w:t>
      </w:r>
    </w:p>
    <w:p>
      <w:pPr>
        <w:pStyle w:val="Defstart"/>
      </w:pPr>
      <w:r>
        <w:tab/>
      </w:r>
      <w:r>
        <w:rPr>
          <w:b/>
        </w:rPr>
        <w:t>“</w:t>
      </w:r>
      <w:r>
        <w:rPr>
          <w:rStyle w:val="CharDefText"/>
        </w:rPr>
        <w:t>gold metal</w:t>
      </w:r>
      <w:r>
        <w:rPr>
          <w:b/>
        </w:rPr>
        <w:t>”</w:t>
      </w:r>
      <w:r>
        <w:t xml:space="preserve"> has the same meaning as it has in regulation 86AA(11);</w:t>
      </w:r>
    </w:p>
    <w:p>
      <w:pPr>
        <w:pStyle w:val="Defstart"/>
        <w:keepNext/>
      </w:pPr>
      <w:r>
        <w:tab/>
      </w:r>
      <w:r>
        <w:rPr>
          <w:b/>
        </w:rPr>
        <w:t>“</w:t>
      </w:r>
      <w:r>
        <w:rPr>
          <w:rStyle w:val="CharDefText"/>
        </w:rPr>
        <w:t>royalty base</w:t>
      </w:r>
      <w:r>
        <w:rPr>
          <w:b/>
        </w:rPr>
        <w:t>”</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039" w:name="_Toc488740288"/>
      <w:bookmarkStart w:id="1040" w:name="_Toc8623671"/>
      <w:bookmarkStart w:id="1041" w:name="_Toc11229512"/>
      <w:bookmarkStart w:id="1042" w:name="_Toc104276680"/>
      <w:bookmarkStart w:id="1043" w:name="_Toc127338096"/>
      <w:r>
        <w:rPr>
          <w:rStyle w:val="CharSectno"/>
        </w:rPr>
        <w:t>87</w:t>
      </w:r>
      <w:r>
        <w:rPr>
          <w:snapToGrid w:val="0"/>
        </w:rPr>
        <w:t>.</w:t>
      </w:r>
      <w:r>
        <w:rPr>
          <w:snapToGrid w:val="0"/>
        </w:rPr>
        <w:tab/>
        <w:t>Minister may determine value of mineral for the purpose of calculating royalties</w:t>
      </w:r>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spacing w:before="120"/>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 xml:space="preserve">[Regulation 87 inserted in Gazette 20 May 1988 p. 1706; amended in Gazette 3 Oct 1997 p. 5533; 14 Dec 2001 p. 6407; 13 Dec 2002 p. 5805.] </w:t>
      </w:r>
    </w:p>
    <w:p>
      <w:pPr>
        <w:pStyle w:val="Heading5"/>
        <w:spacing w:before="180"/>
        <w:rPr>
          <w:snapToGrid w:val="0"/>
        </w:rPr>
      </w:pPr>
      <w:bookmarkStart w:id="1044" w:name="_Toc474633138"/>
      <w:bookmarkStart w:id="1045" w:name="_Toc488740289"/>
      <w:bookmarkStart w:id="1046" w:name="_Toc8623672"/>
      <w:bookmarkStart w:id="1047" w:name="_Toc11229513"/>
      <w:bookmarkStart w:id="1048" w:name="_Toc104276681"/>
      <w:bookmarkStart w:id="1049" w:name="_Toc127338097"/>
      <w:r>
        <w:rPr>
          <w:rStyle w:val="CharSectno"/>
        </w:rPr>
        <w:t>87A</w:t>
      </w:r>
      <w:r>
        <w:rPr>
          <w:snapToGrid w:val="0"/>
        </w:rPr>
        <w:t>.</w:t>
      </w:r>
      <w:r>
        <w:rPr>
          <w:snapToGrid w:val="0"/>
        </w:rPr>
        <w:tab/>
        <w:t>Notice of determination and assessment under regulation 87</w:t>
      </w:r>
      <w:bookmarkEnd w:id="1044"/>
      <w:bookmarkEnd w:id="1045"/>
      <w:bookmarkEnd w:id="1046"/>
      <w:bookmarkEnd w:id="1047"/>
      <w:bookmarkEnd w:id="1048"/>
      <w:bookmarkEnd w:id="1049"/>
      <w:r>
        <w:rPr>
          <w:snapToGrid w:val="0"/>
        </w:rPr>
        <w:t xml:space="preserve"> </w:t>
      </w:r>
    </w:p>
    <w:p>
      <w:pPr>
        <w:pStyle w:val="Subsection"/>
        <w:spacing w:before="120"/>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spacing w:before="120"/>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 xml:space="preserve">[Regulation 87A inserted in Gazette 20 May 1988 p. 1706.] </w:t>
      </w:r>
    </w:p>
    <w:p>
      <w:pPr>
        <w:pStyle w:val="Heading5"/>
        <w:spacing w:before="180"/>
        <w:rPr>
          <w:snapToGrid w:val="0"/>
        </w:rPr>
      </w:pPr>
      <w:bookmarkStart w:id="1050" w:name="_Toc474633139"/>
      <w:bookmarkStart w:id="1051" w:name="_Toc488740290"/>
      <w:bookmarkStart w:id="1052" w:name="_Toc8623673"/>
      <w:bookmarkStart w:id="1053" w:name="_Toc11229514"/>
      <w:bookmarkStart w:id="1054" w:name="_Toc104276682"/>
      <w:bookmarkStart w:id="1055" w:name="_Toc127338098"/>
      <w:r>
        <w:rPr>
          <w:rStyle w:val="CharSectno"/>
        </w:rPr>
        <w:t>87B</w:t>
      </w:r>
      <w:r>
        <w:rPr>
          <w:snapToGrid w:val="0"/>
        </w:rPr>
        <w:t>.</w:t>
      </w:r>
      <w:r>
        <w:rPr>
          <w:snapToGrid w:val="0"/>
        </w:rPr>
        <w:tab/>
        <w:t>Records</w:t>
      </w:r>
      <w:bookmarkEnd w:id="1050"/>
      <w:bookmarkEnd w:id="1051"/>
      <w:bookmarkEnd w:id="1052"/>
      <w:bookmarkEnd w:id="1053"/>
      <w:bookmarkEnd w:id="1054"/>
      <w:bookmarkEnd w:id="1055"/>
      <w:r>
        <w:rPr>
          <w:snapToGrid w:val="0"/>
        </w:rPr>
        <w:t xml:space="preserve"> </w:t>
      </w:r>
    </w:p>
    <w:p>
      <w:pPr>
        <w:pStyle w:val="Subsection"/>
        <w:spacing w:before="120"/>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 </w:t>
      </w:r>
    </w:p>
    <w:p>
      <w:pPr>
        <w:pStyle w:val="Indenta"/>
        <w:spacing w:before="50"/>
        <w:rPr>
          <w:snapToGrid w:val="0"/>
        </w:rPr>
      </w:pPr>
      <w:r>
        <w:rPr>
          <w:snapToGrid w:val="0"/>
        </w:rPr>
        <w:tab/>
        <w:t>(a)</w:t>
      </w:r>
      <w:r>
        <w:rPr>
          <w:snapToGrid w:val="0"/>
        </w:rPr>
        <w:tab/>
        <w:t>to give a true and complete indication of —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 xml:space="preserve">8; 8 Feb 2002 p. 608.] </w:t>
      </w:r>
    </w:p>
    <w:p>
      <w:pPr>
        <w:pStyle w:val="Ednotesection"/>
      </w:pPr>
      <w:r>
        <w:t>[</w:t>
      </w:r>
      <w:r>
        <w:rPr>
          <w:b/>
        </w:rPr>
        <w:t>88.</w:t>
      </w:r>
      <w:r>
        <w:tab/>
        <w:t xml:space="preserve">Repealed in Gazette 31 May 1991 p. 2699.] </w:t>
      </w:r>
    </w:p>
    <w:p>
      <w:pPr>
        <w:pStyle w:val="Heading5"/>
        <w:rPr>
          <w:snapToGrid w:val="0"/>
        </w:rPr>
      </w:pPr>
      <w:bookmarkStart w:id="1056" w:name="_Toc474633140"/>
      <w:bookmarkStart w:id="1057" w:name="_Toc488740291"/>
      <w:bookmarkStart w:id="1058" w:name="_Toc8623674"/>
      <w:bookmarkStart w:id="1059" w:name="_Toc11229515"/>
      <w:bookmarkStart w:id="1060" w:name="_Toc104276683"/>
      <w:bookmarkStart w:id="1061" w:name="_Toc127338099"/>
      <w:r>
        <w:rPr>
          <w:rStyle w:val="CharSectno"/>
        </w:rPr>
        <w:t>89</w:t>
      </w:r>
      <w:r>
        <w:rPr>
          <w:snapToGrid w:val="0"/>
        </w:rPr>
        <w:t>.</w:t>
      </w:r>
      <w:r>
        <w:rPr>
          <w:snapToGrid w:val="0"/>
        </w:rPr>
        <w:tab/>
        <w:t>Recovery of royalty</w:t>
      </w:r>
      <w:bookmarkEnd w:id="1056"/>
      <w:bookmarkEnd w:id="1057"/>
      <w:bookmarkEnd w:id="1058"/>
      <w:bookmarkEnd w:id="1059"/>
      <w:bookmarkEnd w:id="1060"/>
      <w:bookmarkEnd w:id="1061"/>
      <w:r>
        <w:rPr>
          <w:snapToGrid w:val="0"/>
        </w:rPr>
        <w:t xml:space="preserve"> </w:t>
      </w:r>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062" w:name="_Toc74978967"/>
      <w:bookmarkStart w:id="1063" w:name="_Toc74979231"/>
      <w:bookmarkStart w:id="1064" w:name="_Toc79976529"/>
      <w:bookmarkStart w:id="1065" w:name="_Toc80759800"/>
      <w:bookmarkStart w:id="1066" w:name="_Toc80783563"/>
      <w:bookmarkStart w:id="1067" w:name="_Toc94931230"/>
      <w:bookmarkStart w:id="1068" w:name="_Toc104275353"/>
      <w:bookmarkStart w:id="1069" w:name="_Toc104276684"/>
      <w:bookmarkStart w:id="1070" w:name="_Toc107198905"/>
      <w:bookmarkStart w:id="1071" w:name="_Toc107799357"/>
      <w:bookmarkStart w:id="1072" w:name="_Toc127087364"/>
      <w:bookmarkStart w:id="1073" w:name="_Toc127183673"/>
      <w:bookmarkStart w:id="1074" w:name="_Toc127338100"/>
      <w:r>
        <w:rPr>
          <w:rStyle w:val="CharDivNo"/>
        </w:rPr>
        <w:t>Division 5A</w:t>
      </w:r>
      <w:r>
        <w:t> — </w:t>
      </w:r>
      <w:r>
        <w:rPr>
          <w:rStyle w:val="CharDivText"/>
        </w:rPr>
        <w:t>Prescribed Australian datum</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Footnoteheading"/>
        <w:ind w:left="890"/>
      </w:pPr>
      <w:r>
        <w:tab/>
        <w:t>[Heading inserted in Gazette 15 Dec 2000 p. 7219.]</w:t>
      </w:r>
    </w:p>
    <w:p>
      <w:pPr>
        <w:pStyle w:val="Heading5"/>
      </w:pPr>
      <w:bookmarkStart w:id="1075" w:name="_Toc8623675"/>
      <w:bookmarkStart w:id="1076" w:name="_Toc11229516"/>
      <w:bookmarkStart w:id="1077" w:name="_Toc104276685"/>
      <w:bookmarkStart w:id="1078" w:name="_Toc127338101"/>
      <w:r>
        <w:rPr>
          <w:rStyle w:val="CharSectno"/>
        </w:rPr>
        <w:t>89A</w:t>
      </w:r>
      <w:r>
        <w:t>.</w:t>
      </w:r>
      <w:r>
        <w:tab/>
        <w:t>Geocentric Datum of Australia — section 9B</w:t>
      </w:r>
      <w:bookmarkEnd w:id="1075"/>
      <w:bookmarkEnd w:id="1076"/>
      <w:bookmarkEnd w:id="1077"/>
      <w:bookmarkEnd w:id="1078"/>
    </w:p>
    <w:p>
      <w:pPr>
        <w:pStyle w:val="Subsection"/>
      </w:pPr>
      <w:r>
        <w:tab/>
        <w:t>(1)</w:t>
      </w:r>
      <w:r>
        <w:tab/>
        <w:t>This regulation has effect subject to the transitional provisions set out in the Third Schedule.</w:t>
      </w:r>
    </w:p>
    <w:p>
      <w:pPr>
        <w:pStyle w:val="Subsection"/>
      </w:pPr>
      <w:r>
        <w:tab/>
        <w:t>(2)</w:t>
      </w:r>
      <w:r>
        <w:tab/>
        <w:t>The Geocentric Datum of Australia (</w:t>
      </w:r>
      <w:r>
        <w:rPr>
          <w:b/>
        </w:rPr>
        <w:t>“</w:t>
      </w:r>
      <w:r>
        <w:rPr>
          <w:rStyle w:val="CharDefText"/>
        </w:rPr>
        <w:t>the GDA</w:t>
      </w:r>
      <w:r>
        <w:rPr>
          <w:b/>
        </w:rPr>
        <w:t>”</w:t>
      </w:r>
      <w:r>
        <w:t>) is prescribed for the purposes referred to in section 9B.</w:t>
      </w:r>
    </w:p>
    <w:p>
      <w:pPr>
        <w:pStyle w:val="Subsection"/>
        <w:spacing w:before="140"/>
      </w:pPr>
      <w:r>
        <w:tab/>
        <w:t>(3)</w:t>
      </w:r>
      <w:r>
        <w:tab/>
        <w:t>The reference ellipsoid for the GDA is the Geodetic Reference System 1980 (</w:t>
      </w:r>
      <w:r>
        <w:rPr>
          <w:b/>
        </w:rPr>
        <w:t>“</w:t>
      </w:r>
      <w:r>
        <w:rPr>
          <w:rStyle w:val="CharDefText"/>
        </w:rPr>
        <w:t>GRS80</w:t>
      </w:r>
      <w:r>
        <w:rPr>
          <w:b/>
        </w:rPr>
        <w:t>”</w:t>
      </w:r>
      <w:r>
        <w:t>) ellipsoid with a semi</w:t>
      </w:r>
      <w:r>
        <w:noBreakHyphen/>
        <w:t>major axis of 6 378 137 m exactly and an inverse flattening (l/f) of 298.257 222 101.</w:t>
      </w:r>
    </w:p>
    <w:p>
      <w:pPr>
        <w:pStyle w:val="Subsection"/>
        <w:spacing w:before="140"/>
        <w:ind w:right="8"/>
      </w:pPr>
      <w:r>
        <w:tab/>
        <w:t>(4)</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p>
      <w:pPr>
        <w:pStyle w:val="MiscellaneousHeading"/>
        <w:rPr>
          <w:b/>
          <w:bCs/>
        </w:rPr>
      </w:pP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w:t>
      </w:r>
    </w:p>
    <w:p>
      <w:pPr>
        <w:pStyle w:val="Heading3"/>
        <w:rPr>
          <w:snapToGrid w:val="0"/>
        </w:rPr>
      </w:pPr>
      <w:bookmarkStart w:id="1079" w:name="_Toc74978969"/>
      <w:bookmarkStart w:id="1080" w:name="_Toc74979233"/>
      <w:bookmarkStart w:id="1081" w:name="_Toc79976531"/>
      <w:bookmarkStart w:id="1082" w:name="_Toc80759802"/>
      <w:bookmarkStart w:id="1083" w:name="_Toc80783565"/>
      <w:bookmarkStart w:id="1084" w:name="_Toc94931232"/>
      <w:bookmarkStart w:id="1085" w:name="_Toc104275355"/>
      <w:bookmarkStart w:id="1086" w:name="_Toc104276686"/>
      <w:bookmarkStart w:id="1087" w:name="_Toc107198907"/>
      <w:bookmarkStart w:id="1088" w:name="_Toc107799359"/>
      <w:bookmarkStart w:id="1089" w:name="_Toc127087366"/>
      <w:bookmarkStart w:id="1090" w:name="_Toc127183675"/>
      <w:bookmarkStart w:id="1091" w:name="_Toc127338102"/>
      <w:r>
        <w:rPr>
          <w:rStyle w:val="CharDivNo"/>
        </w:rPr>
        <w:t>Division 6</w:t>
      </w:r>
      <w:r>
        <w:rPr>
          <w:snapToGrid w:val="0"/>
        </w:rPr>
        <w:t> — </w:t>
      </w:r>
      <w:r>
        <w:rPr>
          <w:rStyle w:val="CharDivText"/>
        </w:rPr>
        <w:t>Miscellaneous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r>
        <w:rPr>
          <w:rStyle w:val="CharDivText"/>
        </w:rPr>
        <w:t xml:space="preserve"> </w:t>
      </w:r>
    </w:p>
    <w:p>
      <w:pPr>
        <w:pStyle w:val="Heading5"/>
      </w:pPr>
      <w:bookmarkStart w:id="1092" w:name="_Toc104276687"/>
      <w:bookmarkStart w:id="1093" w:name="_Toc127338103"/>
      <w:bookmarkStart w:id="1094" w:name="_Toc474633141"/>
      <w:bookmarkStart w:id="1095" w:name="_Toc488740292"/>
      <w:bookmarkStart w:id="1096" w:name="_Toc8623676"/>
      <w:bookmarkStart w:id="1097" w:name="_Toc11229517"/>
      <w:r>
        <w:rPr>
          <w:rStyle w:val="CharSectno"/>
        </w:rPr>
        <w:t>89B</w:t>
      </w:r>
      <w:r>
        <w:t>.</w:t>
      </w:r>
      <w:r>
        <w:tab/>
        <w:t>Prescribed office — section 8(1)</w:t>
      </w:r>
      <w:bookmarkEnd w:id="1092"/>
      <w:bookmarkEnd w:id="1093"/>
    </w:p>
    <w:p>
      <w:pPr>
        <w:pStyle w:val="Subsection"/>
      </w:pPr>
      <w:r>
        <w:tab/>
      </w:r>
      <w:r>
        <w:tab/>
        <w:t>For the purposes of the definition of “mining registrar”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1098" w:name="_Toc127338104"/>
      <w:bookmarkStart w:id="1099" w:name="_Toc104276688"/>
      <w:r>
        <w:rPr>
          <w:rStyle w:val="CharSectno"/>
        </w:rPr>
        <w:t>89C</w:t>
      </w:r>
      <w:r>
        <w:t>.</w:t>
      </w:r>
      <w:r>
        <w:tab/>
        <w:t>Identified mineral resource — section 8(1)</w:t>
      </w:r>
      <w:bookmarkEnd w:id="1098"/>
    </w:p>
    <w:p>
      <w:pPr>
        <w:pStyle w:val="Subsection"/>
      </w:pPr>
      <w:r>
        <w:tab/>
        <w:t>(1)</w:t>
      </w:r>
      <w:r>
        <w:tab/>
        <w:t xml:space="preserve">In this regulation — </w:t>
      </w:r>
    </w:p>
    <w:p>
      <w:pPr>
        <w:pStyle w:val="Defstart"/>
      </w:pPr>
      <w:r>
        <w:rPr>
          <w:b/>
        </w:rPr>
        <w:tab/>
        <w:t>“</w:t>
      </w:r>
      <w:r>
        <w:rPr>
          <w:rStyle w:val="CharDefText"/>
        </w:rPr>
        <w:t>JORC Code</w:t>
      </w:r>
      <w:r>
        <w:rPr>
          <w:b/>
        </w:rPr>
        <w:t>”</w:t>
      </w:r>
      <w:r>
        <w:t xml:space="preserve"> means the </w:t>
      </w:r>
      <w:r>
        <w:rPr>
          <w:i/>
          <w:iCs/>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 xml:space="preserve">For the purposes of the definition of “identified mineral resource” in section 8(1), a deposit of minerals has to be identified as coming within one of the following classifications provided for in clauses 20, 21 and 22 of the JORC Code —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100" w:name="_Toc127338105"/>
      <w:r>
        <w:rPr>
          <w:rStyle w:val="CharSectno"/>
        </w:rPr>
        <w:t>90</w:t>
      </w:r>
      <w:r>
        <w:rPr>
          <w:snapToGrid w:val="0"/>
        </w:rPr>
        <w:t>.</w:t>
      </w:r>
      <w:r>
        <w:rPr>
          <w:snapToGrid w:val="0"/>
        </w:rPr>
        <w:tab/>
        <w:t>Forms to be completed in accordance with directions</w:t>
      </w:r>
      <w:bookmarkEnd w:id="1094"/>
      <w:bookmarkEnd w:id="1095"/>
      <w:bookmarkEnd w:id="1096"/>
      <w:bookmarkEnd w:id="1097"/>
      <w:bookmarkEnd w:id="1099"/>
      <w:bookmarkEnd w:id="1100"/>
      <w:r>
        <w:rPr>
          <w:snapToGrid w:val="0"/>
        </w:rPr>
        <w:t xml:space="preserve"> </w:t>
      </w:r>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101" w:name="_Toc127338106"/>
      <w:bookmarkStart w:id="1102" w:name="_Toc474633142"/>
      <w:bookmarkStart w:id="1103" w:name="_Toc488740293"/>
      <w:bookmarkStart w:id="1104" w:name="_Toc8623677"/>
      <w:bookmarkStart w:id="1105" w:name="_Toc11229518"/>
      <w:bookmarkStart w:id="1106" w:name="_Toc104276689"/>
      <w:r>
        <w:rPr>
          <w:rStyle w:val="CharSectno"/>
        </w:rPr>
        <w:t>90A.</w:t>
      </w:r>
      <w:r>
        <w:rPr>
          <w:rStyle w:val="CharSectno"/>
        </w:rPr>
        <w:tab/>
      </w:r>
      <w:r>
        <w:rPr>
          <w:snapToGrid w:val="0"/>
        </w:rPr>
        <w:t>Prescribed procedure for certain applications</w:t>
      </w:r>
      <w:bookmarkEnd w:id="1101"/>
    </w:p>
    <w:p>
      <w:pPr>
        <w:pStyle w:val="Subsection"/>
        <w:rPr>
          <w:snapToGrid w:val="0"/>
        </w:rPr>
      </w:pPr>
      <w:r>
        <w:rPr>
          <w:snapToGrid w:val="0"/>
        </w:rPr>
        <w:tab/>
        <w:t>(1)</w:t>
      </w:r>
      <w:r>
        <w:rPr>
          <w:snapToGrid w:val="0"/>
        </w:rPr>
        <w:tab/>
        <w:t xml:space="preserve">This regulation applies to —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rPr>
          <w:snapToGrid w:val="0"/>
        </w:rPr>
      </w:pPr>
      <w:bookmarkStart w:id="1107" w:name="_Toc127338107"/>
      <w:r>
        <w:rPr>
          <w:rStyle w:val="CharSectno"/>
        </w:rPr>
        <w:t>91</w:t>
      </w:r>
      <w:r>
        <w:rPr>
          <w:snapToGrid w:val="0"/>
        </w:rPr>
        <w:t>.</w:t>
      </w:r>
      <w:r>
        <w:rPr>
          <w:snapToGrid w:val="0"/>
        </w:rPr>
        <w:tab/>
        <w:t>Appeal to Minister</w:t>
      </w:r>
      <w:bookmarkEnd w:id="1102"/>
      <w:bookmarkEnd w:id="1103"/>
      <w:bookmarkEnd w:id="1104"/>
      <w:bookmarkEnd w:id="1105"/>
      <w:bookmarkEnd w:id="1106"/>
      <w:bookmarkEnd w:id="1107"/>
      <w:r>
        <w:rPr>
          <w:snapToGrid w:val="0"/>
        </w:rPr>
        <w:t xml:space="preserve"> </w:t>
      </w:r>
    </w:p>
    <w:p>
      <w:pPr>
        <w:pStyle w:val="Subsection"/>
        <w:spacing w:before="14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 xml:space="preserve">[Regulation 91 amended in Gazette 12 Nov 1982 p. 4490; 13 Oct 1995 p. 4819.] </w:t>
      </w:r>
    </w:p>
    <w:p>
      <w:pPr>
        <w:pStyle w:val="Heading5"/>
        <w:rPr>
          <w:snapToGrid w:val="0"/>
        </w:rPr>
      </w:pPr>
      <w:bookmarkStart w:id="1108" w:name="_Toc474633143"/>
      <w:bookmarkStart w:id="1109" w:name="_Toc488740294"/>
      <w:bookmarkStart w:id="1110" w:name="_Toc8623678"/>
      <w:bookmarkStart w:id="1111" w:name="_Toc11229519"/>
      <w:bookmarkStart w:id="1112" w:name="_Toc104276690"/>
      <w:bookmarkStart w:id="1113" w:name="_Toc127338108"/>
      <w:r>
        <w:rPr>
          <w:rStyle w:val="CharSectno"/>
        </w:rPr>
        <w:t>92</w:t>
      </w:r>
      <w:r>
        <w:rPr>
          <w:snapToGrid w:val="0"/>
        </w:rPr>
        <w:t>.</w:t>
      </w:r>
      <w:r>
        <w:rPr>
          <w:snapToGrid w:val="0"/>
        </w:rPr>
        <w:tab/>
        <w:t>Shape of tenement</w:t>
      </w:r>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 xml:space="preserve">[Regulation 92 amended in Gazette 31 May 1991 p. 2699.] </w:t>
      </w:r>
    </w:p>
    <w:p>
      <w:pPr>
        <w:pStyle w:val="Ednotesection"/>
      </w:pPr>
      <w:r>
        <w:t>[</w:t>
      </w:r>
      <w:r>
        <w:rPr>
          <w:b/>
        </w:rPr>
        <w:t>93.</w:t>
      </w:r>
      <w:r>
        <w:tab/>
        <w:t>Repealed in Gazette 2 Feb 2001 p. 713.]</w:t>
      </w:r>
    </w:p>
    <w:p>
      <w:pPr>
        <w:pStyle w:val="Ednotesection"/>
      </w:pPr>
      <w:r>
        <w:t>[</w:t>
      </w:r>
      <w:r>
        <w:rPr>
          <w:b/>
        </w:rPr>
        <w:t>94, 94A.</w:t>
      </w:r>
      <w:r>
        <w:tab/>
        <w:t xml:space="preserve">Repealed in Gazette 24 Jun 1994 p. 2933.] </w:t>
      </w:r>
    </w:p>
    <w:p>
      <w:pPr>
        <w:pStyle w:val="Heading5"/>
        <w:rPr>
          <w:snapToGrid w:val="0"/>
        </w:rPr>
      </w:pPr>
      <w:bookmarkStart w:id="1114" w:name="_Toc474633145"/>
      <w:bookmarkStart w:id="1115" w:name="_Toc488740296"/>
      <w:bookmarkStart w:id="1116" w:name="_Toc8623679"/>
      <w:bookmarkStart w:id="1117" w:name="_Toc11229520"/>
      <w:bookmarkStart w:id="1118" w:name="_Toc104276691"/>
      <w:bookmarkStart w:id="1119" w:name="_Toc127338109"/>
      <w:r>
        <w:rPr>
          <w:rStyle w:val="CharSectno"/>
        </w:rPr>
        <w:t>95</w:t>
      </w:r>
      <w:r>
        <w:rPr>
          <w:snapToGrid w:val="0"/>
        </w:rPr>
        <w:t>.</w:t>
      </w:r>
      <w:r>
        <w:rPr>
          <w:snapToGrid w:val="0"/>
        </w:rPr>
        <w:tab/>
        <w:t>Tenements within more than one mineral field or district</w:t>
      </w:r>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 xml:space="preserve">[Regulation 95 amended in Gazette 2 Oct 1987 p. 3837.] </w:t>
      </w:r>
    </w:p>
    <w:p>
      <w:pPr>
        <w:pStyle w:val="Heading5"/>
      </w:pPr>
      <w:bookmarkStart w:id="1120" w:name="_Toc127338110"/>
      <w:bookmarkStart w:id="1121" w:name="_Toc474633146"/>
      <w:bookmarkStart w:id="1122" w:name="_Toc488740297"/>
      <w:bookmarkStart w:id="1123" w:name="_Toc8623680"/>
      <w:bookmarkStart w:id="1124" w:name="_Toc11229521"/>
      <w:bookmarkStart w:id="1125" w:name="_Toc104276692"/>
      <w:r>
        <w:rPr>
          <w:rStyle w:val="CharSectno"/>
        </w:rPr>
        <w:t>95A</w:t>
      </w:r>
      <w:r>
        <w:t>.</w:t>
      </w:r>
      <w:r>
        <w:tab/>
        <w:t>Mining statistics</w:t>
      </w:r>
      <w:bookmarkEnd w:id="1120"/>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126" w:name="_Toc127338111"/>
      <w:r>
        <w:rPr>
          <w:rStyle w:val="CharSectno"/>
        </w:rPr>
        <w:t>96</w:t>
      </w:r>
      <w:r>
        <w:rPr>
          <w:snapToGrid w:val="0"/>
        </w:rPr>
        <w:t>.</w:t>
      </w:r>
      <w:r>
        <w:rPr>
          <w:snapToGrid w:val="0"/>
        </w:rPr>
        <w:tab/>
        <w:t>Release of information contained in reports</w:t>
      </w:r>
      <w:bookmarkEnd w:id="1121"/>
      <w:bookmarkEnd w:id="1122"/>
      <w:bookmarkEnd w:id="1123"/>
      <w:bookmarkEnd w:id="1124"/>
      <w:bookmarkEnd w:id="1125"/>
      <w:bookmarkEnd w:id="112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combined mineral exploration report</w:t>
      </w:r>
      <w:r>
        <w:rPr>
          <w:b/>
        </w:rPr>
        <w:t>”</w:t>
      </w:r>
      <w:r>
        <w:t xml:space="preserve"> means a combined mineral exploration report filed in accordance with arrangements referred to in section 115A(4);</w:t>
      </w:r>
    </w:p>
    <w:p>
      <w:pPr>
        <w:pStyle w:val="Defstart"/>
      </w:pPr>
      <w:r>
        <w:rPr>
          <w:b/>
        </w:rPr>
        <w:tab/>
        <w:t>“</w:t>
      </w:r>
      <w:r>
        <w:rPr>
          <w:rStyle w:val="CharDefText"/>
        </w:rPr>
        <w:t>mineral exploration report</w:t>
      </w:r>
      <w:r>
        <w:rPr>
          <w:b/>
        </w:rPr>
        <w:t>”</w:t>
      </w:r>
      <w:r>
        <w:t xml:space="preserve"> includes a combined mineral exploration report;</w:t>
      </w:r>
    </w:p>
    <w:p>
      <w:pPr>
        <w:pStyle w:val="Defstart"/>
      </w:pPr>
      <w:r>
        <w:rPr>
          <w:b/>
        </w:rPr>
        <w:tab/>
        <w:t>“</w:t>
      </w:r>
      <w:r>
        <w:rPr>
          <w:rStyle w:val="CharDefText"/>
        </w:rPr>
        <w:t>mining information</w:t>
      </w:r>
      <w:r>
        <w:rPr>
          <w:b/>
        </w:rPr>
        <w:t>”</w:t>
      </w:r>
      <w:r>
        <w:t xml:space="preserve"> means — </w:t>
      </w:r>
    </w:p>
    <w:p>
      <w:pPr>
        <w:pStyle w:val="Defpara"/>
      </w:pPr>
      <w:r>
        <w:tab/>
        <w:t>(a)</w:t>
      </w:r>
      <w:r>
        <w:tab/>
        <w:t xml:space="preserve">information contained in —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r>
      <w:r>
        <w:tab/>
        <w:t>but does not include such information if it is in the form of mining statistics compiled under regulation 95A;</w:t>
      </w:r>
    </w:p>
    <w:p>
      <w:pPr>
        <w:pStyle w:val="Defstart"/>
      </w:pPr>
      <w:r>
        <w:tab/>
      </w:r>
      <w:r>
        <w:rPr>
          <w:b/>
        </w:rPr>
        <w:t>“</w:t>
      </w:r>
      <w:r>
        <w:rPr>
          <w:rStyle w:val="CharDefText"/>
        </w:rPr>
        <w:t>operations report</w:t>
      </w:r>
      <w:r>
        <w:rPr>
          <w:b/>
        </w:rPr>
        <w:t>”</w:t>
      </w:r>
      <w:r>
        <w:t xml:space="preserve"> has the same meaning as in section 115A(1);</w:t>
      </w:r>
    </w:p>
    <w:p>
      <w:pPr>
        <w:pStyle w:val="Defstart"/>
      </w:pPr>
      <w:r>
        <w:rPr>
          <w:b/>
        </w:rPr>
        <w:tab/>
        <w:t>“</w:t>
      </w:r>
      <w:r>
        <w:rPr>
          <w:rStyle w:val="CharDefText"/>
        </w:rPr>
        <w:t>release</w:t>
      </w:r>
      <w:r>
        <w:rPr>
          <w:b/>
        </w:rPr>
        <w:t>”</w:t>
      </w:r>
      <w:r>
        <w:t xml:space="preserve"> means publish, print, reproduce or otherwise make available to the public.</w:t>
      </w:r>
    </w:p>
    <w:p>
      <w:pPr>
        <w:pStyle w:val="Subsection"/>
        <w:spacing w:before="120"/>
        <w:rPr>
          <w:snapToGrid w:val="0"/>
        </w:rPr>
      </w:pPr>
      <w:r>
        <w:rPr>
          <w:snapToGrid w:val="0"/>
        </w:rPr>
        <w:tab/>
        <w:t>(2)</w:t>
      </w:r>
      <w:r>
        <w:rPr>
          <w:snapToGrid w:val="0"/>
        </w:rPr>
        <w:tab/>
        <w:t>The Minister may only release</w:t>
      </w:r>
      <w:r>
        <w:t xml:space="preserve"> mining information</w:t>
      </w:r>
      <w:r>
        <w:rPr>
          <w:snapToGrid w:val="0"/>
        </w:rPr>
        <w:t> —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spacing w:before="120"/>
        <w:rPr>
          <w:snapToGrid w:val="0"/>
        </w:rPr>
      </w:pPr>
      <w:r>
        <w:rPr>
          <w:snapToGrid w:val="0"/>
        </w:rPr>
        <w:tab/>
        <w:t>(3)</w:t>
      </w:r>
      <w:r>
        <w:rPr>
          <w:snapToGrid w:val="0"/>
        </w:rPr>
        <w:tab/>
        <w:t>Despite subregulation (2), a person may, on payment of the prescribed fee, obtain at the Department at Perth a copy of the front page of an operations report in the form No. 5 in the First Schedule, 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spacing w:before="120"/>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spacing w:before="120"/>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spacing w:before="120"/>
        <w:rPr>
          <w:snapToGrid w:val="0"/>
        </w:rPr>
      </w:pPr>
      <w:r>
        <w:rPr>
          <w:snapToGrid w:val="0"/>
        </w:rPr>
        <w:tab/>
        <w:t>(7)</w:t>
      </w:r>
      <w:r>
        <w:rPr>
          <w:snapToGrid w:val="0"/>
        </w:rPr>
        <w:tab/>
        <w:t>If —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 xml:space="preserve">20; amended in Gazette 11 Jun 1999 p. 2544; 3 Feb 2006 p. 597-9.] </w:t>
      </w:r>
    </w:p>
    <w:p>
      <w:pPr>
        <w:pStyle w:val="Heading5"/>
        <w:rPr>
          <w:snapToGrid w:val="0"/>
        </w:rPr>
      </w:pPr>
      <w:bookmarkStart w:id="1127" w:name="_Toc474633147"/>
      <w:bookmarkStart w:id="1128" w:name="_Toc488740298"/>
      <w:bookmarkStart w:id="1129" w:name="_Toc8623681"/>
      <w:bookmarkStart w:id="1130" w:name="_Toc11229522"/>
      <w:bookmarkStart w:id="1131" w:name="_Toc104276693"/>
      <w:bookmarkStart w:id="1132" w:name="_Toc127338112"/>
      <w:r>
        <w:rPr>
          <w:rStyle w:val="CharSectno"/>
        </w:rPr>
        <w:t>96A</w:t>
      </w:r>
      <w:r>
        <w:rPr>
          <w:snapToGrid w:val="0"/>
        </w:rPr>
        <w:t>.</w:t>
      </w:r>
      <w:r>
        <w:rPr>
          <w:snapToGrid w:val="0"/>
        </w:rPr>
        <w:tab/>
        <w:t>Authorisation for release of information in mineral exploration reports</w:t>
      </w:r>
      <w:bookmarkEnd w:id="1127"/>
      <w:bookmarkEnd w:id="1128"/>
      <w:bookmarkEnd w:id="1129"/>
      <w:bookmarkEnd w:id="1130"/>
      <w:bookmarkEnd w:id="1131"/>
      <w:bookmarkEnd w:id="1132"/>
      <w:r>
        <w:rPr>
          <w:snapToGrid w:val="0"/>
        </w:rPr>
        <w:t xml:space="preserve"> </w:t>
      </w:r>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 xml:space="preserve">[Regulation 96A inserted in Gazette 13 Oct 1995 p. 4820; amended in Gazette 15 Dec 1995 p. 6115.] </w:t>
      </w:r>
    </w:p>
    <w:p>
      <w:pPr>
        <w:pStyle w:val="Heading5"/>
        <w:rPr>
          <w:snapToGrid w:val="0"/>
        </w:rPr>
      </w:pPr>
      <w:bookmarkStart w:id="1133" w:name="_Toc474633148"/>
      <w:bookmarkStart w:id="1134" w:name="_Toc488740299"/>
      <w:bookmarkStart w:id="1135" w:name="_Toc8623682"/>
      <w:bookmarkStart w:id="1136" w:name="_Toc11229523"/>
      <w:bookmarkStart w:id="1137" w:name="_Toc104276694"/>
      <w:bookmarkStart w:id="1138" w:name="_Toc127338113"/>
      <w:r>
        <w:rPr>
          <w:rStyle w:val="CharSectno"/>
        </w:rPr>
        <w:t>96B</w:t>
      </w:r>
      <w:r>
        <w:rPr>
          <w:snapToGrid w:val="0"/>
        </w:rPr>
        <w:t>.</w:t>
      </w:r>
      <w:r>
        <w:rPr>
          <w:snapToGrid w:val="0"/>
        </w:rPr>
        <w:tab/>
        <w:t>Publication of guidelines — mineral exploration reports</w:t>
      </w:r>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 xml:space="preserve">[Regulation 96B inserted in Gazette 13 Oct 1995 p. 4820.] </w:t>
      </w:r>
    </w:p>
    <w:p>
      <w:pPr>
        <w:pStyle w:val="Heading5"/>
      </w:pPr>
      <w:bookmarkStart w:id="1139" w:name="_Toc474633149"/>
      <w:bookmarkStart w:id="1140" w:name="_Toc488740300"/>
      <w:bookmarkStart w:id="1141" w:name="_Toc8623683"/>
      <w:bookmarkStart w:id="1142" w:name="_Toc11229524"/>
      <w:bookmarkStart w:id="1143" w:name="_Toc104276695"/>
      <w:bookmarkStart w:id="1144" w:name="_Toc127338114"/>
      <w:r>
        <w:rPr>
          <w:rStyle w:val="CharSectno"/>
        </w:rPr>
        <w:t>96C</w:t>
      </w:r>
      <w:r>
        <w:t>.</w:t>
      </w:r>
      <w:r>
        <w:tab/>
        <w:t>Specific expenditure provisions</w:t>
      </w:r>
      <w:bookmarkEnd w:id="1139"/>
      <w:bookmarkEnd w:id="1140"/>
      <w:bookmarkEnd w:id="1141"/>
      <w:bookmarkEnd w:id="1142"/>
      <w:bookmarkEnd w:id="1143"/>
      <w:bookmarkEnd w:id="1144"/>
    </w:p>
    <w:p>
      <w:pPr>
        <w:pStyle w:val="Subsection"/>
      </w:pPr>
      <w:r>
        <w:tab/>
        <w:t>(1)</w:t>
      </w:r>
      <w:r>
        <w:tab/>
        <w:t xml:space="preserve">The cost of an Aboriginal heritage survey conducted on land which is the subject of a mining tenement may be used in the calculation of expenditure expended on, or in connection with, mining on the mining tenement. </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Where the cost of a survey is claimed under subregulation (1) or (1a) —</w:t>
      </w:r>
    </w:p>
    <w:p>
      <w:pPr>
        <w:pStyle w:val="Indenta"/>
      </w:pPr>
      <w:r>
        <w:tab/>
        <w:t>(a)</w:t>
      </w:r>
      <w:r>
        <w:tab/>
        <w:t xml:space="preserve">a copy of the survey must be submitted to the Registrar of Aboriginal Sites (appointed under section 37 of the </w:t>
      </w:r>
      <w:r>
        <w:rPr>
          <w:i/>
        </w:rPr>
        <w:t>Aboriginal Heritage Act 1972</w:t>
      </w:r>
      <w:r>
        <w:t>) as soon as practicable; and</w:t>
      </w:r>
    </w:p>
    <w:p>
      <w:pPr>
        <w:pStyle w:val="Indenta"/>
      </w:pPr>
      <w:r>
        <w:tab/>
        <w:t>(b)</w:t>
      </w:r>
      <w:r>
        <w:tab/>
        <w:t>evidence that the survey has been submitted to the Registrar of Aboriginal Sites must be provided to the Department.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 xml:space="preserve">For the purposes of subregulations (3b) and (3d) the cost of an aerial survey comprises —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w:t>
      </w:r>
    </w:p>
    <w:p>
      <w:pPr>
        <w:pStyle w:val="Heading5"/>
      </w:pPr>
      <w:bookmarkStart w:id="1145" w:name="_Toc127338115"/>
      <w:bookmarkStart w:id="1146" w:name="_Toc474633150"/>
      <w:bookmarkStart w:id="1147" w:name="_Toc488740301"/>
      <w:bookmarkStart w:id="1148" w:name="_Toc8623684"/>
      <w:bookmarkStart w:id="1149" w:name="_Toc11229525"/>
      <w:bookmarkStart w:id="1150" w:name="_Toc104276696"/>
      <w:r>
        <w:rPr>
          <w:rStyle w:val="CharSectno"/>
        </w:rPr>
        <w:t>96D</w:t>
      </w:r>
      <w:r>
        <w:t>.</w:t>
      </w:r>
      <w:r>
        <w:tab/>
        <w:t>Drill cores</w:t>
      </w:r>
      <w:bookmarkEnd w:id="1145"/>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1151" w:name="_Toc127338116"/>
      <w:r>
        <w:rPr>
          <w:rStyle w:val="CharSectno"/>
        </w:rPr>
        <w:t>97</w:t>
      </w:r>
      <w:r>
        <w:rPr>
          <w:snapToGrid w:val="0"/>
        </w:rPr>
        <w:t>.</w:t>
      </w:r>
      <w:r>
        <w:rPr>
          <w:snapToGrid w:val="0"/>
        </w:rPr>
        <w:tab/>
        <w:t>No mining that obstructs public thoroughfares, etc.</w:t>
      </w:r>
      <w:bookmarkEnd w:id="1146"/>
      <w:bookmarkEnd w:id="1147"/>
      <w:bookmarkEnd w:id="1148"/>
      <w:bookmarkEnd w:id="1149"/>
      <w:bookmarkEnd w:id="1150"/>
      <w:bookmarkEnd w:id="1151"/>
      <w:r>
        <w:rPr>
          <w:snapToGrid w:val="0"/>
        </w:rPr>
        <w:t xml:space="preserve"> </w:t>
      </w:r>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152" w:name="_Toc474633151"/>
      <w:bookmarkStart w:id="1153" w:name="_Toc488740302"/>
      <w:bookmarkStart w:id="1154" w:name="_Toc8623685"/>
      <w:bookmarkStart w:id="1155" w:name="_Toc11229526"/>
      <w:bookmarkStart w:id="1156" w:name="_Toc104276697"/>
      <w:bookmarkStart w:id="1157" w:name="_Toc127338117"/>
      <w:r>
        <w:rPr>
          <w:rStyle w:val="CharSectno"/>
        </w:rPr>
        <w:t>98</w:t>
      </w:r>
      <w:r>
        <w:rPr>
          <w:snapToGrid w:val="0"/>
        </w:rPr>
        <w:t>.</w:t>
      </w:r>
      <w:r>
        <w:rPr>
          <w:snapToGrid w:val="0"/>
        </w:rPr>
        <w:tab/>
        <w:t>Control of detritus, dirt, etc.</w:t>
      </w:r>
      <w:bookmarkEnd w:id="1152"/>
      <w:bookmarkEnd w:id="1153"/>
      <w:bookmarkEnd w:id="1154"/>
      <w:bookmarkEnd w:id="1155"/>
      <w:bookmarkEnd w:id="1156"/>
      <w:bookmarkEnd w:id="1157"/>
      <w:r>
        <w:rPr>
          <w:snapToGrid w:val="0"/>
        </w:rPr>
        <w:t xml:space="preserve"> </w:t>
      </w:r>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158" w:name="_Toc474633152"/>
      <w:bookmarkStart w:id="1159" w:name="_Toc488740303"/>
      <w:bookmarkStart w:id="1160" w:name="_Toc8623686"/>
      <w:bookmarkStart w:id="1161" w:name="_Toc11229527"/>
      <w:bookmarkStart w:id="1162" w:name="_Toc104276698"/>
      <w:bookmarkStart w:id="1163" w:name="_Toc127338118"/>
      <w:r>
        <w:rPr>
          <w:rStyle w:val="CharSectno"/>
        </w:rPr>
        <w:t>99</w:t>
      </w:r>
      <w:r>
        <w:rPr>
          <w:snapToGrid w:val="0"/>
        </w:rPr>
        <w:t>.</w:t>
      </w:r>
      <w:r>
        <w:rPr>
          <w:snapToGrid w:val="0"/>
        </w:rPr>
        <w:tab/>
        <w:t>Decency and sanitation</w:t>
      </w:r>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164" w:name="_Toc474633153"/>
      <w:bookmarkStart w:id="1165" w:name="_Toc488740304"/>
      <w:bookmarkStart w:id="1166" w:name="_Toc8623687"/>
      <w:bookmarkStart w:id="1167" w:name="_Toc11229528"/>
      <w:bookmarkStart w:id="1168" w:name="_Toc104276699"/>
      <w:bookmarkStart w:id="1169" w:name="_Toc127338119"/>
      <w:r>
        <w:rPr>
          <w:rStyle w:val="CharSectno"/>
        </w:rPr>
        <w:t>100</w:t>
      </w:r>
      <w:r>
        <w:rPr>
          <w:snapToGrid w:val="0"/>
        </w:rPr>
        <w:t>.</w:t>
      </w:r>
      <w:r>
        <w:rPr>
          <w:snapToGrid w:val="0"/>
        </w:rPr>
        <w:tab/>
        <w:t>Removal of fences, timbers, etc.</w:t>
      </w:r>
      <w:bookmarkEnd w:id="1164"/>
      <w:bookmarkEnd w:id="1165"/>
      <w:bookmarkEnd w:id="1166"/>
      <w:bookmarkEnd w:id="1167"/>
      <w:bookmarkEnd w:id="1168"/>
      <w:bookmarkEnd w:id="1169"/>
      <w:r>
        <w:rPr>
          <w:snapToGrid w:val="0"/>
        </w:rPr>
        <w:t xml:space="preserve"> </w:t>
      </w:r>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170" w:name="_Toc127338120"/>
      <w:bookmarkStart w:id="1171" w:name="_Toc104276701"/>
      <w:bookmarkStart w:id="1172" w:name="_Toc474633155"/>
      <w:bookmarkStart w:id="1173" w:name="_Toc488740306"/>
      <w:bookmarkStart w:id="1174" w:name="_Toc8623689"/>
      <w:bookmarkStart w:id="1175" w:name="_Toc11229530"/>
      <w:r>
        <w:rPr>
          <w:rStyle w:val="CharSectno"/>
        </w:rPr>
        <w:t>101</w:t>
      </w:r>
      <w:r>
        <w:t>.</w:t>
      </w:r>
      <w:r>
        <w:tab/>
        <w:t>Manner of camping — section 20(2)(e)</w:t>
      </w:r>
      <w:bookmarkEnd w:id="1170"/>
    </w:p>
    <w:p>
      <w:pPr>
        <w:pStyle w:val="Subsection"/>
      </w:pPr>
      <w:r>
        <w:tab/>
      </w:r>
      <w:r>
        <w:tab/>
        <w:t xml:space="preserve">For the purposes of section 20(2)(e) the holder of a Miner’s Right may camp on Crown land in —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1176" w:name="_Toc127338121"/>
      <w:r>
        <w:rPr>
          <w:rStyle w:val="CharSectno"/>
        </w:rPr>
        <w:t>101A</w:t>
      </w:r>
      <w:r>
        <w:t>.</w:t>
      </w:r>
      <w:r>
        <w:tab/>
        <w:t>Notice before mining under certain Crown land or private land</w:t>
      </w:r>
      <w:bookmarkEnd w:id="1171"/>
      <w:bookmarkEnd w:id="1176"/>
    </w:p>
    <w:p>
      <w:pPr>
        <w:pStyle w:val="Subsection"/>
      </w:pPr>
      <w:r>
        <w:tab/>
        <w:t>(1)</w:t>
      </w:r>
      <w:r>
        <w:tab/>
        <w:t xml:space="preserve">In this regulation — </w:t>
      </w:r>
    </w:p>
    <w:p>
      <w:pPr>
        <w:pStyle w:val="Defstart"/>
      </w:pPr>
      <w:r>
        <w:rPr>
          <w:b/>
        </w:rPr>
        <w:tab/>
        <w:t>“</w:t>
      </w:r>
      <w:r>
        <w:rPr>
          <w:rStyle w:val="CharDefText"/>
        </w:rPr>
        <w:t>relevant depth</w:t>
      </w:r>
      <w:r>
        <w:rPr>
          <w:b/>
        </w:rPr>
        <w:t>”</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 xml:space="preserve">The notice is to contain details of —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177" w:name="_Toc104276702"/>
      <w:bookmarkStart w:id="1178" w:name="_Toc127338122"/>
      <w:r>
        <w:rPr>
          <w:rStyle w:val="CharSectno"/>
        </w:rPr>
        <w:t>102</w:t>
      </w:r>
      <w:r>
        <w:rPr>
          <w:snapToGrid w:val="0"/>
        </w:rPr>
        <w:t>.</w:t>
      </w:r>
      <w:r>
        <w:rPr>
          <w:snapToGrid w:val="0"/>
        </w:rPr>
        <w:tab/>
        <w:t>Devolution on death, etc.</w:t>
      </w:r>
      <w:bookmarkEnd w:id="1172"/>
      <w:bookmarkEnd w:id="1173"/>
      <w:bookmarkEnd w:id="1174"/>
      <w:bookmarkEnd w:id="1175"/>
      <w:bookmarkEnd w:id="1177"/>
      <w:bookmarkEnd w:id="1178"/>
      <w:r>
        <w:rPr>
          <w:snapToGrid w:val="0"/>
        </w:rPr>
        <w:t xml:space="preserve"> </w:t>
      </w:r>
    </w:p>
    <w:p>
      <w:pPr>
        <w:pStyle w:val="Subsection"/>
        <w:spacing w:before="140"/>
        <w:rPr>
          <w:snapToGrid w:val="0"/>
        </w:rPr>
      </w:pPr>
      <w:r>
        <w:rPr>
          <w:snapToGrid w:val="0"/>
        </w:rPr>
        <w:tab/>
        <w:t>(1)</w:t>
      </w:r>
      <w:r>
        <w:rPr>
          <w:snapToGrid w:val="0"/>
        </w:rPr>
        <w:tab/>
        <w:t>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No. 28 in the First Schedule 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Ednotesection"/>
      </w:pPr>
      <w:bookmarkStart w:id="1179" w:name="_Toc474633157"/>
      <w:bookmarkStart w:id="1180" w:name="_Toc488740308"/>
      <w:bookmarkStart w:id="1181" w:name="_Toc8623691"/>
      <w:bookmarkStart w:id="1182" w:name="_Toc11229532"/>
      <w:bookmarkStart w:id="1183" w:name="_Toc104276704"/>
      <w:r>
        <w:t>[</w:t>
      </w:r>
      <w:r>
        <w:rPr>
          <w:b/>
          <w:bCs/>
        </w:rPr>
        <w:t>103.</w:t>
      </w:r>
      <w:r>
        <w:tab/>
        <w:t>Repealed in Gazette 3 Feb 2006 p. 524.]</w:t>
      </w:r>
    </w:p>
    <w:p>
      <w:pPr>
        <w:pStyle w:val="Heading5"/>
        <w:rPr>
          <w:snapToGrid w:val="0"/>
        </w:rPr>
      </w:pPr>
      <w:bookmarkStart w:id="1184" w:name="_Toc127338123"/>
      <w:r>
        <w:rPr>
          <w:rStyle w:val="CharSectno"/>
        </w:rPr>
        <w:t>104</w:t>
      </w:r>
      <w:r>
        <w:rPr>
          <w:snapToGrid w:val="0"/>
        </w:rPr>
        <w:t>.</w:t>
      </w:r>
      <w:r>
        <w:rPr>
          <w:snapToGrid w:val="0"/>
        </w:rPr>
        <w:tab/>
        <w:t>Time for any act may be extended</w:t>
      </w:r>
      <w:bookmarkEnd w:id="1179"/>
      <w:bookmarkEnd w:id="1180"/>
      <w:bookmarkEnd w:id="1181"/>
      <w:bookmarkEnd w:id="1182"/>
      <w:bookmarkEnd w:id="1183"/>
      <w:bookmarkEnd w:id="1184"/>
      <w:r>
        <w:rPr>
          <w:snapToGrid w:val="0"/>
        </w:rPr>
        <w:t xml:space="preserve"> </w:t>
      </w:r>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185" w:name="_Toc474633158"/>
      <w:bookmarkStart w:id="1186" w:name="_Toc488740309"/>
      <w:bookmarkStart w:id="1187" w:name="_Toc8623692"/>
      <w:bookmarkStart w:id="1188" w:name="_Toc11229533"/>
      <w:bookmarkStart w:id="1189" w:name="_Toc104276705"/>
      <w:bookmarkStart w:id="1190" w:name="_Toc127338124"/>
      <w:r>
        <w:rPr>
          <w:rStyle w:val="CharSectno"/>
        </w:rPr>
        <w:t>105</w:t>
      </w:r>
      <w:r>
        <w:rPr>
          <w:snapToGrid w:val="0"/>
        </w:rPr>
        <w:t>.</w:t>
      </w:r>
      <w:r>
        <w:rPr>
          <w:snapToGrid w:val="0"/>
        </w:rPr>
        <w:tab/>
        <w:t>Application for copy document</w:t>
      </w:r>
      <w:bookmarkEnd w:id="1185"/>
      <w:bookmarkEnd w:id="1186"/>
      <w:bookmarkEnd w:id="1187"/>
      <w:bookmarkEnd w:id="1188"/>
      <w:bookmarkEnd w:id="1189"/>
      <w:bookmarkEnd w:id="1190"/>
      <w:r>
        <w:rPr>
          <w:snapToGrid w:val="0"/>
        </w:rPr>
        <w:t xml:space="preserve"> </w:t>
      </w:r>
    </w:p>
    <w:p>
      <w:pPr>
        <w:pStyle w:val="Subsection"/>
        <w:rPr>
          <w:snapToGrid w:val="0"/>
        </w:rPr>
      </w:pPr>
      <w:r>
        <w:rPr>
          <w:snapToGrid w:val="0"/>
        </w:rPr>
        <w:tab/>
      </w:r>
      <w:r>
        <w:rPr>
          <w:snapToGrid w:val="0"/>
        </w:rPr>
        <w:tab/>
        <w:t>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No. 29 in the First Schedule with the prescribed fee for a copy of the instrument or document to be issued, and a certified copy shall be issued.</w:t>
      </w:r>
    </w:p>
    <w:p>
      <w:pPr>
        <w:pStyle w:val="Ednotesection"/>
      </w:pPr>
      <w:bookmarkStart w:id="1191" w:name="_Toc474633162"/>
      <w:bookmarkStart w:id="1192" w:name="_Toc488740313"/>
      <w:bookmarkStart w:id="1193" w:name="_Toc8623696"/>
      <w:bookmarkStart w:id="1194" w:name="_Toc11229537"/>
      <w:bookmarkStart w:id="1195" w:name="_Toc104276710"/>
      <w:r>
        <w:t>[</w:t>
      </w:r>
      <w:r>
        <w:rPr>
          <w:b/>
          <w:bCs/>
        </w:rPr>
        <w:t>106-107AA.</w:t>
      </w:r>
      <w:r>
        <w:tab/>
        <w:t>Repealed in Gazette 3 Feb 2006 p. 524.]</w:t>
      </w:r>
    </w:p>
    <w:p>
      <w:pPr>
        <w:pStyle w:val="Heading5"/>
        <w:spacing w:before="120"/>
        <w:rPr>
          <w:snapToGrid w:val="0"/>
        </w:rPr>
      </w:pPr>
      <w:bookmarkStart w:id="1196" w:name="_Toc127338125"/>
      <w:r>
        <w:rPr>
          <w:rStyle w:val="CharSectno"/>
        </w:rPr>
        <w:t>108</w:t>
      </w:r>
      <w:r>
        <w:rPr>
          <w:snapToGrid w:val="0"/>
        </w:rPr>
        <w:t>.</w:t>
      </w:r>
      <w:r>
        <w:rPr>
          <w:snapToGrid w:val="0"/>
        </w:rPr>
        <w:tab/>
        <w:t>Appointment of attorney</w:t>
      </w:r>
      <w:bookmarkEnd w:id="1191"/>
      <w:bookmarkEnd w:id="1192"/>
      <w:bookmarkEnd w:id="1193"/>
      <w:bookmarkEnd w:id="1194"/>
      <w:bookmarkEnd w:id="1195"/>
      <w:bookmarkEnd w:id="1196"/>
      <w:r>
        <w:rPr>
          <w:snapToGrid w:val="0"/>
        </w:rPr>
        <w:t xml:space="preserve"> </w:t>
      </w:r>
    </w:p>
    <w:p>
      <w:pPr>
        <w:pStyle w:val="Subsection"/>
        <w:spacing w:before="100"/>
        <w:rPr>
          <w:snapToGrid w:val="0"/>
        </w:rPr>
      </w:pPr>
      <w:r>
        <w:rPr>
          <w:snapToGrid w:val="0"/>
        </w:rPr>
        <w:tab/>
      </w:r>
      <w:r>
        <w:rPr>
          <w:snapToGrid w:val="0"/>
        </w:rPr>
        <w:tab/>
        <w:t>A person may appoint an attorney to act for him in dealing with any mining tenement or application therefor by lodging a power of attorney in the form No. 31 in the First Schedule with the prescribed fee.</w:t>
      </w:r>
    </w:p>
    <w:p>
      <w:pPr>
        <w:pStyle w:val="Heading5"/>
        <w:spacing w:before="120"/>
        <w:rPr>
          <w:snapToGrid w:val="0"/>
        </w:rPr>
      </w:pPr>
      <w:bookmarkStart w:id="1197" w:name="_Toc474633163"/>
      <w:bookmarkStart w:id="1198" w:name="_Toc488740314"/>
      <w:bookmarkStart w:id="1199" w:name="_Toc8623697"/>
      <w:bookmarkStart w:id="1200" w:name="_Toc11229538"/>
      <w:bookmarkStart w:id="1201" w:name="_Toc104276711"/>
      <w:bookmarkStart w:id="1202" w:name="_Toc127338126"/>
      <w:r>
        <w:rPr>
          <w:rStyle w:val="CharSectno"/>
        </w:rPr>
        <w:t>109</w:t>
      </w:r>
      <w:r>
        <w:rPr>
          <w:snapToGrid w:val="0"/>
        </w:rPr>
        <w:t>.</w:t>
      </w:r>
      <w:r>
        <w:rPr>
          <w:snapToGrid w:val="0"/>
        </w:rPr>
        <w:tab/>
        <w:t>Fees and rents</w:t>
      </w:r>
      <w:bookmarkEnd w:id="1197"/>
      <w:bookmarkEnd w:id="1198"/>
      <w:bookmarkEnd w:id="1199"/>
      <w:bookmarkEnd w:id="1200"/>
      <w:bookmarkEnd w:id="1201"/>
      <w:bookmarkEnd w:id="1202"/>
      <w:r>
        <w:rPr>
          <w:snapToGrid w:val="0"/>
        </w:rPr>
        <w:t xml:space="preserve"> </w:t>
      </w:r>
    </w:p>
    <w:p>
      <w:pPr>
        <w:pStyle w:val="Subsection"/>
        <w:spacing w:before="100"/>
        <w:rPr>
          <w:snapToGrid w:val="0"/>
        </w:rPr>
      </w:pPr>
      <w:r>
        <w:rPr>
          <w:snapToGrid w:val="0"/>
        </w:rPr>
        <w:tab/>
        <w:t>(1)</w:t>
      </w:r>
      <w:r>
        <w:rPr>
          <w:snapToGrid w:val="0"/>
        </w:rPr>
        <w:tab/>
        <w:t xml:space="preserve">Subject to </w:t>
      </w:r>
      <w:r>
        <w:t>subregulation</w:t>
      </w:r>
      <w:r>
        <w:rPr>
          <w:snapToGrid w:val="0"/>
        </w:rPr>
        <w:t> (2), fees payable under the Act are prescribed in the Second Schedule.</w:t>
      </w:r>
    </w:p>
    <w:p>
      <w:pPr>
        <w:pStyle w:val="Subsection"/>
        <w:spacing w:before="100"/>
        <w:rPr>
          <w:snapToGrid w:val="0"/>
        </w:rPr>
      </w:pPr>
      <w:r>
        <w:rPr>
          <w:snapToGrid w:val="0"/>
        </w:rPr>
        <w:tab/>
        <w:t>(2)</w:t>
      </w:r>
      <w:r>
        <w:rPr>
          <w:snapToGrid w:val="0"/>
        </w:rPr>
        <w:tab/>
        <w:t xml:space="preserve">The bailiff </w:t>
      </w:r>
      <w:r>
        <w:t>fees</w:t>
      </w:r>
      <w:r>
        <w:rPr>
          <w:snapToGrid w:val="0"/>
        </w:rPr>
        <w:t xml:space="preserve"> set out in Part II of the Appendix to the </w:t>
      </w:r>
      <w:r>
        <w:rPr>
          <w:i/>
          <w:snapToGrid w:val="0"/>
        </w:rPr>
        <w:t>Local Court Rules 1961</w:t>
      </w:r>
      <w:r>
        <w:rPr>
          <w:snapToGrid w:val="0"/>
        </w:rPr>
        <w:t xml:space="preserve"> are, so far as they are applicable, prescribed as the bailiff fees payable in relation to proceedings under the Act.</w:t>
      </w:r>
    </w:p>
    <w:p>
      <w:pPr>
        <w:pStyle w:val="Subsection"/>
        <w:spacing w:before="100"/>
      </w:pPr>
      <w:r>
        <w:tab/>
        <w:t>(3)</w:t>
      </w:r>
      <w:r>
        <w:tab/>
        <w:t>For the purposes of the Act, the prescribed rent, including GST, for a mining tenement for a year is that set out in item 1 of the Second Schedule for that tenement.</w:t>
      </w:r>
    </w:p>
    <w:p>
      <w:pPr>
        <w:pStyle w:val="Subsection"/>
        <w:spacing w:before="100"/>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 xml:space="preserve">14.] </w:t>
      </w:r>
    </w:p>
    <w:p>
      <w:pPr>
        <w:pStyle w:val="Heading5"/>
      </w:pPr>
      <w:bookmarkStart w:id="1203" w:name="_Toc8623698"/>
      <w:bookmarkStart w:id="1204" w:name="_Toc11229539"/>
      <w:bookmarkStart w:id="1205" w:name="_Toc104276712"/>
      <w:bookmarkStart w:id="1206" w:name="_Toc127338127"/>
      <w:bookmarkStart w:id="1207" w:name="_Toc474633165"/>
      <w:bookmarkStart w:id="1208" w:name="_Toc488740316"/>
      <w:r>
        <w:rPr>
          <w:rStyle w:val="CharSectno"/>
        </w:rPr>
        <w:t>109A</w:t>
      </w:r>
      <w:r>
        <w:t>.</w:t>
      </w:r>
      <w:r>
        <w:tab/>
        <w:t>GST to be paid on certain applications</w:t>
      </w:r>
      <w:bookmarkEnd w:id="1203"/>
      <w:bookmarkEnd w:id="1204"/>
      <w:bookmarkEnd w:id="1205"/>
      <w:bookmarkEnd w:id="1206"/>
    </w:p>
    <w:p>
      <w:pPr>
        <w:pStyle w:val="Subsection"/>
        <w:spacing w:before="140"/>
      </w:pPr>
      <w:r>
        <w:tab/>
        <w:t>(1)</w:t>
      </w:r>
      <w:r>
        <w:tab/>
        <w:t xml:space="preserve">This regulation applies to an application for a mining tenement if —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spacing w:before="140"/>
      </w:pPr>
      <w:r>
        <w:tab/>
        <w:t>(2)</w:t>
      </w:r>
      <w:r>
        <w:tab/>
        <w:t>An application to which this regulation applies shall not be granted unless the applicant pays an amount that is 10% of the rent that was paid at the time the application was made.</w:t>
      </w:r>
    </w:p>
    <w:p>
      <w:pPr>
        <w:pStyle w:val="Subsection"/>
        <w:spacing w:before="140"/>
      </w:pPr>
      <w:r>
        <w:tab/>
        <w:t>(3)</w:t>
      </w:r>
      <w:r>
        <w:tab/>
        <w:t>Written notice requiring the payment of the amount referred to in subregulation (2) within 30 days of the date of the issue of the notice may be given to the applicant.</w:t>
      </w:r>
    </w:p>
    <w:p>
      <w:pPr>
        <w:pStyle w:val="Subsection"/>
        <w:spacing w:before="140"/>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1209" w:name="_Toc474633166"/>
      <w:bookmarkStart w:id="1210" w:name="_Toc488740317"/>
      <w:bookmarkStart w:id="1211" w:name="_Toc8623700"/>
      <w:bookmarkStart w:id="1212" w:name="_Toc11229541"/>
      <w:bookmarkStart w:id="1213" w:name="_Toc104276714"/>
      <w:bookmarkEnd w:id="1207"/>
      <w:bookmarkEnd w:id="1208"/>
      <w:r>
        <w:t>[</w:t>
      </w:r>
      <w:r>
        <w:rPr>
          <w:b/>
          <w:bCs/>
        </w:rPr>
        <w:t>110.</w:t>
      </w:r>
      <w:r>
        <w:tab/>
        <w:t>Repealed in Gazette 3 Feb 2006 p. 524.]</w:t>
      </w:r>
    </w:p>
    <w:p>
      <w:pPr>
        <w:pStyle w:val="Heading5"/>
        <w:rPr>
          <w:snapToGrid w:val="0"/>
        </w:rPr>
      </w:pPr>
      <w:bookmarkStart w:id="1214" w:name="_Toc127338128"/>
      <w:r>
        <w:rPr>
          <w:rStyle w:val="CharSectno"/>
        </w:rPr>
        <w:t>111</w:t>
      </w:r>
      <w:r>
        <w:rPr>
          <w:snapToGrid w:val="0"/>
        </w:rPr>
        <w:t>.</w:t>
      </w:r>
      <w:r>
        <w:rPr>
          <w:snapToGrid w:val="0"/>
        </w:rPr>
        <w:tab/>
        <w:t>Service of notices</w:t>
      </w:r>
      <w:bookmarkEnd w:id="1209"/>
      <w:bookmarkEnd w:id="1210"/>
      <w:bookmarkEnd w:id="1211"/>
      <w:bookmarkEnd w:id="1212"/>
      <w:bookmarkEnd w:id="1213"/>
      <w:bookmarkEnd w:id="1214"/>
      <w:r>
        <w:rPr>
          <w:snapToGrid w:val="0"/>
        </w:rPr>
        <w:t xml:space="preserve"> </w:t>
      </w:r>
    </w:p>
    <w:p>
      <w:pPr>
        <w:pStyle w:val="Subsection"/>
        <w:spacing w:before="130"/>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w:t>
      </w:r>
    </w:p>
    <w:p>
      <w:pPr>
        <w:pStyle w:val="Indenta"/>
        <w:spacing w:before="60"/>
        <w:rPr>
          <w:snapToGrid w:val="0"/>
        </w:rPr>
      </w:pPr>
      <w:r>
        <w:rPr>
          <w:snapToGrid w:val="0"/>
        </w:rPr>
        <w:tab/>
        <w:t>(c)</w:t>
      </w:r>
      <w:r>
        <w:rPr>
          <w:snapToGrid w:val="0"/>
        </w:rPr>
        <w:tab/>
        <w:t>by forwarding it by post in a certified or prepaid registered letter addressed to such person at his last known place of abode or business;</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spacing w:before="120"/>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spacing w:before="120"/>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spacing w:before="120"/>
        <w:rPr>
          <w:snapToGrid w:val="0"/>
        </w:rPr>
      </w:pPr>
      <w:r>
        <w:rPr>
          <w:snapToGrid w:val="0"/>
        </w:rPr>
        <w:tab/>
        <w:t>(4)</w:t>
      </w:r>
      <w:r>
        <w:rPr>
          <w:snapToGrid w:val="0"/>
        </w:rPr>
        <w:tab/>
        <w:t>Where in any case the practice and procedure for service of notices is not sufficiently defined in this regulation, the practice and procedure of Local Courts shall be adopted as far as possible.</w:t>
      </w:r>
    </w:p>
    <w:p>
      <w:pPr>
        <w:pStyle w:val="Heading5"/>
      </w:pPr>
      <w:bookmarkStart w:id="1215" w:name="_Toc127338129"/>
      <w:bookmarkStart w:id="1216" w:name="_Toc474633168"/>
      <w:bookmarkStart w:id="1217" w:name="_Toc488740319"/>
      <w:bookmarkStart w:id="1218" w:name="_Toc8623702"/>
      <w:bookmarkStart w:id="1219" w:name="_Toc11229543"/>
      <w:bookmarkStart w:id="1220" w:name="_Toc104276716"/>
      <w:r>
        <w:rPr>
          <w:rStyle w:val="CharSectno"/>
        </w:rPr>
        <w:t>112</w:t>
      </w:r>
      <w:r>
        <w:t>.</w:t>
      </w:r>
      <w:r>
        <w:tab/>
        <w:t>Securities</w:t>
      </w:r>
      <w:bookmarkEnd w:id="1215"/>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No. 32 in the First Schedule is prescribed.</w:t>
      </w:r>
    </w:p>
    <w:p>
      <w:pPr>
        <w:pStyle w:val="Footnotesection"/>
      </w:pPr>
      <w:r>
        <w:tab/>
        <w:t>[Regulation 112 inserted in Gazette 3 Feb 2006 p. 601.]</w:t>
      </w:r>
    </w:p>
    <w:p>
      <w:pPr>
        <w:pStyle w:val="Heading5"/>
        <w:rPr>
          <w:snapToGrid w:val="0"/>
        </w:rPr>
      </w:pPr>
      <w:bookmarkStart w:id="1221" w:name="_Toc127338130"/>
      <w:r>
        <w:rPr>
          <w:rStyle w:val="CharSectno"/>
        </w:rPr>
        <w:t>112A</w:t>
      </w:r>
      <w:r>
        <w:rPr>
          <w:snapToGrid w:val="0"/>
        </w:rPr>
        <w:t>.</w:t>
      </w:r>
      <w:r>
        <w:rPr>
          <w:snapToGrid w:val="0"/>
        </w:rPr>
        <w:tab/>
        <w:t>Discharge of security</w:t>
      </w:r>
      <w:bookmarkEnd w:id="1216"/>
      <w:bookmarkEnd w:id="1217"/>
      <w:bookmarkEnd w:id="1218"/>
      <w:bookmarkEnd w:id="1219"/>
      <w:bookmarkEnd w:id="1220"/>
      <w:bookmarkEnd w:id="1221"/>
      <w:r>
        <w:rPr>
          <w:snapToGrid w:val="0"/>
        </w:rPr>
        <w:t xml:space="preserve"> </w:t>
      </w:r>
    </w:p>
    <w:p>
      <w:pPr>
        <w:pStyle w:val="Subsection"/>
        <w:spacing w:before="140"/>
        <w:rPr>
          <w:snapToGrid w:val="0"/>
        </w:rPr>
      </w:pPr>
      <w:r>
        <w:rPr>
          <w:snapToGrid w:val="0"/>
        </w:rPr>
        <w:tab/>
      </w:r>
      <w:r>
        <w:rPr>
          <w:snapToGrid w:val="0"/>
        </w:rPr>
        <w:tab/>
        <w:t>An application for discharge of a security under section 126(7) shall be accompanied by —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rPr>
          <w:snapToGrid w:val="0"/>
        </w:rPr>
      </w:pPr>
      <w:r>
        <w:rPr>
          <w:snapToGrid w:val="0"/>
        </w:rPr>
        <w:tab/>
        <w:t>(b)</w:t>
      </w:r>
      <w:r>
        <w:rPr>
          <w:snapToGrid w:val="0"/>
        </w:rPr>
        <w:tab/>
        <w:t>a map showing —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 xml:space="preserve">[Regulation 112A inserted in Gazette 2 Oct 1987 p. 3821.] </w:t>
      </w:r>
    </w:p>
    <w:p>
      <w:pPr>
        <w:pStyle w:val="Heading5"/>
        <w:rPr>
          <w:snapToGrid w:val="0"/>
        </w:rPr>
      </w:pPr>
      <w:bookmarkStart w:id="1222" w:name="_Toc474633169"/>
      <w:bookmarkStart w:id="1223" w:name="_Toc488740320"/>
      <w:bookmarkStart w:id="1224" w:name="_Toc8623703"/>
      <w:bookmarkStart w:id="1225" w:name="_Toc11229544"/>
      <w:bookmarkStart w:id="1226" w:name="_Toc104276717"/>
      <w:bookmarkStart w:id="1227" w:name="_Toc127338131"/>
      <w:r>
        <w:rPr>
          <w:rStyle w:val="CharSectno"/>
        </w:rPr>
        <w:t>113</w:t>
      </w:r>
      <w:r>
        <w:rPr>
          <w:snapToGrid w:val="0"/>
        </w:rPr>
        <w:t>.</w:t>
      </w:r>
      <w:r>
        <w:rPr>
          <w:snapToGrid w:val="0"/>
        </w:rPr>
        <w:tab/>
        <w:t>Employees not to use information</w:t>
      </w:r>
      <w:bookmarkEnd w:id="1222"/>
      <w:bookmarkEnd w:id="1223"/>
      <w:bookmarkEnd w:id="1224"/>
      <w:bookmarkEnd w:id="1225"/>
      <w:bookmarkEnd w:id="1226"/>
      <w:bookmarkEnd w:id="1227"/>
      <w:r>
        <w:rPr>
          <w:snapToGrid w:val="0"/>
        </w:rPr>
        <w:t xml:space="preserve"> </w:t>
      </w:r>
    </w:p>
    <w:p>
      <w:pPr>
        <w:pStyle w:val="Subsection"/>
        <w:spacing w:before="14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1228" w:name="_Toc474633170"/>
      <w:bookmarkStart w:id="1229" w:name="_Toc488740321"/>
      <w:bookmarkStart w:id="1230" w:name="_Toc8623704"/>
      <w:bookmarkStart w:id="1231" w:name="_Toc11229545"/>
      <w:bookmarkStart w:id="1232" w:name="_Toc104276718"/>
      <w:bookmarkStart w:id="1233" w:name="_Toc127338132"/>
      <w:r>
        <w:rPr>
          <w:rStyle w:val="CharSectno"/>
        </w:rPr>
        <w:t>113A</w:t>
      </w:r>
      <w:r>
        <w:t>.</w:t>
      </w:r>
      <w:r>
        <w:tab/>
        <w:t>General power for wardens to administer oaths</w:t>
      </w:r>
      <w:bookmarkEnd w:id="1228"/>
      <w:bookmarkEnd w:id="1229"/>
      <w:bookmarkEnd w:id="1230"/>
      <w:bookmarkEnd w:id="1231"/>
      <w:bookmarkEnd w:id="1232"/>
      <w:bookmarkEnd w:id="1233"/>
    </w:p>
    <w:p>
      <w:pPr>
        <w:pStyle w:val="Subsection"/>
        <w:spacing w:before="140"/>
      </w:pPr>
      <w:r>
        <w:tab/>
      </w:r>
      <w:r>
        <w:tab/>
        <w:t xml:space="preserve">In addition to the powers set out in section 138 of the Act </w:t>
      </w:r>
      <w:r>
        <w:rPr>
          <w:i/>
        </w:rPr>
        <w:t>(permitting a warden, etc., to administer an oath in relation to “proceedings in a warden’s court”)</w:t>
      </w:r>
      <w:r>
        <w:t>, a warden, the mining registrar or other person acting as the clerk of the warden’s court may also administer an oath for the purposes of taking evidence in proceedings that are not “proceedings in a warden’s court”.</w:t>
      </w:r>
    </w:p>
    <w:p>
      <w:pPr>
        <w:pStyle w:val="Footnotesection"/>
      </w:pPr>
      <w:r>
        <w:tab/>
        <w:t>[Regulation 113A inserted in Gazette 21 Jan 2000 p. 344</w:t>
      </w:r>
      <w:r>
        <w:noBreakHyphen/>
        <w:t>5.]</w:t>
      </w:r>
    </w:p>
    <w:p>
      <w:pPr>
        <w:pStyle w:val="Heading5"/>
        <w:rPr>
          <w:snapToGrid w:val="0"/>
        </w:rPr>
      </w:pPr>
      <w:bookmarkStart w:id="1234" w:name="_Toc474633171"/>
      <w:bookmarkStart w:id="1235" w:name="_Toc488740322"/>
      <w:bookmarkStart w:id="1236" w:name="_Toc8623705"/>
      <w:bookmarkStart w:id="1237" w:name="_Toc11229546"/>
      <w:bookmarkStart w:id="1238" w:name="_Toc104276719"/>
      <w:bookmarkStart w:id="1239" w:name="_Toc127338133"/>
      <w:r>
        <w:rPr>
          <w:rStyle w:val="CharSectno"/>
        </w:rPr>
        <w:t>114</w:t>
      </w:r>
      <w:r>
        <w:rPr>
          <w:snapToGrid w:val="0"/>
        </w:rPr>
        <w:t>.</w:t>
      </w:r>
      <w:r>
        <w:rPr>
          <w:snapToGrid w:val="0"/>
        </w:rPr>
        <w:tab/>
        <w:t>Warden’s order not to be disobeyed</w:t>
      </w:r>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r>
      <w:r>
        <w:rPr>
          <w:snapToGrid w:val="0"/>
        </w:rPr>
        <w:tab/>
        <w:t>A person who disobeys a lawful order of a warden or a warden’s court commits an offence.</w:t>
      </w:r>
    </w:p>
    <w:p>
      <w:pPr>
        <w:pStyle w:val="Heading5"/>
        <w:rPr>
          <w:snapToGrid w:val="0"/>
        </w:rPr>
      </w:pPr>
      <w:bookmarkStart w:id="1240" w:name="_Toc474633172"/>
      <w:bookmarkStart w:id="1241" w:name="_Toc488740323"/>
      <w:bookmarkStart w:id="1242" w:name="_Toc8623706"/>
      <w:bookmarkStart w:id="1243" w:name="_Toc11229547"/>
      <w:bookmarkStart w:id="1244" w:name="_Toc104276720"/>
      <w:bookmarkStart w:id="1245" w:name="_Toc127338134"/>
      <w:r>
        <w:rPr>
          <w:rStyle w:val="CharSectno"/>
        </w:rPr>
        <w:t>115</w:t>
      </w:r>
      <w:r>
        <w:rPr>
          <w:snapToGrid w:val="0"/>
        </w:rPr>
        <w:t>.</w:t>
      </w:r>
      <w:r>
        <w:rPr>
          <w:snapToGrid w:val="0"/>
        </w:rPr>
        <w:tab/>
        <w:t>General penalty</w:t>
      </w:r>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 xml:space="preserve">[Regulation 115 amended in Gazette 31 Jul 1992 p. 3776; 17 Jan 2003 p. 107.] </w:t>
      </w:r>
    </w:p>
    <w:p>
      <w:pPr>
        <w:pStyle w:val="Heading2"/>
      </w:pPr>
      <w:bookmarkStart w:id="1246" w:name="_Toc74979004"/>
      <w:bookmarkStart w:id="1247" w:name="_Toc74979268"/>
      <w:bookmarkStart w:id="1248" w:name="_Toc79976566"/>
      <w:bookmarkStart w:id="1249" w:name="_Toc80759837"/>
      <w:bookmarkStart w:id="1250" w:name="_Toc80783600"/>
      <w:bookmarkStart w:id="1251" w:name="_Toc94931267"/>
      <w:bookmarkStart w:id="1252" w:name="_Toc104275390"/>
      <w:bookmarkStart w:id="1253" w:name="_Toc104276721"/>
      <w:bookmarkStart w:id="1254" w:name="_Toc107198942"/>
      <w:bookmarkStart w:id="1255" w:name="_Toc107799394"/>
      <w:bookmarkStart w:id="1256" w:name="_Toc127087401"/>
      <w:bookmarkStart w:id="1257" w:name="_Toc127183714"/>
      <w:bookmarkStart w:id="1258" w:name="_Toc127338135"/>
      <w:r>
        <w:rPr>
          <w:rStyle w:val="CharPartNo"/>
        </w:rPr>
        <w:t>Part VI</w:t>
      </w:r>
      <w:r>
        <w:rPr>
          <w:rStyle w:val="CharDivNo"/>
        </w:rPr>
        <w:t> </w:t>
      </w:r>
      <w:r>
        <w:t>—</w:t>
      </w:r>
      <w:r>
        <w:rPr>
          <w:rStyle w:val="CharDivText"/>
        </w:rPr>
        <w:t> </w:t>
      </w:r>
      <w:r>
        <w:rPr>
          <w:rStyle w:val="CharPartText"/>
        </w:rPr>
        <w:t>Surveys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r>
        <w:rPr>
          <w:rStyle w:val="CharPartText"/>
        </w:rPr>
        <w:t xml:space="preserve"> </w:t>
      </w:r>
    </w:p>
    <w:p>
      <w:pPr>
        <w:pStyle w:val="Footnoteheading"/>
        <w:ind w:left="890"/>
        <w:rPr>
          <w:snapToGrid w:val="0"/>
        </w:rPr>
      </w:pPr>
      <w:r>
        <w:rPr>
          <w:snapToGrid w:val="0"/>
        </w:rPr>
        <w:tab/>
        <w:t xml:space="preserve">[Heading inserted in Gazette 30 May 1986 p. 1840.] </w:t>
      </w:r>
    </w:p>
    <w:p>
      <w:pPr>
        <w:pStyle w:val="Heading5"/>
        <w:rPr>
          <w:snapToGrid w:val="0"/>
        </w:rPr>
      </w:pPr>
      <w:bookmarkStart w:id="1259" w:name="_Toc474633173"/>
      <w:bookmarkStart w:id="1260" w:name="_Toc488740324"/>
      <w:bookmarkStart w:id="1261" w:name="_Toc8623707"/>
      <w:bookmarkStart w:id="1262" w:name="_Toc11229548"/>
      <w:bookmarkStart w:id="1263" w:name="_Toc104276722"/>
      <w:bookmarkStart w:id="1264" w:name="_Toc127338136"/>
      <w:r>
        <w:rPr>
          <w:rStyle w:val="CharSectno"/>
        </w:rPr>
        <w:t>116</w:t>
      </w:r>
      <w:r>
        <w:rPr>
          <w:snapToGrid w:val="0"/>
        </w:rPr>
        <w:t>.</w:t>
      </w:r>
      <w:r>
        <w:rPr>
          <w:snapToGrid w:val="0"/>
        </w:rPr>
        <w:tab/>
        <w:t>Interpretation in Part VI</w:t>
      </w:r>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approved surveyor</w:t>
      </w:r>
      <w:r>
        <w:rPr>
          <w:b/>
        </w:rPr>
        <w:t>”</w:t>
      </w:r>
      <w:r>
        <w:t xml:space="preserve"> means licensed surveyor who is for the time approved under regulation 117;</w:t>
      </w:r>
    </w:p>
    <w:p>
      <w:pPr>
        <w:pStyle w:val="Defstart"/>
      </w:pPr>
      <w:r>
        <w:rPr>
          <w:b/>
        </w:rPr>
        <w:tab/>
        <w:t>“</w:t>
      </w:r>
      <w:r>
        <w:rPr>
          <w:rStyle w:val="CharDefText"/>
        </w:rPr>
        <w:t>licensed surveyor</w:t>
      </w:r>
      <w:r>
        <w:rPr>
          <w:b/>
        </w:rPr>
        <w:t>”</w:t>
      </w:r>
      <w:r>
        <w:t xml:space="preserve"> has the meaning given by section 3 of the </w:t>
      </w:r>
      <w:r>
        <w:rPr>
          <w:i/>
        </w:rPr>
        <w:t>Licensed Surveyors Act 1909</w:t>
      </w:r>
      <w:r>
        <w:t>;</w:t>
      </w:r>
    </w:p>
    <w:p>
      <w:pPr>
        <w:pStyle w:val="Defstart"/>
      </w:pPr>
      <w:r>
        <w:rPr>
          <w:b/>
        </w:rPr>
        <w:tab/>
        <w:t>“</w:t>
      </w:r>
      <w:r>
        <w:rPr>
          <w:rStyle w:val="CharDefText"/>
        </w:rPr>
        <w:t>mining survey</w:t>
      </w:r>
      <w:r>
        <w:rPr>
          <w:b/>
        </w:rPr>
        <w:t>”</w:t>
      </w:r>
      <w:r>
        <w:t xml:space="preserve"> means survey required under the Act or these regulations in respect of the boundaries of the area of land to which a tenement relates;</w:t>
      </w:r>
    </w:p>
    <w:p>
      <w:pPr>
        <w:pStyle w:val="Defstart"/>
      </w:pPr>
      <w:r>
        <w:rPr>
          <w:b/>
        </w:rPr>
        <w:tab/>
        <w:t>“</w:t>
      </w:r>
      <w:r>
        <w:rPr>
          <w:rStyle w:val="CharDefText"/>
        </w:rPr>
        <w:t>tenement</w:t>
      </w:r>
      <w:r>
        <w:rPr>
          <w:b/>
        </w:rPr>
        <w:t>”</w:t>
      </w:r>
      <w:r>
        <w:t xml:space="preserve"> means mining tenement or application therefor;</w:t>
      </w:r>
    </w:p>
    <w:p>
      <w:pPr>
        <w:pStyle w:val="Defstart"/>
      </w:pPr>
      <w:r>
        <w:rPr>
          <w:b/>
        </w:rPr>
        <w:tab/>
        <w:t>“</w:t>
      </w:r>
      <w:r>
        <w:rPr>
          <w:rStyle w:val="CharDefText"/>
        </w:rPr>
        <w:t>the Director</w:t>
      </w:r>
      <w:r>
        <w:rPr>
          <w:b/>
        </w:rPr>
        <w:t>”</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 xml:space="preserve">[Regulation 116 inserted in Gazette 30 May 1986 p. 1840; amended in Gazette 13 Oct 1995 p. 4821.] </w:t>
      </w:r>
    </w:p>
    <w:p>
      <w:pPr>
        <w:pStyle w:val="Heading5"/>
        <w:rPr>
          <w:snapToGrid w:val="0"/>
        </w:rPr>
      </w:pPr>
      <w:bookmarkStart w:id="1265" w:name="_Toc474633174"/>
      <w:bookmarkStart w:id="1266" w:name="_Toc488740325"/>
      <w:bookmarkStart w:id="1267" w:name="_Toc8623708"/>
      <w:bookmarkStart w:id="1268" w:name="_Toc11229549"/>
      <w:bookmarkStart w:id="1269" w:name="_Toc104276723"/>
      <w:bookmarkStart w:id="1270" w:name="_Toc127338137"/>
      <w:r>
        <w:rPr>
          <w:rStyle w:val="CharSectno"/>
        </w:rPr>
        <w:t>117</w:t>
      </w:r>
      <w:r>
        <w:rPr>
          <w:snapToGrid w:val="0"/>
        </w:rPr>
        <w:t>.</w:t>
      </w:r>
      <w:r>
        <w:rPr>
          <w:snapToGrid w:val="0"/>
        </w:rPr>
        <w:tab/>
        <w:t>Approved surveyors</w:t>
      </w:r>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The Minister may from time to time —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 xml:space="preserve">[Regulation 117 inserted in Gazette 30 May 1986 p. 1840; amended in Gazette 2 Jul 1993 p. 3272.] </w:t>
      </w:r>
    </w:p>
    <w:p>
      <w:pPr>
        <w:pStyle w:val="Heading5"/>
        <w:rPr>
          <w:snapToGrid w:val="0"/>
        </w:rPr>
      </w:pPr>
      <w:bookmarkStart w:id="1271" w:name="_Toc474633175"/>
      <w:bookmarkStart w:id="1272" w:name="_Toc488740326"/>
      <w:bookmarkStart w:id="1273" w:name="_Toc8623709"/>
      <w:bookmarkStart w:id="1274" w:name="_Toc11229550"/>
      <w:bookmarkStart w:id="1275" w:name="_Toc104276724"/>
      <w:bookmarkStart w:id="1276" w:name="_Toc127338138"/>
      <w:r>
        <w:rPr>
          <w:rStyle w:val="CharSectno"/>
        </w:rPr>
        <w:t>118</w:t>
      </w:r>
      <w:r>
        <w:rPr>
          <w:snapToGrid w:val="0"/>
        </w:rPr>
        <w:t>.</w:t>
      </w:r>
      <w:r>
        <w:rPr>
          <w:snapToGrid w:val="0"/>
        </w:rPr>
        <w:tab/>
        <w:t>Initiation of mining surveys</w:t>
      </w:r>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t>(1)</w:t>
      </w:r>
      <w:r>
        <w:rPr>
          <w:snapToGrid w:val="0"/>
        </w:rPr>
        <w:tab/>
        <w:t>Subject to subregulation (2), the Director shall — </w:t>
      </w:r>
    </w:p>
    <w:p>
      <w:pPr>
        <w:pStyle w:val="Indenta"/>
        <w:rPr>
          <w:snapToGrid w:val="0"/>
        </w:rPr>
      </w:pPr>
      <w:r>
        <w:rPr>
          <w:snapToGrid w:val="0"/>
        </w:rPr>
        <w:tab/>
        <w:t>(a)</w:t>
      </w:r>
      <w:r>
        <w:rPr>
          <w:snapToGrid w:val="0"/>
        </w:rPr>
        <w:tab/>
        <w:t>when a mining survey is ordered to be made under section 47(1), 58(2)(b) or 70G(1) of the Act;</w:t>
      </w:r>
    </w:p>
    <w:p>
      <w:pPr>
        <w:pStyle w:val="Indenta"/>
        <w:rPr>
          <w:snapToGrid w:val="0"/>
        </w:rPr>
      </w:pPr>
      <w:r>
        <w:rPr>
          <w:snapToGrid w:val="0"/>
        </w:rPr>
        <w:tab/>
        <w:t>(b)</w:t>
      </w:r>
      <w:r>
        <w:rPr>
          <w:snapToGrid w:val="0"/>
        </w:rPr>
        <w:tab/>
        <w:t>subject to section 80 of the Act, after the lodging of an application for a mining lease;</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when a mining survey is requested by the Minister or a warden 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 xml:space="preserve">[Regulation 118 inserted in Gazette 30 May 1986 p. 1840; amended in Gazette 21 Jun 1991 p. 3056; 24 Jun 1994 p. 2933.] </w:t>
      </w:r>
    </w:p>
    <w:p>
      <w:pPr>
        <w:pStyle w:val="Heading5"/>
        <w:rPr>
          <w:snapToGrid w:val="0"/>
        </w:rPr>
      </w:pPr>
      <w:bookmarkStart w:id="1277" w:name="_Toc474633176"/>
      <w:bookmarkStart w:id="1278" w:name="_Toc488740327"/>
      <w:bookmarkStart w:id="1279" w:name="_Toc8623710"/>
      <w:bookmarkStart w:id="1280" w:name="_Toc11229551"/>
      <w:bookmarkStart w:id="1281" w:name="_Toc104276725"/>
      <w:bookmarkStart w:id="1282" w:name="_Toc127338139"/>
      <w:r>
        <w:rPr>
          <w:rStyle w:val="CharSectno"/>
        </w:rPr>
        <w:t>118A</w:t>
      </w:r>
      <w:r>
        <w:rPr>
          <w:snapToGrid w:val="0"/>
        </w:rPr>
        <w:t>.</w:t>
      </w:r>
      <w:r>
        <w:rPr>
          <w:snapToGrid w:val="0"/>
        </w:rPr>
        <w:tab/>
        <w:t>Notice of proposed mining surveys</w:t>
      </w:r>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Where the Director proposes to carry out a mining survey of a tenement, the Director shall serve by post notice of that fact on —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 xml:space="preserve">[Regulation 118A inserted in Gazette 16 Nov 1990 p. 5729; amended in Gazette 21 Jun 1991 p. 3056.] </w:t>
      </w:r>
    </w:p>
    <w:p>
      <w:pPr>
        <w:pStyle w:val="Heading5"/>
        <w:rPr>
          <w:snapToGrid w:val="0"/>
        </w:rPr>
      </w:pPr>
      <w:bookmarkStart w:id="1283" w:name="_Toc474633177"/>
      <w:bookmarkStart w:id="1284" w:name="_Toc488740328"/>
      <w:bookmarkStart w:id="1285" w:name="_Toc8623711"/>
      <w:bookmarkStart w:id="1286" w:name="_Toc11229552"/>
      <w:bookmarkStart w:id="1287" w:name="_Toc104276726"/>
      <w:bookmarkStart w:id="1288" w:name="_Toc127338140"/>
      <w:r>
        <w:rPr>
          <w:rStyle w:val="CharSectno"/>
        </w:rPr>
        <w:t>118B</w:t>
      </w:r>
      <w:r>
        <w:rPr>
          <w:snapToGrid w:val="0"/>
        </w:rPr>
        <w:t>.</w:t>
      </w:r>
      <w:r>
        <w:rPr>
          <w:snapToGrid w:val="0"/>
        </w:rPr>
        <w:tab/>
        <w:t>When mining surveys are to be carried out</w:t>
      </w:r>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r>
      <w:r>
        <w:rPr>
          <w:snapToGrid w:val="0"/>
        </w:rPr>
        <w:tab/>
        <w:t>A mining survey, in relation to a lease application lodged after 1 July 1991 —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 xml:space="preserve">[Regulation 118B inserted in Gazette 21 Jun 1991 p. 3056.] </w:t>
      </w:r>
    </w:p>
    <w:p>
      <w:pPr>
        <w:pStyle w:val="Heading5"/>
        <w:rPr>
          <w:snapToGrid w:val="0"/>
        </w:rPr>
      </w:pPr>
      <w:bookmarkStart w:id="1289" w:name="_Toc474633178"/>
      <w:bookmarkStart w:id="1290" w:name="_Toc488740329"/>
      <w:bookmarkStart w:id="1291" w:name="_Toc8623712"/>
      <w:bookmarkStart w:id="1292" w:name="_Toc11229553"/>
      <w:bookmarkStart w:id="1293" w:name="_Toc104276727"/>
      <w:bookmarkStart w:id="1294" w:name="_Toc127338141"/>
      <w:r>
        <w:rPr>
          <w:rStyle w:val="CharSectno"/>
        </w:rPr>
        <w:t>118C</w:t>
      </w:r>
      <w:r>
        <w:rPr>
          <w:snapToGrid w:val="0"/>
        </w:rPr>
        <w:t>.</w:t>
      </w:r>
      <w:r>
        <w:rPr>
          <w:snapToGrid w:val="0"/>
        </w:rPr>
        <w:tab/>
        <w:t>Refund of certain survey fees</w:t>
      </w:r>
      <w:bookmarkEnd w:id="1289"/>
      <w:bookmarkEnd w:id="1290"/>
      <w:bookmarkEnd w:id="1291"/>
      <w:bookmarkEnd w:id="1292"/>
      <w:bookmarkEnd w:id="1293"/>
      <w:bookmarkEnd w:id="1294"/>
      <w:r>
        <w:rPr>
          <w:snapToGrid w:val="0"/>
        </w:rPr>
        <w:t xml:space="preserve"> </w:t>
      </w:r>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 xml:space="preserve">4.] </w:t>
      </w:r>
    </w:p>
    <w:p>
      <w:pPr>
        <w:pStyle w:val="Heading5"/>
        <w:rPr>
          <w:snapToGrid w:val="0"/>
        </w:rPr>
      </w:pPr>
      <w:bookmarkStart w:id="1295" w:name="_Toc474633179"/>
      <w:bookmarkStart w:id="1296" w:name="_Toc488740330"/>
      <w:bookmarkStart w:id="1297" w:name="_Toc8623713"/>
      <w:bookmarkStart w:id="1298" w:name="_Toc11229554"/>
      <w:bookmarkStart w:id="1299" w:name="_Toc104276728"/>
      <w:bookmarkStart w:id="1300" w:name="_Toc127338142"/>
      <w:r>
        <w:rPr>
          <w:rStyle w:val="CharSectno"/>
        </w:rPr>
        <w:t>119</w:t>
      </w:r>
      <w:r>
        <w:rPr>
          <w:snapToGrid w:val="0"/>
        </w:rPr>
        <w:t>.</w:t>
      </w:r>
      <w:r>
        <w:rPr>
          <w:snapToGrid w:val="0"/>
        </w:rPr>
        <w:tab/>
        <w:t>Boundary marks to be pointed out</w:t>
      </w:r>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 xml:space="preserve">[Regulation 119 inserted in Gazette 30 May 1986 p. 1840; amended in Gazette 21 Jun 1991 p. 3056.] </w:t>
      </w:r>
    </w:p>
    <w:p>
      <w:pPr>
        <w:pStyle w:val="Heading5"/>
        <w:spacing w:before="180"/>
        <w:rPr>
          <w:snapToGrid w:val="0"/>
        </w:rPr>
      </w:pPr>
      <w:bookmarkStart w:id="1301" w:name="_Toc474633180"/>
      <w:bookmarkStart w:id="1302" w:name="_Toc488740331"/>
      <w:bookmarkStart w:id="1303" w:name="_Toc8623714"/>
      <w:bookmarkStart w:id="1304" w:name="_Toc11229555"/>
      <w:bookmarkStart w:id="1305" w:name="_Toc104276729"/>
      <w:bookmarkStart w:id="1306" w:name="_Toc127338143"/>
      <w:r>
        <w:rPr>
          <w:rStyle w:val="CharSectno"/>
        </w:rPr>
        <w:t>120</w:t>
      </w:r>
      <w:r>
        <w:rPr>
          <w:snapToGrid w:val="0"/>
        </w:rPr>
        <w:t>.</w:t>
      </w:r>
      <w:r>
        <w:rPr>
          <w:snapToGrid w:val="0"/>
        </w:rPr>
        <w:tab/>
        <w:t>Adjustment of boundaries</w:t>
      </w:r>
      <w:bookmarkEnd w:id="1301"/>
      <w:bookmarkEnd w:id="1302"/>
      <w:bookmarkEnd w:id="1303"/>
      <w:bookmarkEnd w:id="1304"/>
      <w:bookmarkEnd w:id="1305"/>
      <w:bookmarkEnd w:id="1306"/>
      <w:r>
        <w:rPr>
          <w:snapToGrid w:val="0"/>
        </w:rPr>
        <w:t xml:space="preserve"> </w:t>
      </w:r>
    </w:p>
    <w:p>
      <w:pPr>
        <w:pStyle w:val="Subsection"/>
        <w:spacing w:before="110"/>
        <w:rPr>
          <w:snapToGrid w:val="0"/>
        </w:rPr>
      </w:pPr>
      <w:r>
        <w:rPr>
          <w:snapToGrid w:val="0"/>
        </w:rPr>
        <w:tab/>
        <w:t>(1)</w:t>
      </w:r>
      <w:r>
        <w:rPr>
          <w:snapToGrid w:val="0"/>
        </w:rPr>
        <w:tab/>
        <w:t>Subject to this regulation, an approved surveyor shall carry out a mining survey in respect of — </w:t>
      </w:r>
    </w:p>
    <w:p>
      <w:pPr>
        <w:pStyle w:val="Indenta"/>
        <w:spacing w:before="60"/>
        <w:rPr>
          <w:snapToGrid w:val="0"/>
        </w:rPr>
      </w:pPr>
      <w:r>
        <w:rPr>
          <w:snapToGrid w:val="0"/>
        </w:rPr>
        <w:tab/>
        <w:t>(a)</w:t>
      </w:r>
      <w:r>
        <w:rPr>
          <w:snapToGrid w:val="0"/>
        </w:rPr>
        <w:tab/>
        <w:t>a tenement other than an exploration licence so as to conform with —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1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1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1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 xml:space="preserve">[Regulation 120 inserted in Gazette 30 May 1986 p. 1840; amended in Gazette 21 Jun 1991 p. 3057.] </w:t>
      </w:r>
    </w:p>
    <w:p>
      <w:pPr>
        <w:pStyle w:val="Heading5"/>
        <w:rPr>
          <w:snapToGrid w:val="0"/>
        </w:rPr>
      </w:pPr>
      <w:bookmarkStart w:id="1307" w:name="_Toc474633181"/>
      <w:bookmarkStart w:id="1308" w:name="_Toc488740332"/>
      <w:bookmarkStart w:id="1309" w:name="_Toc8623715"/>
      <w:bookmarkStart w:id="1310" w:name="_Toc11229556"/>
      <w:bookmarkStart w:id="1311" w:name="_Toc104276730"/>
      <w:bookmarkStart w:id="1312" w:name="_Toc127338144"/>
      <w:r>
        <w:rPr>
          <w:rStyle w:val="CharSectno"/>
        </w:rPr>
        <w:t>120A</w:t>
      </w:r>
      <w:r>
        <w:rPr>
          <w:snapToGrid w:val="0"/>
        </w:rPr>
        <w:t>.</w:t>
      </w:r>
      <w:r>
        <w:rPr>
          <w:snapToGrid w:val="0"/>
        </w:rPr>
        <w:tab/>
        <w:t>Disputes and objections in mining survey</w:t>
      </w:r>
      <w:bookmarkEnd w:id="1307"/>
      <w:bookmarkEnd w:id="1308"/>
      <w:bookmarkEnd w:id="1309"/>
      <w:bookmarkEnd w:id="1310"/>
      <w:bookmarkEnd w:id="1311"/>
      <w:bookmarkEnd w:id="1312"/>
      <w:r>
        <w:rPr>
          <w:snapToGrid w:val="0"/>
        </w:rPr>
        <w:t xml:space="preserve"> </w:t>
      </w:r>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No. 16 in the First Schedule at the office of the mining registrar.</w:t>
      </w:r>
    </w:p>
    <w:p>
      <w:pPr>
        <w:pStyle w:val="Subsection"/>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rPr>
          <w:snapToGrid w:val="0"/>
        </w:rPr>
      </w:pPr>
      <w:r>
        <w:rPr>
          <w:snapToGrid w:val="0"/>
        </w:rPr>
        <w:tab/>
        <w:t>(4)</w:t>
      </w:r>
      <w:r>
        <w:rPr>
          <w:snapToGrid w:val="0"/>
        </w:rPr>
        <w:tab/>
        <w:t>Subject to section 135 of the Act, a dispute or objection referred or lodged under this regulation shall be heard by the warden’s court.</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 xml:space="preserve">1; amended in Gazette 16 Nov 1990 p. 5729; 21 Jun 1991 p. 3057; 24 Dec 1993 p. 6829.] </w:t>
      </w:r>
    </w:p>
    <w:p>
      <w:pPr>
        <w:pStyle w:val="Heading5"/>
        <w:spacing w:before="180"/>
        <w:rPr>
          <w:snapToGrid w:val="0"/>
        </w:rPr>
      </w:pPr>
      <w:bookmarkStart w:id="1313" w:name="_Toc474633182"/>
      <w:bookmarkStart w:id="1314" w:name="_Toc488740333"/>
      <w:bookmarkStart w:id="1315" w:name="_Toc8623716"/>
      <w:bookmarkStart w:id="1316" w:name="_Toc11229557"/>
      <w:bookmarkStart w:id="1317" w:name="_Toc104276731"/>
      <w:bookmarkStart w:id="1318" w:name="_Toc127338145"/>
      <w:r>
        <w:rPr>
          <w:rStyle w:val="CharSectno"/>
        </w:rPr>
        <w:t>120B</w:t>
      </w:r>
      <w:r>
        <w:rPr>
          <w:snapToGrid w:val="0"/>
        </w:rPr>
        <w:t>.</w:t>
      </w:r>
      <w:r>
        <w:rPr>
          <w:snapToGrid w:val="0"/>
        </w:rPr>
        <w:tab/>
        <w:t>Cost of travelling</w:t>
      </w:r>
      <w:bookmarkEnd w:id="1313"/>
      <w:bookmarkEnd w:id="1314"/>
      <w:bookmarkEnd w:id="1315"/>
      <w:bookmarkEnd w:id="1316"/>
      <w:bookmarkEnd w:id="1317"/>
      <w:bookmarkEnd w:id="1318"/>
      <w:r>
        <w:rPr>
          <w:snapToGrid w:val="0"/>
        </w:rPr>
        <w:t xml:space="preserve"> </w:t>
      </w:r>
    </w:p>
    <w:p>
      <w:pPr>
        <w:pStyle w:val="Subsection"/>
        <w:spacing w:before="140"/>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 xml:space="preserve">[Regulation 120B inserted in Gazette 30 May 1986 p. 1841.] </w:t>
      </w:r>
    </w:p>
    <w:p>
      <w:pPr>
        <w:pStyle w:val="Heading5"/>
        <w:spacing w:before="180"/>
        <w:rPr>
          <w:snapToGrid w:val="0"/>
        </w:rPr>
      </w:pPr>
      <w:bookmarkStart w:id="1319" w:name="_Toc474633183"/>
      <w:bookmarkStart w:id="1320" w:name="_Toc488740334"/>
      <w:bookmarkStart w:id="1321" w:name="_Toc8623717"/>
      <w:bookmarkStart w:id="1322" w:name="_Toc11229558"/>
      <w:bookmarkStart w:id="1323" w:name="_Toc104276732"/>
      <w:bookmarkStart w:id="1324" w:name="_Toc127338146"/>
      <w:r>
        <w:rPr>
          <w:rStyle w:val="CharSectno"/>
        </w:rPr>
        <w:t>120C</w:t>
      </w:r>
      <w:r>
        <w:rPr>
          <w:snapToGrid w:val="0"/>
        </w:rPr>
        <w:t>.</w:t>
      </w:r>
      <w:r>
        <w:rPr>
          <w:snapToGrid w:val="0"/>
        </w:rPr>
        <w:tab/>
        <w:t>Correction of errors or omissions</w:t>
      </w:r>
      <w:bookmarkEnd w:id="1319"/>
      <w:bookmarkEnd w:id="1320"/>
      <w:bookmarkEnd w:id="1321"/>
      <w:bookmarkEnd w:id="1322"/>
      <w:bookmarkEnd w:id="1323"/>
      <w:bookmarkEnd w:id="1324"/>
      <w:r>
        <w:rPr>
          <w:snapToGrid w:val="0"/>
        </w:rPr>
        <w:t xml:space="preserve"> </w:t>
      </w:r>
    </w:p>
    <w:p>
      <w:pPr>
        <w:pStyle w:val="Subsection"/>
        <w:spacing w:before="130"/>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spacing w:before="130"/>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spacing w:before="130"/>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spacing w:before="130"/>
        <w:rPr>
          <w:snapToGrid w:val="0"/>
        </w:rPr>
      </w:pPr>
      <w:r>
        <w:rPr>
          <w:snapToGrid w:val="0"/>
        </w:rPr>
        <w:tab/>
        <w:t>(4)</w:t>
      </w:r>
      <w:r>
        <w:rPr>
          <w:snapToGrid w:val="0"/>
        </w:rPr>
        <w:tab/>
        <w:t>The cost of correction or completion in compliance with a request made under subregulation (2) or (3) is a debt due to the Minister by the approved surveyor —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 xml:space="preserve">[Regulation 120C inserted in Gazette 30 May 1986 p. 1841; amended in Gazette 21 Jun 1991 p. 3057.] </w:t>
      </w:r>
    </w:p>
    <w:p>
      <w:pPr>
        <w:pStyle w:val="Heading5"/>
        <w:rPr>
          <w:snapToGrid w:val="0"/>
        </w:rPr>
      </w:pPr>
      <w:bookmarkStart w:id="1325" w:name="_Toc474633184"/>
      <w:bookmarkStart w:id="1326" w:name="_Toc488740335"/>
      <w:bookmarkStart w:id="1327" w:name="_Toc8623718"/>
      <w:bookmarkStart w:id="1328" w:name="_Toc11229559"/>
      <w:bookmarkStart w:id="1329" w:name="_Toc104276733"/>
      <w:bookmarkStart w:id="1330" w:name="_Toc127338147"/>
      <w:r>
        <w:rPr>
          <w:rStyle w:val="CharSectno"/>
        </w:rPr>
        <w:t>120D</w:t>
      </w:r>
      <w:r>
        <w:rPr>
          <w:snapToGrid w:val="0"/>
        </w:rPr>
        <w:t>.</w:t>
      </w:r>
      <w:r>
        <w:rPr>
          <w:snapToGrid w:val="0"/>
        </w:rPr>
        <w:tab/>
        <w:t>Cost of check surveys and of correction of errors to be met by approved surveyors</w:t>
      </w:r>
      <w:bookmarkEnd w:id="1325"/>
      <w:bookmarkEnd w:id="1326"/>
      <w:bookmarkEnd w:id="1327"/>
      <w:bookmarkEnd w:id="1328"/>
      <w:bookmarkEnd w:id="1329"/>
      <w:bookmarkEnd w:id="1330"/>
      <w:r>
        <w:rPr>
          <w:snapToGrid w:val="0"/>
        </w:rPr>
        <w:t xml:space="preserve"> </w:t>
      </w:r>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 xml:space="preserve">[Regulation 120D inserted in Gazette 30 May 1986 p. 1841.] </w:t>
      </w:r>
    </w:p>
    <w:p>
      <w:pPr>
        <w:pStyle w:val="Heading5"/>
        <w:rPr>
          <w:snapToGrid w:val="0"/>
        </w:rPr>
      </w:pPr>
      <w:bookmarkStart w:id="1331" w:name="_Toc474633185"/>
      <w:bookmarkStart w:id="1332" w:name="_Toc488740336"/>
      <w:bookmarkStart w:id="1333" w:name="_Toc8623719"/>
      <w:bookmarkStart w:id="1334" w:name="_Toc11229560"/>
      <w:bookmarkStart w:id="1335" w:name="_Toc104276734"/>
      <w:bookmarkStart w:id="1336" w:name="_Toc127338148"/>
      <w:r>
        <w:rPr>
          <w:rStyle w:val="CharSectno"/>
        </w:rPr>
        <w:t>120E</w:t>
      </w:r>
      <w:r>
        <w:rPr>
          <w:snapToGrid w:val="0"/>
        </w:rPr>
        <w:t>.</w:t>
      </w:r>
      <w:r>
        <w:rPr>
          <w:snapToGrid w:val="0"/>
        </w:rPr>
        <w:tab/>
        <w:t>Report of surveyed tenements to be prepared</w:t>
      </w:r>
      <w:bookmarkEnd w:id="1331"/>
      <w:bookmarkEnd w:id="1332"/>
      <w:bookmarkEnd w:id="1333"/>
      <w:bookmarkEnd w:id="1334"/>
      <w:bookmarkEnd w:id="1335"/>
      <w:bookmarkEnd w:id="1336"/>
      <w:r>
        <w:rPr>
          <w:snapToGrid w:val="0"/>
        </w:rPr>
        <w:t xml:space="preserve"> </w:t>
      </w:r>
    </w:p>
    <w:p>
      <w:pPr>
        <w:pStyle w:val="Subsection"/>
        <w:rPr>
          <w:snapToGrid w:val="0"/>
        </w:rPr>
      </w:pPr>
      <w:r>
        <w:rPr>
          <w:snapToGrid w:val="0"/>
        </w:rPr>
        <w:tab/>
      </w:r>
      <w:r>
        <w:rPr>
          <w:snapToGrid w:val="0"/>
        </w:rPr>
        <w:tab/>
        <w:t>An approved surveyor shall cause to be prepared, for each tenement surveyed by him, a report in form 44 set out in the First Schedule, and shall cause that report to be lodged with the Director.</w:t>
      </w:r>
    </w:p>
    <w:p>
      <w:pPr>
        <w:pStyle w:val="Footnotesection"/>
      </w:pPr>
      <w:r>
        <w:tab/>
        <w:t xml:space="preserve">[Regulation 120E inserted in Gazette 5 Jul 1991 p. 3359.] </w:t>
      </w:r>
    </w:p>
    <w:p>
      <w:pPr>
        <w:pStyle w:val="Heading2"/>
      </w:pPr>
      <w:bookmarkStart w:id="1337" w:name="_Toc74979018"/>
      <w:bookmarkStart w:id="1338" w:name="_Toc74979282"/>
      <w:bookmarkStart w:id="1339" w:name="_Toc79976580"/>
      <w:bookmarkStart w:id="1340" w:name="_Toc80759851"/>
      <w:bookmarkStart w:id="1341" w:name="_Toc80783614"/>
      <w:bookmarkStart w:id="1342" w:name="_Toc94931281"/>
      <w:bookmarkStart w:id="1343" w:name="_Toc104275404"/>
      <w:bookmarkStart w:id="1344" w:name="_Toc104276735"/>
      <w:bookmarkStart w:id="1345" w:name="_Toc107198956"/>
      <w:bookmarkStart w:id="1346" w:name="_Toc107799408"/>
      <w:bookmarkStart w:id="1347" w:name="_Toc127087415"/>
      <w:bookmarkStart w:id="1348" w:name="_Toc127183728"/>
      <w:bookmarkStart w:id="1349" w:name="_Toc127338149"/>
      <w:r>
        <w:rPr>
          <w:rStyle w:val="CharPartNo"/>
        </w:rPr>
        <w:t>Part VIA</w:t>
      </w:r>
      <w:r>
        <w:t> — </w:t>
      </w:r>
      <w:r>
        <w:rPr>
          <w:rStyle w:val="CharPartText"/>
        </w:rPr>
        <w:t>Inspectors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r>
        <w:rPr>
          <w:rStyle w:val="CharPartText"/>
        </w:rPr>
        <w:t xml:space="preserve"> </w:t>
      </w:r>
    </w:p>
    <w:p>
      <w:pPr>
        <w:pStyle w:val="Footnoteheading"/>
        <w:ind w:left="890"/>
        <w:rPr>
          <w:snapToGrid w:val="0"/>
        </w:rPr>
      </w:pPr>
      <w:r>
        <w:rPr>
          <w:snapToGrid w:val="0"/>
        </w:rPr>
        <w:tab/>
        <w:t>[Heading inserted in Gazette 24 Jun 1994 p. 2934.]</w:t>
      </w:r>
    </w:p>
    <w:p>
      <w:pPr>
        <w:pStyle w:val="Heading3"/>
        <w:rPr>
          <w:snapToGrid w:val="0"/>
        </w:rPr>
      </w:pPr>
      <w:bookmarkStart w:id="1350" w:name="_Toc74979019"/>
      <w:bookmarkStart w:id="1351" w:name="_Toc74979283"/>
      <w:bookmarkStart w:id="1352" w:name="_Toc79976581"/>
      <w:bookmarkStart w:id="1353" w:name="_Toc80759852"/>
      <w:bookmarkStart w:id="1354" w:name="_Toc80783615"/>
      <w:bookmarkStart w:id="1355" w:name="_Toc94931282"/>
      <w:bookmarkStart w:id="1356" w:name="_Toc104275405"/>
      <w:bookmarkStart w:id="1357" w:name="_Toc104276736"/>
      <w:bookmarkStart w:id="1358" w:name="_Toc107198957"/>
      <w:bookmarkStart w:id="1359" w:name="_Toc107799409"/>
      <w:bookmarkStart w:id="1360" w:name="_Toc127087416"/>
      <w:bookmarkStart w:id="1361" w:name="_Toc127183729"/>
      <w:bookmarkStart w:id="1362" w:name="_Toc127338150"/>
      <w:r>
        <w:rPr>
          <w:rStyle w:val="CharDivNo"/>
        </w:rPr>
        <w:t>Division 1</w:t>
      </w:r>
      <w:r>
        <w:rPr>
          <w:snapToGrid w:val="0"/>
        </w:rPr>
        <w:t> — </w:t>
      </w:r>
      <w:r>
        <w:rPr>
          <w:rStyle w:val="CharDivText"/>
        </w:rPr>
        <w:t>Inspectors</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r>
        <w:rPr>
          <w:rStyle w:val="CharDivText"/>
        </w:rPr>
        <w:t xml:space="preserve"> </w:t>
      </w:r>
    </w:p>
    <w:p>
      <w:pPr>
        <w:pStyle w:val="Footnoteheading"/>
        <w:ind w:left="890"/>
        <w:rPr>
          <w:snapToGrid w:val="0"/>
        </w:rPr>
      </w:pPr>
      <w:r>
        <w:rPr>
          <w:snapToGrid w:val="0"/>
        </w:rPr>
        <w:tab/>
        <w:t>[Heading inserted in Gazette 24 Jun 1994 p. 2934.]</w:t>
      </w:r>
    </w:p>
    <w:p>
      <w:pPr>
        <w:pStyle w:val="Heading5"/>
        <w:rPr>
          <w:snapToGrid w:val="0"/>
        </w:rPr>
      </w:pPr>
      <w:bookmarkStart w:id="1363" w:name="_Toc474633186"/>
      <w:bookmarkStart w:id="1364" w:name="_Toc488740337"/>
      <w:bookmarkStart w:id="1365" w:name="_Toc8623720"/>
      <w:bookmarkStart w:id="1366" w:name="_Toc11229561"/>
      <w:bookmarkStart w:id="1367" w:name="_Toc104276737"/>
      <w:bookmarkStart w:id="1368" w:name="_Toc127338151"/>
      <w:r>
        <w:rPr>
          <w:rStyle w:val="CharSectno"/>
        </w:rPr>
        <w:t>120F</w:t>
      </w:r>
      <w:r>
        <w:rPr>
          <w:snapToGrid w:val="0"/>
        </w:rPr>
        <w:t>.</w:t>
      </w:r>
      <w:r>
        <w:rPr>
          <w:snapToGrid w:val="0"/>
        </w:rPr>
        <w:tab/>
        <w:t>Assignment of inspectors for environmental purpose</w:t>
      </w:r>
      <w:bookmarkEnd w:id="1363"/>
      <w:bookmarkEnd w:id="1364"/>
      <w:bookmarkEnd w:id="1365"/>
      <w:bookmarkEnd w:id="1366"/>
      <w:bookmarkEnd w:id="1367"/>
      <w:bookmarkEnd w:id="1368"/>
      <w:r>
        <w:rPr>
          <w:snapToGrid w:val="0"/>
        </w:rPr>
        <w:t xml:space="preserve"> </w:t>
      </w:r>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b/>
          <w:snapToGrid w:val="0"/>
        </w:rPr>
        <w:t>“</w:t>
      </w:r>
      <w:r>
        <w:rPr>
          <w:rStyle w:val="CharDefText"/>
        </w:rPr>
        <w:t>inspector</w:t>
      </w:r>
      <w:r>
        <w:rPr>
          <w:b/>
          <w:snapToGrid w:val="0"/>
        </w:rPr>
        <w:t xml:space="preserve">” </w:t>
      </w:r>
      <w:r>
        <w:rPr>
          <w:snapToGrid w:val="0"/>
        </w:rPr>
        <w:t xml:space="preserve">or a </w:t>
      </w:r>
      <w:r>
        <w:rPr>
          <w:b/>
          <w:snapToGrid w:val="0"/>
        </w:rPr>
        <w:t>“</w:t>
      </w:r>
      <w:r>
        <w:rPr>
          <w:rStyle w:val="CharDefText"/>
        </w:rPr>
        <w:t>senior inspector</w:t>
      </w:r>
      <w:r>
        <w:rPr>
          <w:b/>
          <w:snapToGrid w:val="0"/>
        </w:rPr>
        <w:t>”</w:t>
      </w:r>
      <w:r>
        <w:rPr>
          <w:snapToGrid w:val="0"/>
        </w:rPr>
        <w:t xml:space="preserve"> is a reference to the holder of a certificate under subregulation (1).</w:t>
      </w:r>
    </w:p>
    <w:p>
      <w:pPr>
        <w:pStyle w:val="Footnotesection"/>
      </w:pPr>
      <w:r>
        <w:tab/>
        <w:t xml:space="preserve">[Regulation 120F inserted in Gazette 24 Jun 1994 p. 2934.] </w:t>
      </w:r>
    </w:p>
    <w:p>
      <w:pPr>
        <w:pStyle w:val="Heading5"/>
        <w:rPr>
          <w:snapToGrid w:val="0"/>
        </w:rPr>
      </w:pPr>
      <w:bookmarkStart w:id="1369" w:name="_Toc474633187"/>
      <w:bookmarkStart w:id="1370" w:name="_Toc488740338"/>
      <w:bookmarkStart w:id="1371" w:name="_Toc8623721"/>
      <w:bookmarkStart w:id="1372" w:name="_Toc11229562"/>
      <w:bookmarkStart w:id="1373" w:name="_Toc104276738"/>
      <w:bookmarkStart w:id="1374" w:name="_Toc127338152"/>
      <w:r>
        <w:rPr>
          <w:rStyle w:val="CharSectno"/>
        </w:rPr>
        <w:t>120G</w:t>
      </w:r>
      <w:r>
        <w:rPr>
          <w:snapToGrid w:val="0"/>
        </w:rPr>
        <w:t>.</w:t>
      </w:r>
      <w:r>
        <w:rPr>
          <w:snapToGrid w:val="0"/>
        </w:rPr>
        <w:tab/>
        <w:t>Inspectors may enter mining tenement or mine</w:t>
      </w:r>
      <w:bookmarkEnd w:id="1369"/>
      <w:bookmarkEnd w:id="1370"/>
      <w:bookmarkEnd w:id="1371"/>
      <w:bookmarkEnd w:id="1372"/>
      <w:bookmarkEnd w:id="1373"/>
      <w:bookmarkEnd w:id="1374"/>
      <w:r>
        <w:rPr>
          <w:snapToGrid w:val="0"/>
        </w:rPr>
        <w:t xml:space="preserve"> </w:t>
      </w:r>
    </w:p>
    <w:p>
      <w:pPr>
        <w:pStyle w:val="Subsection"/>
        <w:rPr>
          <w:snapToGrid w:val="0"/>
        </w:rPr>
      </w:pPr>
      <w:r>
        <w:rPr>
          <w:snapToGrid w:val="0"/>
        </w:rPr>
        <w:tab/>
        <w:t>(1)</w:t>
      </w:r>
      <w:r>
        <w:rPr>
          <w:snapToGrid w:val="0"/>
        </w:rPr>
        <w:tab/>
        <w:t>An inspector or a senior inspector may enter, inspect and inquire in respect of any mining tenement or mine —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rPr>
          <w:snapToGrid w:val="0"/>
        </w:rPr>
      </w:pPr>
      <w:bookmarkStart w:id="1375" w:name="_Toc74979022"/>
      <w:bookmarkStart w:id="1376" w:name="_Toc74979286"/>
      <w:bookmarkStart w:id="1377" w:name="_Toc79976584"/>
      <w:bookmarkStart w:id="1378" w:name="_Toc80759855"/>
      <w:bookmarkStart w:id="1379" w:name="_Toc80783618"/>
      <w:bookmarkStart w:id="1380" w:name="_Toc94931285"/>
      <w:bookmarkStart w:id="1381" w:name="_Toc104275408"/>
      <w:bookmarkStart w:id="1382" w:name="_Toc104276739"/>
      <w:bookmarkStart w:id="1383" w:name="_Toc107198960"/>
      <w:bookmarkStart w:id="1384" w:name="_Toc107799412"/>
      <w:bookmarkStart w:id="1385" w:name="_Toc127087419"/>
      <w:bookmarkStart w:id="1386" w:name="_Toc127183732"/>
      <w:bookmarkStart w:id="1387" w:name="_Toc127338153"/>
      <w:r>
        <w:rPr>
          <w:rStyle w:val="CharDivNo"/>
        </w:rPr>
        <w:t>Division 2</w:t>
      </w:r>
      <w:r>
        <w:rPr>
          <w:snapToGrid w:val="0"/>
        </w:rPr>
        <w:t> — </w:t>
      </w:r>
      <w:r>
        <w:rPr>
          <w:rStyle w:val="CharDivText"/>
        </w:rPr>
        <w:t>Directions to modify mining operations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r>
        <w:rPr>
          <w:rStyle w:val="CharDivText"/>
        </w:rPr>
        <w:t xml:space="preserve"> </w:t>
      </w:r>
    </w:p>
    <w:p>
      <w:pPr>
        <w:pStyle w:val="Footnoteheading"/>
        <w:ind w:left="890"/>
        <w:rPr>
          <w:snapToGrid w:val="0"/>
        </w:rPr>
      </w:pPr>
      <w:r>
        <w:rPr>
          <w:snapToGrid w:val="0"/>
        </w:rPr>
        <w:tab/>
        <w:t>[Heading inserted in Gazette 24 Jun 1994 p. 2935.]</w:t>
      </w:r>
    </w:p>
    <w:p>
      <w:pPr>
        <w:pStyle w:val="Heading5"/>
        <w:rPr>
          <w:snapToGrid w:val="0"/>
        </w:rPr>
      </w:pPr>
      <w:bookmarkStart w:id="1388" w:name="_Toc474633188"/>
      <w:bookmarkStart w:id="1389" w:name="_Toc488740339"/>
      <w:bookmarkStart w:id="1390" w:name="_Toc8623722"/>
      <w:bookmarkStart w:id="1391" w:name="_Toc11229563"/>
      <w:bookmarkStart w:id="1392" w:name="_Toc104276740"/>
      <w:bookmarkStart w:id="1393" w:name="_Toc127338154"/>
      <w:r>
        <w:rPr>
          <w:rStyle w:val="CharSectno"/>
        </w:rPr>
        <w:t>120H</w:t>
      </w:r>
      <w:r>
        <w:rPr>
          <w:snapToGrid w:val="0"/>
        </w:rPr>
        <w:t>.</w:t>
      </w:r>
      <w:r>
        <w:rPr>
          <w:snapToGrid w:val="0"/>
        </w:rPr>
        <w:tab/>
        <w:t>Inspectors may issue directions</w:t>
      </w:r>
      <w:bookmarkEnd w:id="1388"/>
      <w:bookmarkEnd w:id="1389"/>
      <w:bookmarkEnd w:id="1390"/>
      <w:bookmarkEnd w:id="1391"/>
      <w:bookmarkEnd w:id="1392"/>
      <w:bookmarkEnd w:id="1393"/>
      <w:r>
        <w:rPr>
          <w:snapToGrid w:val="0"/>
        </w:rPr>
        <w:t xml:space="preserve"> </w:t>
      </w:r>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 xml:space="preserve">[Regulation 120H inserted in Gazette 24 Jun 1994 p. 2935.] </w:t>
      </w:r>
    </w:p>
    <w:p>
      <w:pPr>
        <w:pStyle w:val="Heading5"/>
        <w:rPr>
          <w:snapToGrid w:val="0"/>
        </w:rPr>
      </w:pPr>
      <w:bookmarkStart w:id="1394" w:name="_Toc474633189"/>
      <w:bookmarkStart w:id="1395" w:name="_Toc488740340"/>
      <w:bookmarkStart w:id="1396" w:name="_Toc8623723"/>
      <w:bookmarkStart w:id="1397" w:name="_Toc11229564"/>
      <w:bookmarkStart w:id="1398" w:name="_Toc104276741"/>
      <w:bookmarkStart w:id="1399" w:name="_Toc127338155"/>
      <w:r>
        <w:rPr>
          <w:rStyle w:val="CharSectno"/>
        </w:rPr>
        <w:t>120I</w:t>
      </w:r>
      <w:r>
        <w:rPr>
          <w:snapToGrid w:val="0"/>
        </w:rPr>
        <w:t>.</w:t>
      </w:r>
      <w:r>
        <w:rPr>
          <w:snapToGrid w:val="0"/>
        </w:rPr>
        <w:tab/>
        <w:t>Directions</w:t>
      </w:r>
      <w:bookmarkEnd w:id="1394"/>
      <w:bookmarkEnd w:id="1395"/>
      <w:bookmarkEnd w:id="1396"/>
      <w:bookmarkEnd w:id="1397"/>
      <w:bookmarkEnd w:id="1398"/>
      <w:bookmarkEnd w:id="1399"/>
      <w:r>
        <w:rPr>
          <w:snapToGrid w:val="0"/>
        </w:rPr>
        <w:t xml:space="preserve"> </w:t>
      </w:r>
    </w:p>
    <w:p>
      <w:pPr>
        <w:pStyle w:val="Subsection"/>
        <w:rPr>
          <w:snapToGrid w:val="0"/>
        </w:rPr>
      </w:pPr>
      <w:r>
        <w:rPr>
          <w:snapToGrid w:val="0"/>
        </w:rPr>
        <w:tab/>
      </w:r>
      <w:r>
        <w:rPr>
          <w:snapToGrid w:val="0"/>
        </w:rPr>
        <w:tab/>
        <w:t>A direction to modify mining operations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 xml:space="preserve">[Regulation 120I inserted in Gazette 24 Jun 1994 p. 2935.] </w:t>
      </w:r>
    </w:p>
    <w:p>
      <w:pPr>
        <w:pStyle w:val="Heading5"/>
        <w:rPr>
          <w:snapToGrid w:val="0"/>
        </w:rPr>
      </w:pPr>
      <w:bookmarkStart w:id="1400" w:name="_Toc474633190"/>
      <w:bookmarkStart w:id="1401" w:name="_Toc488740341"/>
      <w:bookmarkStart w:id="1402" w:name="_Toc8623724"/>
      <w:bookmarkStart w:id="1403" w:name="_Toc11229565"/>
      <w:bookmarkStart w:id="1404" w:name="_Toc104276742"/>
      <w:bookmarkStart w:id="1405" w:name="_Toc127338156"/>
      <w:r>
        <w:rPr>
          <w:rStyle w:val="CharSectno"/>
        </w:rPr>
        <w:t>120J</w:t>
      </w:r>
      <w:r>
        <w:rPr>
          <w:snapToGrid w:val="0"/>
        </w:rPr>
        <w:t>.</w:t>
      </w:r>
      <w:r>
        <w:rPr>
          <w:snapToGrid w:val="0"/>
        </w:rPr>
        <w:tab/>
        <w:t>Review of direction</w:t>
      </w:r>
      <w:bookmarkEnd w:id="1400"/>
      <w:bookmarkEnd w:id="1401"/>
      <w:bookmarkEnd w:id="1402"/>
      <w:bookmarkEnd w:id="1403"/>
      <w:bookmarkEnd w:id="1404"/>
      <w:bookmarkEnd w:id="1405"/>
      <w:r>
        <w:rPr>
          <w:snapToGrid w:val="0"/>
        </w:rPr>
        <w:t xml:space="preserve"> </w:t>
      </w:r>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 xml:space="preserve">6; amended in Gazette 3 Feb 2006 p. 604.] </w:t>
      </w:r>
    </w:p>
    <w:p>
      <w:pPr>
        <w:pStyle w:val="Heading5"/>
        <w:rPr>
          <w:snapToGrid w:val="0"/>
        </w:rPr>
      </w:pPr>
      <w:bookmarkStart w:id="1406" w:name="_Toc474633191"/>
      <w:bookmarkStart w:id="1407" w:name="_Toc488740342"/>
      <w:bookmarkStart w:id="1408" w:name="_Toc8623725"/>
      <w:bookmarkStart w:id="1409" w:name="_Toc11229566"/>
      <w:bookmarkStart w:id="1410" w:name="_Toc104276743"/>
      <w:bookmarkStart w:id="1411" w:name="_Toc127338157"/>
      <w:r>
        <w:rPr>
          <w:rStyle w:val="CharSectno"/>
        </w:rPr>
        <w:t>120K</w:t>
      </w:r>
      <w:r>
        <w:rPr>
          <w:snapToGrid w:val="0"/>
        </w:rPr>
        <w:t>.</w:t>
      </w:r>
      <w:r>
        <w:rPr>
          <w:snapToGrid w:val="0"/>
        </w:rPr>
        <w:tab/>
        <w:t>Compliance with directions</w:t>
      </w:r>
      <w:bookmarkEnd w:id="1406"/>
      <w:bookmarkEnd w:id="1407"/>
      <w:bookmarkEnd w:id="1408"/>
      <w:bookmarkEnd w:id="1409"/>
      <w:bookmarkEnd w:id="1410"/>
      <w:bookmarkEnd w:id="1411"/>
      <w:r>
        <w:rPr>
          <w:snapToGrid w:val="0"/>
        </w:rPr>
        <w:t xml:space="preserve"> </w:t>
      </w:r>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rPr>
          <w:snapToGrid w:val="0"/>
        </w:rPr>
      </w:pPr>
      <w:bookmarkStart w:id="1412" w:name="_Toc74979027"/>
      <w:bookmarkStart w:id="1413" w:name="_Toc74979291"/>
      <w:bookmarkStart w:id="1414" w:name="_Toc79976589"/>
      <w:bookmarkStart w:id="1415" w:name="_Toc80759860"/>
      <w:bookmarkStart w:id="1416" w:name="_Toc80783623"/>
      <w:bookmarkStart w:id="1417" w:name="_Toc94931290"/>
      <w:bookmarkStart w:id="1418" w:name="_Toc104275413"/>
      <w:bookmarkStart w:id="1419" w:name="_Toc104276744"/>
      <w:bookmarkStart w:id="1420" w:name="_Toc107198965"/>
      <w:bookmarkStart w:id="1421" w:name="_Toc107799417"/>
      <w:bookmarkStart w:id="1422" w:name="_Toc127087424"/>
      <w:bookmarkStart w:id="1423" w:name="_Toc127183737"/>
      <w:bookmarkStart w:id="1424" w:name="_Toc127338158"/>
      <w:r>
        <w:rPr>
          <w:rStyle w:val="CharDivNo"/>
        </w:rPr>
        <w:t>Division 3</w:t>
      </w:r>
      <w:r>
        <w:rPr>
          <w:snapToGrid w:val="0"/>
        </w:rPr>
        <w:t> — </w:t>
      </w:r>
      <w:r>
        <w:rPr>
          <w:rStyle w:val="CharDivText"/>
        </w:rPr>
        <w:t>Stop Work Orders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r>
        <w:rPr>
          <w:rStyle w:val="CharDivText"/>
        </w:rPr>
        <w:t xml:space="preserve"> </w:t>
      </w:r>
    </w:p>
    <w:p>
      <w:pPr>
        <w:pStyle w:val="Footnoteheading"/>
        <w:ind w:left="890"/>
        <w:rPr>
          <w:snapToGrid w:val="0"/>
        </w:rPr>
      </w:pPr>
      <w:r>
        <w:rPr>
          <w:snapToGrid w:val="0"/>
        </w:rPr>
        <w:tab/>
        <w:t>[Heading inserted in Gazette 24 Jun 1994 p. 2936.]</w:t>
      </w:r>
    </w:p>
    <w:p>
      <w:pPr>
        <w:pStyle w:val="Heading5"/>
        <w:rPr>
          <w:snapToGrid w:val="0"/>
        </w:rPr>
      </w:pPr>
      <w:bookmarkStart w:id="1425" w:name="_Toc474633192"/>
      <w:bookmarkStart w:id="1426" w:name="_Toc488740343"/>
      <w:bookmarkStart w:id="1427" w:name="_Toc8623726"/>
      <w:bookmarkStart w:id="1428" w:name="_Toc11229567"/>
      <w:bookmarkStart w:id="1429" w:name="_Toc104276745"/>
      <w:bookmarkStart w:id="1430" w:name="_Toc127338159"/>
      <w:r>
        <w:rPr>
          <w:rStyle w:val="CharSectno"/>
        </w:rPr>
        <w:t>120L</w:t>
      </w:r>
      <w:r>
        <w:rPr>
          <w:snapToGrid w:val="0"/>
        </w:rPr>
        <w:t>.</w:t>
      </w:r>
      <w:r>
        <w:rPr>
          <w:snapToGrid w:val="0"/>
        </w:rPr>
        <w:tab/>
        <w:t>Inspectors may issue Stop Work Orders</w:t>
      </w:r>
      <w:bookmarkEnd w:id="1425"/>
      <w:bookmarkEnd w:id="1426"/>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If an inspector or a senior inspector is of the opinion that —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1431" w:name="_Toc474633193"/>
      <w:bookmarkStart w:id="1432" w:name="_Toc488740344"/>
      <w:bookmarkStart w:id="1433" w:name="_Toc8623727"/>
      <w:bookmarkStart w:id="1434" w:name="_Toc11229568"/>
      <w:bookmarkStart w:id="1435" w:name="_Toc104276746"/>
      <w:bookmarkStart w:id="1436" w:name="_Toc127338160"/>
      <w:r>
        <w:rPr>
          <w:rStyle w:val="CharSectno"/>
        </w:rPr>
        <w:t>120M</w:t>
      </w:r>
      <w:r>
        <w:rPr>
          <w:snapToGrid w:val="0"/>
        </w:rPr>
        <w:t>.</w:t>
      </w:r>
      <w:r>
        <w:rPr>
          <w:snapToGrid w:val="0"/>
        </w:rPr>
        <w:tab/>
        <w:t>Stop Work Orders</w:t>
      </w:r>
      <w:bookmarkEnd w:id="1431"/>
      <w:bookmarkEnd w:id="1432"/>
      <w:bookmarkEnd w:id="1433"/>
      <w:bookmarkEnd w:id="1434"/>
      <w:bookmarkEnd w:id="1435"/>
      <w:bookmarkEnd w:id="1436"/>
      <w:r>
        <w:rPr>
          <w:snapToGrid w:val="0"/>
        </w:rPr>
        <w:t xml:space="preserve"> </w:t>
      </w:r>
    </w:p>
    <w:p>
      <w:pPr>
        <w:pStyle w:val="Subsection"/>
        <w:rPr>
          <w:snapToGrid w:val="0"/>
        </w:rPr>
      </w:pPr>
      <w:r>
        <w:rPr>
          <w:snapToGrid w:val="0"/>
        </w:rPr>
        <w:tab/>
      </w:r>
      <w:r>
        <w:rPr>
          <w:snapToGrid w:val="0"/>
        </w:rPr>
        <w:tab/>
        <w:t>A Stop Work Order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 xml:space="preserve">[Regulation 120M inserted in Gazette 24 Jun 1994 p. 2937.] </w:t>
      </w:r>
    </w:p>
    <w:p>
      <w:pPr>
        <w:pStyle w:val="Heading5"/>
        <w:rPr>
          <w:snapToGrid w:val="0"/>
        </w:rPr>
      </w:pPr>
      <w:bookmarkStart w:id="1437" w:name="_Toc474633194"/>
      <w:bookmarkStart w:id="1438" w:name="_Toc488740345"/>
      <w:bookmarkStart w:id="1439" w:name="_Toc8623728"/>
      <w:bookmarkStart w:id="1440" w:name="_Toc11229569"/>
      <w:bookmarkStart w:id="1441" w:name="_Toc104276747"/>
      <w:bookmarkStart w:id="1442" w:name="_Toc127338161"/>
      <w:r>
        <w:rPr>
          <w:rStyle w:val="CharSectno"/>
        </w:rPr>
        <w:t>120N</w:t>
      </w:r>
      <w:r>
        <w:rPr>
          <w:snapToGrid w:val="0"/>
        </w:rPr>
        <w:t>.</w:t>
      </w:r>
      <w:r>
        <w:rPr>
          <w:snapToGrid w:val="0"/>
        </w:rPr>
        <w:tab/>
        <w:t>Review of a Stop Work Order</w:t>
      </w:r>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1443" w:name="_Toc474633195"/>
      <w:bookmarkStart w:id="1444" w:name="_Toc488740346"/>
      <w:bookmarkStart w:id="1445" w:name="_Toc8623729"/>
      <w:bookmarkStart w:id="1446" w:name="_Toc11229570"/>
      <w:bookmarkStart w:id="1447" w:name="_Toc104276748"/>
      <w:bookmarkStart w:id="1448" w:name="_Toc127338162"/>
      <w:r>
        <w:rPr>
          <w:rStyle w:val="CharSectno"/>
        </w:rPr>
        <w:t>120O</w:t>
      </w:r>
      <w:r>
        <w:rPr>
          <w:snapToGrid w:val="0"/>
        </w:rPr>
        <w:t>.</w:t>
      </w:r>
      <w:r>
        <w:rPr>
          <w:snapToGrid w:val="0"/>
        </w:rPr>
        <w:tab/>
        <w:t>Compliance with Stop Work Orders</w:t>
      </w:r>
      <w:bookmarkEnd w:id="1443"/>
      <w:bookmarkEnd w:id="1444"/>
      <w:bookmarkEnd w:id="1445"/>
      <w:bookmarkEnd w:id="1446"/>
      <w:bookmarkEnd w:id="1447"/>
      <w:bookmarkEnd w:id="1448"/>
      <w:r>
        <w:rPr>
          <w:snapToGrid w:val="0"/>
        </w:rPr>
        <w:t xml:space="preserve"> </w:t>
      </w:r>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1449" w:name="_Toc74979032"/>
      <w:bookmarkStart w:id="1450" w:name="_Toc74979296"/>
      <w:bookmarkStart w:id="1451" w:name="_Toc79976594"/>
      <w:bookmarkStart w:id="1452" w:name="_Toc80759865"/>
      <w:bookmarkStart w:id="1453" w:name="_Toc80783628"/>
      <w:bookmarkStart w:id="1454" w:name="_Toc94931295"/>
      <w:bookmarkStart w:id="1455" w:name="_Toc104275418"/>
      <w:bookmarkStart w:id="1456" w:name="_Toc104276749"/>
      <w:bookmarkStart w:id="1457" w:name="_Toc107198970"/>
      <w:bookmarkStart w:id="1458" w:name="_Toc107799422"/>
      <w:bookmarkStart w:id="1459" w:name="_Toc127087429"/>
      <w:bookmarkStart w:id="1460" w:name="_Toc127183742"/>
      <w:bookmarkStart w:id="1461" w:name="_Toc127338163"/>
      <w:r>
        <w:rPr>
          <w:rStyle w:val="CharPartNo"/>
        </w:rPr>
        <w:t>Part VIB</w:t>
      </w:r>
      <w:r>
        <w:rPr>
          <w:rStyle w:val="CharDivNo"/>
        </w:rPr>
        <w:t> </w:t>
      </w:r>
      <w:r>
        <w:t>—</w:t>
      </w:r>
      <w:r>
        <w:rPr>
          <w:rStyle w:val="CharDivText"/>
        </w:rPr>
        <w:t> </w:t>
      </w:r>
      <w:r>
        <w:rPr>
          <w:rStyle w:val="CharPartText"/>
        </w:rPr>
        <w:t>Aerial photography</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r>
        <w:rPr>
          <w:rStyle w:val="CharPartText"/>
        </w:rPr>
        <w:t xml:space="preserve"> </w:t>
      </w:r>
    </w:p>
    <w:p>
      <w:pPr>
        <w:pStyle w:val="Footnoteheading"/>
        <w:ind w:left="890"/>
      </w:pPr>
      <w:r>
        <w:tab/>
        <w:t xml:space="preserve">[Heading inserted in Gazette 13 Oct 1995 p. 4821.] </w:t>
      </w:r>
    </w:p>
    <w:p>
      <w:pPr>
        <w:pStyle w:val="Heading5"/>
        <w:rPr>
          <w:snapToGrid w:val="0"/>
        </w:rPr>
      </w:pPr>
      <w:bookmarkStart w:id="1462" w:name="_Toc474633196"/>
      <w:bookmarkStart w:id="1463" w:name="_Toc488740347"/>
      <w:bookmarkStart w:id="1464" w:name="_Toc8623730"/>
      <w:bookmarkStart w:id="1465" w:name="_Toc11229571"/>
      <w:bookmarkStart w:id="1466" w:name="_Toc104276750"/>
      <w:bookmarkStart w:id="1467" w:name="_Toc127338164"/>
      <w:r>
        <w:rPr>
          <w:rStyle w:val="CharSectno"/>
        </w:rPr>
        <w:t>120P</w:t>
      </w:r>
      <w:r>
        <w:rPr>
          <w:snapToGrid w:val="0"/>
        </w:rPr>
        <w:t>.</w:t>
      </w:r>
      <w:r>
        <w:rPr>
          <w:snapToGrid w:val="0"/>
        </w:rPr>
        <w:tab/>
        <w:t>Interpretation in Part VIB</w:t>
      </w:r>
      <w:bookmarkEnd w:id="1462"/>
      <w:bookmarkEnd w:id="1463"/>
      <w:bookmarkEnd w:id="1464"/>
      <w:bookmarkEnd w:id="1465"/>
      <w:bookmarkEnd w:id="1466"/>
      <w:bookmarkEnd w:id="146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aerial photography</w:t>
      </w:r>
      <w:r>
        <w:rPr>
          <w:b/>
        </w:rPr>
        <w:t>”</w:t>
      </w:r>
      <w:r>
        <w:t xml:space="preserve"> means aerial photography for the purposes of mineral exploration;</w:t>
      </w:r>
    </w:p>
    <w:p>
      <w:pPr>
        <w:pStyle w:val="Defstart"/>
      </w:pPr>
      <w:r>
        <w:rPr>
          <w:b/>
        </w:rPr>
        <w:tab/>
        <w:t>“</w:t>
      </w:r>
      <w:r>
        <w:rPr>
          <w:rStyle w:val="CharDefText"/>
        </w:rPr>
        <w:t>contractor</w:t>
      </w:r>
      <w:r>
        <w:rPr>
          <w:b/>
        </w:rPr>
        <w:t>”</w:t>
      </w:r>
      <w:r>
        <w:t xml:space="preserve"> means a person who undertakes aerial photography;</w:t>
      </w:r>
    </w:p>
    <w:p>
      <w:pPr>
        <w:pStyle w:val="Defstart"/>
      </w:pPr>
      <w:r>
        <w:rPr>
          <w:b/>
        </w:rPr>
        <w:tab/>
        <w:t>“</w:t>
      </w:r>
      <w:r>
        <w:rPr>
          <w:rStyle w:val="CharDefText"/>
        </w:rPr>
        <w:t>Director</w:t>
      </w:r>
      <w:r>
        <w:rPr>
          <w:b/>
        </w:rPr>
        <w:t>”</w:t>
      </w:r>
      <w:r>
        <w:t xml:space="preserve"> means the Director, Geological Survey.</w:t>
      </w:r>
    </w:p>
    <w:p>
      <w:pPr>
        <w:pStyle w:val="Footnotesection"/>
      </w:pPr>
      <w:r>
        <w:tab/>
        <w:t xml:space="preserve">[Regulation 120P inserted in Gazette 13 Oct 1995 p. 4821; amended in Gazette 3 Feb 2006 p. 602.] </w:t>
      </w:r>
    </w:p>
    <w:p>
      <w:pPr>
        <w:pStyle w:val="Heading5"/>
        <w:rPr>
          <w:snapToGrid w:val="0"/>
        </w:rPr>
      </w:pPr>
      <w:bookmarkStart w:id="1468" w:name="_Toc474633197"/>
      <w:bookmarkStart w:id="1469" w:name="_Toc488740348"/>
      <w:bookmarkStart w:id="1470" w:name="_Toc8623731"/>
      <w:bookmarkStart w:id="1471" w:name="_Toc11229572"/>
      <w:bookmarkStart w:id="1472" w:name="_Toc104276751"/>
      <w:bookmarkStart w:id="1473" w:name="_Toc127338165"/>
      <w:r>
        <w:rPr>
          <w:rStyle w:val="CharSectno"/>
        </w:rPr>
        <w:t>120Q</w:t>
      </w:r>
      <w:r>
        <w:rPr>
          <w:snapToGrid w:val="0"/>
        </w:rPr>
        <w:t>.</w:t>
      </w:r>
      <w:r>
        <w:rPr>
          <w:snapToGrid w:val="0"/>
        </w:rPr>
        <w:tab/>
        <w:t>Information to be provided as to aerial photography</w:t>
      </w:r>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A contractor shall within one year of undertaking aerial photography provide the Director with the following information —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 xml:space="preserve">2.] </w:t>
      </w:r>
    </w:p>
    <w:p>
      <w:pPr>
        <w:pStyle w:val="Heading5"/>
        <w:rPr>
          <w:snapToGrid w:val="0"/>
        </w:rPr>
      </w:pPr>
      <w:bookmarkStart w:id="1474" w:name="_Toc474633198"/>
      <w:bookmarkStart w:id="1475" w:name="_Toc488740349"/>
      <w:bookmarkStart w:id="1476" w:name="_Toc8623732"/>
      <w:bookmarkStart w:id="1477" w:name="_Toc11229573"/>
      <w:bookmarkStart w:id="1478" w:name="_Toc104276752"/>
      <w:bookmarkStart w:id="1479" w:name="_Toc127338166"/>
      <w:r>
        <w:rPr>
          <w:rStyle w:val="CharSectno"/>
        </w:rPr>
        <w:t>120R</w:t>
      </w:r>
      <w:r>
        <w:rPr>
          <w:snapToGrid w:val="0"/>
        </w:rPr>
        <w:t>.</w:t>
      </w:r>
      <w:r>
        <w:rPr>
          <w:snapToGrid w:val="0"/>
        </w:rPr>
        <w:tab/>
        <w:t>Register</w:t>
      </w:r>
      <w:bookmarkEnd w:id="1474"/>
      <w:bookmarkEnd w:id="1475"/>
      <w:bookmarkEnd w:id="1476"/>
      <w:bookmarkEnd w:id="1477"/>
      <w:bookmarkEnd w:id="1478"/>
      <w:bookmarkEnd w:id="1479"/>
      <w:r>
        <w:rPr>
          <w:snapToGrid w:val="0"/>
        </w:rPr>
        <w:t xml:space="preserve"> </w:t>
      </w:r>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 xml:space="preserve">[Regulation 120R inserted in Gazette 13 Oct 1995 p. 4822.] </w:t>
      </w:r>
    </w:p>
    <w:p>
      <w:pPr>
        <w:pStyle w:val="Heading5"/>
        <w:rPr>
          <w:snapToGrid w:val="0"/>
        </w:rPr>
      </w:pPr>
      <w:bookmarkStart w:id="1480" w:name="_Toc474633199"/>
      <w:bookmarkStart w:id="1481" w:name="_Toc488740350"/>
      <w:bookmarkStart w:id="1482" w:name="_Toc8623733"/>
      <w:bookmarkStart w:id="1483" w:name="_Toc11229574"/>
      <w:bookmarkStart w:id="1484" w:name="_Toc104276753"/>
      <w:bookmarkStart w:id="1485" w:name="_Toc127338167"/>
      <w:r>
        <w:rPr>
          <w:rStyle w:val="CharSectno"/>
        </w:rPr>
        <w:t>120S</w:t>
      </w:r>
      <w:r>
        <w:rPr>
          <w:snapToGrid w:val="0"/>
        </w:rPr>
        <w:t>.</w:t>
      </w:r>
      <w:r>
        <w:rPr>
          <w:snapToGrid w:val="0"/>
        </w:rPr>
        <w:tab/>
        <w:t>Confidentiality of information</w:t>
      </w:r>
      <w:bookmarkEnd w:id="1480"/>
      <w:bookmarkEnd w:id="1481"/>
      <w:bookmarkEnd w:id="1482"/>
      <w:bookmarkEnd w:id="1483"/>
      <w:bookmarkEnd w:id="1484"/>
      <w:bookmarkEnd w:id="1485"/>
      <w:r>
        <w:rPr>
          <w:snapToGrid w:val="0"/>
        </w:rPr>
        <w:t xml:space="preserve"> </w:t>
      </w:r>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 xml:space="preserve">[Regulation 120S inserted in Gazette 13 Oct 1995 p. 4822.] </w:t>
      </w:r>
    </w:p>
    <w:p>
      <w:pPr>
        <w:pStyle w:val="Heading2"/>
      </w:pPr>
      <w:bookmarkStart w:id="1486" w:name="_Toc74979037"/>
      <w:bookmarkStart w:id="1487" w:name="_Toc74979301"/>
      <w:bookmarkStart w:id="1488" w:name="_Toc79976599"/>
      <w:bookmarkStart w:id="1489" w:name="_Toc80759870"/>
      <w:bookmarkStart w:id="1490" w:name="_Toc80783633"/>
      <w:bookmarkStart w:id="1491" w:name="_Toc94931300"/>
      <w:bookmarkStart w:id="1492" w:name="_Toc104275423"/>
      <w:bookmarkStart w:id="1493" w:name="_Toc104276754"/>
      <w:bookmarkStart w:id="1494" w:name="_Toc107198975"/>
      <w:bookmarkStart w:id="1495" w:name="_Toc107799427"/>
      <w:bookmarkStart w:id="1496" w:name="_Toc127087434"/>
      <w:bookmarkStart w:id="1497" w:name="_Toc127183747"/>
      <w:bookmarkStart w:id="1498" w:name="_Toc127338168"/>
      <w:r>
        <w:rPr>
          <w:rStyle w:val="CharPartNo"/>
        </w:rPr>
        <w:t>Part VII</w:t>
      </w:r>
      <w:r>
        <w:rPr>
          <w:rStyle w:val="CharDivNo"/>
        </w:rPr>
        <w:t> </w:t>
      </w:r>
      <w:r>
        <w:t>—</w:t>
      </w:r>
      <w:r>
        <w:rPr>
          <w:rStyle w:val="CharDivText"/>
        </w:rPr>
        <w:t> </w:t>
      </w:r>
      <w:r>
        <w:rPr>
          <w:rStyle w:val="CharPartText"/>
        </w:rPr>
        <w:t>Legal proceedings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r>
        <w:rPr>
          <w:rStyle w:val="CharPartText"/>
        </w:rPr>
        <w:t xml:space="preserve"> </w:t>
      </w:r>
    </w:p>
    <w:p>
      <w:pPr>
        <w:pStyle w:val="Heading5"/>
        <w:spacing w:before="120"/>
        <w:rPr>
          <w:snapToGrid w:val="0"/>
        </w:rPr>
      </w:pPr>
      <w:bookmarkStart w:id="1499" w:name="_Toc474633200"/>
      <w:bookmarkStart w:id="1500" w:name="_Toc488740351"/>
      <w:bookmarkStart w:id="1501" w:name="_Toc8623734"/>
      <w:bookmarkStart w:id="1502" w:name="_Toc11229575"/>
      <w:bookmarkStart w:id="1503" w:name="_Toc104276755"/>
      <w:bookmarkStart w:id="1504" w:name="_Toc127338169"/>
      <w:r>
        <w:rPr>
          <w:rStyle w:val="CharSectno"/>
        </w:rPr>
        <w:t>121</w:t>
      </w:r>
      <w:r>
        <w:rPr>
          <w:snapToGrid w:val="0"/>
        </w:rPr>
        <w:t>.</w:t>
      </w:r>
      <w:r>
        <w:rPr>
          <w:snapToGrid w:val="0"/>
        </w:rPr>
        <w:tab/>
        <w:t>Proceedings</w:t>
      </w:r>
      <w:bookmarkEnd w:id="1499"/>
      <w:bookmarkEnd w:id="1500"/>
      <w:bookmarkEnd w:id="1501"/>
      <w:bookmarkEnd w:id="1502"/>
      <w:bookmarkEnd w:id="1503"/>
      <w:bookmarkEnd w:id="1504"/>
      <w:r>
        <w:rPr>
          <w:snapToGrid w:val="0"/>
        </w:rPr>
        <w:t xml:space="preserve"> </w:t>
      </w:r>
    </w:p>
    <w:p>
      <w:pPr>
        <w:pStyle w:val="Subsection"/>
        <w:spacing w:before="100"/>
        <w:rPr>
          <w:snapToGrid w:val="0"/>
        </w:rPr>
      </w:pPr>
      <w:r>
        <w:rPr>
          <w:snapToGrid w:val="0"/>
        </w:rPr>
        <w:tab/>
        <w:t>(1)</w:t>
      </w:r>
      <w:r>
        <w:rPr>
          <w:snapToGrid w:val="0"/>
        </w:rPr>
        <w:tab/>
        <w:t>Except as provided in section 135 of the Act, all civil proceedings in the warden’s court shall be commenced by plaint in the form No. 33 in the First Schedule.</w:t>
      </w:r>
    </w:p>
    <w:p>
      <w:pPr>
        <w:pStyle w:val="Subsection"/>
        <w:spacing w:before="100"/>
        <w:rPr>
          <w:snapToGrid w:val="0"/>
        </w:rPr>
      </w:pPr>
      <w:r>
        <w:rPr>
          <w:snapToGrid w:val="0"/>
        </w:rPr>
        <w:tab/>
        <w:t>(2)</w:t>
      </w:r>
      <w:r>
        <w:rPr>
          <w:snapToGrid w:val="0"/>
        </w:rPr>
        <w:tab/>
        <w:t>Fees payable in respect of such proceedings are respectively set out in the Second Schedule.</w:t>
      </w:r>
    </w:p>
    <w:p>
      <w:pPr>
        <w:pStyle w:val="Heading5"/>
        <w:spacing w:before="120"/>
        <w:rPr>
          <w:snapToGrid w:val="0"/>
        </w:rPr>
      </w:pPr>
      <w:bookmarkStart w:id="1505" w:name="_Toc474633201"/>
      <w:bookmarkStart w:id="1506" w:name="_Toc488740352"/>
      <w:bookmarkStart w:id="1507" w:name="_Toc8623735"/>
      <w:bookmarkStart w:id="1508" w:name="_Toc11229576"/>
      <w:bookmarkStart w:id="1509" w:name="_Toc104276756"/>
      <w:bookmarkStart w:id="1510" w:name="_Toc127338170"/>
      <w:r>
        <w:rPr>
          <w:rStyle w:val="CharSectno"/>
        </w:rPr>
        <w:t>122</w:t>
      </w:r>
      <w:r>
        <w:rPr>
          <w:snapToGrid w:val="0"/>
        </w:rPr>
        <w:t>.</w:t>
      </w:r>
      <w:r>
        <w:rPr>
          <w:snapToGrid w:val="0"/>
        </w:rPr>
        <w:tab/>
        <w:t>Lodgement, withdrawal of plaint</w:t>
      </w:r>
      <w:bookmarkEnd w:id="1505"/>
      <w:bookmarkEnd w:id="1506"/>
      <w:bookmarkEnd w:id="1507"/>
      <w:bookmarkEnd w:id="1508"/>
      <w:bookmarkEnd w:id="1509"/>
      <w:bookmarkEnd w:id="1510"/>
      <w:r>
        <w:rPr>
          <w:snapToGrid w:val="0"/>
        </w:rPr>
        <w:t xml:space="preserve"> </w:t>
      </w:r>
    </w:p>
    <w:p>
      <w:pPr>
        <w:pStyle w:val="Subsection"/>
        <w:rPr>
          <w:snapToGrid w:val="0"/>
        </w:rPr>
      </w:pPr>
      <w:r>
        <w:rPr>
          <w:snapToGrid w:val="0"/>
        </w:rPr>
        <w:tab/>
        <w:t>(1)</w:t>
      </w:r>
      <w:r>
        <w:rPr>
          <w:snapToGrid w:val="0"/>
        </w:rPr>
        <w:tab/>
        <w:t>Every plaint shall be signed by the plaintiff or his solicitor and lodged with the prescribed fees at the office of the mining registrar.</w:t>
      </w:r>
    </w:p>
    <w:p>
      <w:pPr>
        <w:pStyle w:val="Subsection"/>
        <w:rPr>
          <w:snapToGrid w:val="0"/>
        </w:rPr>
      </w:pPr>
      <w:r>
        <w:rPr>
          <w:snapToGrid w:val="0"/>
        </w:rPr>
        <w:tab/>
        <w:t>(2)</w:t>
      </w:r>
      <w:r>
        <w:rPr>
          <w:snapToGrid w:val="0"/>
        </w:rPr>
        <w:tab/>
        <w:t>A plaint shall not be withdrawn or proceedings stayed after a summons has been served without the written consent of the defendant or by leave of the warden.</w:t>
      </w:r>
    </w:p>
    <w:p>
      <w:pPr>
        <w:pStyle w:val="Heading5"/>
        <w:rPr>
          <w:snapToGrid w:val="0"/>
        </w:rPr>
      </w:pPr>
      <w:bookmarkStart w:id="1511" w:name="_Toc474633202"/>
      <w:bookmarkStart w:id="1512" w:name="_Toc488740353"/>
      <w:bookmarkStart w:id="1513" w:name="_Toc8623736"/>
      <w:bookmarkStart w:id="1514" w:name="_Toc11229577"/>
      <w:bookmarkStart w:id="1515" w:name="_Toc104276757"/>
      <w:bookmarkStart w:id="1516" w:name="_Toc127338171"/>
      <w:r>
        <w:rPr>
          <w:rStyle w:val="CharSectno"/>
        </w:rPr>
        <w:t>123</w:t>
      </w:r>
      <w:r>
        <w:rPr>
          <w:snapToGrid w:val="0"/>
        </w:rPr>
        <w:t>.</w:t>
      </w:r>
      <w:r>
        <w:rPr>
          <w:snapToGrid w:val="0"/>
        </w:rPr>
        <w:tab/>
        <w:t>Issue of summons</w:t>
      </w:r>
      <w:bookmarkEnd w:id="1511"/>
      <w:bookmarkEnd w:id="1512"/>
      <w:bookmarkEnd w:id="1513"/>
      <w:bookmarkEnd w:id="1514"/>
      <w:bookmarkEnd w:id="1515"/>
      <w:bookmarkEnd w:id="1516"/>
      <w:r>
        <w:rPr>
          <w:snapToGrid w:val="0"/>
        </w:rPr>
        <w:t xml:space="preserve"> </w:t>
      </w:r>
    </w:p>
    <w:p>
      <w:pPr>
        <w:pStyle w:val="Subsection"/>
        <w:rPr>
          <w:snapToGrid w:val="0"/>
        </w:rPr>
      </w:pPr>
      <w:r>
        <w:rPr>
          <w:snapToGrid w:val="0"/>
        </w:rPr>
        <w:tab/>
      </w:r>
      <w:r>
        <w:rPr>
          <w:snapToGrid w:val="0"/>
        </w:rPr>
        <w:tab/>
        <w:t>On receipt of a plaint, the mining registrar shall — </w:t>
      </w:r>
    </w:p>
    <w:p>
      <w:pPr>
        <w:pStyle w:val="Indenta"/>
        <w:rPr>
          <w:snapToGrid w:val="0"/>
        </w:rPr>
      </w:pPr>
      <w:r>
        <w:rPr>
          <w:snapToGrid w:val="0"/>
        </w:rPr>
        <w:tab/>
        <w:t>(a)</w:t>
      </w:r>
      <w:r>
        <w:rPr>
          <w:snapToGrid w:val="0"/>
        </w:rPr>
        <w:tab/>
        <w:t>fix a date and time for hearing in the warden’s court being not less than </w:t>
      </w:r>
      <w:r>
        <w:t>45</w:t>
      </w:r>
      <w:r>
        <w:rPr>
          <w:snapToGrid w:val="0"/>
        </w:rPr>
        <w:t> days from the date of lodgement, unless all parties to the action consent to an earlier hearing date;</w:t>
      </w:r>
    </w:p>
    <w:p>
      <w:pPr>
        <w:pStyle w:val="Indenta"/>
        <w:rPr>
          <w:snapToGrid w:val="0"/>
        </w:rPr>
      </w:pPr>
      <w:r>
        <w:rPr>
          <w:snapToGrid w:val="0"/>
        </w:rPr>
        <w:tab/>
        <w:t>(b)</w:t>
      </w:r>
      <w:r>
        <w:rPr>
          <w:snapToGrid w:val="0"/>
        </w:rPr>
        <w:tab/>
        <w:t>advise the plaintiff of the hearing date; and</w:t>
      </w:r>
    </w:p>
    <w:p>
      <w:pPr>
        <w:pStyle w:val="Indenta"/>
        <w:rPr>
          <w:snapToGrid w:val="0"/>
        </w:rPr>
      </w:pPr>
      <w:r>
        <w:rPr>
          <w:snapToGrid w:val="0"/>
        </w:rPr>
        <w:tab/>
        <w:t>(c)</w:t>
      </w:r>
      <w:r>
        <w:rPr>
          <w:snapToGrid w:val="0"/>
        </w:rPr>
        <w:tab/>
        <w:t>issue a summons in the form No. 34 in the First Schedule in duplicate addressed to each defendant and forward it for service to — </w:t>
      </w:r>
    </w:p>
    <w:p>
      <w:pPr>
        <w:pStyle w:val="Indenti"/>
        <w:rPr>
          <w:snapToGrid w:val="0"/>
        </w:rPr>
      </w:pPr>
      <w:r>
        <w:rPr>
          <w:snapToGrid w:val="0"/>
        </w:rPr>
        <w:tab/>
        <w:t>(i)</w:t>
      </w:r>
      <w:r>
        <w:rPr>
          <w:snapToGrid w:val="0"/>
        </w:rPr>
        <w:tab/>
        <w:t>the plaintiff;</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Footnotesection"/>
      </w:pPr>
      <w:r>
        <w:tab/>
        <w:t>[Regulation 123 amended in Gazette 17 Jan 2003 p. 114.]</w:t>
      </w:r>
    </w:p>
    <w:p>
      <w:pPr>
        <w:pStyle w:val="Heading5"/>
        <w:rPr>
          <w:snapToGrid w:val="0"/>
        </w:rPr>
      </w:pPr>
      <w:bookmarkStart w:id="1517" w:name="_Toc474633203"/>
      <w:bookmarkStart w:id="1518" w:name="_Toc488740354"/>
      <w:bookmarkStart w:id="1519" w:name="_Toc8623737"/>
      <w:bookmarkStart w:id="1520" w:name="_Toc11229578"/>
      <w:bookmarkStart w:id="1521" w:name="_Toc104276758"/>
      <w:bookmarkStart w:id="1522" w:name="_Toc127338172"/>
      <w:r>
        <w:rPr>
          <w:rStyle w:val="CharSectno"/>
        </w:rPr>
        <w:t>124</w:t>
      </w:r>
      <w:r>
        <w:rPr>
          <w:snapToGrid w:val="0"/>
        </w:rPr>
        <w:t>.</w:t>
      </w:r>
      <w:r>
        <w:rPr>
          <w:snapToGrid w:val="0"/>
        </w:rPr>
        <w:tab/>
        <w:t>Affidavit of service</w:t>
      </w:r>
      <w:bookmarkEnd w:id="1517"/>
      <w:bookmarkEnd w:id="1518"/>
      <w:bookmarkEnd w:id="1519"/>
      <w:bookmarkEnd w:id="1520"/>
      <w:bookmarkEnd w:id="1521"/>
      <w:bookmarkEnd w:id="1522"/>
      <w:r>
        <w:rPr>
          <w:snapToGrid w:val="0"/>
        </w:rPr>
        <w:t xml:space="preserve"> </w:t>
      </w:r>
    </w:p>
    <w:p>
      <w:pPr>
        <w:pStyle w:val="Subsection"/>
        <w:rPr>
          <w:snapToGrid w:val="0"/>
        </w:rPr>
      </w:pPr>
      <w:r>
        <w:rPr>
          <w:snapToGrid w:val="0"/>
        </w:rPr>
        <w:tab/>
      </w:r>
      <w:r>
        <w:rPr>
          <w:snapToGrid w:val="0"/>
        </w:rPr>
        <w:tab/>
        <w:t>The person to whom the summonses are delivered shall serve them without delay, and thereupon shall make an affidavit of service, in the form No. 35 in the First Schedule and deliver it to the mining registrar.</w:t>
      </w:r>
    </w:p>
    <w:p>
      <w:pPr>
        <w:pStyle w:val="Heading5"/>
        <w:rPr>
          <w:snapToGrid w:val="0"/>
        </w:rPr>
      </w:pPr>
      <w:bookmarkStart w:id="1523" w:name="_Toc474633204"/>
      <w:bookmarkStart w:id="1524" w:name="_Toc488740355"/>
      <w:bookmarkStart w:id="1525" w:name="_Toc8623738"/>
      <w:bookmarkStart w:id="1526" w:name="_Toc11229579"/>
      <w:bookmarkStart w:id="1527" w:name="_Toc104276759"/>
      <w:bookmarkStart w:id="1528" w:name="_Toc127338173"/>
      <w:r>
        <w:rPr>
          <w:rStyle w:val="CharSectno"/>
        </w:rPr>
        <w:t>125</w:t>
      </w:r>
      <w:r>
        <w:rPr>
          <w:snapToGrid w:val="0"/>
        </w:rPr>
        <w:t>.</w:t>
      </w:r>
      <w:r>
        <w:rPr>
          <w:snapToGrid w:val="0"/>
        </w:rPr>
        <w:tab/>
        <w:t>Time for service</w:t>
      </w:r>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rPr>
          <w:snapToGrid w:val="0"/>
        </w:rPr>
      </w:pPr>
      <w:r>
        <w:rPr>
          <w:snapToGrid w:val="0"/>
        </w:rPr>
        <w:tab/>
        <w:t>(2)</w:t>
      </w:r>
      <w:r>
        <w:rPr>
          <w:snapToGrid w:val="0"/>
        </w:rPr>
        <w:tab/>
        <w:t>Where a summons has not been served within the prescribed time, the warden or mining registrar may, on giving notice to the plaintiff, extend the date of hearing and issue an amended summons.</w:t>
      </w:r>
    </w:p>
    <w:p>
      <w:pPr>
        <w:pStyle w:val="Footnotesection"/>
      </w:pPr>
      <w:r>
        <w:tab/>
        <w:t>[Regulation 125 amended in Gazette 17 Jan 2003 p. 114.]</w:t>
      </w:r>
    </w:p>
    <w:p>
      <w:pPr>
        <w:pStyle w:val="Heading5"/>
        <w:spacing w:before="120"/>
        <w:rPr>
          <w:snapToGrid w:val="0"/>
        </w:rPr>
      </w:pPr>
      <w:bookmarkStart w:id="1529" w:name="_Toc474633205"/>
      <w:bookmarkStart w:id="1530" w:name="_Toc488740356"/>
      <w:bookmarkStart w:id="1531" w:name="_Toc8623739"/>
      <w:bookmarkStart w:id="1532" w:name="_Toc11229580"/>
      <w:bookmarkStart w:id="1533" w:name="_Toc104276760"/>
      <w:bookmarkStart w:id="1534" w:name="_Toc127338174"/>
      <w:r>
        <w:rPr>
          <w:rStyle w:val="CharSectno"/>
        </w:rPr>
        <w:t>126</w:t>
      </w:r>
      <w:r>
        <w:rPr>
          <w:snapToGrid w:val="0"/>
        </w:rPr>
        <w:t>.</w:t>
      </w:r>
      <w:r>
        <w:rPr>
          <w:snapToGrid w:val="0"/>
        </w:rPr>
        <w:tab/>
        <w:t>Notice of defence</w:t>
      </w:r>
      <w:bookmarkEnd w:id="1529"/>
      <w:bookmarkEnd w:id="1530"/>
      <w:bookmarkEnd w:id="1531"/>
      <w:bookmarkEnd w:id="1532"/>
      <w:bookmarkEnd w:id="1533"/>
      <w:bookmarkEnd w:id="1534"/>
      <w:r>
        <w:rPr>
          <w:snapToGrid w:val="0"/>
        </w:rPr>
        <w:t xml:space="preserve"> </w:t>
      </w:r>
    </w:p>
    <w:p>
      <w:pPr>
        <w:pStyle w:val="Subsection"/>
        <w:rPr>
          <w:snapToGrid w:val="0"/>
        </w:rPr>
      </w:pPr>
      <w:r>
        <w:rPr>
          <w:snapToGrid w:val="0"/>
        </w:rPr>
        <w:tab/>
      </w:r>
      <w:r>
        <w:rPr>
          <w:snapToGrid w:val="0"/>
        </w:rPr>
        <w:tab/>
        <w:t xml:space="preserve">When the defendant intends to dispute the claim he shall lodge at the office of the mining registrar not less than </w:t>
      </w:r>
      <w:r>
        <w:t>21</w:t>
      </w:r>
      <w:r>
        <w:rPr>
          <w:snapToGrid w:val="0"/>
        </w:rPr>
        <w:t> days before the date fixed for the hearing or at any subsequent time prior to the hearing as the warden may allow a notice of defence in the form No. 36 in the First Schedule with the prescribed fee, and the mining registrar shall forward a copy of the notice to the plaintiff.</w:t>
      </w:r>
    </w:p>
    <w:p>
      <w:pPr>
        <w:pStyle w:val="Footnotesection"/>
      </w:pPr>
      <w:r>
        <w:tab/>
        <w:t xml:space="preserve">[Regulation 126 amended in Gazette 24 Jun 1994 p. 2938; 11 Jun 1999 p. 2545; 17 Jan 2003 p. 114.] </w:t>
      </w:r>
    </w:p>
    <w:p>
      <w:pPr>
        <w:pStyle w:val="Heading5"/>
        <w:spacing w:before="120"/>
        <w:rPr>
          <w:snapToGrid w:val="0"/>
        </w:rPr>
      </w:pPr>
      <w:bookmarkStart w:id="1535" w:name="_Toc474633206"/>
      <w:bookmarkStart w:id="1536" w:name="_Toc488740357"/>
      <w:bookmarkStart w:id="1537" w:name="_Toc8623740"/>
      <w:bookmarkStart w:id="1538" w:name="_Toc11229581"/>
      <w:bookmarkStart w:id="1539" w:name="_Toc104276761"/>
      <w:bookmarkStart w:id="1540" w:name="_Toc127338175"/>
      <w:r>
        <w:rPr>
          <w:rStyle w:val="CharSectno"/>
        </w:rPr>
        <w:t>127</w:t>
      </w:r>
      <w:r>
        <w:rPr>
          <w:snapToGrid w:val="0"/>
        </w:rPr>
        <w:t>.</w:t>
      </w:r>
      <w:r>
        <w:rPr>
          <w:snapToGrid w:val="0"/>
        </w:rPr>
        <w:tab/>
        <w:t>Subpoena of witness</w:t>
      </w:r>
      <w:bookmarkEnd w:id="1535"/>
      <w:bookmarkEnd w:id="1536"/>
      <w:bookmarkEnd w:id="1537"/>
      <w:bookmarkEnd w:id="1538"/>
      <w:bookmarkEnd w:id="1539"/>
      <w:bookmarkEnd w:id="1540"/>
      <w:r>
        <w:rPr>
          <w:snapToGrid w:val="0"/>
        </w:rPr>
        <w:t xml:space="preserve"> </w:t>
      </w:r>
    </w:p>
    <w:p>
      <w:pPr>
        <w:pStyle w:val="Subsection"/>
        <w:rPr>
          <w:snapToGrid w:val="0"/>
        </w:rPr>
      </w:pPr>
      <w:r>
        <w:rPr>
          <w:snapToGrid w:val="0"/>
        </w:rPr>
        <w:tab/>
        <w:t>(1)</w:t>
      </w:r>
      <w:r>
        <w:rPr>
          <w:snapToGrid w:val="0"/>
        </w:rPr>
        <w:tab/>
        <w:t>Each party may procure the attendance of witnesses by means of a subpoena in the form No. 37 in the First Schedule.</w:t>
      </w:r>
    </w:p>
    <w:p>
      <w:pPr>
        <w:pStyle w:val="Subsection"/>
        <w:rPr>
          <w:snapToGrid w:val="0"/>
        </w:rPr>
      </w:pPr>
      <w:r>
        <w:rPr>
          <w:snapToGrid w:val="0"/>
        </w:rPr>
        <w:tab/>
        <w:t>(2)</w:t>
      </w:r>
      <w:r>
        <w:rPr>
          <w:snapToGrid w:val="0"/>
        </w:rPr>
        <w:tab/>
        <w:t xml:space="preserve">A witness who attends in answer to a subpoena shall be entitled to the allowances prescribed in the </w:t>
      </w:r>
      <w:r>
        <w:rPr>
          <w:i/>
          <w:snapToGrid w:val="0"/>
        </w:rPr>
        <w:t>Local Court Rules 1961</w:t>
      </w:r>
      <w:r>
        <w:rPr>
          <w:snapToGrid w:val="0"/>
        </w:rPr>
        <w:t>.</w:t>
      </w:r>
    </w:p>
    <w:p>
      <w:pPr>
        <w:pStyle w:val="Subsection"/>
        <w:rPr>
          <w:snapToGrid w:val="0"/>
        </w:rPr>
      </w:pPr>
      <w:r>
        <w:rPr>
          <w:snapToGrid w:val="0"/>
        </w:rPr>
        <w:tab/>
        <w:t>(3)</w:t>
      </w:r>
      <w:r>
        <w:rPr>
          <w:snapToGrid w:val="0"/>
        </w:rPr>
        <w:tab/>
        <w:t>A witness is not required to attend unless at the time of the service of the subpoena a reasonable sum as conduct money is tendered to him.</w:t>
      </w:r>
    </w:p>
    <w:p>
      <w:pPr>
        <w:pStyle w:val="Heading5"/>
        <w:rPr>
          <w:snapToGrid w:val="0"/>
        </w:rPr>
      </w:pPr>
      <w:bookmarkStart w:id="1541" w:name="_Toc474633207"/>
      <w:bookmarkStart w:id="1542" w:name="_Toc488740358"/>
      <w:bookmarkStart w:id="1543" w:name="_Toc8623741"/>
      <w:bookmarkStart w:id="1544" w:name="_Toc11229582"/>
      <w:bookmarkStart w:id="1545" w:name="_Toc104276762"/>
      <w:bookmarkStart w:id="1546" w:name="_Toc127338176"/>
      <w:r>
        <w:rPr>
          <w:rStyle w:val="CharSectno"/>
        </w:rPr>
        <w:t>127A</w:t>
      </w:r>
      <w:r>
        <w:rPr>
          <w:snapToGrid w:val="0"/>
        </w:rPr>
        <w:t>.</w:t>
      </w:r>
      <w:r>
        <w:rPr>
          <w:snapToGrid w:val="0"/>
        </w:rPr>
        <w:tab/>
        <w:t>Persons before whom affidavit may be sworn</w:t>
      </w:r>
      <w:bookmarkEnd w:id="1541"/>
      <w:bookmarkEnd w:id="1542"/>
      <w:bookmarkEnd w:id="1543"/>
      <w:bookmarkEnd w:id="1544"/>
      <w:bookmarkEnd w:id="1545"/>
      <w:bookmarkEnd w:id="1546"/>
      <w:r>
        <w:rPr>
          <w:snapToGrid w:val="0"/>
        </w:rPr>
        <w:t xml:space="preserve"> </w:t>
      </w:r>
    </w:p>
    <w:p>
      <w:pPr>
        <w:pStyle w:val="Subsection"/>
        <w:rPr>
          <w:snapToGrid w:val="0"/>
        </w:rPr>
      </w:pPr>
      <w:r>
        <w:rPr>
          <w:snapToGrid w:val="0"/>
        </w:rPr>
        <w:tab/>
      </w:r>
      <w:r>
        <w:rPr>
          <w:snapToGrid w:val="0"/>
        </w:rPr>
        <w:tab/>
        <w:t>For the purposes of section 144(e) of the Act, the offices of — </w:t>
      </w:r>
    </w:p>
    <w:p>
      <w:pPr>
        <w:pStyle w:val="Indenta"/>
      </w:pPr>
      <w:r>
        <w:tab/>
        <w:t>(a)</w:t>
      </w:r>
      <w:r>
        <w:tab/>
        <w:t>Director;</w:t>
      </w:r>
    </w:p>
    <w:p>
      <w:pPr>
        <w:pStyle w:val="Indenta"/>
      </w:pPr>
      <w:r>
        <w:tab/>
        <w:t>(b)</w:t>
      </w:r>
      <w:r>
        <w:tab/>
        <w:t>General Manager;</w:t>
      </w:r>
    </w:p>
    <w:p>
      <w:pPr>
        <w:pStyle w:val="Indenta"/>
      </w:pPr>
      <w:r>
        <w:tab/>
        <w:t>(c)</w:t>
      </w:r>
      <w:r>
        <w:tab/>
        <w:t>Manager; and</w:t>
      </w:r>
    </w:p>
    <w:p>
      <w:pPr>
        <w:pStyle w:val="Indenta"/>
        <w:rPr>
          <w:snapToGrid w:val="0"/>
        </w:rPr>
      </w:pPr>
      <w:r>
        <w:tab/>
        <w:t>(d)</w:t>
      </w:r>
      <w:r>
        <w:tab/>
        <w:t>Co</w:t>
      </w:r>
      <w:r>
        <w:noBreakHyphen/>
        <w:t>ordinator,</w:t>
      </w:r>
    </w:p>
    <w:p>
      <w:pPr>
        <w:pStyle w:val="Subsection"/>
        <w:rPr>
          <w:snapToGrid w:val="0"/>
        </w:rPr>
      </w:pPr>
      <w:r>
        <w:rPr>
          <w:snapToGrid w:val="0"/>
        </w:rPr>
        <w:tab/>
      </w:r>
      <w:r>
        <w:rPr>
          <w:snapToGrid w:val="0"/>
        </w:rP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 xml:space="preserve">[Regulation 127A inserted in Gazette 24 Jun 1994 p. 2938; amended in Gazette 13 Oct 1995 p. 4822; 4 Apr 1997 p. 1779; 21 Jan 2000 p. 345.] </w:t>
      </w:r>
    </w:p>
    <w:p>
      <w:pPr>
        <w:pStyle w:val="Heading5"/>
        <w:rPr>
          <w:snapToGrid w:val="0"/>
        </w:rPr>
      </w:pPr>
      <w:bookmarkStart w:id="1547" w:name="_Toc474633208"/>
      <w:bookmarkStart w:id="1548" w:name="_Toc488740359"/>
      <w:bookmarkStart w:id="1549" w:name="_Toc8623742"/>
      <w:bookmarkStart w:id="1550" w:name="_Toc11229583"/>
      <w:bookmarkStart w:id="1551" w:name="_Toc104276763"/>
      <w:bookmarkStart w:id="1552" w:name="_Toc127338177"/>
      <w:r>
        <w:rPr>
          <w:rStyle w:val="CharSectno"/>
        </w:rPr>
        <w:t>128</w:t>
      </w:r>
      <w:r>
        <w:rPr>
          <w:snapToGrid w:val="0"/>
        </w:rPr>
        <w:t>.</w:t>
      </w:r>
      <w:r>
        <w:rPr>
          <w:snapToGrid w:val="0"/>
        </w:rPr>
        <w:tab/>
        <w:t>Costs</w:t>
      </w:r>
      <w:bookmarkEnd w:id="1547"/>
      <w:bookmarkEnd w:id="1548"/>
      <w:bookmarkEnd w:id="1549"/>
      <w:bookmarkEnd w:id="1550"/>
      <w:bookmarkEnd w:id="1551"/>
      <w:bookmarkEnd w:id="1552"/>
      <w:r>
        <w:rPr>
          <w:snapToGrid w:val="0"/>
        </w:rPr>
        <w:t xml:space="preserve"> </w:t>
      </w:r>
    </w:p>
    <w:p>
      <w:pPr>
        <w:pStyle w:val="Subsection"/>
        <w:rPr>
          <w:snapToGrid w:val="0"/>
        </w:rPr>
      </w:pPr>
      <w:r>
        <w:rPr>
          <w:snapToGrid w:val="0"/>
        </w:rPr>
        <w:tab/>
        <w:t>(1)</w:t>
      </w:r>
      <w:r>
        <w:rPr>
          <w:snapToGrid w:val="0"/>
        </w:rPr>
        <w:tab/>
        <w:t xml:space="preserve">Where the warden’s court orders costs to be paid by any party, those costs shall be in accordance with the costs allowed under the </w:t>
      </w:r>
      <w:r>
        <w:rPr>
          <w:i/>
          <w:snapToGrid w:val="0"/>
        </w:rPr>
        <w:t>Local Court Rules 1961</w:t>
      </w:r>
      <w:r>
        <w:rPr>
          <w:snapToGrid w:val="0"/>
        </w:rPr>
        <w:t>.</w:t>
      </w:r>
    </w:p>
    <w:p>
      <w:pPr>
        <w:pStyle w:val="Subsection"/>
        <w:rPr>
          <w:snapToGrid w:val="0"/>
        </w:rPr>
      </w:pPr>
      <w:r>
        <w:rPr>
          <w:snapToGrid w:val="0"/>
        </w:rPr>
        <w:tab/>
        <w:t>(2)</w:t>
      </w:r>
      <w:r>
        <w:rPr>
          <w:snapToGrid w:val="0"/>
        </w:rPr>
        <w:tab/>
        <w:t>Where there is no money demanded, the warden’s court shall determine under which scale the costs are to be awarded.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allowance under the </w:t>
      </w:r>
      <w:r>
        <w:rPr>
          <w:i/>
          <w:snapToGrid w:val="0"/>
        </w:rPr>
        <w:t>Local Court Rules 1961</w:t>
      </w:r>
      <w:r>
        <w:rPr>
          <w:snapToGrid w:val="0"/>
        </w:rPr>
        <w:t xml:space="preserve"> is inadequate in that regard, the warden may, upon application at the trial (to which the party against whom the order is sought is entitled to be heard in reply) fix —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Heading5"/>
        <w:rPr>
          <w:snapToGrid w:val="0"/>
        </w:rPr>
      </w:pPr>
      <w:bookmarkStart w:id="1553" w:name="_Toc474633209"/>
      <w:bookmarkStart w:id="1554" w:name="_Toc488740360"/>
      <w:bookmarkStart w:id="1555" w:name="_Toc8623743"/>
      <w:bookmarkStart w:id="1556" w:name="_Toc11229584"/>
      <w:bookmarkStart w:id="1557" w:name="_Toc104276764"/>
      <w:bookmarkStart w:id="1558" w:name="_Toc127338178"/>
      <w:r>
        <w:rPr>
          <w:rStyle w:val="CharSectno"/>
        </w:rPr>
        <w:t>129</w:t>
      </w:r>
      <w:r>
        <w:rPr>
          <w:snapToGrid w:val="0"/>
        </w:rPr>
        <w:t>.</w:t>
      </w:r>
      <w:r>
        <w:rPr>
          <w:snapToGrid w:val="0"/>
        </w:rPr>
        <w:tab/>
        <w:t>Copy of judgment</w:t>
      </w:r>
      <w:bookmarkEnd w:id="1553"/>
      <w:bookmarkEnd w:id="1554"/>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When the decision of any plaint has been delivered by the warden’s court, a judgment in the form No. 38 in the First Schedule may be signed by the warden or mining registrar and filed 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Heading5"/>
        <w:rPr>
          <w:snapToGrid w:val="0"/>
        </w:rPr>
      </w:pPr>
      <w:bookmarkStart w:id="1559" w:name="_Toc474633210"/>
      <w:bookmarkStart w:id="1560" w:name="_Toc488740361"/>
      <w:bookmarkStart w:id="1561" w:name="_Toc8623744"/>
      <w:bookmarkStart w:id="1562" w:name="_Toc11229585"/>
      <w:bookmarkStart w:id="1563" w:name="_Toc104276765"/>
      <w:bookmarkStart w:id="1564" w:name="_Toc127338179"/>
      <w:r>
        <w:rPr>
          <w:rStyle w:val="CharSectno"/>
        </w:rPr>
        <w:t>130</w:t>
      </w:r>
      <w:r>
        <w:rPr>
          <w:snapToGrid w:val="0"/>
        </w:rPr>
        <w:t>.</w:t>
      </w:r>
      <w:r>
        <w:rPr>
          <w:snapToGrid w:val="0"/>
        </w:rPr>
        <w:tab/>
        <w:t>Warrant of execution</w:t>
      </w:r>
      <w:bookmarkEnd w:id="1559"/>
      <w:bookmarkEnd w:id="1560"/>
      <w:bookmarkEnd w:id="1561"/>
      <w:bookmarkEnd w:id="1562"/>
      <w:bookmarkEnd w:id="1563"/>
      <w:bookmarkEnd w:id="1564"/>
      <w:r>
        <w:rPr>
          <w:snapToGrid w:val="0"/>
        </w:rPr>
        <w:t xml:space="preserve"> </w:t>
      </w:r>
    </w:p>
    <w:p>
      <w:pPr>
        <w:pStyle w:val="Subsection"/>
        <w:rPr>
          <w:snapToGrid w:val="0"/>
        </w:rPr>
      </w:pPr>
      <w:r>
        <w:rPr>
          <w:snapToGrid w:val="0"/>
        </w:rPr>
        <w:tab/>
        <w:t>(1)</w:t>
      </w:r>
      <w:r>
        <w:rPr>
          <w:snapToGrid w:val="0"/>
        </w:rPr>
        <w:tab/>
        <w:t>Where the plaintiff or defendant has made default in the payment of any sum of money ordered by the warden’s court to be paid by him, the party to whom such sum is payable may, on application to the mining registrar, and on payment of the prescribed fee, obtain a warrant of execution against any property of the party making such default.</w:t>
      </w:r>
    </w:p>
    <w:p>
      <w:pPr>
        <w:pStyle w:val="Subsection"/>
        <w:rPr>
          <w:snapToGrid w:val="0"/>
        </w:rPr>
      </w:pPr>
      <w:r>
        <w:rPr>
          <w:snapToGrid w:val="0"/>
        </w:rPr>
        <w:tab/>
        <w:t>(2)</w:t>
      </w:r>
      <w:r>
        <w:rPr>
          <w:snapToGrid w:val="0"/>
        </w:rPr>
        <w:tab/>
        <w:t>The warrant shall be in the form No. 39 in the First Schedule.</w:t>
      </w:r>
    </w:p>
    <w:p>
      <w:pPr>
        <w:pStyle w:val="Subsection"/>
        <w:rPr>
          <w:snapToGrid w:val="0"/>
        </w:rPr>
      </w:pPr>
      <w:r>
        <w:rPr>
          <w:snapToGrid w:val="0"/>
        </w:rPr>
        <w:tab/>
        <w:t>(3)</w:t>
      </w:r>
      <w:r>
        <w:rPr>
          <w:snapToGrid w:val="0"/>
        </w:rPr>
        <w:tab/>
        <w:t>The warrant may remain in force for a period of 12 calendar months.</w:t>
      </w:r>
    </w:p>
    <w:p>
      <w:pPr>
        <w:pStyle w:val="Subsection"/>
        <w:rPr>
          <w:snapToGrid w:val="0"/>
        </w:rPr>
      </w:pPr>
      <w:r>
        <w:rPr>
          <w:snapToGrid w:val="0"/>
        </w:rPr>
        <w:tab/>
        <w:t>(4)</w:t>
      </w:r>
      <w:r>
        <w:rPr>
          <w:snapToGrid w:val="0"/>
        </w:rPr>
        <w:tab/>
        <w:t>Application for renewal of the warrant shall be made to the warden or mining registrar in writing, supported by a statutory declaration as to default having been made in payment of the sum awarded, or any portion thereof.</w:t>
      </w:r>
    </w:p>
    <w:p>
      <w:pPr>
        <w:pStyle w:val="Heading5"/>
        <w:rPr>
          <w:snapToGrid w:val="0"/>
        </w:rPr>
      </w:pPr>
      <w:bookmarkStart w:id="1565" w:name="_Toc474633211"/>
      <w:bookmarkStart w:id="1566" w:name="_Toc488740362"/>
      <w:bookmarkStart w:id="1567" w:name="_Toc8623745"/>
      <w:bookmarkStart w:id="1568" w:name="_Toc11229586"/>
      <w:bookmarkStart w:id="1569" w:name="_Toc104276766"/>
      <w:bookmarkStart w:id="1570" w:name="_Toc127338180"/>
      <w:r>
        <w:rPr>
          <w:rStyle w:val="CharSectno"/>
        </w:rPr>
        <w:t>131</w:t>
      </w:r>
      <w:r>
        <w:rPr>
          <w:snapToGrid w:val="0"/>
        </w:rPr>
        <w:t>.</w:t>
      </w:r>
      <w:r>
        <w:rPr>
          <w:snapToGrid w:val="0"/>
        </w:rPr>
        <w:tab/>
        <w:t>Warrant for recovery of possession</w:t>
      </w:r>
      <w:bookmarkEnd w:id="1565"/>
      <w:bookmarkEnd w:id="1566"/>
      <w:bookmarkEnd w:id="1567"/>
      <w:bookmarkEnd w:id="1568"/>
      <w:bookmarkEnd w:id="1569"/>
      <w:bookmarkEnd w:id="1570"/>
      <w:r>
        <w:rPr>
          <w:snapToGrid w:val="0"/>
        </w:rPr>
        <w:t xml:space="preserve"> </w:t>
      </w:r>
    </w:p>
    <w:p>
      <w:pPr>
        <w:pStyle w:val="Subsection"/>
        <w:rPr>
          <w:snapToGrid w:val="0"/>
        </w:rPr>
      </w:pPr>
      <w:r>
        <w:rPr>
          <w:snapToGrid w:val="0"/>
        </w:rPr>
        <w:tab/>
      </w:r>
      <w:r>
        <w:rPr>
          <w:snapToGrid w:val="0"/>
        </w:rPr>
        <w:tab/>
        <w:t>A warrant for recovery of possession pursuant to section 141 of the Act shall be in the form No. 40 in the First Schedule.</w:t>
      </w:r>
    </w:p>
    <w:p>
      <w:pPr>
        <w:pStyle w:val="Heading5"/>
        <w:rPr>
          <w:snapToGrid w:val="0"/>
        </w:rPr>
      </w:pPr>
      <w:bookmarkStart w:id="1571" w:name="_Toc474633212"/>
      <w:bookmarkStart w:id="1572" w:name="_Toc488740363"/>
      <w:bookmarkStart w:id="1573" w:name="_Toc8623746"/>
      <w:bookmarkStart w:id="1574" w:name="_Toc11229587"/>
      <w:bookmarkStart w:id="1575" w:name="_Toc104276767"/>
      <w:bookmarkStart w:id="1576" w:name="_Toc127338181"/>
      <w:r>
        <w:rPr>
          <w:rStyle w:val="CharSectno"/>
        </w:rPr>
        <w:t>132</w:t>
      </w:r>
      <w:r>
        <w:rPr>
          <w:snapToGrid w:val="0"/>
        </w:rPr>
        <w:t>.</w:t>
      </w:r>
      <w:r>
        <w:rPr>
          <w:snapToGrid w:val="0"/>
        </w:rPr>
        <w:tab/>
        <w:t>Notice of seizure</w:t>
      </w:r>
      <w:bookmarkEnd w:id="1571"/>
      <w:bookmarkEnd w:id="1572"/>
      <w:bookmarkEnd w:id="1573"/>
      <w:bookmarkEnd w:id="1574"/>
      <w:bookmarkEnd w:id="1575"/>
      <w:bookmarkEnd w:id="1576"/>
      <w:r>
        <w:rPr>
          <w:snapToGrid w:val="0"/>
        </w:rPr>
        <w:t xml:space="preserve"> </w:t>
      </w:r>
    </w:p>
    <w:p>
      <w:pPr>
        <w:pStyle w:val="Subsection"/>
        <w:rPr>
          <w:snapToGrid w:val="0"/>
        </w:rPr>
      </w:pPr>
      <w:r>
        <w:rPr>
          <w:snapToGrid w:val="0"/>
        </w:rPr>
        <w:tab/>
      </w:r>
      <w:r>
        <w:rPr>
          <w:snapToGrid w:val="0"/>
        </w:rPr>
        <w:tab/>
        <w:t>On seizure of any mining tenement or interest therein, under a writ of fi. fa. or a warrant issued out of the warden’s court or any other court, notice thereof in the form No. 41 in the First Schedule shall be given to the mining registrar with the prescribed fee, and a copy of the writ of fi. fa. or warrant shall be attached to the notice.</w:t>
      </w:r>
    </w:p>
    <w:p>
      <w:pPr>
        <w:pStyle w:val="Heading5"/>
        <w:rPr>
          <w:snapToGrid w:val="0"/>
        </w:rPr>
      </w:pPr>
      <w:bookmarkStart w:id="1577" w:name="_Toc474633213"/>
      <w:bookmarkStart w:id="1578" w:name="_Toc488740364"/>
      <w:bookmarkStart w:id="1579" w:name="_Toc8623747"/>
      <w:bookmarkStart w:id="1580" w:name="_Toc11229588"/>
      <w:bookmarkStart w:id="1581" w:name="_Toc104276768"/>
      <w:bookmarkStart w:id="1582" w:name="_Toc127338182"/>
      <w:r>
        <w:rPr>
          <w:rStyle w:val="CharSectno"/>
        </w:rPr>
        <w:t>133</w:t>
      </w:r>
      <w:r>
        <w:rPr>
          <w:snapToGrid w:val="0"/>
        </w:rPr>
        <w:t>.</w:t>
      </w:r>
      <w:r>
        <w:rPr>
          <w:snapToGrid w:val="0"/>
        </w:rPr>
        <w:tab/>
        <w:t>Sale under warrant of execution</w:t>
      </w:r>
      <w:bookmarkEnd w:id="1577"/>
      <w:bookmarkEnd w:id="1578"/>
      <w:bookmarkEnd w:id="1579"/>
      <w:bookmarkEnd w:id="1580"/>
      <w:bookmarkEnd w:id="1581"/>
      <w:bookmarkEnd w:id="1582"/>
      <w:r>
        <w:rPr>
          <w:snapToGrid w:val="0"/>
        </w:rPr>
        <w:t xml:space="preserve"> </w:t>
      </w:r>
    </w:p>
    <w:p>
      <w:pPr>
        <w:pStyle w:val="Subsection"/>
        <w:rPr>
          <w:snapToGrid w:val="0"/>
        </w:rPr>
      </w:pPr>
      <w:r>
        <w:rPr>
          <w:snapToGrid w:val="0"/>
        </w:rPr>
        <w:tab/>
        <w:t>(1)</w:t>
      </w:r>
      <w:r>
        <w:rPr>
          <w:snapToGrid w:val="0"/>
        </w:rPr>
        <w:tab/>
        <w:t>Notice of sale and of the intended place and day of sale under a warrant of execution issued out of the warden’s court shall be given at least 7 days before the day of sale by — </w:t>
      </w:r>
    </w:p>
    <w:p>
      <w:pPr>
        <w:pStyle w:val="Indenta"/>
        <w:rPr>
          <w:snapToGrid w:val="0"/>
        </w:rPr>
      </w:pPr>
      <w:r>
        <w:rPr>
          <w:snapToGrid w:val="0"/>
        </w:rPr>
        <w:tab/>
        <w:t>(a)</w:t>
      </w:r>
      <w:r>
        <w:rPr>
          <w:snapToGrid w:val="0"/>
        </w:rPr>
        <w:tab/>
        <w:t>affixing a notice conspicuously at or near the place where the sale is to take place;</w:t>
      </w:r>
    </w:p>
    <w:p>
      <w:pPr>
        <w:pStyle w:val="Indenta"/>
        <w:rPr>
          <w:snapToGrid w:val="0"/>
        </w:rPr>
      </w:pPr>
      <w:r>
        <w:rPr>
          <w:snapToGrid w:val="0"/>
        </w:rPr>
        <w:tab/>
        <w:t>(b)</w:t>
      </w:r>
      <w:r>
        <w:rPr>
          <w:snapToGrid w:val="0"/>
        </w:rPr>
        <w:tab/>
        <w:t>posting a copy of the notice on the notice board at the office of the mining registrar; and</w:t>
      </w:r>
    </w:p>
    <w:p>
      <w:pPr>
        <w:pStyle w:val="Indenta"/>
        <w:rPr>
          <w:snapToGrid w:val="0"/>
        </w:rPr>
      </w:pPr>
      <w:r>
        <w:rPr>
          <w:snapToGrid w:val="0"/>
        </w:rPr>
        <w:tab/>
        <w:t>(c)</w:t>
      </w:r>
      <w:r>
        <w:rPr>
          <w:snapToGrid w:val="0"/>
        </w:rPr>
        <w:tab/>
        <w:t>advertising particulars of the sale in a newspaper circulating in the district wherein the warden’s court is situated.</w:t>
      </w:r>
    </w:p>
    <w:p>
      <w:pPr>
        <w:pStyle w:val="Subsection"/>
        <w:rPr>
          <w:snapToGrid w:val="0"/>
        </w:rPr>
      </w:pPr>
      <w:r>
        <w:rPr>
          <w:snapToGrid w:val="0"/>
        </w:rPr>
        <w:tab/>
        <w:t>(2)</w:t>
      </w:r>
      <w:r>
        <w:rPr>
          <w:snapToGrid w:val="0"/>
        </w:rPr>
        <w:tab/>
        <w:t>The sale shall be conducted publicly and everything shall be sold for ready money to the highest bidder.</w:t>
      </w:r>
    </w:p>
    <w:p>
      <w:pPr>
        <w:pStyle w:val="Heading5"/>
        <w:rPr>
          <w:snapToGrid w:val="0"/>
        </w:rPr>
      </w:pPr>
      <w:bookmarkStart w:id="1583" w:name="_Toc474633214"/>
      <w:bookmarkStart w:id="1584" w:name="_Toc488740365"/>
      <w:bookmarkStart w:id="1585" w:name="_Toc8623748"/>
      <w:bookmarkStart w:id="1586" w:name="_Toc11229589"/>
      <w:bookmarkStart w:id="1587" w:name="_Toc104276769"/>
      <w:bookmarkStart w:id="1588" w:name="_Toc127338183"/>
      <w:r>
        <w:rPr>
          <w:rStyle w:val="CharSectno"/>
        </w:rPr>
        <w:t>134</w:t>
      </w:r>
      <w:r>
        <w:rPr>
          <w:snapToGrid w:val="0"/>
        </w:rPr>
        <w:t>.</w:t>
      </w:r>
      <w:r>
        <w:rPr>
          <w:snapToGrid w:val="0"/>
        </w:rPr>
        <w:tab/>
        <w:t>Transfer upon sale</w:t>
      </w:r>
      <w:bookmarkEnd w:id="1583"/>
      <w:bookmarkEnd w:id="1584"/>
      <w:bookmarkEnd w:id="1585"/>
      <w:bookmarkEnd w:id="1586"/>
      <w:bookmarkEnd w:id="1587"/>
      <w:bookmarkEnd w:id="1588"/>
      <w:r>
        <w:rPr>
          <w:snapToGrid w:val="0"/>
        </w:rPr>
        <w:t xml:space="preserve"> </w:t>
      </w:r>
    </w:p>
    <w:p>
      <w:pPr>
        <w:pStyle w:val="Subsection"/>
        <w:rPr>
          <w:snapToGrid w:val="0"/>
        </w:rPr>
      </w:pPr>
      <w:r>
        <w:rPr>
          <w:snapToGrid w:val="0"/>
        </w:rPr>
        <w:tab/>
      </w:r>
      <w:r>
        <w:rPr>
          <w:snapToGrid w:val="0"/>
        </w:rPr>
        <w:tab/>
        <w:t>Upon sale under a warrant of execution the officer executing such warrant shall sign a transfer in the form No. 23 in the First Schedule to the purchaser of the mining tenement or interest therein sold under the warrant.</w:t>
      </w:r>
    </w:p>
    <w:p>
      <w:pPr>
        <w:pStyle w:val="Heading5"/>
        <w:rPr>
          <w:snapToGrid w:val="0"/>
        </w:rPr>
      </w:pPr>
      <w:bookmarkStart w:id="1589" w:name="_Toc474633215"/>
      <w:bookmarkStart w:id="1590" w:name="_Toc488740366"/>
      <w:bookmarkStart w:id="1591" w:name="_Toc8623749"/>
      <w:bookmarkStart w:id="1592" w:name="_Toc11229590"/>
      <w:bookmarkStart w:id="1593" w:name="_Toc104276770"/>
      <w:bookmarkStart w:id="1594" w:name="_Toc127338184"/>
      <w:r>
        <w:rPr>
          <w:rStyle w:val="CharSectno"/>
        </w:rPr>
        <w:t>135</w:t>
      </w:r>
      <w:r>
        <w:rPr>
          <w:snapToGrid w:val="0"/>
        </w:rPr>
        <w:t>.</w:t>
      </w:r>
      <w:r>
        <w:rPr>
          <w:snapToGrid w:val="0"/>
        </w:rPr>
        <w:tab/>
        <w:t>Appeal to Supreme Court</w:t>
      </w:r>
      <w:bookmarkEnd w:id="1589"/>
      <w:bookmarkEnd w:id="1590"/>
      <w:bookmarkEnd w:id="1591"/>
      <w:bookmarkEnd w:id="1592"/>
      <w:bookmarkEnd w:id="1593"/>
      <w:bookmarkEnd w:id="1594"/>
      <w:r>
        <w:rPr>
          <w:snapToGrid w:val="0"/>
        </w:rPr>
        <w:t xml:space="preserve"> </w:t>
      </w:r>
    </w:p>
    <w:p>
      <w:pPr>
        <w:pStyle w:val="Subsection"/>
        <w:rPr>
          <w:snapToGrid w:val="0"/>
        </w:rPr>
      </w:pPr>
      <w:r>
        <w:rPr>
          <w:snapToGrid w:val="0"/>
        </w:rPr>
        <w:tab/>
      </w:r>
      <w:r>
        <w:rPr>
          <w:snapToGrid w:val="0"/>
        </w:rPr>
        <w:tab/>
        <w:t>An appeal pursuant to section 147 of the Act shall be made in the form No. 42 in the First Schedule.</w:t>
      </w:r>
    </w:p>
    <w:p>
      <w:pPr>
        <w:pStyle w:val="Heading5"/>
        <w:rPr>
          <w:snapToGrid w:val="0"/>
        </w:rPr>
      </w:pPr>
      <w:bookmarkStart w:id="1595" w:name="_Toc474633216"/>
      <w:bookmarkStart w:id="1596" w:name="_Toc488740367"/>
      <w:bookmarkStart w:id="1597" w:name="_Toc8623750"/>
      <w:bookmarkStart w:id="1598" w:name="_Toc11229591"/>
      <w:bookmarkStart w:id="1599" w:name="_Toc104276771"/>
      <w:bookmarkStart w:id="1600" w:name="_Toc127338185"/>
      <w:r>
        <w:rPr>
          <w:rStyle w:val="CharSectno"/>
        </w:rPr>
        <w:t>136</w:t>
      </w:r>
      <w:r>
        <w:rPr>
          <w:snapToGrid w:val="0"/>
        </w:rPr>
        <w:t>.</w:t>
      </w:r>
      <w:r>
        <w:rPr>
          <w:snapToGrid w:val="0"/>
        </w:rPr>
        <w:tab/>
        <w:t>Injunction</w:t>
      </w:r>
      <w:bookmarkEnd w:id="1595"/>
      <w:bookmarkEnd w:id="1596"/>
      <w:bookmarkEnd w:id="1597"/>
      <w:bookmarkEnd w:id="1598"/>
      <w:bookmarkEnd w:id="1599"/>
      <w:bookmarkEnd w:id="1600"/>
      <w:r>
        <w:rPr>
          <w:snapToGrid w:val="0"/>
        </w:rPr>
        <w:t xml:space="preserve"> </w:t>
      </w:r>
    </w:p>
    <w:p>
      <w:pPr>
        <w:pStyle w:val="Subsection"/>
        <w:rPr>
          <w:snapToGrid w:val="0"/>
        </w:rPr>
      </w:pPr>
      <w:r>
        <w:rPr>
          <w:snapToGrid w:val="0"/>
        </w:rPr>
        <w:tab/>
      </w:r>
      <w:r>
        <w:rPr>
          <w:snapToGrid w:val="0"/>
        </w:rPr>
        <w:tab/>
        <w:t>An order of the warden’s court for an injunction shall be in the form No. 43 in the First Schedule.</w:t>
      </w:r>
    </w:p>
    <w:p>
      <w:p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p>
    <w:p>
      <w:pPr>
        <w:pStyle w:val="yScheduleHeading"/>
      </w:pPr>
      <w:bookmarkStart w:id="1601" w:name="_Toc104276772"/>
      <w:bookmarkStart w:id="1602" w:name="_Toc127338186"/>
      <w:r>
        <w:rPr>
          <w:rStyle w:val="CharSchNo"/>
        </w:rPr>
        <w:t>First Schedule</w:t>
      </w:r>
      <w:bookmarkEnd w:id="1601"/>
      <w:bookmarkEnd w:id="1602"/>
    </w:p>
    <w:p>
      <w:pPr>
        <w:pStyle w:val="MiscellaneousHeading"/>
        <w:rPr>
          <w:b/>
          <w:snapToGrid w:val="0"/>
        </w:rPr>
      </w:pPr>
      <w:r>
        <w:rPr>
          <w:b/>
          <w:snapToGrid w:val="0"/>
        </w:rPr>
        <w:t>Schedule of Forms</w:t>
      </w:r>
    </w:p>
    <w:p>
      <w:pPr>
        <w:pStyle w:val="yTable"/>
        <w:ind w:left="567" w:hanging="567"/>
        <w:rPr>
          <w:b/>
          <w:snapToGrid w:val="0"/>
        </w:rPr>
      </w:pPr>
      <w:r>
        <w:rPr>
          <w:b/>
          <w:snapToGrid w:val="0"/>
        </w:rPr>
        <w:t>Form</w:t>
      </w:r>
    </w:p>
    <w:p>
      <w:pPr>
        <w:pStyle w:val="yTable"/>
        <w:ind w:left="709" w:hanging="709"/>
        <w:rPr>
          <w:snapToGrid w:val="0"/>
        </w:rPr>
      </w:pPr>
      <w:r>
        <w:rPr>
          <w:snapToGrid w:val="0"/>
        </w:rPr>
        <w:t xml:space="preserve">1. </w:t>
      </w:r>
      <w:r>
        <w:rPr>
          <w:snapToGrid w:val="0"/>
        </w:rPr>
        <w:tab/>
        <w:t>Miner’s Right.</w:t>
      </w:r>
    </w:p>
    <w:p>
      <w:pPr>
        <w:pStyle w:val="yTable"/>
        <w:spacing w:before="0"/>
        <w:ind w:left="709" w:hanging="709"/>
        <w:rPr>
          <w:snapToGrid w:val="0"/>
        </w:rPr>
      </w:pPr>
      <w:r>
        <w:rPr>
          <w:snapToGrid w:val="0"/>
        </w:rPr>
        <w:t>1A.</w:t>
      </w:r>
      <w:r>
        <w:rPr>
          <w:snapToGrid w:val="0"/>
        </w:rPr>
        <w:tab/>
        <w:t>Application for Permit under section 20A.</w:t>
      </w:r>
    </w:p>
    <w:p>
      <w:pPr>
        <w:pStyle w:val="yTable"/>
        <w:spacing w:before="0"/>
        <w:ind w:left="709" w:hanging="709"/>
        <w:rPr>
          <w:snapToGrid w:val="0"/>
        </w:rPr>
      </w:pPr>
      <w:r>
        <w:rPr>
          <w:snapToGrid w:val="0"/>
        </w:rPr>
        <w:t xml:space="preserve">2. </w:t>
      </w:r>
      <w:r>
        <w:rPr>
          <w:snapToGrid w:val="0"/>
        </w:rPr>
        <w:tab/>
        <w:t>Application for Permit to Enter upon Private Land.</w:t>
      </w:r>
    </w:p>
    <w:p>
      <w:pPr>
        <w:pStyle w:val="yTable"/>
        <w:spacing w:before="0"/>
        <w:ind w:left="709" w:hanging="709"/>
        <w:rPr>
          <w:snapToGrid w:val="0"/>
        </w:rPr>
      </w:pPr>
      <w:r>
        <w:rPr>
          <w:snapToGrid w:val="0"/>
        </w:rPr>
        <w:t xml:space="preserve">3. </w:t>
      </w:r>
      <w:r>
        <w:rPr>
          <w:snapToGrid w:val="0"/>
        </w:rPr>
        <w:tab/>
        <w:t>Permit to Enter upon Private Land.</w:t>
      </w:r>
    </w:p>
    <w:p>
      <w:pPr>
        <w:pStyle w:val="yTable"/>
        <w:spacing w:before="0"/>
        <w:ind w:left="709" w:hanging="709"/>
        <w:rPr>
          <w:snapToGrid w:val="0"/>
        </w:rPr>
      </w:pPr>
      <w:r>
        <w:rPr>
          <w:snapToGrid w:val="0"/>
        </w:rPr>
        <w:t xml:space="preserve">3A. </w:t>
      </w:r>
      <w:r>
        <w:rPr>
          <w:snapToGrid w:val="0"/>
        </w:rPr>
        <w:tab/>
        <w:t>Claim for compensation and consent for an informal determination by the warden.</w:t>
      </w:r>
    </w:p>
    <w:p>
      <w:pPr>
        <w:pStyle w:val="yTable"/>
        <w:spacing w:before="0"/>
        <w:ind w:left="709" w:hanging="709"/>
        <w:rPr>
          <w:snapToGrid w:val="0"/>
        </w:rPr>
      </w:pPr>
      <w:r>
        <w:rPr>
          <w:snapToGrid w:val="0"/>
        </w:rPr>
        <w:t xml:space="preserve">4. </w:t>
      </w:r>
      <w:r>
        <w:rPr>
          <w:snapToGrid w:val="0"/>
        </w:rPr>
        <w:tab/>
        <w:t>Instrument of Licence — Prospecting Licence.</w:t>
      </w:r>
    </w:p>
    <w:p>
      <w:pPr>
        <w:pStyle w:val="yTable"/>
        <w:spacing w:before="0"/>
        <w:ind w:left="709" w:hanging="709"/>
        <w:rPr>
          <w:snapToGrid w:val="0"/>
        </w:rPr>
      </w:pPr>
      <w:r>
        <w:rPr>
          <w:snapToGrid w:val="0"/>
        </w:rPr>
        <w:t xml:space="preserve">5. </w:t>
      </w:r>
      <w:r>
        <w:rPr>
          <w:snapToGrid w:val="0"/>
        </w:rPr>
        <w:tab/>
        <w:t>Operations Report — Expenditure on Mining Tenement.</w:t>
      </w:r>
    </w:p>
    <w:p>
      <w:pPr>
        <w:pStyle w:val="yTable"/>
        <w:spacing w:before="0"/>
        <w:ind w:left="709" w:hanging="709"/>
        <w:rPr>
          <w:snapToGrid w:val="0"/>
        </w:rPr>
      </w:pPr>
      <w:r>
        <w:rPr>
          <w:snapToGrid w:val="0"/>
        </w:rPr>
        <w:t xml:space="preserve">6. </w:t>
      </w:r>
      <w:r>
        <w:rPr>
          <w:snapToGrid w:val="0"/>
        </w:rPr>
        <w:tab/>
        <w:t>Instrument of Licence — Exploration Licence.</w:t>
      </w:r>
    </w:p>
    <w:p>
      <w:pPr>
        <w:pStyle w:val="yTable"/>
        <w:spacing w:before="0"/>
        <w:ind w:left="709" w:hanging="709"/>
        <w:rPr>
          <w:snapToGrid w:val="0"/>
        </w:rPr>
      </w:pPr>
      <w:r>
        <w:rPr>
          <w:snapToGrid w:val="0"/>
        </w:rPr>
        <w:t xml:space="preserve">7. </w:t>
      </w:r>
      <w:r>
        <w:rPr>
          <w:snapToGrid w:val="0"/>
        </w:rPr>
        <w:tab/>
        <w:t>Instrument of Licence — Retention Licence.</w:t>
      </w:r>
    </w:p>
    <w:p>
      <w:pPr>
        <w:pStyle w:val="yTable"/>
        <w:spacing w:before="0"/>
        <w:ind w:left="709" w:hanging="709"/>
        <w:rPr>
          <w:snapToGrid w:val="0"/>
        </w:rPr>
      </w:pPr>
      <w:r>
        <w:rPr>
          <w:snapToGrid w:val="0"/>
        </w:rPr>
        <w:t xml:space="preserve">8. </w:t>
      </w:r>
      <w:r>
        <w:rPr>
          <w:snapToGrid w:val="0"/>
        </w:rPr>
        <w:tab/>
        <w:t>Instrument of Lease — Mining Lease.</w:t>
      </w:r>
    </w:p>
    <w:p>
      <w:pPr>
        <w:pStyle w:val="yTable"/>
        <w:spacing w:before="0"/>
        <w:ind w:left="709" w:hanging="709"/>
        <w:rPr>
          <w:snapToGrid w:val="0"/>
        </w:rPr>
      </w:pPr>
      <w:r>
        <w:rPr>
          <w:snapToGrid w:val="0"/>
        </w:rPr>
        <w:t xml:space="preserve">9. </w:t>
      </w:r>
      <w:r>
        <w:rPr>
          <w:snapToGrid w:val="0"/>
        </w:rPr>
        <w:tab/>
        <w:t>Application for extension of term/renewal of a mining tenement.</w:t>
      </w:r>
    </w:p>
    <w:p>
      <w:pPr>
        <w:pStyle w:val="yTable"/>
        <w:spacing w:before="0"/>
        <w:ind w:left="709" w:hanging="709"/>
        <w:rPr>
          <w:snapToGrid w:val="0"/>
        </w:rPr>
      </w:pPr>
      <w:r>
        <w:rPr>
          <w:snapToGrid w:val="0"/>
        </w:rPr>
        <w:t xml:space="preserve">10. </w:t>
      </w:r>
      <w:r>
        <w:rPr>
          <w:snapToGrid w:val="0"/>
        </w:rPr>
        <w:tab/>
        <w:t>Instrument of Lease — General Purpose Lease.</w:t>
      </w:r>
    </w:p>
    <w:p>
      <w:pPr>
        <w:pStyle w:val="yTable"/>
        <w:spacing w:before="0"/>
        <w:ind w:left="709" w:hanging="709"/>
        <w:rPr>
          <w:snapToGrid w:val="0"/>
        </w:rPr>
      </w:pPr>
      <w:r>
        <w:rPr>
          <w:snapToGrid w:val="0"/>
        </w:rPr>
        <w:t xml:space="preserve">11. </w:t>
      </w:r>
      <w:r>
        <w:rPr>
          <w:snapToGrid w:val="0"/>
        </w:rPr>
        <w:tab/>
        <w:t>Instrument of Licence — Miscellaneous Licence.</w:t>
      </w:r>
    </w:p>
    <w:p>
      <w:pPr>
        <w:pStyle w:val="yTable"/>
        <w:spacing w:before="0"/>
        <w:ind w:left="709" w:hanging="709"/>
        <w:rPr>
          <w:snapToGrid w:val="0"/>
        </w:rPr>
      </w:pPr>
      <w:r>
        <w:rPr>
          <w:snapToGrid w:val="0"/>
        </w:rPr>
        <w:t xml:space="preserve">12. </w:t>
      </w:r>
      <w:r>
        <w:rPr>
          <w:snapToGrid w:val="0"/>
        </w:rPr>
        <w:tab/>
        <w:t>Surrender.</w:t>
      </w:r>
    </w:p>
    <w:p>
      <w:pPr>
        <w:pStyle w:val="yTable"/>
        <w:spacing w:before="0"/>
        <w:ind w:left="709" w:hanging="709"/>
        <w:rPr>
          <w:snapToGrid w:val="0"/>
        </w:rPr>
      </w:pPr>
      <w:r>
        <w:rPr>
          <w:snapToGrid w:val="0"/>
        </w:rPr>
        <w:t xml:space="preserve">13. </w:t>
      </w:r>
      <w:r>
        <w:rPr>
          <w:snapToGrid w:val="0"/>
        </w:rPr>
        <w:tab/>
        <w:t>Notice of Re</w:t>
      </w:r>
      <w:r>
        <w:rPr>
          <w:snapToGrid w:val="0"/>
        </w:rPr>
        <w:noBreakHyphen/>
        <w:t>Marking.</w:t>
      </w:r>
    </w:p>
    <w:p>
      <w:pPr>
        <w:pStyle w:val="yTable"/>
        <w:spacing w:before="0"/>
        <w:ind w:left="709" w:hanging="709"/>
        <w:rPr>
          <w:snapToGrid w:val="0"/>
        </w:rPr>
      </w:pPr>
      <w:r>
        <w:rPr>
          <w:snapToGrid w:val="0"/>
        </w:rPr>
        <w:t xml:space="preserve">14. </w:t>
      </w:r>
      <w:r>
        <w:rPr>
          <w:snapToGrid w:val="0"/>
        </w:rPr>
        <w:tab/>
        <w:t>Partial Surrender.</w:t>
      </w:r>
    </w:p>
    <w:p>
      <w:pPr>
        <w:pStyle w:val="yTable"/>
        <w:spacing w:before="0"/>
        <w:ind w:left="709" w:hanging="709"/>
        <w:rPr>
          <w:snapToGrid w:val="0"/>
        </w:rPr>
      </w:pPr>
      <w:r>
        <w:rPr>
          <w:snapToGrid w:val="0"/>
        </w:rPr>
        <w:t xml:space="preserve">15. </w:t>
      </w:r>
      <w:r>
        <w:rPr>
          <w:snapToGrid w:val="0"/>
        </w:rPr>
        <w:tab/>
        <w:t>Application for Forfeiture.</w:t>
      </w:r>
    </w:p>
    <w:p>
      <w:pPr>
        <w:pStyle w:val="yTable"/>
        <w:spacing w:before="0"/>
        <w:ind w:left="709" w:hanging="709"/>
        <w:rPr>
          <w:snapToGrid w:val="0"/>
        </w:rPr>
      </w:pPr>
      <w:r>
        <w:rPr>
          <w:snapToGrid w:val="0"/>
        </w:rPr>
        <w:t xml:space="preserve">16. </w:t>
      </w:r>
      <w:r>
        <w:rPr>
          <w:snapToGrid w:val="0"/>
        </w:rPr>
        <w:tab/>
        <w:t>Objection.</w:t>
      </w:r>
    </w:p>
    <w:p>
      <w:pPr>
        <w:pStyle w:val="yTable"/>
        <w:spacing w:before="0"/>
        <w:ind w:left="709" w:hanging="709"/>
        <w:rPr>
          <w:snapToGrid w:val="0"/>
        </w:rPr>
      </w:pPr>
      <w:r>
        <w:rPr>
          <w:snapToGrid w:val="0"/>
        </w:rPr>
        <w:t xml:space="preserve">17. </w:t>
      </w:r>
      <w:r>
        <w:rPr>
          <w:snapToGrid w:val="0"/>
        </w:rPr>
        <w:tab/>
        <w:t>Application for restoration.</w:t>
      </w:r>
    </w:p>
    <w:p>
      <w:pPr>
        <w:pStyle w:val="yTable"/>
        <w:spacing w:before="0"/>
        <w:ind w:left="709" w:hanging="709"/>
        <w:rPr>
          <w:snapToGrid w:val="0"/>
        </w:rPr>
      </w:pPr>
      <w:r>
        <w:rPr>
          <w:snapToGrid w:val="0"/>
        </w:rPr>
        <w:t xml:space="preserve">18. </w:t>
      </w:r>
      <w:r>
        <w:rPr>
          <w:snapToGrid w:val="0"/>
        </w:rPr>
        <w:tab/>
        <w:t>Application for Exemption.</w:t>
      </w:r>
    </w:p>
    <w:p>
      <w:pPr>
        <w:pStyle w:val="yTable"/>
        <w:spacing w:before="0"/>
        <w:ind w:left="709" w:hanging="709"/>
        <w:rPr>
          <w:snapToGrid w:val="0"/>
        </w:rPr>
      </w:pPr>
      <w:r>
        <w:rPr>
          <w:snapToGrid w:val="0"/>
        </w:rPr>
        <w:t xml:space="preserve">19. </w:t>
      </w:r>
      <w:r>
        <w:rPr>
          <w:snapToGrid w:val="0"/>
        </w:rPr>
        <w:tab/>
        <w:t>Certificate of Exemption.</w:t>
      </w:r>
    </w:p>
    <w:p>
      <w:pPr>
        <w:pStyle w:val="yTable"/>
        <w:spacing w:before="0"/>
        <w:ind w:left="709" w:hanging="709"/>
        <w:rPr>
          <w:snapToGrid w:val="0"/>
        </w:rPr>
      </w:pPr>
      <w:r>
        <w:rPr>
          <w:snapToGrid w:val="0"/>
        </w:rPr>
        <w:t xml:space="preserve">20. </w:t>
      </w:r>
      <w:r>
        <w:rPr>
          <w:snapToGrid w:val="0"/>
        </w:rPr>
        <w:tab/>
        <w:t>Notice of Marking Out.</w:t>
      </w:r>
    </w:p>
    <w:p>
      <w:pPr>
        <w:pStyle w:val="yTable"/>
        <w:spacing w:before="0"/>
        <w:ind w:left="709" w:hanging="709"/>
        <w:rPr>
          <w:snapToGrid w:val="0"/>
        </w:rPr>
      </w:pPr>
      <w:r>
        <w:rPr>
          <w:snapToGrid w:val="0"/>
        </w:rPr>
        <w:t xml:space="preserve">21. </w:t>
      </w:r>
      <w:r>
        <w:rPr>
          <w:snapToGrid w:val="0"/>
        </w:rPr>
        <w:tab/>
        <w:t>Application for Mining Tenement.</w:t>
      </w:r>
    </w:p>
    <w:p>
      <w:pPr>
        <w:pStyle w:val="yTable"/>
        <w:spacing w:before="0"/>
        <w:ind w:left="709" w:hanging="709"/>
        <w:rPr>
          <w:snapToGrid w:val="0"/>
        </w:rPr>
      </w:pPr>
      <w:r>
        <w:rPr>
          <w:snapToGrid w:val="0"/>
        </w:rPr>
        <w:t xml:space="preserve">22. </w:t>
      </w:r>
      <w:r>
        <w:rPr>
          <w:snapToGrid w:val="0"/>
        </w:rPr>
        <w:tab/>
        <w:t>Withdrawal.</w:t>
      </w:r>
    </w:p>
    <w:p>
      <w:pPr>
        <w:pStyle w:val="yTable"/>
        <w:spacing w:before="0"/>
        <w:ind w:left="709" w:hanging="709"/>
        <w:rPr>
          <w:snapToGrid w:val="0"/>
        </w:rPr>
      </w:pPr>
      <w:r>
        <w:rPr>
          <w:snapToGrid w:val="0"/>
        </w:rPr>
        <w:t xml:space="preserve">23. </w:t>
      </w:r>
      <w:r>
        <w:rPr>
          <w:snapToGrid w:val="0"/>
        </w:rPr>
        <w:tab/>
        <w:t>Transfer.</w:t>
      </w:r>
    </w:p>
    <w:p>
      <w:pPr>
        <w:pStyle w:val="yTable"/>
        <w:spacing w:before="0"/>
        <w:ind w:left="709" w:hanging="709"/>
        <w:rPr>
          <w:snapToGrid w:val="0"/>
        </w:rPr>
      </w:pPr>
      <w:r>
        <w:rPr>
          <w:snapToGrid w:val="0"/>
        </w:rPr>
        <w:t xml:space="preserve">24. </w:t>
      </w:r>
      <w:r>
        <w:rPr>
          <w:snapToGrid w:val="0"/>
        </w:rPr>
        <w:tab/>
        <w:t>Caveat.</w:t>
      </w:r>
    </w:p>
    <w:p>
      <w:pPr>
        <w:pStyle w:val="yTable"/>
        <w:spacing w:before="0"/>
        <w:ind w:left="709" w:hanging="709"/>
        <w:rPr>
          <w:snapToGrid w:val="0"/>
        </w:rPr>
      </w:pPr>
      <w:r>
        <w:rPr>
          <w:snapToGrid w:val="0"/>
        </w:rPr>
        <w:t xml:space="preserve">24A. </w:t>
      </w:r>
      <w:r>
        <w:rPr>
          <w:snapToGrid w:val="0"/>
        </w:rPr>
        <w:tab/>
        <w:t>Withdrawal of Caveat.</w:t>
      </w:r>
    </w:p>
    <w:p>
      <w:pPr>
        <w:pStyle w:val="yTable"/>
        <w:spacing w:before="0"/>
        <w:ind w:left="709" w:hanging="709"/>
        <w:rPr>
          <w:snapToGrid w:val="0"/>
        </w:rPr>
      </w:pPr>
      <w:r>
        <w:rPr>
          <w:snapToGrid w:val="0"/>
        </w:rPr>
        <w:t xml:space="preserve">25. </w:t>
      </w:r>
      <w:r>
        <w:rPr>
          <w:snapToGrid w:val="0"/>
        </w:rPr>
        <w:tab/>
        <w:t>Mortgage.</w:t>
      </w:r>
    </w:p>
    <w:p>
      <w:pPr>
        <w:pStyle w:val="yTable"/>
        <w:spacing w:before="0"/>
        <w:ind w:left="709" w:hanging="709"/>
        <w:rPr>
          <w:snapToGrid w:val="0"/>
        </w:rPr>
      </w:pPr>
      <w:r>
        <w:rPr>
          <w:snapToGrid w:val="0"/>
        </w:rPr>
        <w:t xml:space="preserve">26. </w:t>
      </w:r>
      <w:r>
        <w:rPr>
          <w:snapToGrid w:val="0"/>
        </w:rPr>
        <w:tab/>
        <w:t>Discharge of Mortgage.</w:t>
      </w:r>
    </w:p>
    <w:p>
      <w:pPr>
        <w:pStyle w:val="yTable"/>
        <w:spacing w:before="0"/>
        <w:ind w:left="709" w:hanging="709"/>
        <w:rPr>
          <w:snapToGrid w:val="0"/>
        </w:rPr>
      </w:pPr>
      <w:r>
        <w:rPr>
          <w:snapToGrid w:val="0"/>
        </w:rPr>
        <w:t xml:space="preserve">27. </w:t>
      </w:r>
      <w:r>
        <w:rPr>
          <w:snapToGrid w:val="0"/>
        </w:rPr>
        <w:tab/>
        <w:t>Monthly Mineral (Excluding Gold) Production Report.</w:t>
      </w:r>
    </w:p>
    <w:p>
      <w:pPr>
        <w:pStyle w:val="yTable"/>
        <w:spacing w:before="0"/>
        <w:ind w:left="709" w:hanging="709"/>
        <w:rPr>
          <w:snapToGrid w:val="0"/>
        </w:rPr>
      </w:pPr>
      <w:r>
        <w:rPr>
          <w:snapToGrid w:val="0"/>
        </w:rPr>
        <w:t xml:space="preserve">27A. </w:t>
      </w:r>
      <w:r>
        <w:rPr>
          <w:snapToGrid w:val="0"/>
        </w:rPr>
        <w:tab/>
        <w:t>Monthly Gold Production Report.</w:t>
      </w:r>
    </w:p>
    <w:p>
      <w:pPr>
        <w:pStyle w:val="yTable"/>
        <w:spacing w:before="0"/>
        <w:ind w:left="709" w:hanging="709"/>
        <w:rPr>
          <w:snapToGrid w:val="0"/>
        </w:rPr>
      </w:pPr>
      <w:r>
        <w:rPr>
          <w:snapToGrid w:val="0"/>
        </w:rPr>
        <w:t xml:space="preserve">28. </w:t>
      </w:r>
      <w:r>
        <w:rPr>
          <w:snapToGrid w:val="0"/>
        </w:rPr>
        <w:tab/>
        <w:t>Devolution.</w:t>
      </w:r>
    </w:p>
    <w:p>
      <w:pPr>
        <w:pStyle w:val="yTable"/>
        <w:spacing w:before="0"/>
        <w:ind w:left="709" w:hanging="709"/>
        <w:rPr>
          <w:snapToGrid w:val="0"/>
        </w:rPr>
      </w:pPr>
      <w:r>
        <w:rPr>
          <w:snapToGrid w:val="0"/>
        </w:rPr>
        <w:t xml:space="preserve">29. </w:t>
      </w:r>
      <w:r>
        <w:rPr>
          <w:snapToGrid w:val="0"/>
        </w:rPr>
        <w:tab/>
        <w:t>Application for Copy Document.</w:t>
      </w:r>
    </w:p>
    <w:p>
      <w:pPr>
        <w:pStyle w:val="yTable"/>
        <w:spacing w:before="0"/>
        <w:ind w:left="709" w:hanging="709"/>
        <w:rPr>
          <w:snapToGrid w:val="0"/>
        </w:rPr>
      </w:pPr>
      <w:r>
        <w:rPr>
          <w:snapToGrid w:val="0"/>
        </w:rPr>
        <w:t xml:space="preserve">30. </w:t>
      </w:r>
      <w:r>
        <w:rPr>
          <w:snapToGrid w:val="0"/>
        </w:rPr>
        <w:tab/>
        <w:t>Application to Amend.</w:t>
      </w:r>
    </w:p>
    <w:p>
      <w:pPr>
        <w:pStyle w:val="yTable"/>
        <w:spacing w:before="0"/>
        <w:ind w:left="709" w:hanging="709"/>
        <w:rPr>
          <w:snapToGrid w:val="0"/>
        </w:rPr>
      </w:pPr>
      <w:r>
        <w:rPr>
          <w:snapToGrid w:val="0"/>
        </w:rPr>
        <w:t xml:space="preserve">31. </w:t>
      </w:r>
      <w:r>
        <w:rPr>
          <w:snapToGrid w:val="0"/>
        </w:rPr>
        <w:tab/>
        <w:t>Power of Attorney.</w:t>
      </w:r>
    </w:p>
    <w:p>
      <w:pPr>
        <w:pStyle w:val="yTable"/>
        <w:keepNext/>
        <w:spacing w:after="60"/>
        <w:ind w:left="567" w:hanging="567"/>
        <w:rPr>
          <w:b/>
          <w:snapToGrid w:val="0"/>
        </w:rPr>
      </w:pPr>
      <w:r>
        <w:rPr>
          <w:b/>
          <w:snapToGrid w:val="0"/>
        </w:rPr>
        <w:t>Form</w:t>
      </w:r>
    </w:p>
    <w:p>
      <w:pPr>
        <w:pStyle w:val="yTable"/>
        <w:spacing w:before="0"/>
        <w:ind w:left="709" w:hanging="709"/>
        <w:rPr>
          <w:snapToGrid w:val="0"/>
        </w:rPr>
      </w:pPr>
      <w:r>
        <w:rPr>
          <w:snapToGrid w:val="0"/>
        </w:rPr>
        <w:t xml:space="preserve">32. </w:t>
      </w:r>
      <w:r>
        <w:rPr>
          <w:snapToGrid w:val="0"/>
        </w:rPr>
        <w:tab/>
        <w:t>Security.</w:t>
      </w:r>
    </w:p>
    <w:p>
      <w:pPr>
        <w:pStyle w:val="yTable"/>
        <w:spacing w:before="0"/>
        <w:ind w:left="709" w:hanging="709"/>
        <w:rPr>
          <w:snapToGrid w:val="0"/>
        </w:rPr>
      </w:pPr>
      <w:r>
        <w:rPr>
          <w:snapToGrid w:val="0"/>
        </w:rPr>
        <w:t xml:space="preserve">33. </w:t>
      </w:r>
      <w:r>
        <w:rPr>
          <w:snapToGrid w:val="0"/>
        </w:rPr>
        <w:tab/>
        <w:t>Plaint.</w:t>
      </w:r>
    </w:p>
    <w:p>
      <w:pPr>
        <w:pStyle w:val="yTable"/>
        <w:spacing w:before="0"/>
        <w:ind w:left="709" w:hanging="709"/>
        <w:rPr>
          <w:snapToGrid w:val="0"/>
        </w:rPr>
      </w:pPr>
      <w:r>
        <w:rPr>
          <w:snapToGrid w:val="0"/>
        </w:rPr>
        <w:t xml:space="preserve">34. </w:t>
      </w:r>
      <w:r>
        <w:rPr>
          <w:snapToGrid w:val="0"/>
        </w:rPr>
        <w:tab/>
        <w:t>Summons.</w:t>
      </w:r>
    </w:p>
    <w:p>
      <w:pPr>
        <w:pStyle w:val="yTable"/>
        <w:spacing w:before="0"/>
        <w:ind w:left="709" w:hanging="709"/>
        <w:rPr>
          <w:snapToGrid w:val="0"/>
        </w:rPr>
      </w:pPr>
      <w:r>
        <w:rPr>
          <w:snapToGrid w:val="0"/>
        </w:rPr>
        <w:t xml:space="preserve">35. </w:t>
      </w:r>
      <w:r>
        <w:rPr>
          <w:snapToGrid w:val="0"/>
        </w:rPr>
        <w:tab/>
        <w:t>Affidavit of Service.</w:t>
      </w:r>
    </w:p>
    <w:p>
      <w:pPr>
        <w:pStyle w:val="yTable"/>
        <w:spacing w:before="0"/>
        <w:ind w:left="709" w:hanging="709"/>
        <w:rPr>
          <w:snapToGrid w:val="0"/>
        </w:rPr>
      </w:pPr>
      <w:r>
        <w:rPr>
          <w:snapToGrid w:val="0"/>
        </w:rPr>
        <w:t xml:space="preserve">36. </w:t>
      </w:r>
      <w:r>
        <w:rPr>
          <w:snapToGrid w:val="0"/>
        </w:rPr>
        <w:tab/>
        <w:t>Notice of Defence.</w:t>
      </w:r>
    </w:p>
    <w:p>
      <w:pPr>
        <w:pStyle w:val="yTable"/>
        <w:spacing w:before="0"/>
        <w:ind w:left="709" w:hanging="709"/>
        <w:rPr>
          <w:snapToGrid w:val="0"/>
        </w:rPr>
      </w:pPr>
      <w:r>
        <w:rPr>
          <w:snapToGrid w:val="0"/>
        </w:rPr>
        <w:t xml:space="preserve">37. </w:t>
      </w:r>
      <w:r>
        <w:rPr>
          <w:snapToGrid w:val="0"/>
        </w:rPr>
        <w:tab/>
        <w:t>Subpoena for Witness.</w:t>
      </w:r>
    </w:p>
    <w:p>
      <w:pPr>
        <w:pStyle w:val="yTable"/>
        <w:spacing w:before="0"/>
        <w:ind w:left="709" w:hanging="709"/>
        <w:rPr>
          <w:snapToGrid w:val="0"/>
        </w:rPr>
      </w:pPr>
      <w:r>
        <w:rPr>
          <w:snapToGrid w:val="0"/>
        </w:rPr>
        <w:t xml:space="preserve">38. </w:t>
      </w:r>
      <w:r>
        <w:rPr>
          <w:snapToGrid w:val="0"/>
        </w:rPr>
        <w:tab/>
        <w:t>Judgment/Order of Warden’s Court.</w:t>
      </w:r>
    </w:p>
    <w:p>
      <w:pPr>
        <w:pStyle w:val="yTable"/>
        <w:spacing w:before="0"/>
        <w:ind w:left="709" w:hanging="709"/>
        <w:rPr>
          <w:snapToGrid w:val="0"/>
        </w:rPr>
      </w:pPr>
      <w:r>
        <w:rPr>
          <w:snapToGrid w:val="0"/>
        </w:rPr>
        <w:t xml:space="preserve">39. </w:t>
      </w:r>
      <w:r>
        <w:rPr>
          <w:snapToGrid w:val="0"/>
        </w:rPr>
        <w:tab/>
        <w:t>Warrant of Execution.</w:t>
      </w:r>
    </w:p>
    <w:p>
      <w:pPr>
        <w:pStyle w:val="yTable"/>
        <w:spacing w:before="0"/>
        <w:ind w:left="709" w:hanging="709"/>
        <w:rPr>
          <w:snapToGrid w:val="0"/>
        </w:rPr>
      </w:pPr>
      <w:r>
        <w:rPr>
          <w:snapToGrid w:val="0"/>
        </w:rPr>
        <w:t xml:space="preserve">40. </w:t>
      </w:r>
      <w:r>
        <w:rPr>
          <w:snapToGrid w:val="0"/>
        </w:rPr>
        <w:tab/>
        <w:t>Warrant for Recovery of Possession.</w:t>
      </w:r>
    </w:p>
    <w:p>
      <w:pPr>
        <w:pStyle w:val="yTable"/>
        <w:spacing w:before="0"/>
        <w:ind w:left="709" w:hanging="709"/>
        <w:rPr>
          <w:snapToGrid w:val="0"/>
        </w:rPr>
      </w:pPr>
      <w:r>
        <w:rPr>
          <w:snapToGrid w:val="0"/>
        </w:rPr>
        <w:t xml:space="preserve">41. </w:t>
      </w:r>
      <w:r>
        <w:rPr>
          <w:snapToGrid w:val="0"/>
        </w:rPr>
        <w:tab/>
        <w:t>Notice of Seizure.</w:t>
      </w:r>
    </w:p>
    <w:p>
      <w:pPr>
        <w:pStyle w:val="yTable"/>
        <w:spacing w:before="0"/>
        <w:ind w:left="709" w:hanging="709"/>
        <w:rPr>
          <w:snapToGrid w:val="0"/>
        </w:rPr>
      </w:pPr>
      <w:r>
        <w:rPr>
          <w:snapToGrid w:val="0"/>
        </w:rPr>
        <w:t xml:space="preserve">42. </w:t>
      </w:r>
      <w:r>
        <w:rPr>
          <w:snapToGrid w:val="0"/>
        </w:rPr>
        <w:tab/>
        <w:t>Notice of Appeal under section 147.</w:t>
      </w:r>
    </w:p>
    <w:p>
      <w:pPr>
        <w:pStyle w:val="yTable"/>
        <w:spacing w:before="0"/>
        <w:ind w:left="709" w:hanging="709"/>
        <w:rPr>
          <w:snapToGrid w:val="0"/>
        </w:rPr>
      </w:pPr>
      <w:r>
        <w:rPr>
          <w:snapToGrid w:val="0"/>
        </w:rPr>
        <w:t xml:space="preserve">43. </w:t>
      </w:r>
      <w:r>
        <w:rPr>
          <w:snapToGrid w:val="0"/>
        </w:rPr>
        <w:tab/>
        <w:t>Injunction.</w:t>
      </w:r>
    </w:p>
    <w:p>
      <w:pPr>
        <w:pStyle w:val="yTable"/>
        <w:spacing w:before="0"/>
        <w:ind w:left="709" w:hanging="709"/>
        <w:rPr>
          <w:snapToGrid w:val="0"/>
        </w:rPr>
      </w:pPr>
      <w:r>
        <w:rPr>
          <w:snapToGrid w:val="0"/>
        </w:rPr>
        <w:t xml:space="preserve">44. </w:t>
      </w:r>
      <w:r>
        <w:rPr>
          <w:snapToGrid w:val="0"/>
        </w:rPr>
        <w:tab/>
        <w:t>Report of Approved Surveyor.</w:t>
      </w:r>
    </w:p>
    <w:p>
      <w:pPr>
        <w:pStyle w:val="yTable"/>
        <w:pageBreakBefore/>
        <w:spacing w:before="0"/>
        <w:ind w:left="709" w:hanging="709"/>
        <w:rPr>
          <w:snapToGrid w:val="0"/>
        </w:rPr>
      </w:pPr>
    </w:p>
    <w:tbl>
      <w:tblPr>
        <w:tblW w:w="0" w:type="auto"/>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No. 1</w:t>
            </w:r>
            <w:r>
              <w:rPr>
                <w:sz w:val="16"/>
              </w:rPr>
              <w:tab/>
            </w:r>
            <w:r>
              <w:rPr>
                <w:sz w:val="16"/>
              </w:rPr>
              <w:tab/>
            </w:r>
            <w:r>
              <w:rPr>
                <w:noProof/>
                <w:sz w:val="16"/>
                <w:lang w:eastAsia="en-AU"/>
              </w:rPr>
              <w:drawing>
                <wp:inline distT="0" distB="0" distL="0" distR="0">
                  <wp:extent cx="358140" cy="409575"/>
                  <wp:effectExtent l="0" t="0" r="3810" b="9525"/>
                  <wp:docPr id="5" name="Picture 5" descr="C:\WP51\GRAPHICS\MISC\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P51\GRAPHICS\MISC\Crest2.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8140" cy="409575"/>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xml:space="preserve">. It is your responsibility </w:t>
            </w:r>
          </w:p>
          <w:p>
            <w:pPr>
              <w:tabs>
                <w:tab w:val="left" w:pos="1701"/>
              </w:tabs>
              <w:ind w:left="113" w:right="113"/>
              <w:rPr>
                <w:sz w:val="16"/>
              </w:rPr>
            </w:pPr>
            <w:r>
              <w:rPr>
                <w:sz w:val="16"/>
              </w:rPr>
              <w:tab/>
            </w:r>
            <w:r>
              <w:rPr>
                <w:sz w:val="16"/>
              </w:rPr>
              <w:tab/>
            </w:r>
            <w:r>
              <w:rPr>
                <w:sz w:val="16"/>
              </w:rPr>
              <w:tab/>
              <w:t xml:space="preserve">to ascertain your rights and obligations under that section. Information in respect of those </w:t>
            </w:r>
          </w:p>
          <w:p>
            <w:pPr>
              <w:tabs>
                <w:tab w:val="left" w:pos="1701"/>
              </w:tabs>
              <w:ind w:left="113" w:right="113"/>
              <w:rPr>
                <w:lang w:val="en-US"/>
              </w:rPr>
            </w:pPr>
            <w:r>
              <w:rPr>
                <w:sz w:val="16"/>
              </w:rPr>
              <w:tab/>
            </w:r>
            <w:r>
              <w:rPr>
                <w:sz w:val="16"/>
              </w:rPr>
              <w:tab/>
            </w:r>
            <w:r>
              <w:rPr>
                <w:sz w:val="16"/>
              </w:rPr>
              <w:tab/>
              <w:t>rights and obligations may be obtained from any office of the Department of Mines</w:t>
            </w:r>
            <w:r>
              <w:rPr>
                <w:sz w:val="16"/>
                <w:vertAlign w:val="superscript"/>
              </w:rPr>
              <w:t> 4</w:t>
            </w:r>
            <w:r>
              <w:rPr>
                <w:sz w:val="16"/>
              </w:rPr>
              <w:t>.</w:t>
            </w: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Table"/>
        <w:pageBreakBefore/>
      </w:pPr>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 xml:space="preserve">No.          </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 xml:space="preserve">No.          </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 xml:space="preserve">Mineral Field      </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Tabl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 xml:space="preserve">Conditions, </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i/>
                <w:spacing w:val="-2"/>
                <w:sz w:val="18"/>
              </w:rPr>
              <w:tab/>
              <w:t>Mining Act 1978</w:t>
            </w:r>
          </w:p>
          <w:p>
            <w:pPr>
              <w:pStyle w:val="yTable"/>
              <w:tabs>
                <w:tab w:val="left" w:pos="1014"/>
              </w:tabs>
              <w:spacing w:before="0" w:line="180" w:lineRule="atLeast"/>
              <w:rPr>
                <w:spacing w:val="-2"/>
                <w:sz w:val="18"/>
              </w:rPr>
            </w:pPr>
            <w:r>
              <w:rPr>
                <w:spacing w:val="-2"/>
                <w:sz w:val="18"/>
              </w:rPr>
              <w:tab/>
              <w:t xml:space="preserve">(Sec. 123(3)(a), </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 xml:space="preserve">State whether pastoral lease, Crown grant or other designation </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 xml:space="preserve">Mineral Field           </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r>
              <w:rPr>
                <w:spacing w:val="-4"/>
                <w:sz w:val="12"/>
              </w:rPr>
              <w:t>Evidence of lodgement to be provided</w:t>
            </w: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tabs>
                <w:tab w:val="left" w:pos="601"/>
              </w:tabs>
              <w:spacing w:before="0"/>
              <w:rPr>
                <w:sz w:val="14"/>
              </w:rPr>
            </w:pPr>
            <w:r>
              <w:rPr>
                <w:i/>
                <w:sz w:val="18"/>
              </w:rPr>
              <w:tab/>
            </w:r>
            <w:r>
              <w:rPr>
                <w:i/>
                <w:sz w:val="14"/>
              </w:rPr>
              <w:t>Copy to be lodged with the Registrar of Aboriginal Sites</w:t>
            </w:r>
            <w:r>
              <w:rPr>
                <w:sz w:val="14"/>
              </w:rPr>
              <w:t>.</w:t>
            </w: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rPr>
                <w:rStyle w:val="CharDefText"/>
                <w:b w:val="0"/>
              </w:rP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keepNext/>
        <w:pageBreakBefore/>
        <w:spacing w:before="0"/>
        <w:jc w:val="right"/>
        <w:rPr>
          <w:i/>
          <w:sz w:val="18"/>
        </w:rPr>
      </w:pPr>
      <w:r>
        <w:rPr>
          <w:i/>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 xml:space="preserve">Note: </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spacing w:before="0"/>
        <w:rPr>
          <w:b/>
          <w:sz w:val="13"/>
          <w:u w:val="single"/>
        </w:rPr>
      </w:pPr>
      <w:r>
        <w:rPr>
          <w:b/>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w:t>
      </w:r>
    </w:p>
    <w:p>
      <w:pPr>
        <w:pStyle w:val="yTable"/>
        <w:spacing w:before="40"/>
        <w:ind w:left="426" w:hanging="426"/>
        <w:rPr>
          <w:sz w:val="13"/>
          <w:lang w:val="en-US"/>
        </w:rPr>
      </w:pPr>
      <w:r>
        <w:rPr>
          <w:sz w:val="13"/>
          <w:lang w:val="en-US"/>
        </w:rPr>
        <w:tab/>
        <w:t>The Director General, Department of Minerals and Energy</w:t>
      </w:r>
      <w:r>
        <w:rPr>
          <w:sz w:val="13"/>
          <w:vertAlign w:val="superscript"/>
          <w:lang w:val="en-US"/>
        </w:rPr>
        <w:t> 4</w:t>
      </w:r>
      <w:r>
        <w:rPr>
          <w:sz w:val="13"/>
          <w:lang w:val="en-US"/>
        </w:rPr>
        <w:t>, 100 Plain Street, East Perth, WA 6004.</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5"/>
        <w:rPr>
          <w:b/>
          <w:sz w:val="13"/>
        </w:rPr>
      </w:pPr>
      <w:r>
        <w:rPr>
          <w:b/>
          <w:sz w:val="13"/>
        </w:rPr>
        <w:t>Feasibility study activities:</w:t>
      </w:r>
    </w:p>
    <w:p>
      <w:pPr>
        <w:pStyle w:val="yTable"/>
        <w:tabs>
          <w:tab w:val="left" w:pos="426"/>
        </w:tabs>
        <w:spacing w:before="36"/>
        <w:ind w:left="425"/>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r>
        <w:rPr>
          <w:sz w:val="13"/>
        </w:rPr>
        <w:t xml:space="preserve"> </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Table"/>
        <w:tabs>
          <w:tab w:val="left" w:pos="426"/>
        </w:tabs>
        <w:spacing w:before="40"/>
        <w:ind w:left="426" w:hanging="426"/>
        <w:rPr>
          <w:b/>
          <w:sz w:val="13"/>
          <w:u w:val="single"/>
        </w:rPr>
      </w:pPr>
      <w:r>
        <w:rPr>
          <w:b/>
          <w:sz w:val="13"/>
          <w:u w:val="single"/>
        </w:rPr>
        <w:t>C.</w:t>
      </w:r>
      <w:r>
        <w:rPr>
          <w:b/>
          <w:sz w:val="13"/>
          <w:u w:val="single"/>
        </w:rPr>
        <w:tab/>
        <w:t>ABORIGINAL HERITAGE SURVEYS</w:t>
      </w:r>
    </w:p>
    <w:p>
      <w:pPr>
        <w:pStyle w:val="yTable"/>
        <w:tabs>
          <w:tab w:val="left" w:pos="426"/>
        </w:tabs>
        <w:spacing w:before="30"/>
        <w:ind w:left="425"/>
        <w:rPr>
          <w:sz w:val="13"/>
        </w:rPr>
      </w:pPr>
      <w:r>
        <w:rPr>
          <w:sz w:val="13"/>
        </w:rPr>
        <w:t>A copy of any survey undertaken to be lodged with the Registrar, Aboriginal Sites, Aboriginal Affairs Department</w:t>
      </w:r>
      <w:r>
        <w:rPr>
          <w:sz w:val="13"/>
          <w:vertAlign w:val="superscript"/>
        </w:rPr>
        <w:t> 5</w:t>
      </w:r>
      <w:r>
        <w:rPr>
          <w:sz w:val="13"/>
        </w:rPr>
        <w:t xml:space="preserve"> as soon as practicable, where the cost of conducting it is claimed for expenditure purposes. Evidence of lodgement of the survey must be provided to the Department of Minerals and Energy</w:t>
      </w:r>
      <w:r>
        <w:rPr>
          <w:sz w:val="13"/>
          <w:vertAlign w:val="superscript"/>
        </w:rPr>
        <w:t> 4</w:t>
      </w:r>
      <w:r>
        <w:rPr>
          <w:sz w:val="13"/>
        </w:rPr>
        <w:t>.</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ind w:left="425" w:hanging="425"/>
        <w:rPr>
          <w:b/>
          <w:sz w:val="13"/>
        </w:rPr>
      </w:pPr>
      <w:r>
        <w:rPr>
          <w:b/>
          <w:sz w:val="13"/>
        </w:rPr>
        <w:t>NON</w:t>
      </w:r>
      <w:r>
        <w:rPr>
          <w:b/>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 xml:space="preserve">acquisition costs of tenements and associated expenses; </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4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349"/>
        <w:gridCol w:w="218"/>
        <w:gridCol w:w="425"/>
        <w:gridCol w:w="709"/>
        <w:gridCol w:w="141"/>
        <w:gridCol w:w="284"/>
        <w:gridCol w:w="142"/>
        <w:gridCol w:w="141"/>
        <w:gridCol w:w="142"/>
        <w:gridCol w:w="425"/>
        <w:gridCol w:w="142"/>
        <w:gridCol w:w="142"/>
        <w:gridCol w:w="283"/>
        <w:gridCol w:w="284"/>
        <w:gridCol w:w="992"/>
        <w:gridCol w:w="284"/>
        <w:gridCol w:w="283"/>
        <w:gridCol w:w="142"/>
      </w:tblGrid>
      <w:tr>
        <w:trPr>
          <w:gridAfter w:val="1"/>
          <w:wAfter w:w="142" w:type="dxa"/>
          <w:cantSplit/>
          <w:trHeight w:hRule="exact" w:val="80"/>
        </w:trPr>
        <w:tc>
          <w:tcPr>
            <w:tcW w:w="6946" w:type="dxa"/>
            <w:gridSpan w:val="19"/>
            <w:tcBorders>
              <w:bottom w:val="nil"/>
            </w:tcBorders>
          </w:tcPr>
          <w:p>
            <w:pPr>
              <w:pStyle w:val="yTable"/>
              <w:spacing w:before="0"/>
              <w:rPr>
                <w:sz w:val="12"/>
                <w:lang w:val="en-US"/>
              </w:rPr>
            </w:pPr>
          </w:p>
        </w:tc>
      </w:tr>
      <w:tr>
        <w:trPr>
          <w:gridAfter w:val="1"/>
          <w:wAfter w:w="142" w:type="dxa"/>
        </w:trP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8"/>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sz w:val="14"/>
              </w:rPr>
            </w:pPr>
          </w:p>
        </w:tc>
      </w:tr>
      <w:tr>
        <w:trPr>
          <w:gridAfter w:val="1"/>
          <w:wAfter w:w="142" w:type="dxa"/>
        </w:trPr>
        <w:tc>
          <w:tcPr>
            <w:tcW w:w="2552" w:type="dxa"/>
            <w:gridSpan w:val="5"/>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6946" w:type="dxa"/>
            <w:gridSpan w:val="19"/>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Costeaning/trenching:</w:t>
            </w:r>
          </w:p>
        </w:tc>
      </w:tr>
      <w:tr>
        <w:trPr>
          <w:gridAfter w:val="1"/>
          <w:wAfter w:w="142" w:type="dxa"/>
          <w:cantSplit/>
        </w:trPr>
        <w:tc>
          <w:tcPr>
            <w:tcW w:w="1560" w:type="dxa"/>
            <w:gridSpan w:val="2"/>
            <w:tcBorders>
              <w:top w:val="nil"/>
              <w:bottom w:val="nil"/>
            </w:tcBorders>
          </w:tcPr>
          <w:p>
            <w:pPr>
              <w:pStyle w:val="yTable"/>
              <w:spacing w:before="0"/>
              <w:rPr>
                <w:sz w:val="14"/>
              </w:rPr>
            </w:pPr>
            <w:r>
              <w:rPr>
                <w:sz w:val="14"/>
              </w:rPr>
              <w:t>No. excavated</w:t>
            </w:r>
          </w:p>
        </w:tc>
        <w:tc>
          <w:tcPr>
            <w:tcW w:w="567" w:type="dxa"/>
            <w:gridSpan w:val="2"/>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Other activities (specify):</w:t>
            </w:r>
          </w:p>
        </w:tc>
      </w:tr>
      <w:tr>
        <w:trPr>
          <w:gridAfter w:val="1"/>
          <w:wAfter w:w="142" w:type="dxa"/>
          <w:cantSplit/>
        </w:trPr>
        <w:tc>
          <w:tcPr>
            <w:tcW w:w="284" w:type="dxa"/>
            <w:tcBorders>
              <w:top w:val="nil"/>
              <w:bottom w:val="nil"/>
            </w:tcBorders>
          </w:tcPr>
          <w:p>
            <w:pPr>
              <w:pStyle w:val="yTable"/>
              <w:spacing w:before="0"/>
              <w:rPr>
                <w:sz w:val="14"/>
              </w:rPr>
            </w:pPr>
          </w:p>
        </w:tc>
        <w:tc>
          <w:tcPr>
            <w:tcW w:w="1843" w:type="dxa"/>
            <w:gridSpan w:val="3"/>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284" w:type="dxa"/>
            <w:tcBorders>
              <w:top w:val="nil"/>
              <w:bottom w:val="nil"/>
            </w:tcBorders>
          </w:tcPr>
          <w:p>
            <w:pPr>
              <w:pStyle w:val="yTable"/>
              <w:spacing w:before="0"/>
              <w:rPr>
                <w:sz w:val="14"/>
              </w:rPr>
            </w:pPr>
          </w:p>
        </w:tc>
        <w:tc>
          <w:tcPr>
            <w:tcW w:w="1843" w:type="dxa"/>
            <w:gridSpan w:val="3"/>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284" w:type="dxa"/>
            <w:tcBorders>
              <w:top w:val="nil"/>
              <w:bottom w:val="nil"/>
            </w:tcBorders>
          </w:tcPr>
          <w:p>
            <w:pPr>
              <w:pStyle w:val="yTable"/>
              <w:spacing w:before="0"/>
              <w:rPr>
                <w:sz w:val="14"/>
              </w:rPr>
            </w:pPr>
          </w:p>
        </w:tc>
        <w:tc>
          <w:tcPr>
            <w:tcW w:w="1843" w:type="dxa"/>
            <w:gridSpan w:val="3"/>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b/>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103" w:type="dxa"/>
            <w:gridSpan w:val="15"/>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sz w:val="14"/>
              </w:rPr>
            </w:pPr>
          </w:p>
        </w:tc>
      </w:tr>
      <w:tr>
        <w:trPr>
          <w:gridAfter w:val="1"/>
          <w:wAfter w:w="142" w:type="dxa"/>
          <w:cantSplit/>
        </w:trPr>
        <w:tc>
          <w:tcPr>
            <w:tcW w:w="6946" w:type="dxa"/>
            <w:gridSpan w:val="19"/>
            <w:tcBorders>
              <w:left w:val="nil"/>
              <w:bottom w:val="nil"/>
              <w:right w:val="nil"/>
            </w:tcBorders>
          </w:tcPr>
          <w:p>
            <w:pPr>
              <w:pStyle w:val="yTable"/>
              <w:spacing w:before="0"/>
              <w:jc w:val="center"/>
              <w:rPr>
                <w:b/>
                <w:sz w:val="14"/>
              </w:rPr>
            </w:pPr>
            <w:r>
              <w:rPr>
                <w:b/>
                <w:sz w:val="14"/>
              </w:rPr>
              <w:t>AND/OR</w:t>
            </w:r>
          </w:p>
        </w:tc>
      </w:tr>
      <w:tr>
        <w:trPr>
          <w:gridAfter w:val="1"/>
          <w:wAfter w:w="142" w:type="dxa"/>
          <w:cantSplit/>
        </w:trPr>
        <w:tc>
          <w:tcPr>
            <w:tcW w:w="6946" w:type="dxa"/>
            <w:gridSpan w:val="19"/>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Development:</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3402" w:type="dxa"/>
            <w:gridSpan w:val="7"/>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103" w:type="dxa"/>
            <w:gridSpan w:val="15"/>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left w:val="single" w:sz="4" w:space="0" w:color="auto"/>
              <w:bottom w:val="nil"/>
              <w:right w:val="single" w:sz="4" w:space="0" w:color="auto"/>
            </w:tcBorders>
          </w:tcPr>
          <w:p>
            <w:pPr>
              <w:pStyle w:val="yTable"/>
              <w:spacing w:before="0"/>
              <w:rPr>
                <w:sz w:val="14"/>
              </w:rPr>
            </w:pPr>
          </w:p>
        </w:tc>
      </w:tr>
      <w:tr>
        <w:trPr>
          <w:gridAfter w:val="1"/>
          <w:wAfter w:w="142" w:type="dxa"/>
          <w:cantSplit/>
        </w:trPr>
        <w:tc>
          <w:tcPr>
            <w:tcW w:w="3686" w:type="dxa"/>
            <w:gridSpan w:val="8"/>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Pr>
        <w:tc>
          <w:tcPr>
            <w:tcW w:w="3686" w:type="dxa"/>
            <w:gridSpan w:val="8"/>
            <w:tcBorders>
              <w:top w:val="nil"/>
              <w:bottom w:val="single" w:sz="4" w:space="0" w:color="auto"/>
              <w:right w:val="nil"/>
            </w:tcBorders>
          </w:tcPr>
          <w:p>
            <w:pPr>
              <w:pStyle w:val="yTable"/>
              <w:spacing w:before="0"/>
              <w:rPr>
                <w:spacing w:val="-4"/>
                <w:sz w:val="14"/>
              </w:rPr>
            </w:pPr>
            <w:r>
              <w:rPr>
                <w:spacing w:val="-4"/>
                <w:sz w:val="14"/>
              </w:rPr>
              <w:t>(a copy must be lodged with the Registrar of Aboriginal Sites)</w:t>
            </w: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gridAfter w:val="1"/>
          <w:wAfter w:w="142" w:type="dxa"/>
          <w:cantSplit/>
          <w:trHeight w:hRule="exact" w:val="120"/>
        </w:trPr>
        <w:tc>
          <w:tcPr>
            <w:tcW w:w="6946" w:type="dxa"/>
            <w:gridSpan w:val="19"/>
            <w:tcBorders>
              <w:top w:val="nil"/>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left w:val="single" w:sz="4" w:space="0" w:color="auto"/>
              <w:bottom w:val="nil"/>
              <w:right w:val="single" w:sz="4" w:space="0" w:color="auto"/>
            </w:tcBorders>
          </w:tcPr>
          <w:p>
            <w:pPr>
              <w:pStyle w:val="yTable"/>
              <w:spacing w:before="0"/>
              <w:rPr>
                <w:sz w:val="14"/>
              </w:rPr>
            </w:pPr>
          </w:p>
        </w:tc>
      </w:tr>
      <w:tr>
        <w:trPr>
          <w:gridAfter w:val="1"/>
          <w:wAfter w:w="142" w:type="dxa"/>
          <w:cantSplit/>
        </w:trPr>
        <w:tc>
          <w:tcPr>
            <w:tcW w:w="3686" w:type="dxa"/>
            <w:gridSpan w:val="8"/>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gridAfter w:val="1"/>
          <w:wAfter w:w="142" w:type="dxa"/>
          <w:cantSplit/>
          <w:trHeight w:hRule="exact" w:val="120"/>
        </w:trPr>
        <w:tc>
          <w:tcPr>
            <w:tcW w:w="3686" w:type="dxa"/>
            <w:gridSpan w:val="8"/>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gridAfter w:val="1"/>
          <w:wAfter w:w="142" w:type="dxa"/>
          <w:cantSplit/>
          <w:trHeight w:hRule="exact" w:val="120"/>
        </w:trPr>
        <w:tc>
          <w:tcPr>
            <w:tcW w:w="6946" w:type="dxa"/>
            <w:gridSpan w:val="19"/>
            <w:tcBorders>
              <w:top w:val="nil"/>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bottom w:val="nil"/>
            </w:tcBorders>
          </w:tcPr>
          <w:p>
            <w:pPr>
              <w:pStyle w:val="yTable"/>
              <w:spacing w:before="0"/>
              <w:rPr>
                <w:sz w:val="14"/>
              </w:rPr>
            </w:pPr>
          </w:p>
        </w:tc>
      </w:tr>
      <w:tr>
        <w:trPr>
          <w:gridAfter w:val="1"/>
          <w:wAfter w:w="142" w:type="dxa"/>
          <w:cantSplit/>
        </w:trPr>
        <w:tc>
          <w:tcPr>
            <w:tcW w:w="3686" w:type="dxa"/>
            <w:gridSpan w:val="8"/>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Pr>
        <w:tc>
          <w:tcPr>
            <w:tcW w:w="4536" w:type="dxa"/>
            <w:gridSpan w:val="12"/>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gridAfter w:val="1"/>
          <w:wAfter w:w="142" w:type="dxa"/>
          <w:cantSplit/>
          <w:trHeight w:hRule="exact" w:val="120"/>
        </w:trPr>
        <w:tc>
          <w:tcPr>
            <w:tcW w:w="6946" w:type="dxa"/>
            <w:gridSpan w:val="19"/>
            <w:tcBorders>
              <w:top w:val="nil"/>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bottom w:val="nil"/>
            </w:tcBorders>
          </w:tcPr>
          <w:p>
            <w:pPr>
              <w:pStyle w:val="yTable"/>
              <w:spacing w:before="0"/>
              <w:rPr>
                <w:sz w:val="12"/>
              </w:rPr>
            </w:pPr>
          </w:p>
        </w:tc>
      </w:tr>
      <w:tr>
        <w:trPr>
          <w:gridAfter w:val="1"/>
          <w:wAfter w:w="142" w:type="dxa"/>
          <w:cantSplit/>
        </w:trPr>
        <w:tc>
          <w:tcPr>
            <w:tcW w:w="4678" w:type="dxa"/>
            <w:gridSpan w:val="13"/>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b/>
                <w:spacing w:val="-4"/>
                <w:sz w:val="14"/>
              </w:rPr>
            </w:pPr>
          </w:p>
        </w:tc>
      </w:tr>
      <w:tr>
        <w:trPr>
          <w:gridAfter w:val="1"/>
          <w:wAfter w:w="142" w:type="dxa"/>
          <w:cantSplit/>
        </w:trPr>
        <w:tc>
          <w:tcPr>
            <w:tcW w:w="6946" w:type="dxa"/>
            <w:gridSpan w:val="19"/>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gridSpan w:val="17"/>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120"/>
              <w:rPr>
                <w:spacing w:val="-2"/>
                <w:sz w:val="18"/>
              </w:rPr>
            </w:pPr>
          </w:p>
        </w:tc>
        <w:tc>
          <w:tcPr>
            <w:tcW w:w="5179" w:type="dxa"/>
            <w:gridSpan w:val="17"/>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gridSpan w:val="17"/>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gridSpan w:val="17"/>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gridSpan w:val="17"/>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gridSpan w:val="17"/>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gridSpan w:val="17"/>
          </w:tcPr>
          <w:p>
            <w:pPr>
              <w:pStyle w:val="yTable"/>
              <w:spacing w:line="180" w:lineRule="atLeast"/>
              <w:rPr>
                <w:spacing w:val="-2"/>
                <w:sz w:val="18"/>
              </w:rPr>
            </w:pPr>
            <w:r>
              <w:rPr>
                <w:spacing w:val="-2"/>
                <w:sz w:val="18"/>
              </w:rPr>
              <w: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gridSpan w:val="17"/>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Table"/>
        <w:pageBreakBefore/>
        <w:tabs>
          <w:tab w:val="left" w:pos="1985"/>
        </w:tabs>
        <w:spacing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r>
        <w:rPr>
          <w:snapToGrid w:val="0"/>
          <w:sz w:val="18"/>
        </w:rPr>
        <w:t xml:space="preserve"> </w:t>
      </w:r>
    </w:p>
    <w:p>
      <w:pPr>
        <w:pStyle w:val="yTable"/>
        <w:tabs>
          <w:tab w:val="left" w:pos="1985"/>
        </w:tabs>
        <w:spacing w:before="0" w:line="180" w:lineRule="atLeast"/>
        <w:rPr>
          <w:snapToGrid w:val="0"/>
          <w:sz w:val="18"/>
        </w:rPr>
      </w:pPr>
      <w:r>
        <w:rPr>
          <w:snapToGrid w:val="0"/>
          <w:sz w:val="18"/>
        </w:rPr>
        <w:tab/>
        <w:t>(Sec. 116 Reg. 26)</w:t>
      </w:r>
    </w:p>
    <w:p>
      <w:pPr>
        <w:pStyle w:val="yTable"/>
        <w:spacing w:line="180" w:lineRule="atLeast"/>
        <w:rPr>
          <w:snapToGrid w:val="0"/>
          <w:sz w:val="18"/>
        </w:rPr>
      </w:pPr>
      <w:r>
        <w:rPr>
          <w:b/>
          <w:snapToGrid w:val="0"/>
          <w:sz w:val="18"/>
        </w:rPr>
        <w:t>MINING LEASE</w:t>
      </w:r>
      <w:r>
        <w:rPr>
          <w:snapToGrid w:val="0"/>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as an alternative to forfeiture of this lease. The covenants and conditions hereinbefore referred to are that the Lessee shall — </w:t>
      </w:r>
    </w:p>
    <w:p>
      <w:pPr>
        <w:pStyle w:val="yTable"/>
        <w:spacing w:before="44"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44"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r>
        <w:rPr>
          <w:snapToGrid w:val="0"/>
          <w:sz w:val="18"/>
        </w:rPr>
        <w:t xml:space="preserve"> </w:t>
      </w:r>
    </w:p>
    <w:p>
      <w:pPr>
        <w:pStyle w:val="yTable"/>
        <w:spacing w:before="44"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44" w:line="180" w:lineRule="atLeast"/>
        <w:ind w:left="425" w:hanging="425"/>
        <w:rPr>
          <w:snapToGrid w:val="0"/>
          <w:sz w:val="18"/>
        </w:rPr>
      </w:pPr>
      <w:r>
        <w:rPr>
          <w:snapToGrid w:val="0"/>
          <w:sz w:val="18"/>
        </w:rPr>
        <w:t xml:space="preserve">4.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before="44"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44"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44"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44"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44"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r>
        <w:rPr>
          <w:snapToGrid w:val="0"/>
          <w:sz w:val="18"/>
        </w:rPr>
        <w:t xml:space="preserve"> </w:t>
      </w:r>
    </w:p>
    <w:p>
      <w:pPr>
        <w:pStyle w:val="yTable"/>
        <w:spacing w:before="44" w:line="180" w:lineRule="atLeast"/>
        <w:ind w:left="425" w:hanging="425"/>
        <w:rPr>
          <w:snapToGrid w:val="0"/>
          <w:sz w:val="18"/>
        </w:rPr>
      </w:pPr>
      <w:r>
        <w:rPr>
          <w:snapToGrid w:val="0"/>
          <w:sz w:val="18"/>
        </w:rPr>
        <w:t xml:space="preserve">10. </w:t>
      </w:r>
      <w:r>
        <w:rPr>
          <w:snapToGrid w:val="0"/>
          <w:sz w:val="18"/>
        </w:rPr>
        <w:tab/>
        <w:t xml:space="preserve">cause all holes, pits, trenches and other disturbances to the surface of the land and subject of this lease made whilst mining and which in the opinion of </w:t>
      </w:r>
      <w:r>
        <w:rPr>
          <w:sz w:val="18"/>
        </w:rPr>
        <w:t>an environmental officer</w:t>
      </w:r>
      <w:r>
        <w:rPr>
          <w:snapToGrid w:val="0"/>
          <w:sz w:val="18"/>
        </w:rPr>
        <w:t xml:space="preserve"> are likely to endanger the safety of any person or animal to be filled in or otherwise made safe to the satisfaction of</w:t>
      </w:r>
      <w:r>
        <w:rPr>
          <w:sz w:val="18"/>
        </w:rPr>
        <w:t xml:space="preserve"> the environmental officer</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line="180" w:lineRule="atLeast"/>
        <w:jc w:val="center"/>
        <w:rPr>
          <w:b/>
          <w:snapToGrid w:val="0"/>
          <w:sz w:val="18"/>
        </w:rPr>
      </w:pPr>
      <w:r>
        <w:rPr>
          <w:b/>
          <w:snapToGrid w:val="0"/>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line="180" w:lineRule="atLeast"/>
        <w:jc w:val="center"/>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20" w:line="180" w:lineRule="atLeast"/>
        <w:jc w:val="center"/>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line="180" w:lineRule="atLeast"/>
        <w:jc w:val="center"/>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line="180" w:lineRule="atLeast"/>
        <w:jc w:val="center"/>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line="180" w:lineRule="atLeast"/>
        <w:jc w:val="center"/>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line="180" w:lineRule="atLeast"/>
        <w:jc w:val="center"/>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rPr>
          <w:spacing w:val="-2"/>
          <w:sz w:val="18"/>
        </w:rPr>
      </w:pPr>
      <w:r>
        <w:rPr>
          <w:spacing w:val="-2"/>
          <w:sz w:val="18"/>
        </w:rPr>
        <w:t>MINISTER      </w:t>
      </w:r>
    </w:p>
    <w:p>
      <w:pPr>
        <w:pStyle w:val="yFootnotesection"/>
      </w:pPr>
      <w:r>
        <w:tab/>
        <w:t>[Form 8 amended in Gazette 3 Feb 2006 p. 524 and 602.]</w:t>
      </w:r>
    </w:p>
    <w:p>
      <w:pPr>
        <w:pStyle w:val="yTable"/>
        <w:spacing w:line="180" w:lineRule="atLeast"/>
        <w:ind w:left="3260"/>
        <w:jc w:val="righ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pageBreakBefore/>
              <w:tabs>
                <w:tab w:val="left" w:pos="1588"/>
              </w:tabs>
              <w:spacing w:line="180" w:lineRule="atLeast"/>
              <w:ind w:left="-119"/>
              <w:rPr>
                <w:spacing w:val="-2"/>
                <w:sz w:val="18"/>
              </w:rPr>
            </w:pPr>
            <w:r>
              <w:rPr>
                <w:spacing w:val="-2"/>
                <w:sz w:val="18"/>
              </w:rPr>
              <w:t>Form 9</w:t>
            </w:r>
            <w:r>
              <w:rPr>
                <w:spacing w:val="-2"/>
                <w:sz w:val="18"/>
              </w:rPr>
              <w:tab/>
              <w:t>WESTERN AUSTRALIA</w:t>
            </w:r>
          </w:p>
          <w:p>
            <w:pPr>
              <w:pStyle w:val="yTable"/>
              <w:tabs>
                <w:tab w:val="left" w:pos="1588"/>
              </w:tabs>
              <w:spacing w:before="0" w:line="180" w:lineRule="atLeast"/>
              <w:rPr>
                <w:spacing w:val="-2"/>
                <w:sz w:val="18"/>
              </w:rPr>
            </w:pPr>
            <w:r>
              <w:rPr>
                <w:i/>
                <w:spacing w:val="-2"/>
                <w:sz w:val="18"/>
              </w:rPr>
              <w:tab/>
              <w:t>Mining Act 1978</w:t>
            </w:r>
          </w:p>
          <w:p>
            <w:pPr>
              <w:pStyle w:val="yTable"/>
              <w:tabs>
                <w:tab w:val="left" w:pos="1588"/>
              </w:tabs>
              <w:spacing w:before="0" w:line="180" w:lineRule="atLeast"/>
              <w:rPr>
                <w:spacing w:val="-2"/>
                <w:sz w:val="18"/>
              </w:rPr>
            </w:pPr>
            <w:r>
              <w:rPr>
                <w:spacing w:val="-2"/>
                <w:sz w:val="18"/>
              </w:rPr>
              <w:tab/>
              <w:t>(Secs. 45, 61, 70E, 78, 88, 91A, 91B)</w:t>
            </w:r>
          </w:p>
          <w:p>
            <w:pPr>
              <w:pStyle w:val="yTable"/>
              <w:tabs>
                <w:tab w:val="left" w:pos="1588"/>
              </w:tabs>
              <w:spacing w:before="0" w:line="180" w:lineRule="atLeast"/>
              <w:rPr>
                <w:spacing w:val="-2"/>
                <w:sz w:val="18"/>
              </w:rPr>
            </w:pPr>
            <w:r>
              <w:rPr>
                <w:spacing w:val="-2"/>
                <w:sz w:val="18"/>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rPr>
            </w:pPr>
            <w:r>
              <w:rPr>
                <w:b/>
                <w:spacing w:val="-3"/>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8"/>
              </w:rPr>
            </w:pPr>
            <w:r>
              <w:rPr>
                <w:spacing w:val="-2"/>
                <w:sz w:val="18"/>
              </w:rPr>
              <w:t>(a)</w:t>
            </w:r>
            <w:r>
              <w:rPr>
                <w:spacing w:val="-2"/>
                <w:sz w:val="18"/>
              </w:rPr>
              <w:tab/>
              <w:t xml:space="preserve">Type of Tenement </w:t>
            </w:r>
          </w:p>
          <w:p>
            <w:pPr>
              <w:pStyle w:val="yTable"/>
              <w:spacing w:before="0" w:line="180" w:lineRule="atLeast"/>
              <w:ind w:left="306" w:hanging="425"/>
              <w:rPr>
                <w:spacing w:val="-2"/>
                <w:sz w:val="14"/>
              </w:rPr>
            </w:pPr>
          </w:p>
          <w:p>
            <w:pPr>
              <w:pStyle w:val="yTable"/>
              <w:spacing w:before="0" w:line="180" w:lineRule="atLeast"/>
              <w:ind w:left="306" w:hanging="425"/>
              <w:rPr>
                <w:spacing w:val="-2"/>
                <w:sz w:val="18"/>
              </w:rPr>
            </w:pPr>
            <w:r>
              <w:rPr>
                <w:spacing w:val="-2"/>
                <w:sz w:val="18"/>
              </w:rPr>
              <w:t>(b)</w:t>
            </w:r>
            <w:r>
              <w:rPr>
                <w:spacing w:val="-2"/>
                <w:sz w:val="18"/>
              </w:rPr>
              <w:tab/>
              <w:t xml:space="preserve">Number </w:t>
            </w:r>
          </w:p>
          <w:p>
            <w:pPr>
              <w:pStyle w:val="yTable"/>
              <w:spacing w:before="0" w:line="180" w:lineRule="atLeast"/>
              <w:ind w:left="306" w:hanging="425"/>
              <w:rPr>
                <w:spacing w:val="-2"/>
                <w:sz w:val="14"/>
              </w:rPr>
            </w:pPr>
          </w:p>
          <w:p>
            <w:pPr>
              <w:pStyle w:val="yTable"/>
              <w:spacing w:before="0" w:line="180" w:lineRule="atLeast"/>
              <w:ind w:left="306" w:hanging="425"/>
              <w:rPr>
                <w:spacing w:val="-2"/>
                <w:sz w:val="18"/>
              </w:rPr>
            </w:pPr>
            <w:r>
              <w:rPr>
                <w:spacing w:val="-2"/>
                <w:sz w:val="18"/>
              </w:rPr>
              <w:t>(c)</w:t>
            </w:r>
            <w:r>
              <w:rPr>
                <w:spacing w:val="-2"/>
                <w:sz w:val="18"/>
              </w:rPr>
              <w:tab/>
              <w:t>Mineral field</w:t>
            </w:r>
          </w:p>
          <w:p>
            <w:pPr>
              <w:pStyle w:val="yTable"/>
              <w:spacing w:before="0" w:line="180" w:lineRule="atLeast"/>
              <w:ind w:left="306" w:hanging="425"/>
              <w:rPr>
                <w:spacing w:val="-2"/>
                <w:sz w:val="14"/>
              </w:rPr>
            </w:pPr>
          </w:p>
          <w:p>
            <w:pPr>
              <w:pStyle w:val="yTable"/>
              <w:spacing w:before="0" w:line="180" w:lineRule="atLeast"/>
              <w:ind w:left="306" w:hanging="425"/>
              <w:rPr>
                <w:spacing w:val="-2"/>
                <w:sz w:val="18"/>
              </w:rPr>
            </w:pPr>
            <w:r>
              <w:rPr>
                <w:spacing w:val="-2"/>
                <w:sz w:val="18"/>
              </w:rPr>
              <w:t>(d)</w:t>
            </w:r>
            <w:r>
              <w:rPr>
                <w:spacing w:val="-2"/>
                <w:sz w:val="18"/>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20" w:line="180" w:lineRule="atLeast"/>
              <w:rPr>
                <w:spacing w:val="-2"/>
                <w:sz w:val="16"/>
              </w:rPr>
            </w:pPr>
          </w:p>
          <w:p>
            <w:pPr>
              <w:pStyle w:val="yTable"/>
              <w:spacing w:before="20" w:line="180" w:lineRule="atLeast"/>
              <w:rPr>
                <w:spacing w:val="-2"/>
                <w:sz w:val="18"/>
              </w:rPr>
            </w:pPr>
            <w:r>
              <w:rPr>
                <w:spacing w:val="-2"/>
                <w:sz w:val="18"/>
              </w:rPr>
              <w:t>(a)</w:t>
            </w:r>
            <w:r>
              <w:rPr>
                <w:spacing w:val="-2"/>
                <w:sz w:val="18"/>
              </w:rPr>
              <w:tab/>
            </w:r>
            <w:r>
              <w:rPr>
                <w:spacing w:val="-2"/>
                <w:sz w:val="18"/>
              </w:rPr>
              <w:tab/>
              <w:t>(b)</w:t>
            </w:r>
          </w:p>
          <w:p>
            <w:pPr>
              <w:pStyle w:val="yTable"/>
              <w:spacing w:before="20" w:line="180" w:lineRule="atLeast"/>
              <w:rPr>
                <w:spacing w:val="-2"/>
                <w:sz w:val="16"/>
              </w:rPr>
            </w:pPr>
          </w:p>
          <w:p>
            <w:pPr>
              <w:pStyle w:val="yTable"/>
              <w:spacing w:before="20" w:line="180" w:lineRule="atLeast"/>
              <w:rPr>
                <w:spacing w:val="-2"/>
                <w:sz w:val="18"/>
              </w:rPr>
            </w:pPr>
            <w:r>
              <w:rPr>
                <w:spacing w:val="-2"/>
                <w:sz w:val="18"/>
              </w:rPr>
              <w:t>(c)</w:t>
            </w:r>
          </w:p>
          <w:p>
            <w:pPr>
              <w:pStyle w:val="yTable"/>
              <w:spacing w:before="0" w:line="180" w:lineRule="atLeast"/>
              <w:rPr>
                <w:spacing w:val="-2"/>
                <w:sz w:val="16"/>
              </w:rPr>
            </w:pPr>
          </w:p>
          <w:p>
            <w:pPr>
              <w:pStyle w:val="yTable"/>
              <w:spacing w:before="0" w:line="180" w:lineRule="atLeast"/>
              <w:rPr>
                <w:spacing w:val="-2"/>
                <w:sz w:val="18"/>
              </w:rPr>
            </w:pPr>
            <w:r>
              <w:rPr>
                <w:spacing w:val="-2"/>
                <w:sz w:val="18"/>
              </w:rPr>
              <w:t>(d)</w:t>
            </w:r>
          </w:p>
        </w:tc>
      </w:tr>
      <w:tr>
        <w:tc>
          <w:tcPr>
            <w:tcW w:w="1560" w:type="dxa"/>
          </w:tcPr>
          <w:p>
            <w:pPr>
              <w:pStyle w:val="yTable"/>
              <w:spacing w:line="180" w:lineRule="atLeast"/>
              <w:ind w:left="306" w:hanging="426"/>
              <w:rPr>
                <w:spacing w:val="-2"/>
                <w:sz w:val="14"/>
              </w:rPr>
            </w:pPr>
          </w:p>
        </w:tc>
        <w:tc>
          <w:tcPr>
            <w:tcW w:w="5528" w:type="dxa"/>
          </w:tcPr>
          <w:p>
            <w:pPr>
              <w:pStyle w:val="yTable"/>
              <w:spacing w:line="180" w:lineRule="atLeast"/>
              <w:rPr>
                <w:spacing w:val="-2"/>
                <w:sz w:val="14"/>
              </w:rPr>
            </w:pPr>
          </w:p>
        </w:tc>
      </w:tr>
      <w:tr>
        <w:tc>
          <w:tcPr>
            <w:tcW w:w="1560" w:type="dxa"/>
          </w:tcPr>
          <w:p>
            <w:pPr>
              <w:pStyle w:val="yTable"/>
              <w:spacing w:line="180" w:lineRule="atLeast"/>
              <w:ind w:left="306" w:hanging="426"/>
              <w:rPr>
                <w:spacing w:val="-2"/>
                <w:sz w:val="18"/>
              </w:rPr>
            </w:pPr>
            <w:r>
              <w:rPr>
                <w:spacing w:val="-2"/>
                <w:sz w:val="18"/>
              </w:rPr>
              <w:t>(e)</w:t>
            </w:r>
            <w:r>
              <w:rPr>
                <w:spacing w:val="-2"/>
                <w:sz w:val="18"/>
              </w:rPr>
              <w:tab/>
              <w:t>Full name and address of holder(s)</w:t>
            </w:r>
          </w:p>
          <w:p>
            <w:pPr>
              <w:pStyle w:val="yTable"/>
              <w:spacing w:line="180" w:lineRule="atLeast"/>
              <w:ind w:left="306" w:hanging="426"/>
              <w:rPr>
                <w:spacing w:val="-2"/>
                <w:sz w:val="12"/>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4"/>
              </w:rPr>
            </w:pPr>
          </w:p>
          <w:p>
            <w:pPr>
              <w:pStyle w:val="yTable"/>
              <w:spacing w:before="0" w:line="180" w:lineRule="atLeast"/>
              <w:rPr>
                <w:spacing w:val="-2"/>
                <w:sz w:val="18"/>
              </w:rPr>
            </w:pPr>
            <w:r>
              <w:rPr>
                <w:spacing w:val="-2"/>
                <w:sz w:val="18"/>
              </w:rPr>
              <w:t>(e)</w:t>
            </w:r>
          </w:p>
          <w:p>
            <w:pPr>
              <w:pStyle w:val="yTable"/>
              <w:spacing w:before="0" w:line="180" w:lineRule="atLeast"/>
              <w:rPr>
                <w:spacing w:val="-2"/>
                <w:sz w:val="12"/>
              </w:rPr>
            </w:pPr>
          </w:p>
        </w:tc>
      </w:tr>
      <w:tr>
        <w:tc>
          <w:tcPr>
            <w:tcW w:w="1560"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80" w:line="180" w:lineRule="atLeast"/>
              <w:ind w:left="317" w:hanging="432"/>
              <w:rPr>
                <w:spacing w:val="-2"/>
                <w:sz w:val="18"/>
              </w:rPr>
            </w:pPr>
            <w:r>
              <w:rPr>
                <w:spacing w:val="-2"/>
                <w:sz w:val="18"/>
              </w:rPr>
              <w:t>(f)</w:t>
            </w:r>
            <w:r>
              <w:rPr>
                <w:spacing w:val="-2"/>
                <w:sz w:val="18"/>
              </w:rPr>
              <w:tab/>
              <w:t>Signature of holder or agent</w:t>
            </w:r>
          </w:p>
        </w:tc>
        <w:tc>
          <w:tcPr>
            <w:tcW w:w="5528" w:type="dxa"/>
          </w:tcPr>
          <w:p>
            <w:pPr>
              <w:pStyle w:val="yTable"/>
              <w:spacing w:line="180" w:lineRule="atLeast"/>
              <w:rPr>
                <w:spacing w:val="-2"/>
                <w:sz w:val="18"/>
              </w:rPr>
            </w:pPr>
            <w:r>
              <w:rPr>
                <w:spacing w:val="-2"/>
                <w:sz w:val="18"/>
              </w:rPr>
              <w:t>THE HOLDER of the abovementioned mining tenement hereby applies for extension/renewal thereof for a further period of      years.</w:t>
            </w:r>
          </w:p>
          <w:p>
            <w:pPr>
              <w:pStyle w:val="yTable"/>
              <w:spacing w:before="40" w:line="180" w:lineRule="atLeast"/>
              <w:rPr>
                <w:spacing w:val="-2"/>
                <w:sz w:val="18"/>
              </w:rPr>
            </w:pPr>
            <w:r>
              <w:rPr>
                <w:spacing w:val="-2"/>
                <w:sz w:val="18"/>
              </w:rPr>
              <w:t>DATED THIS            day of             20</w:t>
            </w:r>
          </w:p>
          <w:p>
            <w:pPr>
              <w:pStyle w:val="yTable"/>
              <w:spacing w:before="40" w:line="180" w:lineRule="atLeast"/>
              <w:rPr>
                <w:spacing w:val="-2"/>
                <w:sz w:val="18"/>
              </w:rPr>
            </w:pPr>
            <w:r>
              <w:rPr>
                <w:spacing w:val="-2"/>
                <w:sz w:val="18"/>
              </w:rPr>
              <w:t>Signed (f)    ....................................................................................................</w:t>
            </w:r>
          </w:p>
        </w:tc>
      </w:tr>
    </w:tbl>
    <w:p>
      <w:pPr>
        <w:pStyle w:val="yTable"/>
        <w:spacing w:before="0" w:line="180" w:lineRule="atLeast"/>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26"/>
        <w:gridCol w:w="1623"/>
        <w:gridCol w:w="4717"/>
        <w:gridCol w:w="284"/>
      </w:tblGrid>
      <w:tr>
        <w:tc>
          <w:tcPr>
            <w:tcW w:w="426" w:type="dxa"/>
            <w:tcBorders>
              <w:top w:val="single" w:sz="7" w:space="0" w:color="auto"/>
              <w:left w:val="single" w:sz="7" w:space="0" w:color="auto"/>
              <w:bottom w:val="single" w:sz="7" w:space="0" w:color="auto"/>
            </w:tcBorders>
          </w:tcPr>
          <w:p>
            <w:pPr>
              <w:pStyle w:val="yTable"/>
              <w:spacing w:line="180" w:lineRule="atLeast"/>
              <w:ind w:left="-284" w:right="-223"/>
              <w:jc w:val="center"/>
              <w:rPr>
                <w:spacing w:val="-2"/>
                <w:sz w:val="18"/>
              </w:rPr>
            </w:pPr>
            <w:r>
              <w:rPr>
                <w:spacing w:val="-2"/>
                <w:sz w:val="18"/>
              </w:rPr>
              <w:t>O</w:t>
            </w:r>
          </w:p>
          <w:p>
            <w:pPr>
              <w:pStyle w:val="yTable"/>
              <w:spacing w:before="0" w:line="180" w:lineRule="atLeast"/>
              <w:ind w:left="-284" w:right="-223"/>
              <w:jc w:val="center"/>
              <w:rPr>
                <w:spacing w:val="-2"/>
                <w:sz w:val="18"/>
              </w:rPr>
            </w:pPr>
            <w:r>
              <w:rPr>
                <w:spacing w:val="-2"/>
                <w:sz w:val="18"/>
              </w:rPr>
              <w:t>F</w:t>
            </w:r>
          </w:p>
          <w:p>
            <w:pPr>
              <w:pStyle w:val="yTable"/>
              <w:spacing w:before="0" w:line="180" w:lineRule="atLeast"/>
              <w:ind w:left="-284" w:right="-223"/>
              <w:jc w:val="center"/>
              <w:rPr>
                <w:spacing w:val="-2"/>
                <w:sz w:val="18"/>
              </w:rPr>
            </w:pPr>
            <w:r>
              <w:rPr>
                <w:spacing w:val="-2"/>
                <w:sz w:val="18"/>
              </w:rPr>
              <w:t>F</w:t>
            </w:r>
          </w:p>
          <w:p>
            <w:pPr>
              <w:pStyle w:val="yTable"/>
              <w:spacing w:before="0" w:line="180" w:lineRule="atLeast"/>
              <w:ind w:left="-284" w:right="-223"/>
              <w:jc w:val="center"/>
              <w:rPr>
                <w:spacing w:val="-2"/>
                <w:sz w:val="18"/>
              </w:rPr>
            </w:pPr>
            <w:r>
              <w:rPr>
                <w:spacing w:val="-2"/>
                <w:sz w:val="18"/>
              </w:rPr>
              <w:t>I</w:t>
            </w:r>
          </w:p>
          <w:p>
            <w:pPr>
              <w:pStyle w:val="yTable"/>
              <w:spacing w:before="0" w:line="180" w:lineRule="atLeast"/>
              <w:ind w:left="-284" w:right="-223"/>
              <w:jc w:val="center"/>
              <w:rPr>
                <w:spacing w:val="-2"/>
                <w:sz w:val="18"/>
              </w:rPr>
            </w:pPr>
            <w:r>
              <w:rPr>
                <w:spacing w:val="-2"/>
                <w:sz w:val="18"/>
              </w:rPr>
              <w:t>C</w:t>
            </w:r>
          </w:p>
          <w:p>
            <w:pPr>
              <w:pStyle w:val="yTable"/>
              <w:spacing w:before="0" w:line="180" w:lineRule="atLeast"/>
              <w:ind w:left="-284" w:right="-223"/>
              <w:jc w:val="center"/>
              <w:rPr>
                <w:spacing w:val="-2"/>
                <w:sz w:val="18"/>
              </w:rPr>
            </w:pPr>
            <w:r>
              <w:rPr>
                <w:spacing w:val="-2"/>
                <w:sz w:val="18"/>
              </w:rPr>
              <w:t>E</w:t>
            </w:r>
          </w:p>
          <w:p>
            <w:pPr>
              <w:pStyle w:val="yTable"/>
              <w:spacing w:before="0" w:line="180" w:lineRule="atLeast"/>
              <w:ind w:left="-284" w:right="-223"/>
              <w:jc w:val="center"/>
              <w:rPr>
                <w:spacing w:val="-2"/>
                <w:sz w:val="18"/>
              </w:rPr>
            </w:pPr>
          </w:p>
          <w:p>
            <w:pPr>
              <w:pStyle w:val="yTable"/>
              <w:spacing w:before="0" w:line="180" w:lineRule="atLeast"/>
              <w:ind w:left="-284" w:right="-223"/>
              <w:jc w:val="center"/>
              <w:rPr>
                <w:spacing w:val="-2"/>
                <w:sz w:val="18"/>
              </w:rPr>
            </w:pPr>
            <w:r>
              <w:rPr>
                <w:spacing w:val="-2"/>
                <w:sz w:val="18"/>
              </w:rPr>
              <w:t>U</w:t>
            </w:r>
          </w:p>
          <w:p>
            <w:pPr>
              <w:pStyle w:val="yTable"/>
              <w:spacing w:before="0" w:line="180" w:lineRule="atLeast"/>
              <w:ind w:left="-284" w:right="-223"/>
              <w:jc w:val="center"/>
              <w:rPr>
                <w:spacing w:val="-2"/>
                <w:sz w:val="18"/>
              </w:rPr>
            </w:pPr>
            <w:r>
              <w:rPr>
                <w:spacing w:val="-2"/>
                <w:sz w:val="18"/>
              </w:rPr>
              <w:t>S</w:t>
            </w:r>
          </w:p>
          <w:p>
            <w:pPr>
              <w:pStyle w:val="yTable"/>
              <w:spacing w:before="0" w:after="60" w:line="180" w:lineRule="atLeast"/>
              <w:ind w:left="-288" w:right="-216"/>
              <w:jc w:val="center"/>
              <w:rPr>
                <w:spacing w:val="-2"/>
                <w:sz w:val="18"/>
              </w:rPr>
            </w:pPr>
            <w:r>
              <w:rPr>
                <w:spacing w:val="-2"/>
                <w:sz w:val="18"/>
              </w:rPr>
              <w:t>E</w:t>
            </w:r>
          </w:p>
        </w:tc>
        <w:tc>
          <w:tcPr>
            <w:tcW w:w="1623"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4717" w:type="dxa"/>
            <w:tcBorders>
              <w:top w:val="single" w:sz="7" w:space="0" w:color="auto"/>
              <w:left w:val="single" w:sz="7" w:space="0" w:color="auto"/>
              <w:bottom w:val="single" w:sz="7" w:space="0" w:color="auto"/>
            </w:tcBorders>
          </w:tcPr>
          <w:p>
            <w:pPr>
              <w:pStyle w:val="yTable"/>
              <w:tabs>
                <w:tab w:val="right" w:leader="dot" w:pos="2613"/>
              </w:tabs>
              <w:spacing w:line="180" w:lineRule="atLeast"/>
              <w:rPr>
                <w:spacing w:val="-2"/>
                <w:sz w:val="18"/>
              </w:rPr>
            </w:pPr>
            <w:r>
              <w:rPr>
                <w:spacing w:val="-2"/>
                <w:sz w:val="18"/>
              </w:rPr>
              <w:t>Received at ....................................m.</w:t>
            </w:r>
          </w:p>
          <w:p>
            <w:pPr>
              <w:pStyle w:val="yTable"/>
              <w:tabs>
                <w:tab w:val="right" w:leader="dot" w:pos="2613"/>
              </w:tabs>
              <w:spacing w:line="180" w:lineRule="atLeast"/>
              <w:rPr>
                <w:spacing w:val="-2"/>
                <w:sz w:val="18"/>
              </w:rPr>
            </w:pPr>
            <w:r>
              <w:rPr>
                <w:spacing w:val="-2"/>
                <w:sz w:val="18"/>
              </w:rPr>
              <w:t>on ........................................................</w:t>
            </w:r>
          </w:p>
          <w:p>
            <w:pPr>
              <w:pStyle w:val="yTable"/>
              <w:tabs>
                <w:tab w:val="right" w:leader="dot" w:pos="2613"/>
              </w:tabs>
              <w:spacing w:before="0" w:line="180" w:lineRule="atLeast"/>
              <w:rPr>
                <w:spacing w:val="-2"/>
                <w:sz w:val="18"/>
              </w:rPr>
            </w:pPr>
            <w:r>
              <w:rPr>
                <w:spacing w:val="-2"/>
                <w:sz w:val="18"/>
              </w:rPr>
              <w:t>together with rent of</w:t>
            </w:r>
          </w:p>
          <w:p>
            <w:pPr>
              <w:pStyle w:val="yTable"/>
              <w:tabs>
                <w:tab w:val="right" w:leader="dot" w:pos="2613"/>
              </w:tabs>
              <w:spacing w:before="0" w:line="180" w:lineRule="atLeast"/>
              <w:rPr>
                <w:spacing w:val="-2"/>
                <w:sz w:val="18"/>
              </w:rPr>
            </w:pPr>
            <w:r>
              <w:rPr>
                <w:spacing w:val="-2"/>
                <w:sz w:val="18"/>
              </w:rPr>
              <w:t>$</w:t>
            </w:r>
          </w:p>
          <w:p>
            <w:pPr>
              <w:pStyle w:val="yTable"/>
              <w:tabs>
                <w:tab w:val="right" w:leader="dot" w:pos="2613"/>
              </w:tabs>
              <w:spacing w:before="0" w:line="180" w:lineRule="atLeast"/>
              <w:rPr>
                <w:spacing w:val="-2"/>
                <w:sz w:val="18"/>
              </w:rPr>
            </w:pPr>
            <w:r>
              <w:rPr>
                <w:spacing w:val="-2"/>
                <w:sz w:val="18"/>
              </w:rPr>
              <w:t>for the year ending</w:t>
            </w:r>
          </w:p>
          <w:p>
            <w:pPr>
              <w:pStyle w:val="yTable"/>
              <w:tabs>
                <w:tab w:val="right" w:leader="dot" w:pos="2613"/>
              </w:tabs>
              <w:spacing w:before="0" w:line="180" w:lineRule="atLeast"/>
              <w:rPr>
                <w:spacing w:val="-2"/>
                <w:sz w:val="18"/>
              </w:rPr>
            </w:pPr>
            <w:r>
              <w:rPr>
                <w:spacing w:val="-2"/>
                <w:sz w:val="18"/>
              </w:rPr>
              <w:t>....../....../......</w:t>
            </w:r>
          </w:p>
          <w:p>
            <w:pPr>
              <w:pStyle w:val="yTable"/>
              <w:tabs>
                <w:tab w:val="right" w:leader="dot" w:pos="2613"/>
              </w:tabs>
              <w:spacing w:before="0" w:line="180" w:lineRule="atLeast"/>
              <w:rPr>
                <w:spacing w:val="-2"/>
                <w:sz w:val="18"/>
              </w:rPr>
            </w:pPr>
          </w:p>
          <w:p>
            <w:pPr>
              <w:pStyle w:val="yTable"/>
              <w:tabs>
                <w:tab w:val="right" w:leader="dot" w:pos="2613"/>
              </w:tabs>
              <w:spacing w:before="0" w:line="180" w:lineRule="atLeast"/>
              <w:rPr>
                <w:spacing w:val="-2"/>
                <w:sz w:val="18"/>
              </w:rPr>
            </w:pPr>
            <w:r>
              <w:rPr>
                <w:spacing w:val="-2"/>
                <w:sz w:val="18"/>
              </w:rPr>
              <w:t>.............................................................</w:t>
            </w:r>
          </w:p>
          <w:p>
            <w:pPr>
              <w:pStyle w:val="yTable"/>
              <w:tabs>
                <w:tab w:val="right" w:leader="dot" w:pos="2613"/>
              </w:tabs>
              <w:spacing w:before="0" w:line="180" w:lineRule="atLeast"/>
              <w:ind w:right="1864"/>
              <w:jc w:val="center"/>
              <w:rPr>
                <w:spacing w:val="-2"/>
                <w:sz w:val="18"/>
              </w:rPr>
            </w:pPr>
            <w:r>
              <w:rPr>
                <w:spacing w:val="-2"/>
                <w:sz w:val="18"/>
              </w:rPr>
              <w:t>(Mining Registrar)</w:t>
            </w:r>
          </w:p>
        </w:tc>
        <w:tc>
          <w:tcPr>
            <w:tcW w:w="284" w:type="dxa"/>
            <w:tcBorders>
              <w:top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40" w:line="180" w:lineRule="atLeast"/>
        <w:ind w:left="1138" w:hanging="1138"/>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40" w:line="180" w:lineRule="atLeast"/>
        <w:ind w:left="1138" w:hanging="1138"/>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40" w:line="180" w:lineRule="atLeast"/>
        <w:ind w:left="1138" w:hanging="1138"/>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pPr>
      <w:r>
        <w:tab/>
        <w:t>[Form 9 amended in Gazette 3 Feb 2006 p. 602.]</w:t>
      </w:r>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r>
        <w:rPr>
          <w:snapToGrid w:val="0"/>
          <w:sz w:val="18"/>
        </w:rPr>
        <w:t xml:space="preserve"> </w:t>
      </w:r>
    </w:p>
    <w:p>
      <w:pPr>
        <w:pStyle w:val="yTable"/>
        <w:tabs>
          <w:tab w:val="left" w:pos="2410"/>
        </w:tabs>
        <w:spacing w:before="0" w:line="180" w:lineRule="atLeast"/>
        <w:rPr>
          <w:snapToGrid w:val="0"/>
          <w:sz w:val="18"/>
        </w:rPr>
      </w:pPr>
      <w:r>
        <w:rPr>
          <w:snapToGrid w:val="0"/>
          <w:sz w:val="18"/>
        </w:rPr>
        <w:tab/>
        <w:t>(Sec. 116 Reg. 35)</w:t>
      </w:r>
    </w:p>
    <w:p>
      <w:pPr>
        <w:pStyle w:val="yTable"/>
        <w:tabs>
          <w:tab w:val="left" w:pos="2410"/>
        </w:tabs>
        <w:spacing w:before="180" w:line="180" w:lineRule="atLeast"/>
        <w:rPr>
          <w:snapToGrid w:val="0"/>
          <w:sz w:val="18"/>
        </w:rPr>
      </w:pPr>
      <w:r>
        <w:rPr>
          <w:b/>
          <w:snapToGrid w:val="0"/>
          <w:sz w:val="18"/>
        </w:rPr>
        <w:t>GENERAL PURPOSE LEASE</w:t>
      </w:r>
      <w:r>
        <w:rPr>
          <w:snapToGrid w:val="0"/>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60" w:line="180" w:lineRule="atLeast"/>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60" w:line="180" w:lineRule="atLeast"/>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60" w:line="180" w:lineRule="atLeast"/>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60" w:line="180" w:lineRule="atLeast"/>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60" w:line="180" w:lineRule="atLeast"/>
        <w:jc w:val="center"/>
        <w:rPr>
          <w:b/>
          <w:snapToGrid w:val="0"/>
          <w:sz w:val="18"/>
        </w:rPr>
      </w:pPr>
      <w:r>
        <w:rPr>
          <w:b/>
          <w:snapToGrid w:val="0"/>
          <w:sz w:val="18"/>
        </w:rPr>
        <w:t>FIFTH SCHEDULE</w:t>
      </w:r>
    </w:p>
    <w:p>
      <w:pPr>
        <w:pStyle w:val="yTable"/>
        <w:spacing w:line="180" w:lineRule="atLeast"/>
        <w:rPr>
          <w:snapToGrid w:val="0"/>
          <w:sz w:val="18"/>
        </w:rPr>
      </w:pPr>
      <w:r>
        <w:rPr>
          <w:snapToGrid w:val="0"/>
          <w:sz w:val="18"/>
        </w:rPr>
        <w:t>The term of the lease is</w:t>
      </w:r>
    </w:p>
    <w:p>
      <w:pPr>
        <w:pStyle w:val="yTable"/>
        <w:spacing w:before="160" w:line="180" w:lineRule="atLeast"/>
        <w:jc w:val="center"/>
        <w:rPr>
          <w:b/>
          <w:snapToGrid w:val="0"/>
          <w:sz w:val="18"/>
        </w:rPr>
      </w:pPr>
      <w:r>
        <w:rPr>
          <w:b/>
          <w:snapToGrid w:val="0"/>
          <w:sz w:val="18"/>
        </w:rPr>
        <w:t>SIXTH SCHEDULE</w:t>
      </w:r>
    </w:p>
    <w:p>
      <w:pPr>
        <w:pStyle w:val="yTable"/>
        <w:spacing w:line="180" w:lineRule="atLeast"/>
        <w:rPr>
          <w:snapToGrid w:val="0"/>
          <w:sz w:val="18"/>
        </w:rPr>
      </w:pPr>
      <w:r>
        <w:rPr>
          <w:snapToGrid w:val="0"/>
          <w:sz w:val="18"/>
        </w:rPr>
        <w:t>Date of commencement of the lease.</w:t>
      </w:r>
    </w:p>
    <w:p>
      <w:pPr>
        <w:pStyle w:val="yTable"/>
        <w:spacing w:before="160" w:line="180" w:lineRule="atLeast"/>
        <w:jc w:val="center"/>
        <w:rPr>
          <w:b/>
          <w:snapToGrid w:val="0"/>
          <w:sz w:val="18"/>
        </w:rPr>
      </w:pPr>
      <w:r>
        <w:rPr>
          <w:b/>
          <w:snapToGrid w:val="0"/>
          <w:sz w:val="18"/>
        </w:rPr>
        <w:t>SIXTH SCHEDULE</w:t>
      </w:r>
    </w:p>
    <w:p>
      <w:pPr>
        <w:pStyle w:val="yTable"/>
        <w:spacing w:line="180" w:lineRule="atLeast"/>
        <w:rPr>
          <w:snapToGrid w:val="0"/>
          <w:sz w:val="18"/>
        </w:rPr>
      </w:pPr>
      <w:r>
        <w:rPr>
          <w:snapToGrid w:val="0"/>
          <w:sz w:val="18"/>
        </w:rPr>
        <w:t>Any further endorsements/conditions or stipulations</w:t>
      </w:r>
    </w:p>
    <w:p>
      <w:pPr>
        <w:pStyle w:val="yTable"/>
        <w:spacing w:before="160" w:line="180" w:lineRule="atLeast"/>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rPr>
          <w:spacing w:val="-2"/>
          <w:sz w:val="18"/>
        </w:rPr>
      </w:pPr>
      <w:r>
        <w:tab/>
        <w:t>[Form 10 amended in Gazette 3 Feb 2006 p. 524.]</w:t>
      </w:r>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 xml:space="preserve">Mineral Field and     </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5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Table"/>
        <w:spacing w:line="180" w:lineRule="atLeast"/>
        <w:rPr>
          <w:spacing w:val="-2"/>
          <w:sz w:val="18"/>
        </w:rPr>
      </w:pP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r>
              <w:rPr>
                <w:spacing w:val="-2"/>
                <w:sz w:val="18"/>
              </w:rPr>
              <w:t> </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r>
            <w:r>
              <w:rPr>
                <w:spacing w:val="-2"/>
                <w:sz w:val="18"/>
              </w:rPr>
              <w:tab/>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Table"/>
        <w:spacing w:line="180" w:lineRule="atLeast"/>
        <w:rPr>
          <w:spacing w:val="-2"/>
          <w:sz w:val="18"/>
        </w:rPr>
      </w:pPr>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i/>
          <w:snapToGrid w:val="0"/>
          <w:sz w:val="18"/>
        </w:rPr>
        <w:tab/>
        <w:t xml:space="preserve">Mining Act 1978 </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 xml:space="preserve">The date on which I intend to hear an application for forfeiture is </w:t>
      </w:r>
      <w:r>
        <w:rPr>
          <w:snapToGrid w:val="0"/>
          <w:sz w:val="18"/>
        </w:rPr>
        <w:br/>
        <w:t>........../ ........../ ..........</w:t>
      </w:r>
    </w:p>
    <w:p>
      <w:pPr>
        <w:pStyle w:val="yTable"/>
        <w:spacing w:line="180" w:lineRule="atLeast"/>
        <w:ind w:left="990"/>
        <w:rPr>
          <w:snapToGrid w:val="0"/>
          <w:sz w:val="18"/>
        </w:rPr>
      </w:pPr>
      <w:r>
        <w:rPr>
          <w:snapToGrid w:val="0"/>
          <w:sz w:val="18"/>
        </w:rPr>
        <w:t xml:space="preserve">In accordance with regulations 49 and 53 of the </w:t>
      </w:r>
      <w:r>
        <w:rPr>
          <w:i/>
          <w:snapToGrid w:val="0"/>
          <w:sz w:val="18"/>
        </w:rPr>
        <w:t>Mining Regulations 1981</w:t>
      </w:r>
      <w:r>
        <w:rPr>
          <w:snapToGrid w:val="0"/>
          <w:sz w:val="18"/>
        </w:rPr>
        <w:t> —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r>
        <w:rPr>
          <w:snapToGrid w:val="0"/>
          <w:sz w:val="18"/>
        </w:rPr>
        <w:t xml:space="preserve"> </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651"/>
        <w:gridCol w:w="4471"/>
      </w:tblGrid>
      <w:tr>
        <w:tc>
          <w:tcPr>
            <w:tcW w:w="2651" w:type="dxa"/>
          </w:tcPr>
          <w:p>
            <w:pPr>
              <w:pStyle w:val="yTable"/>
              <w:pageBreakBefore/>
              <w:spacing w:line="180" w:lineRule="atLeast"/>
              <w:ind w:left="-119"/>
              <w:rPr>
                <w:spacing w:val="-2"/>
                <w:sz w:val="18"/>
              </w:rPr>
            </w:pPr>
            <w:r>
              <w:rPr>
                <w:spacing w:val="-2"/>
                <w:sz w:val="18"/>
              </w:rPr>
              <w:t>Form 16</w:t>
            </w:r>
          </w:p>
        </w:tc>
        <w:tc>
          <w:tcPr>
            <w:tcW w:w="4471"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(Secs. 42, 59, 70D, 75, 97A Regs. 49, 51B, 55, 67, 120A)</w:t>
            </w:r>
          </w:p>
        </w:tc>
      </w:tr>
      <w:tr>
        <w:tc>
          <w:tcPr>
            <w:tcW w:w="2651" w:type="dxa"/>
          </w:tcPr>
          <w:p>
            <w:pPr>
              <w:pStyle w:val="yTable"/>
              <w:spacing w:line="180" w:lineRule="atLeast"/>
              <w:ind w:left="-120"/>
              <w:rPr>
                <w:spacing w:val="-2"/>
                <w:sz w:val="18"/>
              </w:rPr>
            </w:pPr>
          </w:p>
        </w:tc>
        <w:tc>
          <w:tcPr>
            <w:tcW w:w="4471" w:type="dxa"/>
          </w:tcPr>
          <w:p>
            <w:pPr>
              <w:pStyle w:val="yTable"/>
              <w:spacing w:before="120" w:after="60" w:line="180" w:lineRule="atLeast"/>
              <w:rPr>
                <w:spacing w:val="-2"/>
                <w:sz w:val="18"/>
              </w:rPr>
            </w:pPr>
            <w:r>
              <w:rPr>
                <w:b/>
                <w:spacing w:val="-3"/>
              </w:rPr>
              <w:t>OBJECTION</w:t>
            </w:r>
            <w:r>
              <w:rPr>
                <w:spacing w:val="-2"/>
                <w:sz w:val="18"/>
              </w:rPr>
              <w:tab/>
            </w:r>
            <w:r>
              <w:rPr>
                <w:spacing w:val="-2"/>
                <w:sz w:val="18"/>
              </w:rPr>
              <w:tab/>
              <w:t>No.</w:t>
            </w:r>
          </w:p>
          <w:p>
            <w:pPr>
              <w:pStyle w:val="yTable"/>
              <w:spacing w:line="180" w:lineRule="atLeast"/>
              <w:rPr>
                <w:spacing w:val="-2"/>
                <w:sz w:val="18"/>
              </w:rPr>
            </w:pPr>
            <w:r>
              <w:rPr>
                <w:spacing w:val="-2"/>
                <w:sz w:val="18"/>
              </w:rPr>
              <w:t>To:  The Warden</w:t>
            </w:r>
          </w:p>
        </w:tc>
      </w:tr>
      <w:tr>
        <w:tc>
          <w:tcPr>
            <w:tcW w:w="2651" w:type="dxa"/>
          </w:tcPr>
          <w:p>
            <w:pPr>
              <w:pStyle w:val="yTable"/>
              <w:spacing w:line="180" w:lineRule="atLeast"/>
              <w:ind w:left="306" w:hanging="426"/>
              <w:rPr>
                <w:spacing w:val="-2"/>
                <w:sz w:val="18"/>
              </w:rPr>
            </w:pPr>
            <w:r>
              <w:rPr>
                <w:spacing w:val="-2"/>
                <w:sz w:val="18"/>
              </w:rPr>
              <w:t>(a)</w:t>
            </w:r>
            <w:r>
              <w:rPr>
                <w:spacing w:val="-2"/>
                <w:sz w:val="18"/>
              </w:rPr>
              <w:tab/>
              <w:t>Mineral Field</w:t>
            </w:r>
          </w:p>
          <w:p>
            <w:pPr>
              <w:pStyle w:val="yTable"/>
              <w:spacing w:line="180" w:lineRule="atLeast"/>
              <w:ind w:left="306" w:hanging="426"/>
              <w:rPr>
                <w:spacing w:val="-2"/>
                <w:sz w:val="18"/>
              </w:rPr>
            </w:pPr>
          </w:p>
        </w:tc>
        <w:tc>
          <w:tcPr>
            <w:tcW w:w="4471" w:type="dxa"/>
          </w:tcPr>
          <w:p>
            <w:pPr>
              <w:pStyle w:val="yTable"/>
              <w:tabs>
                <w:tab w:val="left" w:pos="2629"/>
              </w:tabs>
              <w:spacing w:line="180" w:lineRule="atLeast"/>
              <w:rPr>
                <w:spacing w:val="-2"/>
                <w:sz w:val="18"/>
              </w:rPr>
            </w:pPr>
            <w:r>
              <w:rPr>
                <w:spacing w:val="-2"/>
                <w:sz w:val="18"/>
              </w:rPr>
              <w:t>(a)</w:t>
            </w:r>
            <w:r>
              <w:rPr>
                <w:spacing w:val="-2"/>
                <w:sz w:val="18"/>
              </w:rPr>
              <w:tab/>
              <w:t xml:space="preserve">Mineral Field        </w:t>
            </w:r>
          </w:p>
          <w:p>
            <w:pPr>
              <w:pStyle w:val="yTable"/>
              <w:spacing w:line="180" w:lineRule="atLeast"/>
              <w:rPr>
                <w:spacing w:val="-2"/>
                <w:sz w:val="18"/>
              </w:rPr>
            </w:pPr>
            <w:r>
              <w:rPr>
                <w:spacing w:val="-2"/>
                <w:sz w:val="18"/>
              </w:rPr>
              <w:t>The undersigned objects to</w:t>
            </w:r>
          </w:p>
        </w:tc>
      </w:tr>
      <w:tr>
        <w:tc>
          <w:tcPr>
            <w:tcW w:w="2651" w:type="dxa"/>
          </w:tcPr>
          <w:p>
            <w:pPr>
              <w:pStyle w:val="yTable"/>
              <w:spacing w:line="180" w:lineRule="atLeast"/>
              <w:ind w:left="306" w:hanging="426"/>
              <w:rPr>
                <w:spacing w:val="-2"/>
                <w:sz w:val="18"/>
              </w:rPr>
            </w:pPr>
            <w:r>
              <w:rPr>
                <w:spacing w:val="-2"/>
                <w:sz w:val="18"/>
              </w:rPr>
              <w:t>(b)</w:t>
            </w:r>
            <w:r>
              <w:rPr>
                <w:spacing w:val="-2"/>
                <w:sz w:val="18"/>
              </w:rPr>
              <w:tab/>
              <w:t>Insert particulars of the matter objected to and mining tenement affected</w:t>
            </w:r>
          </w:p>
        </w:tc>
        <w:tc>
          <w:tcPr>
            <w:tcW w:w="4471" w:type="dxa"/>
          </w:tcPr>
          <w:p>
            <w:pPr>
              <w:pStyle w:val="yTable"/>
              <w:spacing w:line="180" w:lineRule="atLeast"/>
              <w:rPr>
                <w:spacing w:val="-2"/>
                <w:sz w:val="18"/>
              </w:rPr>
            </w:pPr>
            <w:r>
              <w:rPr>
                <w:spacing w:val="-2"/>
                <w:sz w:val="18"/>
              </w:rPr>
              <w:t>(b)</w:t>
            </w:r>
          </w:p>
          <w:p>
            <w:pPr>
              <w:pStyle w:val="yTable"/>
              <w:spacing w:line="180" w:lineRule="atLeast"/>
              <w:rPr>
                <w:spacing w:val="-2"/>
                <w:sz w:val="18"/>
              </w:rPr>
            </w:pPr>
          </w:p>
          <w:p>
            <w:pPr>
              <w:pStyle w:val="yTable"/>
              <w:spacing w:line="180" w:lineRule="atLeast"/>
              <w:rPr>
                <w:spacing w:val="-2"/>
                <w:sz w:val="18"/>
              </w:rPr>
            </w:pPr>
            <w:r>
              <w:rPr>
                <w:spacing w:val="-2"/>
                <w:sz w:val="18"/>
              </w:rPr>
              <w:t>for the following reasons </w:t>
            </w:r>
            <w:r>
              <w:rPr>
                <w:snapToGrid w:val="0"/>
                <w:sz w:val="18"/>
              </w:rPr>
              <w:t>—</w:t>
            </w:r>
            <w:r>
              <w:rPr>
                <w:spacing w:val="-2"/>
                <w:sz w:val="18"/>
              </w:rPr>
              <w:t> </w:t>
            </w:r>
          </w:p>
        </w:tc>
      </w:tr>
      <w:tr>
        <w:tc>
          <w:tcPr>
            <w:tcW w:w="2651" w:type="dxa"/>
          </w:tcPr>
          <w:p>
            <w:pPr>
              <w:pStyle w:val="yTable"/>
              <w:spacing w:line="180" w:lineRule="atLeast"/>
              <w:ind w:left="306" w:hanging="426"/>
              <w:rPr>
                <w:spacing w:val="-2"/>
                <w:sz w:val="18"/>
              </w:rPr>
            </w:pPr>
            <w:r>
              <w:rPr>
                <w:spacing w:val="-2"/>
                <w:sz w:val="18"/>
              </w:rPr>
              <w:t>(c)</w:t>
            </w:r>
            <w:r>
              <w:rPr>
                <w:spacing w:val="-2"/>
                <w:sz w:val="18"/>
              </w:rPr>
              <w:tab/>
              <w:t>Set out grounds for objection</w:t>
            </w:r>
          </w:p>
          <w:p>
            <w:pPr>
              <w:pStyle w:val="yTable"/>
              <w:spacing w:line="180" w:lineRule="atLeast"/>
              <w:ind w:left="306" w:hanging="426"/>
              <w:rPr>
                <w:spacing w:val="-2"/>
                <w:sz w:val="18"/>
              </w:rPr>
            </w:pPr>
          </w:p>
        </w:tc>
        <w:tc>
          <w:tcPr>
            <w:tcW w:w="4471" w:type="dxa"/>
          </w:tcPr>
          <w:p>
            <w:pPr>
              <w:pStyle w:val="yTable"/>
              <w:spacing w:line="180" w:lineRule="atLeast"/>
              <w:rPr>
                <w:spacing w:val="-2"/>
                <w:sz w:val="18"/>
              </w:rPr>
            </w:pPr>
            <w:r>
              <w:rPr>
                <w:spacing w:val="-2"/>
                <w:sz w:val="18"/>
              </w:rPr>
              <w:t>(c)</w:t>
            </w:r>
          </w:p>
          <w:p>
            <w:pPr>
              <w:pStyle w:val="yTable"/>
              <w:spacing w:line="180" w:lineRule="atLeast"/>
              <w:rPr>
                <w:spacing w:val="-2"/>
                <w:sz w:val="18"/>
              </w:rPr>
            </w:pPr>
            <w:r>
              <w:rPr>
                <w:spacing w:val="-2"/>
                <w:sz w:val="18"/>
              </w:rPr>
              <w:t>And pending the hearing of this objection, require you to</w:t>
            </w:r>
          </w:p>
        </w:tc>
      </w:tr>
      <w:tr>
        <w:tc>
          <w:tcPr>
            <w:tcW w:w="2651" w:type="dxa"/>
          </w:tcPr>
          <w:p>
            <w:pPr>
              <w:pStyle w:val="yTable"/>
              <w:spacing w:line="180" w:lineRule="atLeast"/>
              <w:ind w:left="306" w:hanging="426"/>
              <w:rPr>
                <w:spacing w:val="-2"/>
                <w:sz w:val="18"/>
              </w:rPr>
            </w:pPr>
            <w:r>
              <w:rPr>
                <w:spacing w:val="-2"/>
                <w:sz w:val="18"/>
              </w:rPr>
              <w:t>(d)</w:t>
            </w:r>
            <w:r>
              <w:rPr>
                <w:spacing w:val="-2"/>
                <w:sz w:val="18"/>
              </w:rPr>
              <w:tab/>
              <w:t>“Withhold your recommendation” OR as the case may be</w:t>
            </w:r>
          </w:p>
        </w:tc>
        <w:tc>
          <w:tcPr>
            <w:tcW w:w="4471" w:type="dxa"/>
          </w:tcPr>
          <w:p>
            <w:pPr>
              <w:pStyle w:val="yTable"/>
              <w:spacing w:line="180" w:lineRule="atLeast"/>
              <w:rPr>
                <w:spacing w:val="-2"/>
                <w:sz w:val="18"/>
              </w:rPr>
            </w:pPr>
            <w:r>
              <w:rPr>
                <w:spacing w:val="-2"/>
                <w:sz w:val="18"/>
              </w:rPr>
              <w:t>(d)</w:t>
            </w:r>
          </w:p>
        </w:tc>
      </w:tr>
      <w:tr>
        <w:tc>
          <w:tcPr>
            <w:tcW w:w="2651" w:type="dxa"/>
          </w:tcPr>
          <w:p>
            <w:pPr>
              <w:pStyle w:val="yTable"/>
              <w:spacing w:line="180" w:lineRule="atLeast"/>
              <w:ind w:left="306" w:hanging="426"/>
              <w:rPr>
                <w:spacing w:val="-2"/>
                <w:sz w:val="18"/>
              </w:rPr>
            </w:pPr>
            <w:r>
              <w:rPr>
                <w:spacing w:val="-2"/>
                <w:sz w:val="18"/>
              </w:rPr>
              <w:t>(e)</w:t>
            </w:r>
            <w:r>
              <w:rPr>
                <w:spacing w:val="-2"/>
                <w:sz w:val="18"/>
              </w:rPr>
              <w:tab/>
              <w:t>Full name and address of objector</w:t>
            </w:r>
          </w:p>
        </w:tc>
        <w:tc>
          <w:tcPr>
            <w:tcW w:w="4471" w:type="dxa"/>
          </w:tcPr>
          <w:p>
            <w:pPr>
              <w:pStyle w:val="yTable"/>
              <w:spacing w:line="180" w:lineRule="atLeast"/>
              <w:rPr>
                <w:spacing w:val="-2"/>
                <w:sz w:val="18"/>
              </w:rPr>
            </w:pPr>
            <w:r>
              <w:rPr>
                <w:spacing w:val="-2"/>
                <w:sz w:val="18"/>
              </w:rPr>
              <w:t>(e)</w:t>
            </w:r>
          </w:p>
          <w:p>
            <w:pPr>
              <w:pStyle w:val="yTable"/>
              <w:spacing w:line="180" w:lineRule="atLeast"/>
              <w:rPr>
                <w:spacing w:val="-2"/>
                <w:sz w:val="18"/>
              </w:rPr>
            </w:pPr>
          </w:p>
        </w:tc>
      </w:tr>
      <w:tr>
        <w:tc>
          <w:tcPr>
            <w:tcW w:w="2651" w:type="dxa"/>
          </w:tcPr>
          <w:p>
            <w:pPr>
              <w:pStyle w:val="yTable"/>
              <w:spacing w:line="180" w:lineRule="atLeast"/>
              <w:ind w:left="306" w:hanging="426"/>
              <w:rPr>
                <w:spacing w:val="-2"/>
                <w:sz w:val="18"/>
              </w:rPr>
            </w:pPr>
            <w:r>
              <w:rPr>
                <w:sz w:val="18"/>
              </w:rPr>
              <w:t>(f)</w:t>
            </w:r>
            <w:r>
              <w:rPr>
                <w:sz w:val="18"/>
              </w:rPr>
              <w:tab/>
              <w:t>Insert date on which copy of application for mining tenement received (See Note 1)</w:t>
            </w:r>
          </w:p>
        </w:tc>
        <w:tc>
          <w:tcPr>
            <w:tcW w:w="4471" w:type="dxa"/>
          </w:tcPr>
          <w:p>
            <w:pPr>
              <w:pStyle w:val="yTable"/>
              <w:spacing w:line="180" w:lineRule="atLeast"/>
              <w:rPr>
                <w:spacing w:val="-2"/>
                <w:sz w:val="18"/>
              </w:rPr>
            </w:pPr>
            <w:r>
              <w:rPr>
                <w:sz w:val="18"/>
              </w:rPr>
              <w:t>(f)</w:t>
            </w:r>
          </w:p>
        </w:tc>
      </w:tr>
      <w:tr>
        <w:tc>
          <w:tcPr>
            <w:tcW w:w="2651" w:type="dxa"/>
          </w:tcPr>
          <w:p>
            <w:pPr>
              <w:pStyle w:val="yTable"/>
              <w:spacing w:line="180" w:lineRule="atLeast"/>
              <w:ind w:left="306" w:hanging="426"/>
              <w:rPr>
                <w:spacing w:val="-2"/>
                <w:sz w:val="18"/>
              </w:rPr>
            </w:pPr>
            <w:r>
              <w:rPr>
                <w:spacing w:val="-2"/>
                <w:sz w:val="18"/>
              </w:rPr>
              <w:t>(g)</w:t>
            </w:r>
            <w:r>
              <w:rPr>
                <w:spacing w:val="-2"/>
                <w:sz w:val="18"/>
              </w:rPr>
              <w:tab/>
              <w:t>Signature of objector or agent</w:t>
            </w:r>
          </w:p>
        </w:tc>
        <w:tc>
          <w:tcPr>
            <w:tcW w:w="4471" w:type="dxa"/>
          </w:tcPr>
          <w:p>
            <w:pPr>
              <w:pStyle w:val="yTable"/>
              <w:spacing w:line="180" w:lineRule="atLeast"/>
              <w:rPr>
                <w:spacing w:val="-2"/>
                <w:sz w:val="18"/>
              </w:rPr>
            </w:pPr>
            <w:r>
              <w:rPr>
                <w:spacing w:val="-2"/>
                <w:sz w:val="18"/>
              </w:rPr>
              <w:t>DATED this               day of                      20</w:t>
            </w:r>
          </w:p>
          <w:p>
            <w:pPr>
              <w:pStyle w:val="yTable"/>
              <w:tabs>
                <w:tab w:val="left" w:leader="dot" w:pos="2268"/>
              </w:tabs>
              <w:spacing w:line="180" w:lineRule="atLeast"/>
              <w:rPr>
                <w:spacing w:val="-2"/>
                <w:sz w:val="18"/>
              </w:rPr>
            </w:pPr>
            <w:r>
              <w:rPr>
                <w:spacing w:val="-2"/>
                <w:sz w:val="18"/>
              </w:rPr>
              <w:t>(g)     .........................................................................................</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26"/>
        <w:gridCol w:w="2289"/>
        <w:gridCol w:w="2552"/>
        <w:gridCol w:w="1801"/>
      </w:tblGrid>
      <w:tr>
        <w:tc>
          <w:tcPr>
            <w:tcW w:w="426" w:type="dxa"/>
            <w:tcBorders>
              <w:top w:val="double" w:sz="7" w:space="0" w:color="auto"/>
              <w:left w:val="single" w:sz="7" w:space="0" w:color="auto"/>
            </w:tcBorders>
          </w:tcPr>
          <w:p>
            <w:pPr>
              <w:pStyle w:val="yTable"/>
              <w:spacing w:line="180" w:lineRule="atLeast"/>
              <w:jc w:val="center"/>
              <w:rPr>
                <w:spacing w:val="-2"/>
                <w:sz w:val="18"/>
              </w:rPr>
            </w:pPr>
          </w:p>
        </w:tc>
        <w:tc>
          <w:tcPr>
            <w:tcW w:w="6642" w:type="dxa"/>
            <w:gridSpan w:val="3"/>
            <w:tcBorders>
              <w:top w:val="double" w:sz="7" w:space="0" w:color="auto"/>
              <w:left w:val="single" w:sz="7" w:space="0" w:color="auto"/>
              <w:right w:val="single" w:sz="7" w:space="0" w:color="auto"/>
            </w:tcBorders>
          </w:tcPr>
          <w:p>
            <w:pPr>
              <w:pStyle w:val="yTable"/>
              <w:tabs>
                <w:tab w:val="left" w:pos="5691"/>
              </w:tabs>
              <w:spacing w:line="180" w:lineRule="atLeast"/>
              <w:rPr>
                <w:spacing w:val="-2"/>
                <w:sz w:val="18"/>
              </w:rPr>
            </w:pPr>
            <w:r>
              <w:rPr>
                <w:spacing w:val="-2"/>
                <w:sz w:val="18"/>
              </w:rPr>
              <w:t xml:space="preserve">This objection will be heard in the Warden’s Court at </w:t>
            </w:r>
            <w:r>
              <w:rPr>
                <w:spacing w:val="-2"/>
                <w:sz w:val="18"/>
              </w:rPr>
              <w:tab/>
              <w:t xml:space="preserve">at   </w:t>
            </w:r>
          </w:p>
          <w:p>
            <w:pPr>
              <w:pStyle w:val="yTable"/>
              <w:spacing w:before="0" w:line="180" w:lineRule="atLeast"/>
              <w:rPr>
                <w:spacing w:val="-2"/>
                <w:sz w:val="18"/>
              </w:rPr>
            </w:pPr>
            <w:r>
              <w:rPr>
                <w:spacing w:val="-2"/>
                <w:sz w:val="18"/>
              </w:rPr>
              <w:t xml:space="preserve">the hour of                       .m. on the             day of          </w:t>
            </w:r>
            <w:r>
              <w:rPr>
                <w:spacing w:val="-2"/>
                <w:sz w:val="18"/>
              </w:rPr>
              <w:tab/>
              <w:t xml:space="preserve">      20</w:t>
            </w:r>
          </w:p>
        </w:tc>
      </w:tr>
      <w:tr>
        <w:tc>
          <w:tcPr>
            <w:tcW w:w="426" w:type="dxa"/>
            <w:tcBorders>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2289" w:type="dxa"/>
            <w:tcBorders>
              <w:top w:val="double" w:sz="7" w:space="0" w:color="auto"/>
              <w:left w:val="single" w:sz="7" w:space="0" w:color="auto"/>
              <w:bottom w:val="single" w:sz="7" w:space="0" w:color="auto"/>
            </w:tcBorders>
          </w:tcPr>
          <w:p>
            <w:pPr>
              <w:pStyle w:val="yTable"/>
              <w:spacing w:line="180" w:lineRule="atLeast"/>
              <w:rPr>
                <w:spacing w:val="-2"/>
                <w:sz w:val="18"/>
              </w:rPr>
            </w:pPr>
          </w:p>
        </w:tc>
        <w:tc>
          <w:tcPr>
            <w:tcW w:w="2552" w:type="dxa"/>
            <w:tcBorders>
              <w:top w:val="doub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2290"/>
              </w:tabs>
              <w:spacing w:before="0" w:line="180" w:lineRule="atLeast"/>
              <w:rPr>
                <w:spacing w:val="-2"/>
                <w:sz w:val="18"/>
              </w:rPr>
            </w:pPr>
            <w:r>
              <w:rPr>
                <w:spacing w:val="-2"/>
                <w:sz w:val="18"/>
              </w:rPr>
              <w:t>Received at ............................ m.</w:t>
            </w: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r>
              <w:rPr>
                <w:spacing w:val="-2"/>
                <w:sz w:val="18"/>
              </w:rPr>
              <w:t>on ................................................</w:t>
            </w: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p>
            <w:pPr>
              <w:pStyle w:val="yTable"/>
              <w:spacing w:line="180" w:lineRule="atLeast"/>
              <w:rPr>
                <w:spacing w:val="-2"/>
                <w:sz w:val="18"/>
              </w:rPr>
            </w:pPr>
          </w:p>
        </w:tc>
        <w:tc>
          <w:tcPr>
            <w:tcW w:w="1801" w:type="dxa"/>
            <w:tcBorders>
              <w:top w:val="doub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40" w:line="180" w:lineRule="atLeast"/>
        <w:ind w:left="900" w:hanging="900"/>
      </w:pPr>
      <w:r>
        <w:rPr>
          <w:sz w:val="18"/>
        </w:rPr>
        <w:t>Note 1:</w:t>
      </w:r>
      <w:r>
        <w:rPr>
          <w:sz w:val="18"/>
        </w:rPr>
        <w:tab/>
        <w:t>To be completed if the objection is in respect of an application for a mining tenement that relates to private land.</w:t>
      </w:r>
    </w:p>
    <w:p>
      <w:pPr>
        <w:pStyle w:val="yFootnotesection"/>
      </w:pPr>
      <w:r>
        <w:tab/>
        <w:t>[Form 16 amended in Gazette 3 Feb 2006 p. 524.]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r>
              <w:rPr>
                <w:spacing w:val="-2"/>
                <w:sz w:val="18"/>
              </w:rPr>
              <w:t> </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r>
              <w:rPr>
                <w:spacing w:val="-2"/>
                <w:sz w:val="18"/>
              </w:rPr>
              <w:t> </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 xml:space="preserve">DATED this ....................... day of .................................. 20........... </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Table"/>
        <w:spacing w:line="180" w:lineRule="atLeast"/>
        <w:rPr>
          <w:spacing w:val="-2"/>
          <w:sz w:val="18"/>
        </w:rPr>
      </w:pPr>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538"/>
        <w:gridCol w:w="194"/>
        <w:gridCol w:w="344"/>
        <w:gridCol w:w="649"/>
        <w:gridCol w:w="2743"/>
        <w:gridCol w:w="375"/>
        <w:gridCol w:w="507"/>
        <w:gridCol w:w="627"/>
      </w:tblGrid>
      <w:tr>
        <w:tc>
          <w:tcPr>
            <w:tcW w:w="2127" w:type="dxa"/>
            <w:gridSpan w:val="6"/>
          </w:tcPr>
          <w:p>
            <w:pPr>
              <w:pStyle w:val="yTable"/>
              <w:keepNext/>
              <w:keepLines/>
              <w:spacing w:line="180" w:lineRule="atLeast"/>
              <w:ind w:left="-119"/>
              <w:rPr>
                <w:spacing w:val="-2"/>
                <w:sz w:val="18"/>
              </w:rPr>
            </w:pPr>
            <w:r>
              <w:rPr>
                <w:spacing w:val="-2"/>
                <w:sz w:val="18"/>
              </w:rPr>
              <w:t>Form 18</w:t>
            </w:r>
          </w:p>
        </w:tc>
        <w:tc>
          <w:tcPr>
            <w:tcW w:w="3118" w:type="dxa"/>
            <w:gridSpan w:val="2"/>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2"/>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6"/>
          </w:tcPr>
          <w:p>
            <w:pPr>
              <w:pStyle w:val="yTable"/>
              <w:keepNext/>
              <w:spacing w:line="180" w:lineRule="atLeast"/>
              <w:rPr>
                <w:spacing w:val="-2"/>
                <w:sz w:val="18"/>
              </w:rPr>
            </w:pPr>
          </w:p>
        </w:tc>
        <w:tc>
          <w:tcPr>
            <w:tcW w:w="4252" w:type="dxa"/>
            <w:gridSpan w:val="4"/>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4"/>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6"/>
          </w:tcPr>
          <w:p>
            <w:pPr>
              <w:pStyle w:val="yTable"/>
              <w:spacing w:line="180" w:lineRule="atLeast"/>
              <w:ind w:left="306" w:hanging="426"/>
              <w:rPr>
                <w:spacing w:val="-2"/>
                <w:sz w:val="18"/>
              </w:rPr>
            </w:pPr>
          </w:p>
        </w:tc>
        <w:tc>
          <w:tcPr>
            <w:tcW w:w="3625" w:type="dxa"/>
            <w:gridSpan w:val="3"/>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4"/>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tc>
        <w:tc>
          <w:tcPr>
            <w:tcW w:w="4252" w:type="dxa"/>
            <w:gridSpan w:val="4"/>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252"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4"/>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6"/>
          </w:tcPr>
          <w:p>
            <w:pPr>
              <w:pStyle w:val="yTable"/>
              <w:spacing w:line="180" w:lineRule="atLeast"/>
              <w:ind w:left="306" w:hanging="426"/>
              <w:rPr>
                <w:spacing w:val="-2"/>
                <w:sz w:val="18"/>
              </w:rPr>
            </w:pPr>
          </w:p>
        </w:tc>
        <w:tc>
          <w:tcPr>
            <w:tcW w:w="4252" w:type="dxa"/>
            <w:gridSpan w:val="4"/>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9"/>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            </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540"/>
        </w:tabs>
        <w:spacing w:before="40" w:line="180" w:lineRule="atLeast"/>
        <w:ind w:left="1138" w:hanging="1138"/>
        <w:rPr>
          <w:snapToGrid w:val="0"/>
          <w:sz w:val="18"/>
        </w:rPr>
      </w:pPr>
      <w:r>
        <w:rPr>
          <w:snapToGrid w:val="0"/>
          <w:sz w:val="18"/>
        </w:rPr>
        <w:tab/>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540"/>
        </w:tabs>
        <w:spacing w:before="0" w:line="180" w:lineRule="atLeast"/>
        <w:ind w:left="1138" w:hanging="1138"/>
        <w:rPr>
          <w:snapToGrid w:val="0"/>
          <w:sz w:val="18"/>
        </w:rPr>
      </w:pPr>
      <w:r>
        <w:rPr>
          <w:snapToGrid w:val="0"/>
          <w:sz w:val="18"/>
        </w:rPr>
        <w:tab/>
      </w:r>
      <w:r>
        <w:rPr>
          <w:snapToGrid w:val="0"/>
          <w:sz w:val="18"/>
        </w:rPr>
        <w:tab/>
        <w:t xml:space="preserve">(See regulation 54(3) and (4) of the </w:t>
      </w:r>
      <w:r>
        <w:rPr>
          <w:i/>
          <w:iCs/>
          <w:snapToGrid w:val="0"/>
          <w:sz w:val="18"/>
        </w:rPr>
        <w:t>Mining Regulations 1981</w:t>
      </w:r>
      <w:r>
        <w:rPr>
          <w:snapToGrid w:val="0"/>
          <w:sz w:val="18"/>
        </w:rPr>
        <w:t>.)</w:t>
      </w:r>
    </w:p>
    <w:p>
      <w:pPr>
        <w:pStyle w:val="yFootnotesection"/>
      </w:pPr>
      <w:r>
        <w:tab/>
        <w:t>[Form 18 amended in Gazette 3 Feb 2006 p. 603.]</w:t>
      </w:r>
    </w:p>
    <w:tbl>
      <w:tblPr>
        <w:tblW w:w="0" w:type="auto"/>
        <w:tblInd w:w="687" w:type="dxa"/>
        <w:tblLayout w:type="fixed"/>
        <w:tblCellMar>
          <w:left w:w="120" w:type="dxa"/>
          <w:right w:w="120" w:type="dxa"/>
        </w:tblCellMar>
        <w:tblLook w:val="0000" w:firstRow="0" w:lastRow="0" w:firstColumn="0" w:lastColumn="0" w:noHBand="0" w:noVBand="0"/>
      </w:tblPr>
      <w:tblGrid>
        <w:gridCol w:w="709"/>
        <w:gridCol w:w="1701"/>
        <w:gridCol w:w="3969"/>
      </w:tblGrid>
      <w:tr>
        <w:tc>
          <w:tcPr>
            <w:tcW w:w="2410" w:type="dxa"/>
            <w:gridSpan w:val="2"/>
          </w:tcPr>
          <w:p>
            <w:pPr>
              <w:pStyle w:val="yTable"/>
              <w:keepNext/>
              <w:pageBreakBefore/>
              <w:rPr>
                <w:sz w:val="20"/>
              </w:rPr>
            </w:pPr>
            <w:r>
              <w:rPr>
                <w:sz w:val="20"/>
              </w:rPr>
              <w:t>Form 19</w:t>
            </w:r>
          </w:p>
        </w:tc>
        <w:tc>
          <w:tcPr>
            <w:tcW w:w="3969"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10" w:type="dxa"/>
            <w:gridSpan w:val="2"/>
          </w:tcPr>
          <w:p>
            <w:pPr>
              <w:pStyle w:val="yTable"/>
              <w:rPr>
                <w:sz w:val="20"/>
              </w:rPr>
            </w:pPr>
          </w:p>
        </w:tc>
        <w:tc>
          <w:tcPr>
            <w:tcW w:w="3969"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709" w:type="dxa"/>
          </w:tcPr>
          <w:p>
            <w:pPr>
              <w:pStyle w:val="yTable"/>
              <w:rPr>
                <w:sz w:val="20"/>
              </w:rPr>
            </w:pPr>
            <w:r>
              <w:rPr>
                <w:sz w:val="20"/>
              </w:rPr>
              <w:t>(a)</w:t>
            </w:r>
          </w:p>
        </w:tc>
        <w:tc>
          <w:tcPr>
            <w:tcW w:w="1701" w:type="dxa"/>
          </w:tcPr>
          <w:p>
            <w:pPr>
              <w:pStyle w:val="yTable"/>
              <w:rPr>
                <w:sz w:val="20"/>
              </w:rPr>
            </w:pPr>
            <w:r>
              <w:rPr>
                <w:sz w:val="20"/>
              </w:rPr>
              <w:t>Type of tenement/s Number/s and Mineral Field</w:t>
            </w:r>
          </w:p>
        </w:tc>
        <w:tc>
          <w:tcPr>
            <w:tcW w:w="3969"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709" w:type="dxa"/>
          </w:tcPr>
          <w:p>
            <w:pPr>
              <w:pStyle w:val="yTable"/>
              <w:rPr>
                <w:sz w:val="20"/>
              </w:rPr>
            </w:pPr>
            <w:r>
              <w:rPr>
                <w:sz w:val="20"/>
              </w:rPr>
              <w:t>(b)</w:t>
            </w:r>
          </w:p>
        </w:tc>
        <w:tc>
          <w:tcPr>
            <w:tcW w:w="1701"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3969" w:type="dxa"/>
          </w:tcPr>
          <w:p>
            <w:pPr>
              <w:pStyle w:val="yTable"/>
              <w:rPr>
                <w:sz w:val="20"/>
              </w:rPr>
            </w:pPr>
            <w:r>
              <w:rPr>
                <w:sz w:val="20"/>
              </w:rPr>
              <w:t>(b)</w:t>
            </w:r>
            <w:r>
              <w:rPr>
                <w:sz w:val="20"/>
              </w:rPr>
              <w:tab/>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709" w:type="dxa"/>
          </w:tcPr>
          <w:p>
            <w:pPr>
              <w:pStyle w:val="yTable"/>
              <w:rPr>
                <w:sz w:val="20"/>
              </w:rPr>
            </w:pPr>
            <w:r>
              <w:rPr>
                <w:sz w:val="20"/>
              </w:rPr>
              <w:t>(c)</w:t>
            </w:r>
            <w:r>
              <w:rPr>
                <w:sz w:val="20"/>
              </w:rPr>
              <w:tab/>
            </w:r>
          </w:p>
        </w:tc>
        <w:tc>
          <w:tcPr>
            <w:tcW w:w="1701" w:type="dxa"/>
          </w:tcPr>
          <w:p>
            <w:pPr>
              <w:pStyle w:val="yTable"/>
              <w:rPr>
                <w:sz w:val="20"/>
              </w:rPr>
            </w:pPr>
            <w:r>
              <w:rPr>
                <w:sz w:val="20"/>
              </w:rPr>
              <w:t>Amount of expenditure (for each mining tenement affected)</w:t>
            </w:r>
          </w:p>
        </w:tc>
        <w:tc>
          <w:tcPr>
            <w:tcW w:w="3969"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 xml:space="preserve">for the above mining tenement/s during the year/s of the term of the tenement/s ending on — </w:t>
            </w:r>
          </w:p>
          <w:p>
            <w:pPr>
              <w:pStyle w:val="yTable"/>
              <w:rPr>
                <w:sz w:val="20"/>
              </w:rPr>
            </w:pPr>
          </w:p>
        </w:tc>
      </w:tr>
      <w:tr>
        <w:trPr>
          <w:cantSplit/>
        </w:trPr>
        <w:tc>
          <w:tcPr>
            <w:tcW w:w="709" w:type="dxa"/>
          </w:tcPr>
          <w:p>
            <w:pPr>
              <w:pStyle w:val="yTable"/>
              <w:rPr>
                <w:sz w:val="20"/>
              </w:rPr>
            </w:pPr>
            <w:r>
              <w:rPr>
                <w:sz w:val="20"/>
              </w:rPr>
              <w:t>(d)</w:t>
            </w:r>
            <w:r>
              <w:rPr>
                <w:sz w:val="20"/>
              </w:rPr>
              <w:tab/>
            </w:r>
          </w:p>
        </w:tc>
        <w:tc>
          <w:tcPr>
            <w:tcW w:w="1701" w:type="dxa"/>
          </w:tcPr>
          <w:p>
            <w:pPr>
              <w:pStyle w:val="yTable"/>
              <w:rPr>
                <w:sz w:val="20"/>
              </w:rPr>
            </w:pPr>
            <w:r>
              <w:rPr>
                <w:sz w:val="20"/>
              </w:rPr>
              <w:t>Expiry date/s of year/s to which exemption relates</w:t>
            </w:r>
          </w:p>
        </w:tc>
        <w:tc>
          <w:tcPr>
            <w:tcW w:w="3969"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 xml:space="preserve">DATED this             day of                     20    </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 xml:space="preserve">NOTICE IS given that </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r>
              <w:rPr>
                <w:spacing w:val="-2"/>
                <w:sz w:val="18"/>
              </w:rPr>
              <w:t> </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080"/>
        <w:gridCol w:w="360"/>
        <w:gridCol w:w="545"/>
        <w:gridCol w:w="2985"/>
        <w:gridCol w:w="440"/>
        <w:gridCol w:w="440"/>
        <w:gridCol w:w="1238"/>
      </w:tblGrid>
      <w:tr>
        <w:tc>
          <w:tcPr>
            <w:tcW w:w="1985" w:type="dxa"/>
            <w:gridSpan w:val="3"/>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gridSpan w:val="3"/>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gridSpan w:val="3"/>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gridSpan w:val="3"/>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gridSpan w:val="3"/>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val="restart"/>
          </w:tcPr>
          <w:p>
            <w:pPr>
              <w:pStyle w:val="yTable"/>
              <w:tabs>
                <w:tab w:val="left" w:pos="1014"/>
                <w:tab w:val="left" w:pos="1298"/>
              </w:tabs>
              <w:spacing w:before="0" w:line="140" w:lineRule="atLeast"/>
              <w:ind w:left="306" w:hanging="426"/>
              <w:rPr>
                <w:spacing w:val="-1"/>
                <w:sz w:val="14"/>
              </w:rPr>
            </w:pPr>
            <w:r>
              <w:rPr>
                <w:spacing w:val="-1"/>
                <w:sz w:val="14"/>
              </w:rPr>
              <w:t>(d)</w:t>
            </w:r>
            <w:r>
              <w:rPr>
                <w:spacing w:val="-1"/>
                <w:sz w:val="14"/>
              </w:rPr>
              <w:tab/>
              <w:t xml:space="preserve">Full Name </w:t>
            </w:r>
          </w:p>
          <w:p>
            <w:pPr>
              <w:pStyle w:val="yTable"/>
              <w:tabs>
                <w:tab w:val="left" w:pos="1014"/>
                <w:tab w:val="left" w:pos="1298"/>
              </w:tabs>
              <w:spacing w:before="0" w:line="140" w:lineRule="atLeast"/>
              <w:ind w:left="306" w:hanging="426"/>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306" w:hanging="426"/>
              <w:rPr>
                <w:spacing w:val="-1"/>
                <w:sz w:val="14"/>
              </w:rPr>
            </w:pPr>
            <w:r>
              <w:rPr>
                <w:spacing w:val="-1"/>
                <w:sz w:val="14"/>
              </w:rPr>
              <w:t>(f)</w:t>
            </w:r>
            <w:r>
              <w:rPr>
                <w:spacing w:val="-1"/>
                <w:sz w:val="14"/>
              </w:rPr>
              <w:tab/>
              <w:t>No. of shares</w:t>
            </w:r>
          </w:p>
          <w:p>
            <w:pPr>
              <w:pStyle w:val="yTable"/>
              <w:tabs>
                <w:tab w:val="left" w:pos="330"/>
                <w:tab w:val="left" w:pos="1014"/>
                <w:tab w:val="left" w:pos="1298"/>
              </w:tabs>
              <w:spacing w:before="0" w:line="140" w:lineRule="atLeast"/>
              <w:ind w:left="306" w:right="-120" w:hanging="426"/>
              <w:rPr>
                <w:spacing w:val="-1"/>
                <w:sz w:val="14"/>
              </w:rPr>
            </w:pPr>
            <w:r>
              <w:rPr>
                <w:spacing w:val="-1"/>
                <w:sz w:val="14"/>
              </w:rPr>
              <w:t>(g)</w:t>
            </w:r>
            <w:r>
              <w:rPr>
                <w:spacing w:val="-1"/>
                <w:sz w:val="14"/>
              </w:rPr>
              <w:tab/>
              <w:t>Total No. of shares</w:t>
            </w:r>
          </w:p>
        </w:tc>
        <w:tc>
          <w:tcPr>
            <w:tcW w:w="360" w:type="dxa"/>
            <w:vMerge w:val="restart"/>
          </w:tcPr>
          <w:p>
            <w:pPr>
              <w:pStyle w:val="yTable"/>
              <w:spacing w:before="0" w:line="140" w:lineRule="atLeast"/>
              <w:ind w:left="-120"/>
              <w:rPr>
                <w:spacing w:val="-1"/>
                <w:sz w:val="14"/>
              </w:rPr>
            </w:pPr>
            <w:r>
              <w:rPr>
                <w:noProof/>
                <w:spacing w:val="-1"/>
                <w:sz w:val="14"/>
                <w:lang w:eastAsia="en-AU"/>
              </w:rPr>
              <w:drawing>
                <wp:inline distT="0" distB="0" distL="0" distR="0">
                  <wp:extent cx="124460" cy="475615"/>
                  <wp:effectExtent l="0" t="0" r="889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4460" cy="475615"/>
                          </a:xfrm>
                          <a:prstGeom prst="rect">
                            <a:avLst/>
                          </a:prstGeom>
                          <a:noFill/>
                          <a:ln>
                            <a:noFill/>
                          </a:ln>
                        </pic:spPr>
                      </pic:pic>
                    </a:graphicData>
                  </a:graphic>
                </wp:inline>
              </w:drawing>
            </w:r>
          </w:p>
        </w:tc>
        <w:tc>
          <w:tcPr>
            <w:tcW w:w="545" w:type="dxa"/>
            <w:vMerge w:val="restart"/>
          </w:tcPr>
          <w:p>
            <w:pPr>
              <w:pStyle w:val="yTable"/>
              <w:spacing w:line="140" w:lineRule="atLeast"/>
              <w:ind w:left="-113"/>
              <w:rPr>
                <w:spacing w:val="-1"/>
                <w:sz w:val="14"/>
              </w:rPr>
            </w:pPr>
            <w:r>
              <w:rPr>
                <w:spacing w:val="-1"/>
                <w:sz w:val="14"/>
              </w:rPr>
              <w:t>for each appli</w:t>
            </w:r>
            <w:r>
              <w:rPr>
                <w:spacing w:val="-1"/>
                <w:sz w:val="14"/>
              </w:rPr>
              <w:noBreakHyphen/>
              <w:t xml:space="preserve"> cant</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5"/>
              <w:rPr>
                <w:spacing w:val="-1"/>
                <w:sz w:val="14"/>
              </w:rPr>
            </w:pPr>
          </w:p>
        </w:tc>
        <w:tc>
          <w:tcPr>
            <w:tcW w:w="360" w:type="dxa"/>
            <w:vMerge/>
          </w:tcPr>
          <w:p>
            <w:pPr>
              <w:pStyle w:val="yTable"/>
              <w:tabs>
                <w:tab w:val="left" w:pos="1014"/>
                <w:tab w:val="left" w:pos="1298"/>
              </w:tabs>
              <w:spacing w:line="140" w:lineRule="atLeast"/>
              <w:ind w:left="306" w:hanging="425"/>
              <w:rPr>
                <w:spacing w:val="-1"/>
                <w:sz w:val="14"/>
              </w:rPr>
            </w:pPr>
          </w:p>
        </w:tc>
        <w:tc>
          <w:tcPr>
            <w:tcW w:w="54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before="0" w:line="140" w:lineRule="atLeast"/>
              <w:ind w:left="306" w:hanging="425"/>
              <w:rPr>
                <w:spacing w:val="-1"/>
                <w:sz w:val="14"/>
              </w:rPr>
            </w:pPr>
          </w:p>
        </w:tc>
        <w:tc>
          <w:tcPr>
            <w:tcW w:w="360" w:type="dxa"/>
            <w:vMerge/>
          </w:tcPr>
          <w:p>
            <w:pPr>
              <w:pStyle w:val="yTable"/>
              <w:tabs>
                <w:tab w:val="left" w:pos="1014"/>
                <w:tab w:val="left" w:pos="1298"/>
              </w:tabs>
              <w:spacing w:before="0" w:line="140" w:lineRule="atLeast"/>
              <w:ind w:left="306" w:hanging="425"/>
              <w:rPr>
                <w:spacing w:val="-1"/>
                <w:sz w:val="14"/>
              </w:rPr>
            </w:pPr>
          </w:p>
        </w:tc>
        <w:tc>
          <w:tcPr>
            <w:tcW w:w="54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gridSpan w:val="3"/>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gridSpan w:val="3"/>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gridSpan w:val="3"/>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gridSpan w:val="3"/>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 xml:space="preserve">on or before the .......................................... day of ......................................................... 20 ................... (see Note 4) </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lodgement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93"/>
        <w:gridCol w:w="31"/>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6"/>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6"/>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6"/>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6"/>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6"/>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8"/>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8"/>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8"/>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6"/>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6"/>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6"/>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9504" behindDoc="0" locked="0" layoutInCell="0" allowOverlap="1">
                      <wp:simplePos x="0" y="0"/>
                      <wp:positionH relativeFrom="column">
                        <wp:posOffset>2096770</wp:posOffset>
                      </wp:positionH>
                      <wp:positionV relativeFrom="paragraph">
                        <wp:posOffset>1191895</wp:posOffset>
                      </wp:positionV>
                      <wp:extent cx="756285" cy="86360"/>
                      <wp:effectExtent l="10795" t="10795" r="13970" b="762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XwHwIAAEAEAAAOAAAAZHJzL2Uyb0RvYy54bWysU9uO2yAQfa/Uf0C8N3aySrq14qy22aaq&#10;tL1Iu/0AjLGNihk6kNjp13fASbrati9VeUADDIcz5wzrm7E37KDQa7Aln89yzpSVUGvblvzr4+7V&#10;NWc+CFsLA1aV/Kg8v9m8fLEeXKEW0IGpFTICsb4YXMm7EFyRZV52qhd+Bk5ZOmwAexFoiW1WoxgI&#10;vTfZIs9X2QBYOwSpvKfdu+mQbxJ+0ygZPjeNV4GZkhO3kGZMcxXnbLMWRYvCdVqeaIh/YNELbenR&#10;C9SdCILtUf8G1WuJ4KEJMwl9Bk2jpUo1UDXz/Fk1D51wKtVC4nh3kcn/P1j56fAFma5LvnjDmRU9&#10;efSoxsDewsgWq6jP4HxBaQ+OEsNI++RzqtW7e5DfPLOw7YRt1S0iDJ0SNfGbx5vZk6sTjo8g1fAR&#10;anpH7AMkoLHBPopHcjBCJ5+OF28iF0mbr5erxfWSM0lH16urVbIuE8X5rkMf3ivoWQxKjuR8whaH&#10;ex8iF1GcU+JTHoyud9qYtMC22hpkB0Fdsksj0X+WZiwbSr66WuZT+X+FyNP4E0SvA7W70T0VcUkS&#10;RRTtna1TMwahzRQTZWNPKkbhJgnDWI0nVyqoj6QnwtTW9A0p6AB/cDZQS5fcf98LVJyZD5Y8if1/&#10;DvAcVOdAWElXSx44m8JtmP7J3qFuO0KeXLdwS741OokaDZ5YnHhSmyatT18q/oOn65T16+NvfgIA&#10;AP//AwBQSwMEFAAGAAgAAAAhAH/BuTngAAAACwEAAA8AAABkcnMvZG93bnJldi54bWxMj8FOwzAQ&#10;RO9I/IO1SNyo3SQ0IcSpKiS4UAlRuHBz4yWJiNdR7Kbh71lOcFzN08zbaru4Qcw4hd6ThvVKgUBq&#10;vO2p1fD+9nhTgAjRkDWDJ9TwjQG29eVFZUrrz/SK8yG2gksolEZDF+NYShmaDp0JKz8icfbpJ2ci&#10;n1Mr7WTOXO4GmSi1kc70xAudGfGhw+brcHIaimTOd7ft5iV7LsxTvv9owp4Kra+vlt09iIhL/IPh&#10;V5/VoWanoz+RDWLQkKYqYZSDIs9BMJFldymIo4ZErVOQdSX//1D/AAAA//8DAFBLAQItABQABgAI&#10;AAAAIQC2gziS/gAAAOEBAAATAAAAAAAAAAAAAAAAAAAAAABbQ29udGVudF9UeXBlc10ueG1sUEsB&#10;Ai0AFAAGAAgAAAAhADj9If/WAAAAlAEAAAsAAAAAAAAAAAAAAAAALwEAAF9yZWxzLy5yZWxzUEsB&#10;Ai0AFAAGAAgAAAAhAFx2ZfAfAgAAQAQAAA4AAAAAAAAAAAAAAAAALgIAAGRycy9lMm9Eb2MueG1s&#10;UEsBAi0AFAAGAAgAAAAhAH/BuTngAAAACwEAAA8AAAAAAAAAAAAAAAAAeQ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4"/>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528" behindDoc="0" locked="0" layoutInCell="0" allowOverlap="1">
                      <wp:simplePos x="0" y="0"/>
                      <wp:positionH relativeFrom="column">
                        <wp:posOffset>2903220</wp:posOffset>
                      </wp:positionH>
                      <wp:positionV relativeFrom="paragraph">
                        <wp:posOffset>374650</wp:posOffset>
                      </wp:positionV>
                      <wp:extent cx="756285" cy="86360"/>
                      <wp:effectExtent l="7620" t="12700" r="7620" b="5715"/>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Gv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YycsqIj&#10;j57UENh7GNjsOur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y01GvIQIAAEcEAAAOAAAAAAAAAAAAAAAAAC4CAABkcnMvZTJvRG9jLnht&#10;bFBLAQItABQABgAIAAAAIQDRoMIH3wAAAAkBAAAPAAAAAAAAAAAAAAAAAHs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952"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VIA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uKDFM&#10;o0dPYgjkLQxkGeXprS8w69FiXhjwGG1OpXr7APybJwb2HTOtuHMO+k6wGunN483s2dURx0eQqv8I&#10;NT7DjgES0NA4HbVDNQiio03nqzWRCsfDm9V6sVlRwvHXZr1cJ+cyVkx3rfPhvQBNYlBSh8YnbHZ6&#10;8CFyYcWUEp/yoGR9kEqljWurvXLkxLBJDulL9F+kKUP6kq6Xq3ws/68Qefr+BKFlwG5XUmMR1yRW&#10;RNHemTr1YmBSjTFSVuaiYhRulDAM1TD6NZlTQX1GWR2MzY3DiEEH7gclPTZ2Sf33I3OCEvXBoDVx&#10;CqbATUE1BcxwvFrSQMkY7sM4LUfrZNsh8mi+gTu0r5FJ2+jzyOJCF5s1SX4ZrDgNz/cp69f4734C&#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KU2yh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97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IQIAAEY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4KSgzT&#10;6NGjGAJ5CwN5HeXprS8x68FiXhjwGG1OpXp7D/ybJwZ2HTMHcesc9J1gDdKbx5vZk6sjjo8gdf8R&#10;GnyGHQMkoKF1OmqHahBER5vOV2siFY6Hb1bFYr2ihOOvdbEsknMZK6e71vnwXoAmMaioQ+MTNjvd&#10;+xC5sHJKiU95ULLZS6XSxh3qnXLkxLBJ9ulL9J+lKUP6ihbLVT6W/1eIPH1/gtAyYLcrqbGIaxIr&#10;o2jvTJN6MTCpxhgpK3NRMQo3ShiGekh+LSdzamjOKKuDsblxGDHowP2gpMfGrqj/fmROUKI+GLQm&#10;TsEUuCmop4AZjlcrGigZw10Yp+VonTx0iDyab+AW7Wtl0jb6PLK40MVmTZJfBitOw9N9yvo1/t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5me20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928"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s4IQIAAEY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WnBno&#10;yKMHOQT2Fge2iPL01heUdW8pLwx0TDanUr29Q/HNM4O7FsxB3jiHfSuhJnrzeDN7cnXE8RGk6j9i&#10;Tc/AMWACGhrXRe1IDUboZNPjxZpIRdDhm+VqsSaGgn6tV1er5FwGxXTXOh/eS+xYDEruyPiEDac7&#10;HyIXKKaU+JRHreq90jpt3KHaacdOQE2yT1+i/yxNG9aXfHW1zMfy/wqRp+9PEJ0K1O1adVTEJQmK&#10;KNo7U6deDKD0GBNlbc4qRuFGCcNQDcmv15M5FdaPJKvDsblpGClo0f3grKfGLrn/fgQnOdMfDFkT&#10;p2AK3BRUUwBG0NWSB87GcBfGaTlapw4tIY/mG7wh+xqVtI0+jyzOdKlZk+TnwYrT8HSfsn6N//Yn&#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Gs0LOC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8480" behindDoc="0" locked="0" layoutInCell="0" allowOverlap="1">
                      <wp:simplePos x="0" y="0"/>
                      <wp:positionH relativeFrom="column">
                        <wp:posOffset>71755</wp:posOffset>
                      </wp:positionH>
                      <wp:positionV relativeFrom="paragraph">
                        <wp:posOffset>594360</wp:posOffset>
                      </wp:positionV>
                      <wp:extent cx="91440" cy="1645920"/>
                      <wp:effectExtent l="0" t="381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On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AiNFOuDogQ8e3eoB5fNQn964CtzuDTj6AdaB55irM3eafnFI6XVL1J7fWKv7lhMG8WXhZPLs6Ijj&#10;Asiuf68Z3EMOXkegobFdKB6UAwE68PR45ibEQmGxzIoCNijsZItiXuaRu4RU02FjnX/LdYeCUWML&#10;1EdwcrxzPgRDqskl3OW0FGwrpIwTu9+tpUVHAjLZxi/G/8JNquCsdDg2Io4rECPcEfZCtJH2b2WW&#10;F+ltXs62i+XlrNgW81l5mS5naVbelou0KIvN9nsIMCuqVjDG1Z1QfJJgVvwdxadmGMUTRYh6qNUc&#10;mIt5/THJNH6/S7ITHjpSiq7Gy7MTqQKvbxSDtEnliZCjnfwcfqwy1GD6x6pEFQTiRwn4YTdEwZ3F&#10;tdPsEWRhNdAGFMNrAkYY80uY9tCcNXZfD8RyjOQ7BeqCZT8ZdjJ2k0EUbTX0uMdoNNd+7PiDsWLf&#10;AvioX6VvQIGNiOoIUh0DOekWGi6mcXocQkc/n0evH0/Y6gk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PhK86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107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4k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LGkxDCN&#10;Hj2JIZB3MJB1lKe3vsSsR4t5YcBjtDmV6u098G+eGNh1zLTi1jnoO8FqpDePN7NnV0ccH0EO/Seo&#10;8Rl2DJCAhsbpqB2qQRAdbTpfrYlUOB6+XRWL9YoSjr/WxbJIzmWsnO5a58MHAZrEoKIOjU/Y7HTv&#10;Q+TCyiklPuVByXovlUob1x52ypETwybZpy/Rf5GmDOkrWixX+Vj+XyHy9P0JQsuA3a6kxiKuSayM&#10;or03derFwKQaY6SszEXFKNwoYRgOQ/KrmMw5QH1GWR2MzY3DiEEH7gclPTZ2Rf33I3OCEvXRoDVx&#10;CqbATcFhCpjheLWigZIx3IVxWo7WybZD5NF8A7doXyOTttHnkcWFLjZrkvwyWHEanu9T1q/x3/4E&#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hjwOJCACAABGBAAADgAAAAAAAAAAAAAAAAAuAgAAZHJzL2Uyb0RvYy54bWxQ&#10;SwECLQAUAAYACAAAACEAHCojzt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02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z2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W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bDjz2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209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vJ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m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GJYC8k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004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bIA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gXKY5hG&#10;j57EEMg7GMh1lKe3vsCsR4t5YcBjtDmV6u098G+eGNh1zLTi1jnoO8FqpDePN7NnV0ccH0Gq/hPU&#10;+Aw7BEhAQ+N01A7VIIiOPE4XayIVjofXy9VivaSE46/16mqVnMtYMd21zocPAjSJQUkdGp+w2fHe&#10;h8iFFVNKfMqDkvVeKpU2rq12ypEjwybZpy/Rf5GmDOlLurpa5mP5f4XI0/cnCC0DdruSGou4JLEi&#10;ivbe1KkXA5NqjJGyMmcVo3CjhGGohuTX28mcCuoTyupgbG4cRgw6cD8o6bGxS+q/H5gTlKiPBq2J&#10;UzAFbgqqKWCG49WSBkrGcBfGaTlYJ9sOkUfzDdyifY1M2kafRxZnutisSfLzYMVpeL5PWb/G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D9qORsgAgAARg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800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hHw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m795xZqAj&#10;jx7lENh7HNg8ytNbX1DWg6W8MNAxpaZSvb1D8d0zg5sWzE7eOId9K6EmetN4M3t2dcTxEaTqP2NN&#10;z8A+YAIaGtdF7UgNRuhk0/FiTaQi6PDtfDFbzjkT9Gu5uFok5zIoznet8+GjxI7FoOSOjE/YcLjz&#10;IXKB4pwSn/KoVb1VWqeN21Ub7dgBqEm26Uv0X6Rpw/qSL67m+Vj+XyHy9P0JolOBul2rjoq4JEER&#10;Rftg6tSLAZQeY6KszUnFKNwoYRiqYfQrSRAlrrA+kq4Ox+6maaSgRfeTs546u+T+xx6c5Ex/MuRN&#10;HINz4M5BdQ7ACLpa8sDZGG7COC5769SuJeTRfYM35F+jkrhPLE58qVuT5qfJiuPwfJ+ynuZ//Qs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EmVMqE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619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shIQIAAEgEAAAOAAAAZHJzL2Uyb0RvYy54bWysVNuO2yAQfa/Uf0C8N3YSJY2sOKtttqkq&#10;bS/Sbj9ggrGNihkKJHb69R1wkl1t25eqfkADDIcz5wxe3wydZkfpvEJT8ukk50wagZUyTcm/Pe7e&#10;rDjzAUwFGo0s+Ul6frN5/Wrd20LOsEVdSccIxPiityVvQ7BFlnnRyg78BK00tFmj6yDQ1DVZ5aAn&#10;9E5nszxfZj26yjoU0ntavRs3+Sbh17UU4UtdexmYLjlxC2l0adzHMdusoWgc2FaJMw34BxYdKEOX&#10;XqHuIAA7OPUbVKeEQ491mAjsMqxrJWSqgaqZ5i+qeWjBylQLiePtVSb//2DF5+NXx1RF3pFTBjry&#10;6FEOgb3DgU3nUZ/e+oLSHiwlhoHWKTfV6u09iu+eGdy2YBp56xz2rYSK+E3jyezZ0RHHR5B9/wkr&#10;ugcOARPQULsuikdyMEInn05XbyIXQYtvF8vZasGZoK3Vcr5M1mVQXM5a58MHiR2LQckdOZ+w4Xjv&#10;Q+QCxSUlXuVRq2qntE4T1+y32rEjUJfs0pfov0jThvUlX84X+Vj+XyHy9P0JolOB2l2rjoq4JkER&#10;RXtvqtSMAZQeY6KszVnFKNwoYRj2w2hY0jhKvMfqRLo6HNubniMFLbqfnPXU2iX3Pw7gJGf6oyFv&#10;4ju4BO4S7C8BGEFHSx44G8NtGN/LwTrVtIQ8um/wlvyrVRL3icWZL7Vr0vz8tOJ7eD5PWU8/gM0v&#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AY+yE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14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TEJAIAAEgEAAAOAAAAZHJzL2Uyb0RvYy54bWysVNtu2zAMfR+wfxD0vthJkbQw4hRdugwD&#10;ugvQ7gMUWbaFyaJGKbGzrx8lx1l3exnmB4GSyCPyHNLr26Ez7KjQa7Aln89yzpSVUGnblPzz0+7V&#10;DWc+CFsJA1aV/KQ8v928fLHuXaEW0IKpFDICsb7oXcnbEFyRZV62qhN+Bk5ZuqwBOxFoi01WoegJ&#10;vTPZIs9XWQ9YOQSpvKfT+/GSbxJ+XSsZPta1V4GZklNuIa2Y1n1cs81aFA0K12p5TkP8Qxad0JYe&#10;vUDdiyDYAfVvUJ2WCB7qMJPQZVDXWqpUA1Uzz3+p5rEVTqVaiBzvLjT5/wcrPxw/IdMVaXfNmRUd&#10;afSkhsBew8Dm88hP73xBbo+OHMNA5+SbavXuAeQXzyxsW2EbdYcIfatERfmlyOxZ6IjjI8i+fw8V&#10;vSMOARLQUGMXySM6GKGTTqeLNjEXSYfXy9XiZsmZpKub1dUqSZeJYop16MNbBR2LRsmRlE/Y4vjg&#10;A1VBrpNLfMqD0dVOG5M22Oy3BtlRUJfs0hcLp5Cf3IxlfclXV8t8LP+vEHn6/gTR6UDtbnRHRVyc&#10;RBFJe2Or1IxBaDPa9L6xlEZkMRI3UhiG/TAKtpjU2UN1Il4RxvamcSSjBfzGWU+tXXL/9SBQcWbe&#10;WdImzsFk4GTsJ0NYSaElD5yN5jaM83JwqJuWkEf1LdyRfrVO5MYUxyzO+V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Zf5T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721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DIgIAAEgEAAAOAAAAZHJzL2Uyb0RvYy54bWysVNuO2yAQfa/Uf0C8N3aSxo2sOKtttqkq&#10;bS/Sbj8AYxyjAkOBxE6/vgOO09W2fanqBzTAcDhzzuDNzaAVOQnnJZiKzmc5JcJwaKQ5VPTr4/7V&#10;mhIfmGmYAiMqehae3mxfvtj0thQL6EA1whEEMb7sbUW7EGyZZZ53QjM/AysMbrbgNAs4dYescaxH&#10;dK2yRZ4XWQ+usQ648B5X78ZNuk34bSt4+Ny2XgSiKorcQhpdGus4ZtsNKw+O2U7yCw32Dyw0kwYv&#10;vULdscDI0cnfoLTkDjy0YcZBZ9C2kotUA1Yzz59V89AxK1ItKI63V5n8/4Pln05fHJENeldQYphG&#10;jx7FEMhbGMj8ddSnt77EtAeLiWHAdcxNtXp7D/ybJwZ2HTMHcesc9J1gDfKbx5PZk6Mjjo8gdf8R&#10;GryHHQMkoKF1OoqHchBER5/OV28iF46Lb1bFYr2ihOPWulgWybqMldNZ63x4L0CTGFTUofMJm53u&#10;fYhcWDmlxKs8KNnspVJp4g71TjlyYtgl+/Ql+s/SlCF9RYvlKh/L/ytEnr4/QWgZsN2V1FjENYmV&#10;UbR3pknNGJhUY4yUlbmoGIUbJQxDPYyGLSd3amjOqKuDsb3xOWLQgftBSY+tXVH//cicoER9MOhN&#10;fAdT4KagngJmOB6taKBkDHdhfC9H6+ShQ+TRfQO36F8rk7jR6JHFhS+2a9L88rTie3g6T1m/fgDb&#10;n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b90+D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516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AvIgIAAEgEAAAOAAAAZHJzL2Uyb0RvYy54bWysVNuO0zAQfUfiHyy/06RdWqqo6WrpUoS0&#10;XKRdPsBxnMbC8Zix22T5esZOU1YLvCDyYI3t8fGZc8bZXA+dYSeFXoMt+XyWc6ashFrbQ8m/Puxf&#10;rTnzQdhaGLCq5I/K8+vtyxeb3hVqAS2YWiEjEOuL3pW8DcEVWeZlqzrhZ+CUpc0GsBOBpnjIahQ9&#10;oXcmW+T5KusBa4cglfe0ejtu8m3Cbxolw+em8SowU3LiFtKIaazimG03ojigcK2WZxriH1h0Qlu6&#10;9AJ1K4JgR9S/QXVaInhowkxCl0HTaKlSDVTNPH9WzX0rnEq1kDjeXWTy/w9Wfjp9QaZr8m7JmRUd&#10;efSghsDewsDmi6hP73xBafeOEsNA65SbavXuDuQ3zyzsWmEP6gYR+laJmvjN48nsydERx0eQqv8I&#10;Nd0jjgES0NBgF8UjORihk0+PF28iF0mLb5arxZooStpar65WybpMFNNZhz68V9CxGJQcyfmELU53&#10;PkQuophS4lUejK732pg0wUO1M8hOgrpkn75E/1masawv+epqmY/l/xUiT9+fIDodqN2N7qiIS5Io&#10;omjvbJ2aMQhtxpgoG3tWMQo3ShiGahgNez25U0H9SLoijO1Nz5GCFvAHZz21dsn996NAxZn5YMmb&#10;+A6mAKegmgJhJR0teeBsDHdhfC9Hh/rQEvLovoUb8q/RSdxo9MjizJfaNWl+flrxPTydp6xfP4Dt&#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B4UwL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312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OGIwIAAEgEAAAOAAAAZHJzL2Uyb0RvYy54bWysVMGO0zAQvSPxD5bvNGmXlipqulq6FCEt&#10;C9IuHzBxnMbC8RjbbVK+nrHTdlcLXBA5WGN7/PzmvXFW10On2UE6r9CUfDrJOZNGYK3MruTfHrdv&#10;lpz5AKYGjUaW/Cg9v16/frXqbSFn2KKupWMEYnzR25K3Idgiy7xoZQd+glYa2mzQdRBo6nZZ7aAn&#10;9E5nszxfZD262joU0ntavR03+TrhN40U4UvTeBmYLjlxC2l0aazimK1XUOwc2FaJEw34BxYdKEOX&#10;XqBuIQDbO/UbVKeEQ49NmAjsMmwaJWSqgaqZ5i+qeWjBylQLiePtRSb//2DF/eGrY6om795yZqAj&#10;jx7lENh7HNg06dNbX1Dag6XEMNA65aZavb1D8d0zg5sWzE7eOId9K6EmftOobPbsaHTEFz6CVP1n&#10;rOke2AdMQEPjuigeycEInXw6XryJXAQtvpsvZss5Z4K2lourRaKWQXE+a50PHyV2LAYld+R8wobD&#10;nQ+RCxTnlHiVR63qrdI6Tdyu2mjHDkBdsk1fov8iTRvWl3xxNc/H8v8KkafvTxCdCtTuWnVUxCUJ&#10;iijaB1OnZgyg9BgTZW1OKkbhRgnDUA2jYfN4Q1S1wvpIujoc25ueIwUtup+c9dTaJfc/9uAkZ/qT&#10;IW/iOzgH7hxU5wCMoKMlD5yN4SaM72Vvndq1hDy6b/CG/GtUEveJxYkvtWvS/PS04nt4Pk9ZTz+A&#10;9S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3EoOG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131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iIQ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mjd0tKDNPo&#10;0ZMYAnkHA5mvoz699SWmPVpMDAOuY26q1dt74N88MbDrmGnFrXPQd4LVyG8eT2bPjo44PoIc+k9Q&#10;4z3sGCABDY3TUTyUgyA6+nS+ehO5cFx8uyoW6xUlHLfWxbJI1mWsnM5a58MHAZrEoKIOnU/Y7HTv&#10;Q+TCyiklXuVByXovlUoT1x52ypETwy7Zpy/Rf5GmDOkrWixX+Vj+XyHy9P0JQsuA7a6kxiKuSayM&#10;or03dWrGwKQaY6SszEXFKNwoYRgOw2hYMblzgPqMujoY2xufIwYduB+U9NjaFfXfj8wJStRHg97E&#10;dzAFbgoOU8AMx6MVDZSM4S6M7+VonWw7RB7dN3CL/jUyiRuNHllc+GK7Js0vTyu+h+fzlPXrB7D9&#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NEt7OI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26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VN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i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04vFTS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233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fI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O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DQLfI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028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5nIQ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1AewzR6&#10;9CSGQN7BQObXUZ/e+gLTHi0mhgHXMTfV6u098G+eGNh1zLTi1jnoO8Fq5DePJ7NnR0ccH0Gq/hPU&#10;eA87BEhAQ+N0FA/lIIiORE4XbyIXjovXy9VivaSE49Z6dbVK1mWsmM5a58MHAZrEoKQOnU/Y7Hjv&#10;Q+TCiiklXuVByXovlUoT11Y75ciRYZfs05fov0hThvQlXV0t87H8v0Lk6fsThJYB211JjUVcklgR&#10;RXtv6tSMgUk1xkhZmbOKUbhRwjBUw2jY28mdCuoT6upgbG98jhh04H5Q0mNrl9R/PzAnKFEfDXoT&#10;38EUuCmopoAZjkdLGigZw10Y38vBOtl2iDy6b+AW/WtkEjcaPbI488V2TZqfn1Z8D8/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B5p5n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824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xhIQ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TvODHRk&#10;0aMcAnuPA5vOozy99QVlPVjKCwOdk82pVG/vUHz3zOCmBbOTN85h30qoid403syeXR1xfASp+s9Y&#10;0zuwD5iAhsZ1UTtSgxE62XS8WBO5CDp8O1/MlnPOBP1aLq4WybkMivNd63z4KLFjMSi5I+MTNhzu&#10;fIhcoDinxKc8alVvldZp43bVRjt2AGqSbfoS/Rdp2rC+5IureT6W/1eIPH1/guhUoG7XqqMiLklQ&#10;RNE+mDr1YgClx5goa3NSMQo3ShiGakh+zZIEUeIK6yPp6nDsbppGClp0PznrqbNL7n/swUnO9CdD&#10;3sQxOAfuHFTnAIygqyUPnI3hJozjsrdO7VpCHt03eEP+NSqJ+8TixJe6NWl+mqw4Ds/3Ketp/te/&#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fEj8YS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643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ioIQIAAEcEAAAOAAAAZHJzL2Uyb0RvYy54bWysU9uO0zAQfUfiHyy/06StWqqo6WrpUoS0&#10;XKRdPsB1nMTC8Zix26R8PWOn7a4WeEHkwRo74+Mz58ysb4bOsKNCr8GWfDrJOVNWQqVtU/Jvj7s3&#10;K858ELYSBqwq+Ul5frN5/Wrdu0LNoAVTKWQEYn3Ru5K3Ibgiy7xsVSf8BJyy9LMG7ESgLTZZhaIn&#10;9M5kszxfZj1g5RCk8p5O78affJPw61rJ8KWuvQrMlJy4hbRiWvdxzTZrUTQoXKvlmYb4Bxad0JYe&#10;vULdiSDYAfVvUJ2WCB7qMJHQZVDXWqpUA1UzzV9U89AKp1ItJI53V5n8/4OVn49fkemq5GSUFR1Z&#10;9KiGwN7BwGbzKE/vfEFZD47ywkDnZHMq1bt7kN89s7BthW3ULSL0rRIV0ZvGm9mzqyOOjyD7/hNU&#10;9I44BEhAQ41d1I7UYIRONp2u1kQukg7fLpaz1YIzSb9Wy/kyOZeJ4nLXoQ8fFHQsBiVHMj5hi+O9&#10;D5GLKC4p8SkPRlc7bUzaYLPfGmRHQU2yS1+i/yLNWNaXfDlf5GP5f4XI0/cniE4H6najOyrimiSK&#10;KNp7W6VeDEKbMSbKxp5VjMKNEoZhPyS/ZknjKPEeqhPpijB2N00jBS3gT8566uyS+x8HgYoz89GS&#10;N3EMLgFegv0lEFbS1ZIHzsZwG8ZxOTjUTUvIo/sWbsm/Widxn1ic+VK3Js3PkxXH4fk+ZT3N/+YX&#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LMCKg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38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745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540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336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4"/>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blPrEx>
          <w:tblCellMar>
            <w:left w:w="120" w:type="dxa"/>
            <w:right w:w="120" w:type="dxa"/>
          </w:tblCellMar>
        </w:tblPrEx>
        <w:tc>
          <w:tcPr>
            <w:tcW w:w="2078" w:type="dxa"/>
            <w:gridSpan w:val="10"/>
          </w:tcPr>
          <w:p>
            <w:pPr>
              <w:pStyle w:val="yTable"/>
              <w:pageBreakBefore/>
              <w:spacing w:line="180" w:lineRule="atLeast"/>
              <w:ind w:left="-119"/>
              <w:rPr>
                <w:sz w:val="18"/>
              </w:rPr>
            </w:pPr>
            <w:r>
              <w:rPr>
                <w:sz w:val="18"/>
              </w:rPr>
              <w:t>Form 22</w:t>
            </w:r>
          </w:p>
        </w:tc>
        <w:tc>
          <w:tcPr>
            <w:tcW w:w="5011" w:type="dxa"/>
            <w:gridSpan w:val="46"/>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blPrEx>
          <w:tblCellMar>
            <w:left w:w="120" w:type="dxa"/>
            <w:right w:w="120" w:type="dxa"/>
          </w:tblCellMar>
        </w:tblPrEx>
        <w:tc>
          <w:tcPr>
            <w:tcW w:w="2078" w:type="dxa"/>
            <w:gridSpan w:val="10"/>
          </w:tcPr>
          <w:p>
            <w:pPr>
              <w:pStyle w:val="yTable"/>
              <w:spacing w:line="180" w:lineRule="atLeast"/>
              <w:ind w:left="-120"/>
              <w:rPr>
                <w:sz w:val="18"/>
              </w:rPr>
            </w:pPr>
          </w:p>
        </w:tc>
        <w:tc>
          <w:tcPr>
            <w:tcW w:w="5011" w:type="dxa"/>
            <w:gridSpan w:val="46"/>
          </w:tcPr>
          <w:p>
            <w:pPr>
              <w:pStyle w:val="yTable"/>
              <w:spacing w:before="120" w:after="60" w:line="180" w:lineRule="atLeast"/>
            </w:pPr>
            <w:r>
              <w:rPr>
                <w:b/>
              </w:rPr>
              <w:t>WITHDRAWAL</w:t>
            </w:r>
          </w:p>
        </w:tc>
      </w:tr>
      <w:tr>
        <w:tblPrEx>
          <w:tblCellMar>
            <w:left w:w="120" w:type="dxa"/>
            <w:right w:w="120" w:type="dxa"/>
          </w:tblCellMar>
        </w:tblPrEx>
        <w:tc>
          <w:tcPr>
            <w:tcW w:w="2078" w:type="dxa"/>
            <w:gridSpan w:val="10"/>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blPrEx>
          <w:tblCellMar>
            <w:left w:w="120" w:type="dxa"/>
            <w:right w:w="120" w:type="dxa"/>
          </w:tblCellMar>
        </w:tblPrEx>
        <w:trPr>
          <w:trHeight w:hRule="exact" w:val="198"/>
        </w:trPr>
        <w:tc>
          <w:tcPr>
            <w:tcW w:w="2078" w:type="dxa"/>
            <w:gridSpan w:val="10"/>
          </w:tcPr>
          <w:p>
            <w:pPr>
              <w:pStyle w:val="yTable"/>
              <w:spacing w:line="180" w:lineRule="atLeast"/>
              <w:ind w:left="306" w:hanging="426"/>
              <w:rPr>
                <w:sz w:val="18"/>
              </w:rPr>
            </w:pPr>
          </w:p>
        </w:tc>
        <w:tc>
          <w:tcPr>
            <w:tcW w:w="5011" w:type="dxa"/>
            <w:gridSpan w:val="46"/>
          </w:tcPr>
          <w:p>
            <w:pPr>
              <w:pStyle w:val="yTable"/>
              <w:spacing w:line="180" w:lineRule="atLeast"/>
              <w:rPr>
                <w:sz w:val="18"/>
              </w:rPr>
            </w:pPr>
          </w:p>
        </w:tc>
      </w:tr>
      <w:tr>
        <w:tblPrEx>
          <w:tblCellMar>
            <w:left w:w="120" w:type="dxa"/>
            <w:right w:w="120" w:type="dxa"/>
          </w:tblCellMar>
        </w:tblPrEx>
        <w:tc>
          <w:tcPr>
            <w:tcW w:w="2078" w:type="dxa"/>
            <w:gridSpan w:val="10"/>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blPrEx>
          <w:tblCellMar>
            <w:left w:w="120" w:type="dxa"/>
            <w:right w:w="120" w:type="dxa"/>
          </w:tblCellMar>
        </w:tblPrEx>
        <w:tc>
          <w:tcPr>
            <w:tcW w:w="2078" w:type="dxa"/>
            <w:gridSpan w:val="10"/>
          </w:tcPr>
          <w:p>
            <w:pPr>
              <w:pStyle w:val="yTable"/>
              <w:spacing w:line="180" w:lineRule="atLeast"/>
              <w:ind w:left="-120"/>
              <w:rPr>
                <w:sz w:val="18"/>
              </w:rPr>
            </w:pPr>
          </w:p>
        </w:tc>
        <w:tc>
          <w:tcPr>
            <w:tcW w:w="5011" w:type="dxa"/>
            <w:gridSpan w:val="46"/>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blPrEx>
          <w:tblCellMar>
            <w:left w:w="120" w:type="dxa"/>
            <w:right w:w="120" w:type="dxa"/>
          </w:tblCellMar>
        </w:tblPrEx>
        <w:tc>
          <w:tcPr>
            <w:tcW w:w="2078" w:type="dxa"/>
            <w:gridSpan w:val="10"/>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blPrEx>
          <w:tblCellMar>
            <w:left w:w="120" w:type="dxa"/>
            <w:right w:w="120" w:type="dxa"/>
          </w:tblCellMar>
        </w:tblPrEx>
        <w:trPr>
          <w:trHeight w:hRule="exact" w:val="198"/>
        </w:trPr>
        <w:tc>
          <w:tcPr>
            <w:tcW w:w="2078" w:type="dxa"/>
            <w:gridSpan w:val="10"/>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46"/>
          </w:tcPr>
          <w:p>
            <w:pPr>
              <w:pStyle w:val="yTable"/>
              <w:spacing w:line="180" w:lineRule="atLeast"/>
              <w:rPr>
                <w:sz w:val="18"/>
              </w:rPr>
            </w:pPr>
          </w:p>
        </w:tc>
      </w:tr>
      <w:tr>
        <w:tblPrEx>
          <w:tblCellMar>
            <w:left w:w="120" w:type="dxa"/>
            <w:right w:w="120" w:type="dxa"/>
          </w:tblCellMar>
        </w:tblPrEx>
        <w:tc>
          <w:tcPr>
            <w:tcW w:w="2078" w:type="dxa"/>
            <w:gridSpan w:val="10"/>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spacing w:line="180" w:lineRule="atLeast"/>
              <w:ind w:left="-115"/>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 &amp; 134)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spacing w:before="0" w:line="140" w:lineRule="atLeast"/>
              <w:rPr>
                <w:sz w:val="14"/>
              </w:rPr>
            </w:pPr>
            <w:r>
              <w:rPr>
                <w:sz w:val="14"/>
              </w:rPr>
              <w:t>(a)</w:t>
            </w:r>
            <w:r>
              <w:rPr>
                <w:sz w:val="14"/>
              </w:rPr>
              <w:tab/>
            </w:r>
            <w:r>
              <w:rPr>
                <w:sz w:val="14"/>
              </w:rPr>
              <w:tab/>
              <w:t>(b)</w:t>
            </w:r>
          </w:p>
          <w:p>
            <w:pPr>
              <w:pStyle w:val="yTable"/>
              <w:spacing w:before="0" w:line="140" w:lineRule="atLeast"/>
              <w:rPr>
                <w:sz w:val="14"/>
              </w:rPr>
            </w:pPr>
          </w:p>
          <w:p>
            <w:pPr>
              <w:pStyle w:val="yTable"/>
              <w:spacing w:before="0" w:line="140" w:lineRule="atLeast"/>
              <w:rPr>
                <w:sz w:val="14"/>
              </w:rPr>
            </w:pPr>
          </w:p>
          <w:p>
            <w:pPr>
              <w:pStyle w:val="yTable"/>
              <w:spacing w:before="0" w:line="140" w:lineRule="atLeast"/>
              <w:rPr>
                <w:sz w:val="14"/>
              </w:rPr>
            </w:pPr>
            <w:r>
              <w:rPr>
                <w:sz w:val="14"/>
              </w:rPr>
              <w:t>(c)</w:t>
            </w:r>
            <w:r>
              <w:rPr>
                <w:sz w:val="14"/>
              </w:rPr>
              <w:tab/>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iCs/>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iCs/>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iCs/>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before="0" w:line="140" w:lineRule="atLeast"/>
              <w:rPr>
                <w:sz w:val="14"/>
              </w:rPr>
            </w:pPr>
          </w:p>
          <w:p>
            <w:pPr>
              <w:pStyle w:val="yTable"/>
              <w:spacing w:before="0" w:line="140" w:lineRule="atLeast"/>
              <w:rPr>
                <w:sz w:val="14"/>
              </w:rPr>
            </w:pPr>
            <w:r>
              <w:rPr>
                <w:sz w:val="14"/>
              </w:rPr>
              <w:t>Signed (i)</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before="0" w:line="140" w:lineRule="atLeast"/>
              <w:rPr>
                <w:sz w:val="14"/>
              </w:rPr>
            </w:pPr>
          </w:p>
          <w:p>
            <w:pPr>
              <w:pStyle w:val="yTable"/>
              <w:spacing w:before="0" w:line="140" w:lineRule="atLeast"/>
              <w:rPr>
                <w:sz w:val="14"/>
              </w:rPr>
            </w:pPr>
            <w:r>
              <w:rPr>
                <w:sz w:val="14"/>
              </w:rPr>
              <w:t>Signed (j)</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of Industry and Resources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rPr>
          <w:sz w:val="18"/>
        </w:rPr>
      </w:pPr>
      <w:r>
        <w:tab/>
        <w:t>[Form 23 inserted in Gazette 3 Feb 2006 p. 524-5.]</w:t>
      </w:r>
    </w:p>
    <w:tbl>
      <w:tblPr>
        <w:tblW w:w="0" w:type="auto"/>
        <w:tblInd w:w="262" w:type="dxa"/>
        <w:tblLayout w:type="fixed"/>
        <w:tblCellMar>
          <w:left w:w="120" w:type="dxa"/>
          <w:right w:w="120" w:type="dxa"/>
        </w:tblCellMar>
        <w:tblLook w:val="0000" w:firstRow="0" w:lastRow="0" w:firstColumn="0" w:lastColumn="0" w:noHBand="0" w:noVBand="0"/>
      </w:tblPr>
      <w:tblGrid>
        <w:gridCol w:w="1936"/>
        <w:gridCol w:w="5010"/>
      </w:tblGrid>
      <w:tr>
        <w:tc>
          <w:tcPr>
            <w:tcW w:w="1936" w:type="dxa"/>
          </w:tcPr>
          <w:p>
            <w:pPr>
              <w:pStyle w:val="yTable"/>
              <w:spacing w:line="180" w:lineRule="atLeast"/>
              <w:ind w:left="-120"/>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36"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1936"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bCs/>
                <w:sz w:val="16"/>
              </w:rPr>
            </w:pPr>
            <w:r>
              <w:rPr>
                <w:bCs/>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bCs/>
                <w:sz w:val="16"/>
              </w:rPr>
            </w:pPr>
            <w:r>
              <w:rPr>
                <w:bCs/>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36" w:type="dxa"/>
          </w:tcPr>
          <w:p>
            <w:pPr>
              <w:pStyle w:val="yTable"/>
              <w:spacing w:before="0" w:line="160" w:lineRule="atLeast"/>
              <w:ind w:left="306" w:hanging="426"/>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before="0" w:line="160" w:lineRule="atLeast"/>
              <w:ind w:left="306" w:hanging="425"/>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bCs/>
                <w:sz w:val="16"/>
              </w:rPr>
            </w:pPr>
            <w:r>
              <w:rPr>
                <w:bCs/>
                <w:sz w:val="16"/>
              </w:rPr>
              <w:t>Caveator</w:t>
            </w:r>
            <w:r>
              <w:rPr>
                <w:b/>
                <w:sz w:val="16"/>
              </w:rPr>
              <w:br/>
            </w:r>
            <w:r>
              <w:rPr>
                <w:bCs/>
                <w:sz w:val="16"/>
              </w:rPr>
              <w:t>(f)</w:t>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pageBreakBefore/>
              <w:spacing w:line="160" w:lineRule="atLeast"/>
              <w:ind w:left="-120"/>
              <w:rPr>
                <w:sz w:val="16"/>
              </w:rPr>
            </w:pPr>
          </w:p>
          <w:p>
            <w:pPr>
              <w:pStyle w:val="yTable"/>
              <w:pageBreakBefore/>
              <w:spacing w:line="160" w:lineRule="atLeast"/>
              <w:ind w:left="306" w:hanging="425"/>
              <w:rPr>
                <w:sz w:val="16"/>
              </w:rPr>
            </w:pPr>
            <w:r>
              <w:rPr>
                <w:sz w:val="16"/>
              </w:rPr>
              <w:t>(i)</w:t>
            </w:r>
            <w:r>
              <w:rPr>
                <w:sz w:val="16"/>
              </w:rPr>
              <w:tab/>
              <w:t>Signature of caveator</w:t>
            </w:r>
          </w:p>
          <w:p>
            <w:pPr>
              <w:pStyle w:val="yTable"/>
              <w:pageBreakBefore/>
              <w:spacing w:line="160" w:lineRule="atLeast"/>
              <w:ind w:left="306" w:hanging="425"/>
              <w:rPr>
                <w:sz w:val="16"/>
              </w:rPr>
            </w:pPr>
          </w:p>
          <w:p>
            <w:pPr>
              <w:pStyle w:val="yTable"/>
              <w:pageBreakBefore/>
              <w:spacing w:line="160" w:lineRule="atLeast"/>
              <w:ind w:left="306" w:hanging="426"/>
              <w:rPr>
                <w:sz w:val="16"/>
              </w:rPr>
            </w:pPr>
          </w:p>
          <w:p>
            <w:pPr>
              <w:pStyle w:val="yTable"/>
              <w:pageBreakBefor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pageBreakBefore/>
              <w:spacing w:line="160" w:lineRule="atLeast"/>
              <w:rPr>
                <w:bCs/>
                <w:sz w:val="16"/>
              </w:rPr>
            </w:pPr>
            <w:r>
              <w:rPr>
                <w:bCs/>
                <w:sz w:val="16"/>
              </w:rPr>
              <w:t>Caveator or agent signs here</w:t>
            </w:r>
          </w:p>
          <w:p>
            <w:pPr>
              <w:pStyle w:val="yTable"/>
              <w:pageBreakBefore/>
              <w:tabs>
                <w:tab w:val="left" w:leader="dot" w:pos="2055"/>
                <w:tab w:val="right" w:leader="dot" w:pos="4748"/>
              </w:tabs>
              <w:spacing w:line="160" w:lineRule="atLeast"/>
              <w:rPr>
                <w:sz w:val="16"/>
              </w:rPr>
            </w:pPr>
            <w:r>
              <w:rPr>
                <w:sz w:val="16"/>
              </w:rPr>
              <w:t>Signed (i) ……………………………………………………..</w:t>
            </w:r>
          </w:p>
          <w:p>
            <w:pPr>
              <w:pStyle w:val="yTable"/>
              <w:pageBreakBefore/>
              <w:tabs>
                <w:tab w:val="left" w:pos="921"/>
                <w:tab w:val="left" w:leader="dot" w:pos="2055"/>
                <w:tab w:val="right" w:leader="dot" w:pos="4748"/>
              </w:tabs>
              <w:spacing w:before="0" w:line="160" w:lineRule="atLeast"/>
              <w:rPr>
                <w:sz w:val="16"/>
              </w:rPr>
            </w:pPr>
            <w:r>
              <w:rPr>
                <w:sz w:val="16"/>
              </w:rPr>
              <w:tab/>
              <w:t>as agent (delete if not applicable)</w:t>
            </w:r>
          </w:p>
          <w:p>
            <w:pPr>
              <w:pStyle w:val="yTable"/>
              <w:pageBreakBefore/>
              <w:tabs>
                <w:tab w:val="left" w:pos="921"/>
                <w:tab w:val="left" w:leader="dot" w:pos="2055"/>
                <w:tab w:val="right" w:leader="dot" w:pos="4748"/>
              </w:tabs>
              <w:spacing w:line="160" w:lineRule="atLeast"/>
              <w:rPr>
                <w:sz w:val="16"/>
              </w:rPr>
            </w:pPr>
          </w:p>
          <w:p>
            <w:pPr>
              <w:pStyle w:val="yTable"/>
              <w:pageBreakBefore/>
              <w:tabs>
                <w:tab w:val="left" w:leader="dot" w:pos="2055"/>
                <w:tab w:val="right" w:leader="dot" w:pos="4748"/>
              </w:tabs>
              <w:spacing w:line="160" w:lineRule="atLeast"/>
              <w:rPr>
                <w:bCs/>
                <w:sz w:val="16"/>
              </w:rPr>
            </w:pPr>
            <w:r>
              <w:rPr>
                <w:bCs/>
                <w:sz w:val="16"/>
              </w:rPr>
              <w:t>Witness signs here</w:t>
            </w:r>
          </w:p>
          <w:p>
            <w:pPr>
              <w:pStyle w:val="yTable"/>
              <w:pageBreakBefore/>
              <w:tabs>
                <w:tab w:val="left" w:leader="dot" w:pos="2055"/>
                <w:tab w:val="right" w:leader="dot" w:pos="4748"/>
              </w:tabs>
              <w:spacing w:line="160" w:lineRule="atLeast"/>
              <w:rPr>
                <w:sz w:val="16"/>
              </w:rPr>
            </w:pPr>
            <w:r>
              <w:rPr>
                <w:sz w:val="16"/>
              </w:rPr>
              <w:t>in the presence of (j) …………………………………………..</w:t>
            </w:r>
          </w:p>
          <w:p>
            <w:pPr>
              <w:pStyle w:val="yTable"/>
              <w:pageBreakBefore/>
              <w:tabs>
                <w:tab w:val="left" w:leader="dot" w:pos="2055"/>
                <w:tab w:val="right" w:leader="dot" w:pos="4748"/>
              </w:tabs>
              <w:spacing w:line="160" w:lineRule="atLeast"/>
              <w:rPr>
                <w:sz w:val="16"/>
              </w:rPr>
            </w:pP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rPr>
          <w:sz w:val="18"/>
        </w:rPr>
      </w:pPr>
      <w:r>
        <w:tab/>
        <w:t>[Form 24 inserted in Gazette 3 Feb 2006 p. 525-6.]</w:t>
      </w:r>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spacing w:line="180" w:lineRule="atLeast"/>
              <w:ind w:left="-120"/>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after="60" w:line="180" w:lineRule="atLeast"/>
              <w:rPr>
                <w:sz w:val="18"/>
              </w:rPr>
            </w:pPr>
          </w:p>
        </w:tc>
      </w:tr>
      <w:tr>
        <w:tc>
          <w:tcPr>
            <w:tcW w:w="1985" w:type="dxa"/>
          </w:tcPr>
          <w:p>
            <w:pPr>
              <w:pStyle w:val="yTable"/>
              <w:spacing w:before="0" w:line="180" w:lineRule="atLeast"/>
              <w:ind w:left="306" w:hanging="426"/>
              <w:rPr>
                <w:sz w:val="18"/>
              </w:rPr>
            </w:pPr>
          </w:p>
        </w:tc>
        <w:tc>
          <w:tcPr>
            <w:tcW w:w="4961" w:type="dxa"/>
          </w:tcPr>
          <w:p>
            <w:pPr>
              <w:pStyle w:val="yTable"/>
              <w:spacing w:before="0" w:line="180" w:lineRule="atLeast"/>
              <w:rPr>
                <w:sz w:val="18"/>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br/>
            </w:r>
          </w:p>
          <w:p>
            <w:pPr>
              <w:pStyle w:val="yTable"/>
              <w:spacing w:line="180" w:lineRule="atLeast"/>
              <w:rPr>
                <w:sz w:val="18"/>
              </w:rPr>
            </w:pPr>
          </w:p>
          <w:p>
            <w:pPr>
              <w:pStyle w:val="yTable"/>
              <w:tabs>
                <w:tab w:val="left" w:leader="dot" w:pos="2055"/>
                <w:tab w:val="right" w:leader="dot" w:pos="4748"/>
              </w:tabs>
              <w:spacing w:line="180" w:lineRule="atLeast"/>
              <w:rPr>
                <w:sz w:val="18"/>
              </w:rPr>
            </w:pPr>
            <w:r>
              <w:rPr>
                <w:sz w:val="18"/>
              </w:rPr>
              <w:t xml:space="preserve">Signed (c) ……………………………………………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80" w:lineRule="atLeast"/>
              <w:ind w:left="-120"/>
              <w:rPr>
                <w:sz w:val="18"/>
              </w:rPr>
            </w:pPr>
          </w:p>
        </w:tc>
        <w:tc>
          <w:tcPr>
            <w:tcW w:w="4961" w:type="dxa"/>
          </w:tcPr>
          <w:p>
            <w:pPr>
              <w:pStyle w:val="yTable"/>
              <w:spacing w:before="0" w:line="180" w:lineRule="atLeast"/>
              <w:rPr>
                <w:sz w:val="18"/>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24A inserted in Gazette 3 Feb 2006 p. 526-7.]</w:t>
      </w:r>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r>
              <w:rPr>
                <w:sz w:val="14"/>
              </w:rPr>
              <w:t> </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bCs/>
                <w:sz w:val="14"/>
              </w:rPr>
            </w:pPr>
            <w:r>
              <w:rPr>
                <w:bCs/>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rPr>
          <w:sz w:val="18"/>
        </w:rPr>
      </w:pPr>
      <w:r>
        <w:tab/>
        <w:t>[Form 25 amended in Gazette 3 Feb 2006 p. 527.]</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14"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425"/>
        <w:gridCol w:w="1276"/>
        <w:gridCol w:w="992"/>
        <w:gridCol w:w="992"/>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425" w:type="dxa"/>
            <w:vMerge w:val="restart"/>
            <w:tcBorders>
              <w:top w:val="single" w:sz="6" w:space="0" w:color="auto"/>
              <w:left w:val="single" w:sz="6" w:space="0" w:color="auto"/>
              <w:bottom w:val="single" w:sz="6" w:space="0" w:color="auto"/>
              <w:right w:val="single" w:sz="6" w:space="0" w:color="auto"/>
            </w:tcBorders>
            <w:textDirection w:val="btLr"/>
          </w:tcPr>
          <w:p>
            <w:pPr>
              <w:ind w:left="113" w:right="113"/>
              <w:jc w:val="center"/>
              <w:rPr>
                <w:b/>
                <w:sz w:val="18"/>
              </w:rPr>
            </w:pPr>
            <w:r>
              <w:rPr>
                <w:b/>
                <w:sz w:val="18"/>
              </w:rPr>
              <w:t>Mineral Produced/Sold</w:t>
            </w: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(Holder/Applicant)</w:t>
            </w:r>
          </w:p>
        </w:tc>
      </w:tr>
      <w:tr>
        <w:trPr>
          <w:cantSplit/>
          <w:trHeight w:val="1267"/>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pPr>
          </w:p>
        </w:tc>
        <w:tc>
          <w:tcPr>
            <w:tcW w:w="425" w:type="dxa"/>
            <w:vMerge w:val="restart"/>
            <w:tcBorders>
              <w:top w:val="single" w:sz="6" w:space="0" w:color="auto"/>
              <w:left w:val="single" w:sz="6" w:space="0" w:color="auto"/>
              <w:bottom w:val="single" w:sz="6" w:space="0" w:color="auto"/>
              <w:right w:val="single" w:sz="6" w:space="0" w:color="auto"/>
            </w:tcBorders>
            <w:textDirection w:val="btLr"/>
          </w:tcPr>
          <w:p>
            <w:pPr>
              <w:ind w:left="113" w:right="113"/>
              <w:jc w:val="center"/>
              <w:rPr>
                <w:b/>
                <w:sz w:val="18"/>
              </w:rPr>
            </w:pPr>
            <w:r>
              <w:rPr>
                <w:b/>
                <w:sz w:val="18"/>
              </w:rPr>
              <w:t>Material Mined</w:t>
            </w: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bl>
    <w:p>
      <w:pPr>
        <w:pStyle w:val="yTable"/>
        <w:spacing w:before="0" w:line="180" w:lineRule="atLeast"/>
        <w:rPr>
          <w:spacing w:val="-2"/>
          <w:sz w:val="18"/>
        </w:rPr>
      </w:pPr>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i/>
          <w:snapToGrid w:val="0"/>
          <w:sz w:val="18"/>
        </w:rPr>
        <w:tab/>
        <w:t xml:space="preserve">Mining Act 1978 </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Table"/>
        <w:pageBreakBefor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application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29</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105)</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tabs>
                <w:tab w:val="left" w:pos="3756"/>
              </w:tabs>
              <w:spacing w:before="120" w:line="180" w:lineRule="atLeast"/>
              <w:rPr>
                <w:sz w:val="18"/>
              </w:rPr>
            </w:pPr>
            <w:r>
              <w:rPr>
                <w:b/>
              </w:rPr>
              <w:t xml:space="preserve">APPLICATION FOR COPY </w:t>
            </w:r>
            <w:r>
              <w:rPr>
                <w:b/>
              </w:rPr>
              <w:br/>
              <w:t>DOCUMENT</w:t>
            </w:r>
            <w:r>
              <w:rPr>
                <w:sz w:val="18"/>
              </w:rPr>
              <w:tab/>
              <w:t xml:space="preserve">No.          </w:t>
            </w:r>
          </w:p>
        </w:tc>
      </w:tr>
      <w:tr>
        <w:tc>
          <w:tcPr>
            <w:tcW w:w="2078" w:type="dxa"/>
          </w:tcPr>
          <w:p>
            <w:pPr>
              <w:pStyle w:val="yTable"/>
              <w:spacing w:line="160" w:lineRule="atLeast"/>
              <w:ind w:left="306" w:hanging="426"/>
              <w:rPr>
                <w:sz w:val="16"/>
              </w:rPr>
            </w:pPr>
            <w:r>
              <w:rPr>
                <w:sz w:val="16"/>
              </w:rPr>
              <w:t>(a)</w:t>
            </w:r>
            <w:r>
              <w:rPr>
                <w:sz w:val="16"/>
              </w:rPr>
              <w:tab/>
              <w:t>Full name</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(b)</w:t>
            </w:r>
            <w:r>
              <w:rPr>
                <w:sz w:val="16"/>
              </w:rPr>
              <w:tab/>
              <w:t>Address</w:t>
            </w:r>
          </w:p>
        </w:tc>
        <w:tc>
          <w:tcPr>
            <w:tcW w:w="5010" w:type="dxa"/>
          </w:tcPr>
          <w:p>
            <w:pPr>
              <w:pStyle w:val="yTable"/>
              <w:spacing w:line="160" w:lineRule="atLeast"/>
              <w:rPr>
                <w:sz w:val="16"/>
              </w:rPr>
            </w:pPr>
            <w:r>
              <w:rPr>
                <w:sz w:val="16"/>
              </w:rPr>
              <w:t>I, (a)</w:t>
            </w:r>
          </w:p>
          <w:p>
            <w:pPr>
              <w:pStyle w:val="yTable"/>
              <w:spacing w:before="0" w:line="160" w:lineRule="atLeast"/>
              <w:rPr>
                <w:sz w:val="16"/>
              </w:rPr>
            </w:pPr>
          </w:p>
          <w:p>
            <w:pPr>
              <w:pStyle w:val="yTable"/>
              <w:spacing w:before="0" w:line="160" w:lineRule="atLeast"/>
              <w:rPr>
                <w:sz w:val="16"/>
              </w:rPr>
            </w:pPr>
            <w:r>
              <w:rPr>
                <w:sz w:val="16"/>
              </w:rPr>
              <w:t>of (b)</w:t>
            </w:r>
          </w:p>
          <w:p>
            <w:pPr>
              <w:pStyle w:val="yTable"/>
              <w:spacing w:before="0" w:line="160" w:lineRule="atLeast"/>
              <w:rPr>
                <w:sz w:val="16"/>
              </w:rPr>
            </w:pPr>
          </w:p>
          <w:p>
            <w:pPr>
              <w:pStyle w:val="yTable"/>
              <w:spacing w:before="0" w:line="160" w:lineRule="atLeast"/>
              <w:rPr>
                <w:sz w:val="16"/>
              </w:rPr>
            </w:pPr>
            <w:r>
              <w:rPr>
                <w:sz w:val="16"/>
              </w:rPr>
              <w:t xml:space="preserve">declare pursuant to section 106 of the </w:t>
            </w:r>
            <w:r>
              <w:rPr>
                <w:i/>
                <w:sz w:val="16"/>
              </w:rPr>
              <w:t>Evidence Act 1906</w:t>
            </w:r>
            <w:r>
              <w:rPr>
                <w:sz w:val="16"/>
              </w:rPr>
              <w:t xml:space="preserve"> that the document specified cannot be produced for the reasons indicated, and I request that a copy document be issued in lieu</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(c)</w:t>
            </w:r>
            <w:r>
              <w:rPr>
                <w:sz w:val="16"/>
              </w:rPr>
              <w:tab/>
              <w:t>Description of document</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b/>
                <w:sz w:val="16"/>
              </w:rPr>
              <w:t>Details of Document</w:t>
            </w:r>
          </w:p>
          <w:p>
            <w:pPr>
              <w:pStyle w:val="yTable"/>
              <w:spacing w:before="0" w:line="160" w:lineRule="atLeast"/>
              <w:rPr>
                <w:sz w:val="16"/>
              </w:rPr>
            </w:pPr>
          </w:p>
          <w:p>
            <w:pPr>
              <w:pStyle w:val="yTable"/>
              <w:spacing w:before="0" w:line="160" w:lineRule="atLeast"/>
              <w:rPr>
                <w:sz w:val="16"/>
              </w:rPr>
            </w:pPr>
            <w:r>
              <w:rPr>
                <w:sz w:val="16"/>
              </w:rPr>
              <w:t>(c)</w:t>
            </w:r>
          </w:p>
          <w:p>
            <w:pPr>
              <w:pStyle w:val="yTable"/>
              <w:spacing w:before="0" w:line="160" w:lineRule="atLeast"/>
              <w:rPr>
                <w:sz w:val="16"/>
              </w:rPr>
            </w:pPr>
          </w:p>
        </w:tc>
      </w:tr>
      <w:tr>
        <w:trPr>
          <w:trHeight w:hRule="exact" w:val="198"/>
        </w:trP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(d)</w:t>
            </w:r>
            <w:r>
              <w:rPr>
                <w:sz w:val="16"/>
              </w:rPr>
              <w:tab/>
              <w:t>State whether document lost/destroyed, etc. as the case may be and the circumstances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Reason for non</w:t>
            </w:r>
            <w:r>
              <w:rPr>
                <w:b/>
                <w:sz w:val="16"/>
              </w:rPr>
              <w:noBreakHyphen/>
              <w:t>production</w:t>
            </w:r>
          </w:p>
          <w:p>
            <w:pPr>
              <w:pStyle w:val="yTable"/>
              <w:spacing w:line="160" w:lineRule="atLeast"/>
              <w:rPr>
                <w:sz w:val="16"/>
              </w:rPr>
            </w:pPr>
          </w:p>
          <w:p>
            <w:pPr>
              <w:pStyle w:val="yTable"/>
              <w:spacing w:line="160" w:lineRule="atLeast"/>
              <w:rPr>
                <w:sz w:val="16"/>
              </w:rPr>
            </w:pPr>
            <w:r>
              <w:rPr>
                <w:sz w:val="16"/>
              </w:rPr>
              <w:t>(d)</w:t>
            </w:r>
          </w:p>
        </w:tc>
      </w:tr>
      <w:tr>
        <w:tc>
          <w:tcPr>
            <w:tcW w:w="2078" w:type="dxa"/>
          </w:tcPr>
          <w:p>
            <w:pPr>
              <w:pStyle w:val="yTable"/>
              <w:spacing w:line="160" w:lineRule="atLeast"/>
              <w:ind w:left="306" w:hanging="426"/>
              <w:rPr>
                <w:sz w:val="16"/>
              </w:rPr>
            </w:pPr>
            <w:r>
              <w:rPr>
                <w:sz w:val="16"/>
              </w:rPr>
              <w:fldChar w:fldCharType="begin"/>
            </w:r>
            <w:r>
              <w:rPr>
                <w:sz w:val="16"/>
              </w:rPr>
              <w:instrText>ADVANCE \U 5.60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Signature of declarant</w:t>
            </w:r>
          </w:p>
        </w:tc>
        <w:tc>
          <w:tcPr>
            <w:tcW w:w="5010" w:type="dxa"/>
          </w:tcPr>
          <w:p>
            <w:pPr>
              <w:pStyle w:val="yTable"/>
              <w:tabs>
                <w:tab w:val="right" w:leader="dot" w:pos="4770"/>
              </w:tabs>
              <w:spacing w:line="160" w:lineRule="atLeast"/>
              <w:rPr>
                <w:sz w:val="16"/>
              </w:rPr>
            </w:pPr>
            <w:r>
              <w:rPr>
                <w:sz w:val="16"/>
              </w:rPr>
              <w:t>Signed (e)......................................................................................................</w:t>
            </w:r>
          </w:p>
          <w:p>
            <w:pPr>
              <w:pStyle w:val="yTable"/>
              <w:tabs>
                <w:tab w:val="right" w:leader="dot" w:pos="4770"/>
              </w:tabs>
              <w:spacing w:line="160" w:lineRule="atLeast"/>
              <w:rPr>
                <w:sz w:val="16"/>
              </w:rPr>
            </w:pPr>
            <w:r>
              <w:rPr>
                <w:sz w:val="16"/>
              </w:rPr>
              <w:t>DECLARED before me at............................................................................</w:t>
            </w:r>
          </w:p>
          <w:p>
            <w:pPr>
              <w:pStyle w:val="yTable"/>
              <w:tabs>
                <w:tab w:val="left" w:leader="dot" w:pos="1771"/>
                <w:tab w:val="left" w:leader="dot" w:pos="3898"/>
                <w:tab w:val="right" w:leader="dot" w:pos="4770"/>
              </w:tabs>
              <w:spacing w:before="0" w:line="160" w:lineRule="atLeast"/>
              <w:rPr>
                <w:sz w:val="16"/>
              </w:rPr>
            </w:pPr>
            <w:r>
              <w:rPr>
                <w:sz w:val="16"/>
              </w:rPr>
              <w:t>this ..................................... day of .......................................... 20 ...............</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r>
              <w:rPr>
                <w:sz w:val="16"/>
              </w:rPr>
              <w:t>(f)</w:t>
            </w:r>
            <w:r>
              <w:rPr>
                <w:sz w:val="16"/>
              </w:rPr>
              <w:tab/>
              <w:t>Signature of witness</w:t>
            </w:r>
          </w:p>
          <w:p>
            <w:pPr>
              <w:pStyle w:val="yTable"/>
              <w:spacing w:before="0" w:line="160" w:lineRule="atLeast"/>
              <w:ind w:left="306" w:hanging="425"/>
              <w:rPr>
                <w:sz w:val="16"/>
              </w:rPr>
            </w:pPr>
            <w:r>
              <w:rPr>
                <w:sz w:val="16"/>
              </w:rPr>
              <w:tab/>
              <w:t>See Note 1.</w:t>
            </w:r>
          </w:p>
        </w:tc>
        <w:tc>
          <w:tcPr>
            <w:tcW w:w="5010" w:type="dxa"/>
          </w:tcPr>
          <w:p>
            <w:pPr>
              <w:pStyle w:val="yTable"/>
              <w:spacing w:line="160" w:lineRule="atLeast"/>
              <w:rPr>
                <w:sz w:val="16"/>
              </w:rPr>
            </w:pPr>
            <w:r>
              <w:rPr>
                <w:sz w:val="16"/>
              </w:rPr>
              <w:t>(f)</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line="160" w:lineRule="atLeast"/>
              <w:rPr>
                <w:sz w:val="16"/>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Received at .....................................m.</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on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with fee of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t>
            </w:r>
          </w:p>
          <w:p>
            <w:pPr>
              <w:pStyle w:val="yTable"/>
              <w:tabs>
                <w:tab w:val="right" w:leader="dot" w:pos="2475"/>
              </w:tabs>
              <w:spacing w:before="0" w:line="160" w:lineRule="atLeast"/>
              <w:jc w:val="center"/>
              <w:rPr>
                <w:sz w:val="16"/>
              </w:rPr>
            </w:pPr>
            <w:r>
              <w:rPr>
                <w:sz w:val="16"/>
              </w:rPr>
              <w:t>(Mining Registrar)</w:t>
            </w:r>
          </w:p>
          <w:p>
            <w:pPr>
              <w:pStyle w:val="yTable"/>
              <w:spacing w:after="6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p>
        </w:tc>
      </w:tr>
    </w:tbl>
    <w:p>
      <w:pPr>
        <w:pStyle w:val="yTable"/>
        <w:tabs>
          <w:tab w:val="left" w:pos="284"/>
          <w:tab w:val="left" w:pos="1134"/>
        </w:tabs>
        <w:spacing w:line="160" w:lineRule="atLeast"/>
        <w:ind w:left="1134" w:hanging="1134"/>
        <w:rPr>
          <w:sz w:val="16"/>
        </w:rPr>
      </w:pPr>
      <w:r>
        <w:rPr>
          <w:sz w:val="16"/>
        </w:rPr>
        <w:tab/>
        <w:t>NOTE 1:</w:t>
      </w:r>
      <w:r>
        <w:rPr>
          <w:sz w:val="16"/>
        </w:rPr>
        <w:tab/>
        <w:t>This declaration may be made before a Commissioner of Declarations, Justice of the Peace, Mining Registrar or other authorised person.</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 of Mines</w:t>
            </w:r>
            <w:r>
              <w:rPr>
                <w:sz w:val="18"/>
                <w:vertAlign w:val="superscript"/>
              </w:rPr>
              <w:t>4</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30 amended in Gazette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 xml:space="preserve">No.          </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 xml:space="preserve">(e)                                 </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 xml:space="preserve">20 ....................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(Regs. 48 &amp;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 xml:space="preserve">No.   </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defendant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r>
              <w:rPr>
                <w:sz w:val="18"/>
              </w:rPr>
              <w:t> </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 xml:space="preserve">S </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 xml:space="preserve">Summons and </w:t>
            </w:r>
          </w:p>
          <w:p>
            <w:pPr>
              <w:pStyle w:val="yTable"/>
              <w:spacing w:before="0" w:line="180" w:lineRule="atLeast"/>
              <w:rPr>
                <w:sz w:val="18"/>
              </w:rPr>
            </w:pPr>
            <w:r>
              <w:rPr>
                <w:sz w:val="18"/>
              </w:rPr>
              <w:t>Subpoena)</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Defendant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 xml:space="preserve">at (c)                .m. on the          day of             20    </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subpoena compelling the attendance of any witnesses, and production of any books, plans, documents, etc.</w:t>
            </w:r>
          </w:p>
          <w:p>
            <w:pPr>
              <w:pStyle w:val="yTable"/>
              <w:spacing w:line="180" w:lineRule="atLeast"/>
              <w:rPr>
                <w:sz w:val="18"/>
              </w:rPr>
            </w:pPr>
            <w:r>
              <w:rPr>
                <w:sz w:val="18"/>
              </w:rPr>
              <w:t>If you intend to dispute the plaintiff</w:t>
            </w:r>
            <w:r>
              <w:rPr>
                <w:sz w:val="18"/>
              </w:rPr>
              <w:fldChar w:fldCharType="begin"/>
            </w:r>
            <w:r>
              <w:rPr>
                <w:sz w:val="18"/>
              </w:rPr>
              <w:instrText>ADVANCE \R 1.40</w:instrText>
            </w:r>
            <w:r>
              <w:rPr>
                <w:sz w:val="18"/>
              </w:rPr>
              <w:fldChar w:fldCharType="end"/>
            </w:r>
            <w:r>
              <w:rPr>
                <w:sz w:val="18"/>
              </w:rPr>
              <w:t>‘s claim you must file a notice of defence in accordance with regulation 126</w:t>
            </w:r>
          </w:p>
          <w:p>
            <w:pPr>
              <w:pStyle w:val="yTable"/>
              <w:spacing w:line="180" w:lineRule="atLeast"/>
              <w:rPr>
                <w:sz w:val="18"/>
              </w:rPr>
            </w:pPr>
            <w:r>
              <w:rPr>
                <w:sz w:val="18"/>
              </w:rPr>
              <w:t xml:space="preserve">DATED at             </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451"/>
        <w:gridCol w:w="141"/>
        <w:gridCol w:w="1418"/>
      </w:tblGrid>
      <w:tr>
        <w:tc>
          <w:tcPr>
            <w:tcW w:w="2078" w:type="dxa"/>
          </w:tcPr>
          <w:p>
            <w:pPr>
              <w:pStyle w:val="yTable"/>
              <w:pageBreakBefore/>
              <w:spacing w:line="180" w:lineRule="atLeast"/>
              <w:ind w:left="-115"/>
              <w:rPr>
                <w:sz w:val="18"/>
              </w:rPr>
            </w:pPr>
            <w:r>
              <w:rPr>
                <w:sz w:val="18"/>
              </w:rPr>
              <w:t>Form 35</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124)</w:t>
            </w:r>
          </w:p>
          <w:p>
            <w:pPr>
              <w:pStyle w:val="yTable"/>
              <w:spacing w:line="180" w:lineRule="atLeast"/>
              <w:rPr>
                <w:sz w:val="18"/>
              </w:rPr>
            </w:pPr>
          </w:p>
          <w:p>
            <w:pPr>
              <w:pStyle w:val="yTable"/>
              <w:spacing w:line="180" w:lineRule="atLeast"/>
            </w:pPr>
            <w:r>
              <w:rPr>
                <w:b/>
              </w:rPr>
              <w:t>AFFIDAVIT OF SERVICE</w:t>
            </w:r>
          </w:p>
          <w:p>
            <w:pPr>
              <w:pStyle w:val="yTable"/>
              <w:spacing w:line="180" w:lineRule="atLeast"/>
              <w:rPr>
                <w:sz w:val="18"/>
              </w:rPr>
            </w:pP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51" w:type="dxa"/>
          </w:tcPr>
          <w:p>
            <w:pPr>
              <w:pStyle w:val="yTable"/>
              <w:spacing w:line="180" w:lineRule="atLeast"/>
              <w:rPr>
                <w:sz w:val="18"/>
              </w:rPr>
            </w:pP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w:t>
            </w:r>
          </w:p>
          <w:p>
            <w:pPr>
              <w:pStyle w:val="yTable"/>
              <w:spacing w:before="0" w:line="180" w:lineRule="atLeast"/>
              <w:ind w:left="317" w:hanging="432"/>
              <w:rPr>
                <w:sz w:val="18"/>
              </w:rPr>
            </w:pP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before="0" w:line="180" w:lineRule="atLeast"/>
              <w:rPr>
                <w:sz w:val="18"/>
              </w:rPr>
            </w:pPr>
          </w:p>
          <w:p>
            <w:pPr>
              <w:pStyle w:val="yTable"/>
              <w:spacing w:before="0"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3"/>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Full name and address</w:t>
            </w:r>
          </w:p>
        </w:tc>
        <w:tc>
          <w:tcPr>
            <w:tcW w:w="5010" w:type="dxa"/>
            <w:gridSpan w:val="3"/>
          </w:tcPr>
          <w:p>
            <w:pPr>
              <w:pStyle w:val="yTable"/>
              <w:spacing w:line="180" w:lineRule="atLeast"/>
              <w:rPr>
                <w:sz w:val="18"/>
              </w:rPr>
            </w:pPr>
          </w:p>
          <w:p>
            <w:pPr>
              <w:pStyle w:val="yTable"/>
              <w:spacing w:line="180" w:lineRule="atLeast"/>
              <w:rPr>
                <w:sz w:val="18"/>
              </w:rPr>
            </w:pPr>
            <w:r>
              <w:rPr>
                <w:sz w:val="18"/>
              </w:rPr>
              <w:t xml:space="preserve">(c) I, </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make oath and say that I did on the              day of                                 20         , duly serve a copy of the summons (which is marked “A” and annexed hereto) as follows </w:t>
            </w:r>
            <w:r>
              <w:rPr>
                <w:snapToGrid w:val="0"/>
                <w:sz w:val="18"/>
              </w:rPr>
              <w:t>—</w:t>
            </w:r>
            <w:r>
              <w:rPr>
                <w:sz w:val="18"/>
              </w:rPr>
              <w:t> </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Full name of person on</w:t>
            </w:r>
          </w:p>
          <w:p>
            <w:pPr>
              <w:pStyle w:val="yTable"/>
              <w:tabs>
                <w:tab w:val="left" w:pos="2338"/>
              </w:tabs>
              <w:spacing w:before="0" w:line="180" w:lineRule="atLeast"/>
              <w:rPr>
                <w:sz w:val="18"/>
              </w:rPr>
            </w:pPr>
            <w:r>
              <w:rPr>
                <w:sz w:val="18"/>
              </w:rPr>
              <w:t xml:space="preserve">    whom service effected</w:t>
            </w:r>
            <w:r>
              <w:rPr>
                <w:sz w:val="18"/>
              </w:rPr>
              <w:tab/>
              <w:t>:</w:t>
            </w:r>
          </w:p>
          <w:p>
            <w:pPr>
              <w:pStyle w:val="yTable"/>
              <w:tabs>
                <w:tab w:val="left" w:pos="2338"/>
              </w:tabs>
              <w:spacing w:before="0" w:line="180" w:lineRule="atLeast"/>
              <w:rPr>
                <w:sz w:val="18"/>
              </w:rPr>
            </w:pPr>
          </w:p>
          <w:p>
            <w:pPr>
              <w:pStyle w:val="yTable"/>
              <w:tabs>
                <w:tab w:val="left" w:pos="2338"/>
              </w:tabs>
              <w:spacing w:before="0" w:line="180" w:lineRule="atLeast"/>
              <w:rPr>
                <w:sz w:val="18"/>
              </w:rPr>
            </w:pPr>
            <w:r>
              <w:rPr>
                <w:sz w:val="18"/>
              </w:rPr>
              <w:t>Manner of service</w:t>
            </w:r>
            <w:r>
              <w:rPr>
                <w:sz w:val="18"/>
              </w:rPr>
              <w:tab/>
              <w:t>:</w:t>
            </w:r>
          </w:p>
          <w:p>
            <w:pPr>
              <w:pStyle w:val="yTable"/>
              <w:tabs>
                <w:tab w:val="left" w:pos="2338"/>
              </w:tabs>
              <w:spacing w:before="0" w:line="180" w:lineRule="atLeast"/>
              <w:rPr>
                <w:sz w:val="18"/>
              </w:rPr>
            </w:pPr>
          </w:p>
          <w:p>
            <w:pPr>
              <w:pStyle w:val="yTable"/>
              <w:tabs>
                <w:tab w:val="left" w:pos="2338"/>
              </w:tabs>
              <w:spacing w:before="0" w:line="180" w:lineRule="atLeast"/>
              <w:rPr>
                <w:sz w:val="18"/>
              </w:rPr>
            </w:pPr>
            <w:r>
              <w:rPr>
                <w:sz w:val="18"/>
              </w:rPr>
              <w:t>Address where service</w:t>
            </w:r>
          </w:p>
          <w:p>
            <w:pPr>
              <w:pStyle w:val="yTable"/>
              <w:tabs>
                <w:tab w:val="left" w:pos="2338"/>
              </w:tabs>
              <w:spacing w:before="0" w:line="180" w:lineRule="atLeast"/>
              <w:rPr>
                <w:sz w:val="18"/>
              </w:rPr>
            </w:pPr>
            <w:r>
              <w:rPr>
                <w:sz w:val="18"/>
              </w:rPr>
              <w:t xml:space="preserve">    effected</w:t>
            </w:r>
            <w:r>
              <w:rPr>
                <w:sz w:val="18"/>
              </w:rPr>
              <w:tab/>
              <w:t>:</w:t>
            </w:r>
          </w:p>
          <w:p>
            <w:pPr>
              <w:pStyle w:val="yTable"/>
              <w:spacing w:before="0" w:line="180" w:lineRule="atLeast"/>
              <w:rPr>
                <w:sz w:val="18"/>
              </w:rPr>
            </w:pPr>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this                  day of                   20    .</w:t>
            </w:r>
          </w:p>
          <w:p>
            <w:pPr>
              <w:pStyle w:val="yTable"/>
              <w:spacing w:before="0" w:line="180" w:lineRule="atLeast"/>
              <w:rPr>
                <w:sz w:val="14"/>
              </w:rPr>
            </w:pP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(Commissioner for taking affidavits in the Supreme Court/Warden/Mining Registrar/Justice of the Peace).</w:t>
            </w:r>
          </w:p>
        </w:tc>
      </w:tr>
      <w:tr>
        <w:tc>
          <w:tcPr>
            <w:tcW w:w="2078" w:type="dxa"/>
          </w:tcPr>
          <w:p>
            <w:pPr>
              <w:pStyle w:val="yTable"/>
              <w:pageBreakBefore/>
              <w:spacing w:line="180" w:lineRule="atLeast"/>
              <w:ind w:left="-115"/>
              <w:rPr>
                <w:sz w:val="18"/>
              </w:rPr>
            </w:pPr>
            <w:r>
              <w:rPr>
                <w:sz w:val="18"/>
              </w:rPr>
              <w:t>Form 36</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126)</w:t>
            </w:r>
          </w:p>
          <w:p>
            <w:pPr>
              <w:pStyle w:val="yTable"/>
              <w:spacing w:before="120" w:line="180" w:lineRule="atLeast"/>
            </w:pPr>
            <w:r>
              <w:rPr>
                <w:b/>
              </w:rPr>
              <w:t>NOTICE OF DEFENCE</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592" w:type="dxa"/>
            <w:gridSpan w:val="2"/>
          </w:tcPr>
          <w:p>
            <w:pPr>
              <w:pStyle w:val="yTable"/>
              <w:spacing w:line="180" w:lineRule="atLeast"/>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9"/>
                <w:tab w:val="left" w:leader="dot" w:pos="1014"/>
              </w:tabs>
              <w:spacing w:before="0" w:line="180" w:lineRule="atLeast"/>
              <w:jc w:val="center"/>
              <w:rPr>
                <w:sz w:val="18"/>
              </w:rPr>
            </w:pPr>
            <w:r>
              <w:rPr>
                <w:sz w:val="18"/>
              </w:rPr>
              <w:t>No......../.........</w:t>
            </w:r>
          </w:p>
        </w:tc>
      </w:tr>
      <w:tr>
        <w:trPr>
          <w:trHeight w:hRule="exact" w:val="198"/>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before="0"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3"/>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line="180" w:lineRule="atLeast"/>
              <w:ind w:left="306" w:hanging="425"/>
              <w:rPr>
                <w:sz w:val="18"/>
              </w:rPr>
            </w:pPr>
            <w:r>
              <w:rPr>
                <w:sz w:val="18"/>
              </w:rPr>
              <w:t>(c)</w:t>
            </w:r>
            <w:r>
              <w:rPr>
                <w:sz w:val="18"/>
              </w:rPr>
              <w:tab/>
              <w:t>Grounds of defence</w:t>
            </w:r>
          </w:p>
        </w:tc>
        <w:tc>
          <w:tcPr>
            <w:tcW w:w="5010" w:type="dxa"/>
            <w:gridSpan w:val="3"/>
          </w:tcPr>
          <w:p>
            <w:pPr>
              <w:pStyle w:val="yTable"/>
              <w:spacing w:before="120" w:line="180" w:lineRule="atLeast"/>
              <w:rPr>
                <w:sz w:val="18"/>
              </w:rPr>
            </w:pPr>
            <w:r>
              <w:rPr>
                <w:sz w:val="18"/>
              </w:rPr>
              <w:t>TAKE NOTICE that I intend to defend the plaintiff’s claim in this action on the following grounds </w:t>
            </w:r>
            <w:r>
              <w:rPr>
                <w:snapToGrid w:val="0"/>
                <w:sz w:val="18"/>
              </w:rPr>
              <w:t>—</w:t>
            </w:r>
            <w:r>
              <w:rPr>
                <w:sz w:val="18"/>
              </w:rPr>
              <w:t> </w:t>
            </w:r>
          </w:p>
          <w:p>
            <w:pPr>
              <w:pStyle w:val="yTable"/>
              <w:spacing w:line="180" w:lineRule="atLeast"/>
              <w:rPr>
                <w:sz w:val="18"/>
              </w:rPr>
            </w:pPr>
            <w:r>
              <w:rPr>
                <w:sz w:val="18"/>
              </w:rPr>
              <w:t>(c)</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 xml:space="preserve">+Delete if not applicable </w:t>
            </w:r>
          </w:p>
          <w:p>
            <w:pPr>
              <w:pStyle w:val="yTable"/>
              <w:spacing w:before="0" w:line="180" w:lineRule="atLeast"/>
              <w:ind w:left="306" w:hanging="425"/>
              <w:rPr>
                <w:sz w:val="18"/>
              </w:rPr>
            </w:pPr>
            <w:r>
              <w:rPr>
                <w:sz w:val="18"/>
              </w:rPr>
              <w:t>(see Note 1)</w:t>
            </w: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defendant</w:t>
            </w:r>
          </w:p>
        </w:tc>
        <w:tc>
          <w:tcPr>
            <w:tcW w:w="5010" w:type="dxa"/>
            <w:gridSpan w:val="3"/>
          </w:tcPr>
          <w:p>
            <w:pPr>
              <w:pStyle w:val="yTable"/>
              <w:spacing w:line="180" w:lineRule="atLeast"/>
              <w:rPr>
                <w:sz w:val="18"/>
              </w:rPr>
            </w:pPr>
            <w:r>
              <w:rPr>
                <w:sz w:val="18"/>
              </w:rPr>
              <w:t>+and the defendant claims</w:t>
            </w:r>
          </w:p>
          <w:p>
            <w:pPr>
              <w:pStyle w:val="yTable"/>
              <w:spacing w:before="0" w:line="180" w:lineRule="atLeast"/>
              <w:jc w:val="center"/>
              <w:rPr>
                <w:sz w:val="18"/>
              </w:rPr>
            </w:pPr>
            <w:r>
              <w:rPr>
                <w:sz w:val="18"/>
              </w:rPr>
              <w:t>_______________</w:t>
            </w:r>
          </w:p>
          <w:p>
            <w:pPr>
              <w:pStyle w:val="yTable"/>
              <w:spacing w:before="120" w:line="180" w:lineRule="atLeast"/>
              <w:rPr>
                <w:sz w:val="18"/>
              </w:rPr>
            </w:pPr>
            <w:r>
              <w:rPr>
                <w:sz w:val="18"/>
              </w:rPr>
              <w:t>DATED at        this        day of               20   .</w:t>
            </w:r>
          </w:p>
          <w:p>
            <w:pPr>
              <w:pStyle w:val="yTable"/>
              <w:tabs>
                <w:tab w:val="left" w:leader="dot" w:pos="4748"/>
              </w:tabs>
              <w:spacing w:line="180" w:lineRule="atLeast"/>
              <w:rPr>
                <w:sz w:val="18"/>
              </w:rPr>
            </w:pPr>
            <w:r>
              <w:rPr>
                <w:sz w:val="18"/>
              </w:rPr>
              <w:t>(d) ....................................................................................................</w:t>
            </w:r>
          </w:p>
        </w:tc>
      </w:tr>
    </w:tbl>
    <w:p>
      <w:pPr>
        <w:pStyle w:val="yTable"/>
        <w:spacing w:line="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38"/>
              </w:tabs>
              <w:spacing w:line="180" w:lineRule="atLeast"/>
              <w:rPr>
                <w:sz w:val="18"/>
              </w:rPr>
            </w:pPr>
            <w:r>
              <w:rPr>
                <w:sz w:val="18"/>
              </w:rPr>
              <w:t>Received at ...............................m.</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on ..................................................</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w:t>
            </w:r>
          </w:p>
          <w:p>
            <w:pPr>
              <w:pStyle w:val="yTable"/>
              <w:tabs>
                <w:tab w:val="right" w:leader="dot" w:pos="2438"/>
              </w:tabs>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r>
        <w:rPr>
          <w:sz w:val="18"/>
        </w:rPr>
        <w:t>NOTE 1: If the defendant claims a set off or asks for cross relief, particulars of the relief sought should be stated.</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3"/>
        <w:gridCol w:w="36"/>
        <w:gridCol w:w="3402"/>
        <w:gridCol w:w="1559"/>
      </w:tblGrid>
      <w:tr>
        <w:trPr>
          <w:cantSplit/>
          <w:trHeight w:val="240"/>
        </w:trPr>
        <w:tc>
          <w:tcPr>
            <w:tcW w:w="2127" w:type="dxa"/>
            <w:gridSpan w:val="3"/>
          </w:tcPr>
          <w:p>
            <w:pPr>
              <w:pStyle w:val="yTable"/>
              <w:pageBreakBefore/>
              <w:spacing w:line="180" w:lineRule="atLeast"/>
              <w:ind w:left="-115"/>
              <w:rPr>
                <w:sz w:val="18"/>
              </w:rPr>
            </w:pPr>
            <w:r>
              <w:rPr>
                <w:sz w:val="18"/>
              </w:rPr>
              <w:t>Form 37</w:t>
            </w:r>
          </w:p>
        </w:tc>
        <w:tc>
          <w:tcPr>
            <w:tcW w:w="496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127)</w:t>
            </w:r>
          </w:p>
          <w:p>
            <w:pPr>
              <w:pStyle w:val="yTable"/>
              <w:spacing w:before="80" w:line="180" w:lineRule="atLeast"/>
            </w:pPr>
            <w:r>
              <w:rPr>
                <w:b/>
              </w:rPr>
              <w:t>SUBPOENA FOR WITNESS</w:t>
            </w:r>
          </w:p>
          <w:p>
            <w:pPr>
              <w:pStyle w:val="yTable"/>
              <w:spacing w:before="40" w:line="180" w:lineRule="atLeast"/>
              <w:rPr>
                <w:sz w:val="18"/>
              </w:rPr>
            </w:pPr>
            <w:r>
              <w:rPr>
                <w:sz w:val="18"/>
              </w:rPr>
              <w:t>In the Warden’s Court at</w:t>
            </w:r>
          </w:p>
        </w:tc>
      </w:tr>
      <w:tr>
        <w:trPr>
          <w:cantSplit/>
          <w:trHeight w:val="240"/>
        </w:trPr>
        <w:tc>
          <w:tcPr>
            <w:tcW w:w="2127" w:type="dxa"/>
            <w:gridSpan w:val="3"/>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02" w:type="dxa"/>
          </w:tcPr>
          <w:p>
            <w:pPr>
              <w:pStyle w:val="yTable"/>
              <w:spacing w:line="180" w:lineRule="atLeast"/>
              <w:rPr>
                <w:sz w:val="18"/>
              </w:rPr>
            </w:pPr>
          </w:p>
        </w:tc>
        <w:tc>
          <w:tcPr>
            <w:tcW w:w="1559"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730"/>
                <w:tab w:val="left" w:leader="dot" w:pos="1155"/>
              </w:tabs>
              <w:spacing w:before="0" w:line="180" w:lineRule="atLeast"/>
              <w:jc w:val="center"/>
              <w:rPr>
                <w:sz w:val="18"/>
              </w:rPr>
            </w:pPr>
            <w:r>
              <w:rPr>
                <w:sz w:val="18"/>
              </w:rPr>
              <w:t>No............. / .....</w:t>
            </w:r>
          </w:p>
        </w:tc>
      </w:tr>
      <w:tr>
        <w:trPr>
          <w:cantSplit/>
          <w:trHeight w:val="240"/>
        </w:trPr>
        <w:tc>
          <w:tcPr>
            <w:tcW w:w="2127" w:type="dxa"/>
            <w:gridSpan w:val="3"/>
          </w:tcPr>
          <w:p>
            <w:pPr>
              <w:pStyle w:val="yTable"/>
              <w:spacing w:line="180" w:lineRule="atLeast"/>
              <w:ind w:left="-120"/>
              <w:rPr>
                <w:sz w:val="14"/>
              </w:rPr>
            </w:pPr>
          </w:p>
        </w:tc>
        <w:tc>
          <w:tcPr>
            <w:tcW w:w="4961" w:type="dxa"/>
            <w:gridSpan w:val="2"/>
          </w:tcPr>
          <w:p>
            <w:pPr>
              <w:pStyle w:val="yTable"/>
              <w:spacing w:line="180" w:lineRule="atLeast"/>
              <w:rPr>
                <w:sz w:val="14"/>
              </w:rPr>
            </w:pPr>
          </w:p>
        </w:tc>
      </w:tr>
      <w:tr>
        <w:trPr>
          <w:cantSplit/>
          <w:trHeight w:val="240"/>
        </w:trPr>
        <w:tc>
          <w:tcPr>
            <w:tcW w:w="2127" w:type="dxa"/>
            <w:gridSpan w:val="3"/>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496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cantSplit/>
          <w:trHeight w:val="240"/>
        </w:trPr>
        <w:tc>
          <w:tcPr>
            <w:tcW w:w="2127" w:type="dxa"/>
            <w:gridSpan w:val="3"/>
          </w:tcPr>
          <w:p>
            <w:pPr>
              <w:pStyle w:val="yTable"/>
              <w:spacing w:before="30" w:line="180" w:lineRule="atLeast"/>
              <w:ind w:left="306" w:hanging="426"/>
              <w:rPr>
                <w:sz w:val="18"/>
              </w:rPr>
            </w:pPr>
          </w:p>
        </w:tc>
        <w:tc>
          <w:tcPr>
            <w:tcW w:w="4961" w:type="dxa"/>
            <w:gridSpan w:val="2"/>
          </w:tcPr>
          <w:p>
            <w:pPr>
              <w:pStyle w:val="yTable"/>
              <w:spacing w:before="30"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rPr>
          <w:cantSplit/>
          <w:trHeight w:val="240"/>
        </w:trPr>
        <w:tc>
          <w:tcPr>
            <w:tcW w:w="2127" w:type="dxa"/>
            <w:gridSpan w:val="3"/>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496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rPr>
          <w:cantSplit/>
          <w:trHeight w:val="240"/>
        </w:trPr>
        <w:tc>
          <w:tcPr>
            <w:tcW w:w="2127" w:type="dxa"/>
            <w:gridSpan w:val="3"/>
          </w:tcPr>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17" w:hanging="432"/>
              <w:rPr>
                <w:sz w:val="18"/>
              </w:rPr>
            </w:pPr>
            <w:r>
              <w:rPr>
                <w:sz w:val="18"/>
              </w:rPr>
              <w:t>(c)</w:t>
            </w:r>
            <w:r>
              <w:rPr>
                <w:sz w:val="18"/>
              </w:rPr>
              <w:tab/>
              <w:t>Place of hearing</w:t>
            </w:r>
          </w:p>
          <w:p>
            <w:pPr>
              <w:pStyle w:val="yTable"/>
              <w:spacing w:line="180" w:lineRule="atLeast"/>
              <w:ind w:left="306" w:hanging="425"/>
              <w:rPr>
                <w:sz w:val="18"/>
              </w:rPr>
            </w:pPr>
            <w:r>
              <w:rPr>
                <w:sz w:val="18"/>
              </w:rPr>
              <w:t>(d)</w:t>
            </w:r>
            <w:r>
              <w:rPr>
                <w:sz w:val="18"/>
              </w:rPr>
              <w:tab/>
              <w:t>Time and date of hearing</w:t>
            </w:r>
          </w:p>
          <w:p>
            <w:pPr>
              <w:pStyle w:val="yTable"/>
              <w:spacing w:before="120" w:line="180" w:lineRule="atLeast"/>
              <w:ind w:left="306" w:hanging="425"/>
              <w:rPr>
                <w:sz w:val="18"/>
              </w:rPr>
            </w:pPr>
            <w:r>
              <w:rPr>
                <w:sz w:val="18"/>
              </w:rPr>
              <w:t>(e)</w:t>
            </w:r>
            <w:r>
              <w:rPr>
                <w:sz w:val="18"/>
              </w:rPr>
              <w:tab/>
              <w:t>Plaintiff/</w:t>
            </w:r>
          </w:p>
          <w:p>
            <w:pPr>
              <w:pStyle w:val="yTable"/>
              <w:spacing w:before="0" w:line="180" w:lineRule="atLeast"/>
              <w:ind w:left="317" w:hanging="432"/>
              <w:rPr>
                <w:sz w:val="18"/>
              </w:rPr>
            </w:pPr>
            <w:r>
              <w:rPr>
                <w:sz w:val="18"/>
              </w:rPr>
              <w:tab/>
              <w:t>Defendant</w:t>
            </w:r>
          </w:p>
          <w:p>
            <w:pPr>
              <w:pStyle w:val="yTable"/>
              <w:spacing w:before="120" w:line="180" w:lineRule="atLeast"/>
              <w:ind w:left="306" w:hanging="425"/>
              <w:rPr>
                <w:sz w:val="18"/>
              </w:rPr>
            </w:pPr>
            <w:r>
              <w:rPr>
                <w:sz w:val="18"/>
              </w:rPr>
              <w:t>(f)</w:t>
            </w:r>
            <w:r>
              <w:rPr>
                <w:sz w:val="18"/>
              </w:rPr>
              <w:tab/>
              <w:t>State the particular things required to be produced</w:t>
            </w:r>
          </w:p>
        </w:tc>
        <w:tc>
          <w:tcPr>
            <w:tcW w:w="4961" w:type="dxa"/>
            <w:gridSpan w:val="2"/>
          </w:tcPr>
          <w:p>
            <w:pPr>
              <w:pStyle w:val="yTable"/>
              <w:spacing w:line="180" w:lineRule="atLeast"/>
              <w:rPr>
                <w:sz w:val="18"/>
              </w:rPr>
            </w:pPr>
            <w:r>
              <w:rPr>
                <w:b/>
                <w:sz w:val="18"/>
              </w:rPr>
              <w:t>TO:</w:t>
            </w:r>
          </w:p>
          <w:p>
            <w:pPr>
              <w:pStyle w:val="yTable"/>
              <w:spacing w:line="180" w:lineRule="atLeast"/>
              <w:rPr>
                <w:sz w:val="18"/>
              </w:rPr>
            </w:pPr>
            <w:r>
              <w:rPr>
                <w:sz w:val="18"/>
              </w:rPr>
              <w:t xml:space="preserve">You are hereby required to attend before this Court at   </w:t>
            </w:r>
          </w:p>
          <w:p>
            <w:pPr>
              <w:pStyle w:val="yTable"/>
              <w:tabs>
                <w:tab w:val="left" w:pos="2764"/>
              </w:tabs>
              <w:spacing w:line="180" w:lineRule="atLeast"/>
              <w:rPr>
                <w:sz w:val="18"/>
              </w:rPr>
            </w:pPr>
            <w:r>
              <w:rPr>
                <w:sz w:val="18"/>
              </w:rPr>
              <w:t>(c)</w:t>
            </w:r>
            <w:r>
              <w:rPr>
                <w:sz w:val="18"/>
              </w:rPr>
              <w:tab/>
              <w:t xml:space="preserve">at                  </w:t>
            </w:r>
          </w:p>
          <w:p>
            <w:pPr>
              <w:pStyle w:val="yTable"/>
              <w:spacing w:line="180" w:lineRule="atLeast"/>
              <w:rPr>
                <w:sz w:val="18"/>
              </w:rPr>
            </w:pPr>
            <w:r>
              <w:rPr>
                <w:sz w:val="18"/>
              </w:rPr>
              <w:t>(d)              .m on the            day of             20      .</w:t>
            </w:r>
          </w:p>
          <w:p>
            <w:pPr>
              <w:pStyle w:val="yTable"/>
              <w:spacing w:line="180" w:lineRule="atLeast"/>
              <w:rPr>
                <w:sz w:val="18"/>
              </w:rPr>
            </w:pPr>
            <w:r>
              <w:rPr>
                <w:sz w:val="18"/>
              </w:rPr>
              <w:t xml:space="preserve">and at every adjournment thereof to give evidence on behalf of </w:t>
            </w:r>
          </w:p>
          <w:p>
            <w:pPr>
              <w:pStyle w:val="yTable"/>
              <w:spacing w:line="180" w:lineRule="atLeast"/>
              <w:rPr>
                <w:sz w:val="18"/>
              </w:rPr>
            </w:pPr>
            <w:r>
              <w:rPr>
                <w:sz w:val="18"/>
              </w:rPr>
              <w:t>(e)</w:t>
            </w:r>
          </w:p>
          <w:p>
            <w:pPr>
              <w:pStyle w:val="yTable"/>
              <w:spacing w:line="180" w:lineRule="atLeast"/>
              <w:rPr>
                <w:sz w:val="18"/>
              </w:rPr>
            </w:pPr>
            <w:r>
              <w:rPr>
                <w:sz w:val="18"/>
              </w:rPr>
              <w:t>and to produce to the Court</w:t>
            </w:r>
          </w:p>
          <w:p>
            <w:pPr>
              <w:pStyle w:val="yTable"/>
              <w:spacing w:line="180" w:lineRule="atLeast"/>
              <w:rPr>
                <w:sz w:val="18"/>
              </w:rPr>
            </w:pPr>
            <w:r>
              <w:rPr>
                <w:sz w:val="18"/>
              </w:rPr>
              <w:t>(f)</w:t>
            </w:r>
          </w:p>
        </w:tc>
      </w:tr>
      <w:tr>
        <w:trPr>
          <w:cantSplit/>
          <w:trHeight w:val="240"/>
        </w:trPr>
        <w:tc>
          <w:tcPr>
            <w:tcW w:w="2127" w:type="dxa"/>
            <w:gridSpan w:val="3"/>
          </w:tcPr>
          <w:p>
            <w:pPr>
              <w:pStyle w:val="yTable"/>
              <w:spacing w:before="0" w:line="180" w:lineRule="atLeast"/>
              <w:ind w:left="306" w:hanging="425"/>
              <w:rPr>
                <w:sz w:val="18"/>
              </w:rPr>
            </w:pPr>
          </w:p>
        </w:tc>
        <w:tc>
          <w:tcPr>
            <w:tcW w:w="4961" w:type="dxa"/>
            <w:gridSpan w:val="2"/>
            <w:vMerge w:val="restart"/>
          </w:tcPr>
          <w:p>
            <w:pPr>
              <w:pStyle w:val="yTable"/>
              <w:spacing w:before="0" w:line="180" w:lineRule="atLeast"/>
              <w:rPr>
                <w:sz w:val="18"/>
              </w:rPr>
            </w:pPr>
            <w:r>
              <w:rPr>
                <w:sz w:val="18"/>
              </w:rPr>
              <w:t>If you neglect to comply with this summons you will be liable to a fine not exceeding $100 or to arrest.</w:t>
            </w:r>
          </w:p>
          <w:p>
            <w:pPr>
              <w:pStyle w:val="yTable"/>
              <w:spacing w:before="50" w:line="180" w:lineRule="atLeast"/>
              <w:rPr>
                <w:sz w:val="18"/>
              </w:rPr>
            </w:pPr>
            <w:r>
              <w:rPr>
                <w:sz w:val="18"/>
              </w:rPr>
              <w:t>Dated at                                                   this</w:t>
            </w:r>
          </w:p>
          <w:p>
            <w:pPr>
              <w:pStyle w:val="yTable"/>
              <w:spacing w:before="50" w:line="180" w:lineRule="atLeast"/>
              <w:rPr>
                <w:sz w:val="18"/>
              </w:rPr>
            </w:pPr>
            <w:r>
              <w:rPr>
                <w:sz w:val="18"/>
              </w:rPr>
              <w:t>day of                                      20     .</w:t>
            </w:r>
          </w:p>
          <w:p>
            <w:pPr>
              <w:pStyle w:val="yTable"/>
              <w:spacing w:before="50" w:line="180" w:lineRule="atLeast"/>
              <w:rPr>
                <w:sz w:val="18"/>
              </w:rPr>
            </w:pPr>
            <w:r>
              <w:rPr>
                <w:sz w:val="18"/>
              </w:rPr>
              <w:t>Conduct Money $_______</w:t>
            </w:r>
          </w:p>
          <w:p>
            <w:pPr>
              <w:pStyle w:val="yTable"/>
              <w:spacing w:before="50" w:line="180" w:lineRule="atLeast"/>
              <w:jc w:val="right"/>
              <w:rPr>
                <w:sz w:val="18"/>
              </w:rPr>
            </w:pPr>
            <w:r>
              <w:rPr>
                <w:sz w:val="18"/>
              </w:rPr>
              <w:t>....................................................... Mining Register</w:t>
            </w:r>
          </w:p>
          <w:p>
            <w:pPr>
              <w:pStyle w:val="yTable"/>
              <w:spacing w:before="50" w:line="180" w:lineRule="atLeast"/>
              <w:jc w:val="right"/>
              <w:rPr>
                <w:sz w:val="18"/>
              </w:rPr>
            </w:pPr>
            <w:r>
              <w:rPr>
                <w:sz w:val="18"/>
              </w:rPr>
              <w:t>........................................................... Mineral Field</w:t>
            </w:r>
          </w:p>
        </w:tc>
      </w:tr>
      <w:tr>
        <w:trPr>
          <w:cantSplit/>
          <w:trHeight w:val="240"/>
        </w:trPr>
        <w:tc>
          <w:tcPr>
            <w:tcW w:w="2127"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ind w:left="306" w:hanging="425"/>
              <w:jc w:val="center"/>
              <w:rPr>
                <w:sz w:val="18"/>
              </w:rPr>
            </w:pPr>
            <w:r>
              <w:rPr>
                <w:sz w:val="18"/>
              </w:rPr>
              <w:t>SEAL</w:t>
            </w:r>
          </w:p>
          <w:p>
            <w:pPr>
              <w:pStyle w:val="yTable"/>
              <w:spacing w:line="180" w:lineRule="atLeast"/>
              <w:ind w:left="306" w:hanging="425"/>
              <w:jc w:val="center"/>
              <w:rPr>
                <w:sz w:val="18"/>
              </w:rPr>
            </w:pPr>
            <w:r>
              <w:rPr>
                <w:sz w:val="18"/>
              </w:rPr>
              <w:t>OF</w:t>
            </w:r>
          </w:p>
          <w:p>
            <w:pPr>
              <w:pStyle w:val="yTable"/>
              <w:spacing w:line="180" w:lineRule="atLeast"/>
              <w:ind w:left="306" w:hanging="425"/>
              <w:jc w:val="center"/>
              <w:rPr>
                <w:sz w:val="18"/>
              </w:rPr>
            </w:pPr>
            <w:r>
              <w:rPr>
                <w:sz w:val="18"/>
              </w:rPr>
              <w:t>WARDEN’S</w:t>
            </w:r>
          </w:p>
          <w:p>
            <w:pPr>
              <w:pStyle w:val="yTable"/>
              <w:spacing w:line="180" w:lineRule="atLeast"/>
              <w:ind w:left="306" w:hanging="425"/>
              <w:jc w:val="center"/>
              <w:rPr>
                <w:sz w:val="18"/>
              </w:rPr>
            </w:pPr>
            <w:r>
              <w:rPr>
                <w:sz w:val="18"/>
              </w:rPr>
              <w:t>COURT</w:t>
            </w:r>
          </w:p>
        </w:tc>
        <w:tc>
          <w:tcPr>
            <w:tcW w:w="4961" w:type="dxa"/>
            <w:gridSpan w:val="2"/>
            <w:vMerge/>
            <w:tcBorders>
              <w:left w:val="nil"/>
            </w:tcBorders>
          </w:tcPr>
          <w:p>
            <w:pPr>
              <w:pStyle w:val="yTable"/>
              <w:spacing w:line="180" w:lineRule="atLeast"/>
              <w:rPr>
                <w:b/>
                <w:sz w:val="18"/>
              </w:rPr>
            </w:pPr>
          </w:p>
        </w:tc>
      </w:tr>
      <w:tr>
        <w:trPr>
          <w:cantSplit/>
          <w:trHeight w:val="240"/>
        </w:trPr>
        <w:tc>
          <w:tcPr>
            <w:tcW w:w="2127" w:type="dxa"/>
            <w:gridSpan w:val="3"/>
          </w:tcPr>
          <w:p>
            <w:pPr>
              <w:pStyle w:val="yTable"/>
              <w:spacing w:line="180" w:lineRule="atLeast"/>
              <w:ind w:left="306" w:hanging="425"/>
              <w:rPr>
                <w:sz w:val="18"/>
              </w:rPr>
            </w:pPr>
          </w:p>
        </w:tc>
        <w:tc>
          <w:tcPr>
            <w:tcW w:w="4961" w:type="dxa"/>
            <w:gridSpan w:val="2"/>
            <w:vMerge/>
          </w:tcPr>
          <w:p>
            <w:pPr>
              <w:pStyle w:val="yTable"/>
              <w:spacing w:line="180" w:lineRule="atLeast"/>
              <w:rPr>
                <w:b/>
                <w:sz w:val="18"/>
              </w:rPr>
            </w:pPr>
          </w:p>
        </w:tc>
      </w:tr>
      <w:tr>
        <w:tc>
          <w:tcPr>
            <w:tcW w:w="2091" w:type="dxa"/>
            <w:gridSpan w:val="2"/>
            <w:tcBorders>
              <w:top w:val="single" w:sz="7" w:space="0" w:color="auto"/>
            </w:tcBorders>
          </w:tcPr>
          <w:p>
            <w:pPr>
              <w:pStyle w:val="yTable"/>
              <w:spacing w:line="180" w:lineRule="atLeast"/>
              <w:rPr>
                <w:sz w:val="18"/>
              </w:rPr>
            </w:pPr>
          </w:p>
        </w:tc>
        <w:tc>
          <w:tcPr>
            <w:tcW w:w="4997" w:type="dxa"/>
            <w:gridSpan w:val="3"/>
            <w:tcBorders>
              <w:top w:val="single" w:sz="7" w:space="0" w:color="auto"/>
            </w:tcBorders>
          </w:tcPr>
          <w:p>
            <w:pPr>
              <w:pStyle w:val="yTable"/>
              <w:spacing w:line="180" w:lineRule="atLeast"/>
              <w:rPr>
                <w:sz w:val="18"/>
              </w:rPr>
            </w:pPr>
            <w:r>
              <w:rPr>
                <w:sz w:val="18"/>
              </w:rPr>
              <w:t xml:space="preserve">Received $ </w:t>
            </w:r>
            <w:r>
              <w:rPr>
                <w:sz w:val="18"/>
                <w:u w:val="single"/>
              </w:rPr>
              <w:t xml:space="preserve">          </w:t>
            </w:r>
            <w:r>
              <w:rPr>
                <w:sz w:val="18"/>
              </w:rPr>
              <w:t xml:space="preserve">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paper writing marked “A” referred to in the annexed affidavit of</w:t>
            </w:r>
          </w:p>
          <w:p>
            <w:pPr>
              <w:pStyle w:val="yTable"/>
              <w:spacing w:before="0" w:line="180" w:lineRule="atLeast"/>
              <w:rPr>
                <w:sz w:val="18"/>
              </w:rPr>
            </w:pPr>
            <w:r>
              <w:rPr>
                <w:sz w:val="18"/>
              </w:rPr>
              <w:t xml:space="preserve">sworn before me at                     </w:t>
            </w:r>
          </w:p>
          <w:p>
            <w:pPr>
              <w:pStyle w:val="yTable"/>
              <w:spacing w:before="0" w:line="180" w:lineRule="atLeast"/>
              <w:rPr>
                <w:sz w:val="18"/>
              </w:rPr>
            </w:pPr>
            <w:r>
              <w:rPr>
                <w:sz w:val="18"/>
              </w:rPr>
              <w:t>this          day of                        20     .</w:t>
            </w:r>
          </w:p>
          <w:p>
            <w:pPr>
              <w:pStyle w:val="yTable"/>
              <w:spacing w:before="40" w:line="180" w:lineRule="atLeast"/>
              <w:jc w:val="right"/>
              <w:rPr>
                <w:sz w:val="18"/>
              </w:rPr>
            </w:pPr>
            <w:r>
              <w:rPr>
                <w:sz w:val="18"/>
              </w:rPr>
              <w:t>...............................................................</w:t>
            </w:r>
          </w:p>
        </w:tc>
      </w:tr>
      <w:tr>
        <w:tc>
          <w:tcPr>
            <w:tcW w:w="2078" w:type="dxa"/>
          </w:tcPr>
          <w:p>
            <w:pPr>
              <w:pStyle w:val="yTable"/>
              <w:pageBreakBefore/>
              <w:spacing w:line="180" w:lineRule="atLeast"/>
              <w:ind w:left="-115"/>
              <w:rPr>
                <w:sz w:val="18"/>
              </w:rPr>
            </w:pPr>
            <w:r>
              <w:rPr>
                <w:sz w:val="18"/>
              </w:rPr>
              <w:t>Form 38</w:t>
            </w:r>
          </w:p>
        </w:tc>
        <w:tc>
          <w:tcPr>
            <w:tcW w:w="5010"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129)</w:t>
            </w:r>
          </w:p>
          <w:p>
            <w:pPr>
              <w:pStyle w:val="yTable"/>
              <w:spacing w:before="120" w:line="180" w:lineRule="atLeast"/>
            </w:pPr>
            <w:r>
              <w:rPr>
                <w:b/>
              </w:rPr>
              <w:t>JUDGMENT/ORDER OF WARDEN’S COURT</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51" w:type="dxa"/>
            <w:gridSpan w:val="3"/>
          </w:tcPr>
          <w:p>
            <w:pPr>
              <w:pStyle w:val="yTable"/>
              <w:spacing w:line="180" w:lineRule="atLeast"/>
              <w:rPr>
                <w:sz w:val="18"/>
              </w:rPr>
            </w:pP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pos="730"/>
                <w:tab w:val="left" w:pos="1155"/>
              </w:tabs>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4"/>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4"/>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Insert decision</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Set forth the order in full</w:t>
            </w:r>
          </w:p>
          <w:p>
            <w:pPr>
              <w:pStyle w:val="yTable"/>
              <w:spacing w:before="0" w:line="180" w:lineRule="atLeast"/>
              <w:ind w:left="306" w:hanging="425"/>
              <w:rPr>
                <w:sz w:val="18"/>
              </w:rPr>
            </w:pPr>
          </w:p>
          <w:p>
            <w:pPr>
              <w:pStyle w:val="yTable"/>
              <w:spacing w:before="0" w:line="180" w:lineRule="atLeast"/>
              <w:rPr>
                <w:sz w:val="18"/>
              </w:rPr>
            </w:pPr>
          </w:p>
        </w:tc>
        <w:tc>
          <w:tcPr>
            <w:tcW w:w="5010" w:type="dxa"/>
            <w:gridSpan w:val="4"/>
          </w:tcPr>
          <w:p>
            <w:pPr>
              <w:pStyle w:val="yTable"/>
              <w:spacing w:line="180" w:lineRule="atLeast"/>
              <w:rPr>
                <w:sz w:val="18"/>
              </w:rPr>
            </w:pPr>
          </w:p>
          <w:p>
            <w:pPr>
              <w:pStyle w:val="yTable"/>
              <w:spacing w:before="0" w:line="180" w:lineRule="atLeast"/>
              <w:rPr>
                <w:sz w:val="18"/>
              </w:rPr>
            </w:pPr>
            <w:r>
              <w:rPr>
                <w:sz w:val="18"/>
              </w:rPr>
              <w:t>THE Court adjudges that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the Court orders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DATED at</w:t>
            </w:r>
          </w:p>
          <w:p>
            <w:pPr>
              <w:pStyle w:val="yTable"/>
              <w:spacing w:before="0" w:line="180" w:lineRule="atLeast"/>
              <w:rPr>
                <w:sz w:val="18"/>
              </w:rPr>
            </w:pPr>
          </w:p>
          <w:p>
            <w:pPr>
              <w:pStyle w:val="yTable"/>
              <w:spacing w:line="180" w:lineRule="atLeast"/>
              <w:rPr>
                <w:sz w:val="18"/>
              </w:rPr>
            </w:pPr>
            <w:r>
              <w:rPr>
                <w:sz w:val="18"/>
              </w:rPr>
              <w:t>this                       day of                          20   .</w:t>
            </w:r>
          </w:p>
          <w:p>
            <w:pPr>
              <w:pStyle w:val="yTable"/>
              <w:spacing w:before="0" w:line="180" w:lineRule="atLeast"/>
              <w:rPr>
                <w:sz w:val="18"/>
              </w:rPr>
            </w:pPr>
          </w:p>
        </w:tc>
      </w:tr>
      <w:tr>
        <w:trPr>
          <w:cantSplit/>
          <w:trHeight w:val="1200"/>
        </w:trPr>
        <w:tc>
          <w:tcPr>
            <w:tcW w:w="2078" w:type="dxa"/>
            <w:tcBorders>
              <w:top w:val="single" w:sz="4" w:space="0" w:color="auto"/>
              <w:left w:val="single" w:sz="4" w:space="0" w:color="auto"/>
              <w:bottom w:val="single" w:sz="4" w:space="0" w:color="auto"/>
              <w:right w:val="single" w:sz="4" w:space="0" w:color="auto"/>
            </w:tcBorders>
          </w:tcPr>
          <w:p>
            <w:pPr>
              <w:pStyle w:val="yTable"/>
              <w:spacing w:before="200" w:line="180" w:lineRule="atLeast"/>
              <w:ind w:left="306" w:hanging="425"/>
              <w:jc w:val="center"/>
              <w:rPr>
                <w:sz w:val="18"/>
              </w:rPr>
            </w:pPr>
            <w:r>
              <w:rPr>
                <w:sz w:val="18"/>
              </w:rPr>
              <w:t>SEAL</w:t>
            </w:r>
          </w:p>
          <w:p>
            <w:pPr>
              <w:pStyle w:val="yTable"/>
              <w:spacing w:before="0" w:line="180" w:lineRule="atLeast"/>
              <w:ind w:left="306" w:hanging="425"/>
              <w:jc w:val="center"/>
              <w:rPr>
                <w:sz w:val="18"/>
              </w:rPr>
            </w:pPr>
            <w:r>
              <w:rPr>
                <w:sz w:val="18"/>
              </w:rPr>
              <w:t>OF</w:t>
            </w:r>
          </w:p>
          <w:p>
            <w:pPr>
              <w:pStyle w:val="yTable"/>
              <w:spacing w:before="0" w:line="180" w:lineRule="atLeast"/>
              <w:ind w:left="306" w:hanging="425"/>
              <w:jc w:val="center"/>
              <w:rPr>
                <w:sz w:val="18"/>
              </w:rPr>
            </w:pPr>
            <w:r>
              <w:rPr>
                <w:sz w:val="18"/>
              </w:rPr>
              <w:t>WARDEN’S</w:t>
            </w:r>
          </w:p>
          <w:p>
            <w:pPr>
              <w:pStyle w:val="yTable"/>
              <w:spacing w:before="0" w:line="180" w:lineRule="atLeast"/>
              <w:ind w:left="306" w:hanging="425"/>
              <w:jc w:val="center"/>
              <w:rPr>
                <w:sz w:val="18"/>
              </w:rPr>
            </w:pPr>
            <w:r>
              <w:rPr>
                <w:sz w:val="18"/>
              </w:rPr>
              <w:t>COURT</w:t>
            </w:r>
          </w:p>
        </w:tc>
        <w:tc>
          <w:tcPr>
            <w:tcW w:w="5010" w:type="dxa"/>
            <w:gridSpan w:val="4"/>
            <w:tcBorders>
              <w:left w:val="nil"/>
            </w:tcBorders>
          </w:tcPr>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309"/>
        <w:gridCol w:w="1701"/>
      </w:tblGrid>
      <w:tr>
        <w:trPr>
          <w:cantSplit/>
          <w:trHeight w:val="720"/>
        </w:trPr>
        <w:tc>
          <w:tcPr>
            <w:tcW w:w="2078" w:type="dxa"/>
          </w:tcPr>
          <w:p>
            <w:pPr>
              <w:pStyle w:val="yTable"/>
              <w:pageBreakBefore/>
              <w:spacing w:line="180" w:lineRule="atLeast"/>
              <w:ind w:left="-119"/>
              <w:rPr>
                <w:sz w:val="18"/>
              </w:rPr>
            </w:pPr>
            <w:r>
              <w:rPr>
                <w:sz w:val="18"/>
              </w:rPr>
              <w:t>Form 39</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130)</w:t>
            </w:r>
          </w:p>
          <w:p>
            <w:pPr>
              <w:pStyle w:val="yTable"/>
              <w:spacing w:line="180" w:lineRule="atLeast"/>
            </w:pPr>
            <w:r>
              <w:rPr>
                <w:b/>
              </w:rPr>
              <w:t>WARRANT OF EXECUTION</w:t>
            </w:r>
          </w:p>
          <w:p>
            <w:pPr>
              <w:pStyle w:val="yTable"/>
              <w:spacing w:before="40" w:line="180" w:lineRule="atLeast"/>
              <w:rPr>
                <w:sz w:val="18"/>
              </w:rPr>
            </w:pPr>
            <w:r>
              <w:rPr>
                <w:sz w:val="18"/>
              </w:rPr>
              <w:t>In the Warden’s Court at</w:t>
            </w:r>
          </w:p>
        </w:tc>
      </w:tr>
      <w:tr>
        <w:trPr>
          <w:cantSplit/>
          <w:trHeight w:val="560"/>
        </w:trP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309"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cantSplit/>
          <w:trHeight w:val="240"/>
        </w:trPr>
        <w:tc>
          <w:tcPr>
            <w:tcW w:w="2078" w:type="dxa"/>
          </w:tcPr>
          <w:p>
            <w:pPr>
              <w:pStyle w:val="yTable"/>
              <w:spacing w:line="180" w:lineRule="atLeast"/>
              <w:ind w:left="-120"/>
              <w:rPr>
                <w:sz w:val="18"/>
              </w:rPr>
            </w:pPr>
          </w:p>
        </w:tc>
        <w:tc>
          <w:tcPr>
            <w:tcW w:w="5010" w:type="dxa"/>
            <w:gridSpan w:val="2"/>
          </w:tcPr>
          <w:p>
            <w:pPr>
              <w:pStyle w:val="yTable"/>
              <w:spacing w:line="180" w:lineRule="atLeast"/>
              <w:rPr>
                <w:sz w:val="18"/>
              </w:rPr>
            </w:pPr>
          </w:p>
        </w:tc>
      </w:tr>
      <w:tr>
        <w:trPr>
          <w:cantSplit/>
          <w:trHeight w:val="720"/>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before="0" w:line="180" w:lineRule="atLeast"/>
              <w:rPr>
                <w:sz w:val="18"/>
              </w:rPr>
            </w:pPr>
          </w:p>
        </w:tc>
      </w:tr>
      <w:tr>
        <w:trPr>
          <w:cantSplit/>
          <w:trHeight w:val="240"/>
        </w:trPr>
        <w:tc>
          <w:tcPr>
            <w:tcW w:w="2078" w:type="dxa"/>
          </w:tcPr>
          <w:p>
            <w:pPr>
              <w:pStyle w:val="yTable"/>
              <w:spacing w:before="0" w:line="180" w:lineRule="atLeast"/>
              <w:ind w:left="306" w:hanging="425"/>
              <w:rPr>
                <w:sz w:val="18"/>
              </w:rPr>
            </w:pPr>
          </w:p>
        </w:tc>
        <w:tc>
          <w:tcPr>
            <w:tcW w:w="5010" w:type="dxa"/>
            <w:gridSpan w:val="2"/>
          </w:tcPr>
          <w:p>
            <w:pPr>
              <w:pStyle w:val="yTable"/>
              <w:spacing w:before="20"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rPr>
          <w:cantSplit/>
          <w:trHeight w:val="720"/>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rPr>
          <w:cantSplit/>
          <w:trHeight w:val="720"/>
        </w:trP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r>
              <w:rPr>
                <w:sz w:val="18"/>
              </w:rPr>
              <w:t>*Delete whichever not applicable</w:t>
            </w: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r>
              <w:rPr>
                <w:sz w:val="18"/>
              </w:rPr>
              <w:t>†Defendant or Plaintiff</w:t>
            </w:r>
          </w:p>
          <w:p>
            <w:pPr>
              <w:pStyle w:val="yTable"/>
              <w:spacing w:line="180" w:lineRule="atLeast"/>
              <w:ind w:left="-120"/>
              <w:rPr>
                <w:sz w:val="18"/>
              </w:rPr>
            </w:pPr>
          </w:p>
        </w:tc>
        <w:tc>
          <w:tcPr>
            <w:tcW w:w="5010" w:type="dxa"/>
            <w:gridSpan w:val="2"/>
            <w:vMerge w:val="restart"/>
          </w:tcPr>
          <w:p>
            <w:pPr>
              <w:pStyle w:val="yTable"/>
              <w:spacing w:line="180" w:lineRule="atLeast"/>
              <w:rPr>
                <w:sz w:val="18"/>
              </w:rPr>
            </w:pPr>
            <w:r>
              <w:rPr>
                <w:b/>
                <w:sz w:val="18"/>
              </w:rPr>
              <w:t>TO:</w:t>
            </w:r>
            <w:r>
              <w:rPr>
                <w:sz w:val="18"/>
              </w:rPr>
              <w:t xml:space="preserve">  The Bailiff</w:t>
            </w:r>
          </w:p>
          <w:p>
            <w:pPr>
              <w:pStyle w:val="yTable"/>
              <w:spacing w:before="20" w:line="180" w:lineRule="atLeast"/>
              <w:rPr>
                <w:sz w:val="18"/>
              </w:rPr>
            </w:pPr>
            <w:r>
              <w:rPr>
                <w:sz w:val="18"/>
              </w:rPr>
              <w:t xml:space="preserve">WHEREAS on the               DAY of                    20  </w:t>
            </w:r>
          </w:p>
          <w:p>
            <w:pPr>
              <w:pStyle w:val="yTable"/>
              <w:spacing w:before="20" w:line="180" w:lineRule="atLeast"/>
              <w:rPr>
                <w:sz w:val="18"/>
              </w:rPr>
            </w:pPr>
            <w:r>
              <w:rPr>
                <w:sz w:val="18"/>
              </w:rPr>
              <w:t>* the plaintiff obtained a judgment of this Court against the defendant for debt (or damages) and costs in the sum of</w:t>
            </w:r>
          </w:p>
          <w:p>
            <w:pPr>
              <w:pStyle w:val="yTable"/>
              <w:spacing w:before="0" w:line="180" w:lineRule="atLeast"/>
              <w:jc w:val="center"/>
              <w:rPr>
                <w:sz w:val="18"/>
              </w:rPr>
            </w:pPr>
            <w:r>
              <w:rPr>
                <w:sz w:val="18"/>
              </w:rPr>
              <w:t>or</w:t>
            </w:r>
          </w:p>
          <w:p>
            <w:pPr>
              <w:pStyle w:val="yTable"/>
              <w:spacing w:before="0" w:line="180" w:lineRule="atLeast"/>
              <w:rPr>
                <w:sz w:val="18"/>
              </w:rPr>
            </w:pPr>
            <w:r>
              <w:rPr>
                <w:sz w:val="18"/>
              </w:rPr>
              <w:t>*it was ordered by the Court that judgment should be entered for the defendant, or that judgment of nonsuit should be entered and the costs be paid by the plaintiff to the defendant                 in the sum of                 and whereas default has been made in the payment thereof.</w:t>
            </w:r>
          </w:p>
          <w:p>
            <w:pPr>
              <w:pStyle w:val="yTable"/>
              <w:spacing w:before="40" w:line="180" w:lineRule="atLeast"/>
              <w:rPr>
                <w:sz w:val="18"/>
              </w:rPr>
            </w:pPr>
            <w:r>
              <w:rPr>
                <w:sz w:val="18"/>
              </w:rPr>
              <w:t>These are, therefore, to require and order you FORTHWITH TO LEVY BY DISTRESS AND SALE OF THE GOODS against any property of the †                            wheresoever it may be found, the sum of                       in addition to the costs of this execution, and also to seize and take any money, or bank notes or securities for money of the †                               or such part or so much thereof as may be sufficient to satisfy this execution and the costs of making and executing the same and forthwith to return the same to me, to be paid over to the †                         together with this warrant.</w:t>
            </w:r>
          </w:p>
          <w:p>
            <w:pPr>
              <w:pStyle w:val="yTable"/>
              <w:spacing w:before="40" w:line="180" w:lineRule="atLeast"/>
              <w:rPr>
                <w:sz w:val="18"/>
              </w:rPr>
            </w:pPr>
            <w:r>
              <w:rPr>
                <w:sz w:val="18"/>
              </w:rPr>
              <w:t>DATED at          this        day of                   20</w:t>
            </w:r>
          </w:p>
          <w:p>
            <w:pPr>
              <w:pStyle w:val="yTable"/>
              <w:spacing w:before="40" w:line="180" w:lineRule="atLeast"/>
              <w:jc w:val="center"/>
              <w:rPr>
                <w:sz w:val="18"/>
              </w:rPr>
            </w:pPr>
            <w:r>
              <w:rPr>
                <w:sz w:val="18"/>
              </w:rPr>
              <w:t>By the Court</w:t>
            </w:r>
          </w:p>
          <w:p>
            <w:pPr>
              <w:pStyle w:val="yTable"/>
              <w:tabs>
                <w:tab w:val="right" w:leader="dot" w:pos="4748"/>
              </w:tabs>
              <w:spacing w:before="20" w:line="180" w:lineRule="atLeast"/>
              <w:ind w:left="1060"/>
              <w:rPr>
                <w:sz w:val="18"/>
              </w:rPr>
            </w:pPr>
            <w:r>
              <w:rPr>
                <w:sz w:val="18"/>
              </w:rPr>
              <w:t>.......................................................Mining Registrar</w:t>
            </w:r>
          </w:p>
          <w:p>
            <w:pPr>
              <w:pStyle w:val="yTable"/>
              <w:tabs>
                <w:tab w:val="right" w:leader="dot" w:pos="4748"/>
              </w:tabs>
              <w:spacing w:before="0" w:line="180" w:lineRule="atLeast"/>
              <w:ind w:left="1060"/>
              <w:rPr>
                <w:sz w:val="18"/>
              </w:rPr>
            </w:pPr>
            <w:r>
              <w:rPr>
                <w:sz w:val="18"/>
              </w:rPr>
              <w:t>............................................................Mineral Field</w:t>
            </w:r>
          </w:p>
        </w:tc>
      </w:tr>
      <w:tr>
        <w:trPr>
          <w:cantSplit/>
          <w:trHeight w:val="758"/>
        </w:trPr>
        <w:tc>
          <w:tcPr>
            <w:tcW w:w="2078"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SEAL</w:t>
            </w:r>
          </w:p>
          <w:p>
            <w:pPr>
              <w:pStyle w:val="yTable"/>
              <w:spacing w:before="0" w:line="180" w:lineRule="atLeast"/>
              <w:ind w:left="-119"/>
              <w:jc w:val="center"/>
              <w:rPr>
                <w:sz w:val="18"/>
              </w:rPr>
            </w:pPr>
            <w:r>
              <w:rPr>
                <w:sz w:val="18"/>
              </w:rPr>
              <w:t>OF THE</w:t>
            </w:r>
          </w:p>
          <w:p>
            <w:pPr>
              <w:pStyle w:val="yTable"/>
              <w:spacing w:before="0" w:line="180" w:lineRule="atLeast"/>
              <w:ind w:left="-115"/>
              <w:jc w:val="center"/>
              <w:rPr>
                <w:sz w:val="18"/>
              </w:rPr>
            </w:pPr>
            <w:r>
              <w:rPr>
                <w:sz w:val="18"/>
              </w:rPr>
              <w:t>COURT</w:t>
            </w:r>
          </w:p>
        </w:tc>
        <w:tc>
          <w:tcPr>
            <w:tcW w:w="5010" w:type="dxa"/>
            <w:gridSpan w:val="2"/>
            <w:vMerge/>
            <w:tcBorders>
              <w:left w:val="nil"/>
            </w:tcBorders>
          </w:tcPr>
          <w:p>
            <w:pPr>
              <w:pStyle w:val="yTable"/>
              <w:spacing w:line="180" w:lineRule="atLeast"/>
              <w:rPr>
                <w:b/>
                <w:sz w:val="18"/>
              </w:rPr>
            </w:pPr>
          </w:p>
        </w:tc>
      </w:tr>
      <w:tr>
        <w:trPr>
          <w:cantSplit/>
          <w:trHeight w:val="757"/>
        </w:trPr>
        <w:tc>
          <w:tcPr>
            <w:tcW w:w="2078" w:type="dxa"/>
          </w:tcPr>
          <w:p>
            <w:pPr>
              <w:pStyle w:val="yTable"/>
              <w:spacing w:line="180" w:lineRule="atLeast"/>
              <w:ind w:left="-120"/>
              <w:jc w:val="center"/>
              <w:rPr>
                <w:sz w:val="18"/>
              </w:rPr>
            </w:pPr>
          </w:p>
        </w:tc>
        <w:tc>
          <w:tcPr>
            <w:tcW w:w="5010" w:type="dxa"/>
            <w:gridSpan w:val="2"/>
            <w:vMerge/>
          </w:tcPr>
          <w:p>
            <w:pPr>
              <w:pStyle w:val="yTable"/>
              <w:spacing w:line="180" w:lineRule="atLeast"/>
              <w:rPr>
                <w:b/>
                <w:sz w:val="18"/>
              </w:rPr>
            </w:pP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rPr>
                <w:sz w:val="18"/>
              </w:rPr>
            </w:pPr>
          </w:p>
        </w:tc>
        <w:tc>
          <w:tcPr>
            <w:tcW w:w="5010" w:type="dxa"/>
          </w:tcPr>
          <w:p>
            <w:pPr>
              <w:pStyle w:val="yTable"/>
              <w:tabs>
                <w:tab w:val="left" w:pos="496"/>
                <w:tab w:val="left" w:pos="1913"/>
                <w:tab w:val="left" w:pos="2197"/>
                <w:tab w:val="left" w:pos="3614"/>
              </w:tabs>
              <w:spacing w:line="180" w:lineRule="atLeast"/>
              <w:rPr>
                <w:sz w:val="18"/>
              </w:rPr>
            </w:pPr>
            <w:r>
              <w:rPr>
                <w:sz w:val="18"/>
              </w:rPr>
              <w:tab/>
              <w:t>Judgment</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Costs</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Execution</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Other</w:t>
            </w:r>
            <w:r>
              <w:rPr>
                <w:sz w:val="18"/>
              </w:rPr>
              <w:tab/>
            </w:r>
            <w:r>
              <w:rPr>
                <w:sz w:val="18"/>
              </w:rPr>
              <w:tab/>
            </w:r>
            <w:r>
              <w:rPr>
                <w:sz w:val="18"/>
              </w:rPr>
              <w:tab/>
            </w:r>
            <w:r>
              <w:rPr>
                <w:sz w:val="18"/>
                <w:u w:val="single"/>
              </w:rPr>
              <w:t>$             </w:t>
            </w:r>
          </w:p>
          <w:p>
            <w:pPr>
              <w:pStyle w:val="yTable"/>
              <w:tabs>
                <w:tab w:val="left" w:pos="496"/>
                <w:tab w:val="left" w:pos="1913"/>
                <w:tab w:val="left" w:pos="2197"/>
                <w:tab w:val="left" w:pos="3614"/>
              </w:tabs>
              <w:spacing w:line="180" w:lineRule="atLeast"/>
              <w:rPr>
                <w:sz w:val="18"/>
              </w:rPr>
            </w:pPr>
            <w:r>
              <w:rPr>
                <w:sz w:val="18"/>
              </w:rPr>
              <w:tab/>
              <w:t>Total amount to be levied</w:t>
            </w:r>
            <w:r>
              <w:rPr>
                <w:sz w:val="18"/>
              </w:rPr>
              <w:tab/>
            </w:r>
            <w:r>
              <w:rPr>
                <w:sz w:val="18"/>
                <w:u w:val="single"/>
              </w:rPr>
              <w:t>$             </w:t>
            </w:r>
          </w:p>
          <w:p>
            <w:pPr>
              <w:pStyle w:val="yTable"/>
              <w:tabs>
                <w:tab w:val="right" w:leader="dot" w:pos="4181"/>
              </w:tabs>
              <w:spacing w:line="180" w:lineRule="atLeast"/>
              <w:rPr>
                <w:sz w:val="18"/>
              </w:rPr>
            </w:pPr>
            <w:r>
              <w:rPr>
                <w:sz w:val="18"/>
              </w:rPr>
              <w:t>Application was made for this warrant at ...................... m.</w:t>
            </w:r>
          </w:p>
          <w:p>
            <w:pPr>
              <w:pStyle w:val="yTable"/>
              <w:tabs>
                <w:tab w:val="right" w:leader="dot" w:pos="2764"/>
              </w:tabs>
              <w:spacing w:before="0" w:line="180" w:lineRule="atLeast"/>
              <w:rPr>
                <w:sz w:val="18"/>
              </w:rPr>
            </w:pPr>
            <w:r>
              <w:rPr>
                <w:sz w:val="18"/>
              </w:rPr>
              <w:t>on .........................................................</w:t>
            </w:r>
          </w:p>
          <w:p>
            <w:pPr>
              <w:pStyle w:val="yTable"/>
              <w:tabs>
                <w:tab w:val="left" w:pos="4181"/>
                <w:tab w:val="left" w:pos="6096"/>
                <w:tab w:val="left" w:pos="6379"/>
              </w:tabs>
              <w:spacing w:before="0" w:line="180" w:lineRule="atLeast"/>
              <w:rPr>
                <w:sz w:val="18"/>
              </w:rPr>
            </w:pPr>
            <w:r>
              <w:rPr>
                <w:sz w:val="18"/>
              </w:rPr>
              <w:t>Returned this Warrant to the above Warden’s Court on the</w:t>
            </w:r>
          </w:p>
          <w:p>
            <w:pPr>
              <w:pStyle w:val="yTable"/>
              <w:tabs>
                <w:tab w:val="left" w:pos="4181"/>
                <w:tab w:val="left" w:pos="6096"/>
                <w:tab w:val="left" w:pos="6379"/>
              </w:tabs>
              <w:spacing w:before="0" w:line="180" w:lineRule="atLeast"/>
              <w:rPr>
                <w:sz w:val="18"/>
              </w:rPr>
            </w:pPr>
            <w:r>
              <w:rPr>
                <w:sz w:val="18"/>
              </w:rPr>
              <w:t xml:space="preserve">                               day of </w:t>
            </w:r>
            <w:r>
              <w:rPr>
                <w:sz w:val="18"/>
              </w:rPr>
              <w:tab/>
              <w:t xml:space="preserve">20       </w:t>
            </w:r>
          </w:p>
          <w:p>
            <w:pPr>
              <w:pStyle w:val="yTable"/>
              <w:spacing w:before="0" w:line="180" w:lineRule="atLeast"/>
              <w:rPr>
                <w:sz w:val="18"/>
              </w:rPr>
            </w:pPr>
            <w:r>
              <w:rPr>
                <w:sz w:val="18"/>
              </w:rPr>
              <w:t>with the sum of                                             in satisfaction thereof.</w:t>
            </w:r>
          </w:p>
          <w:p>
            <w:pPr>
              <w:pStyle w:val="yTable"/>
              <w:spacing w:line="180" w:lineRule="atLeast"/>
              <w:rPr>
                <w:sz w:val="18"/>
              </w:rPr>
            </w:pPr>
          </w:p>
          <w:p>
            <w:pPr>
              <w:pStyle w:val="yTable"/>
              <w:tabs>
                <w:tab w:val="right" w:leader="dot" w:pos="4748"/>
              </w:tabs>
              <w:spacing w:line="180" w:lineRule="atLeast"/>
              <w:ind w:left="1063"/>
              <w:rPr>
                <w:sz w:val="18"/>
              </w:rPr>
            </w:pPr>
            <w:r>
              <w:rPr>
                <w:sz w:val="18"/>
              </w:rPr>
              <w:tab/>
              <w:t>BAILIFF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592"/>
        <w:gridCol w:w="1418"/>
      </w:tblGrid>
      <w:tr>
        <w:tc>
          <w:tcPr>
            <w:tcW w:w="2078" w:type="dxa"/>
          </w:tcPr>
          <w:p>
            <w:pPr>
              <w:pStyle w:val="yTable"/>
              <w:pageBreakBefore/>
              <w:spacing w:line="180" w:lineRule="atLeast"/>
              <w:ind w:left="-115"/>
              <w:rPr>
                <w:sz w:val="18"/>
              </w:rPr>
            </w:pPr>
            <w:r>
              <w:rPr>
                <w:sz w:val="18"/>
              </w:rPr>
              <w:t>Form 40</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141 Reg. 131)</w:t>
            </w:r>
          </w:p>
          <w:p>
            <w:pPr>
              <w:pStyle w:val="yTable"/>
              <w:spacing w:before="120" w:line="180" w:lineRule="atLeast"/>
            </w:pPr>
            <w:r>
              <w:rPr>
                <w:b/>
              </w:rPr>
              <w:t>WARRANT FOR RECOVERY OF POSSESSION</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592" w:type="dxa"/>
          </w:tcPr>
          <w:p>
            <w:pPr>
              <w:pStyle w:val="yTable"/>
              <w:spacing w:line="180" w:lineRule="atLeast"/>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9"/>
                <w:tab w:val="left" w:leader="dot" w:pos="1014"/>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line="180" w:lineRule="atLeast"/>
              <w:rPr>
                <w:sz w:val="18"/>
              </w:rPr>
            </w:pPr>
          </w:p>
        </w:tc>
      </w:tr>
      <w:tr>
        <w:trPr>
          <w:cantSplit/>
        </w:trPr>
        <w:tc>
          <w:tcPr>
            <w:tcW w:w="2078" w:type="dxa"/>
          </w:tcPr>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306" w:hanging="425"/>
              <w:rPr>
                <w:sz w:val="18"/>
              </w:rPr>
            </w:pPr>
            <w:r>
              <w:rPr>
                <w:sz w:val="18"/>
              </w:rPr>
              <w:t>(c)</w:t>
            </w:r>
            <w:r>
              <w:rPr>
                <w:sz w:val="18"/>
              </w:rPr>
              <w:tab/>
              <w:t>Here state terms of order</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line="180" w:lineRule="atLeast"/>
              <w:ind w:left="-120"/>
              <w:rPr>
                <w:sz w:val="18"/>
              </w:rPr>
            </w:pPr>
          </w:p>
        </w:tc>
        <w:tc>
          <w:tcPr>
            <w:tcW w:w="5010" w:type="dxa"/>
            <w:gridSpan w:val="2"/>
            <w:vMerge w:val="restart"/>
          </w:tcPr>
          <w:p>
            <w:pPr>
              <w:pStyle w:val="yTable"/>
              <w:spacing w:line="180" w:lineRule="atLeast"/>
              <w:rPr>
                <w:sz w:val="18"/>
              </w:rPr>
            </w:pPr>
            <w:r>
              <w:rPr>
                <w:b/>
                <w:sz w:val="18"/>
              </w:rPr>
              <w:t>TO:</w:t>
            </w:r>
            <w:r>
              <w:rPr>
                <w:sz w:val="18"/>
              </w:rPr>
              <w:t xml:space="preserve">  The Bailiff</w:t>
            </w:r>
          </w:p>
          <w:p>
            <w:pPr>
              <w:pStyle w:val="yTable"/>
              <w:spacing w:line="180" w:lineRule="atLeast"/>
              <w:rPr>
                <w:sz w:val="18"/>
              </w:rPr>
            </w:pPr>
          </w:p>
          <w:p>
            <w:pPr>
              <w:pStyle w:val="yTable"/>
              <w:spacing w:line="180" w:lineRule="atLeast"/>
              <w:rPr>
                <w:sz w:val="18"/>
              </w:rPr>
            </w:pPr>
            <w:r>
              <w:rPr>
                <w:sz w:val="18"/>
              </w:rPr>
              <w:t>WHEREAS on the               DAY of</w:t>
            </w:r>
            <w:r>
              <w:rPr>
                <w:sz w:val="18"/>
              </w:rPr>
              <w:tab/>
              <w:t xml:space="preserve">          20     </w:t>
            </w:r>
          </w:p>
          <w:p>
            <w:pPr>
              <w:pStyle w:val="yTable"/>
              <w:spacing w:before="0" w:line="180" w:lineRule="atLeast"/>
              <w:rPr>
                <w:sz w:val="18"/>
              </w:rPr>
            </w:pPr>
            <w:r>
              <w:rPr>
                <w:sz w:val="18"/>
              </w:rPr>
              <w:t>an order was made in the above Court that the defendant deliver up possession of</w:t>
            </w:r>
          </w:p>
          <w:p>
            <w:pPr>
              <w:pStyle w:val="yTable"/>
              <w:spacing w:line="180" w:lineRule="atLeast"/>
              <w:rPr>
                <w:sz w:val="18"/>
              </w:rPr>
            </w:pPr>
          </w:p>
          <w:p>
            <w:pPr>
              <w:pStyle w:val="yTable"/>
              <w:spacing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tabs>
                <w:tab w:val="right" w:pos="4748"/>
              </w:tabs>
              <w:spacing w:before="0" w:line="180" w:lineRule="atLeast"/>
              <w:rPr>
                <w:sz w:val="18"/>
              </w:rPr>
            </w:pPr>
            <w:r>
              <w:rPr>
                <w:sz w:val="18"/>
              </w:rPr>
              <w:tab/>
              <w:t>to the plaintiff</w:t>
            </w:r>
          </w:p>
          <w:p>
            <w:pPr>
              <w:pStyle w:val="yTable"/>
              <w:spacing w:before="0" w:line="180" w:lineRule="atLeast"/>
              <w:rPr>
                <w:sz w:val="18"/>
              </w:rPr>
            </w:pPr>
            <w:r>
              <w:rPr>
                <w:sz w:val="18"/>
              </w:rPr>
              <w:t>and whereas the said defendant has refused or neglected so to do.</w:t>
            </w:r>
          </w:p>
          <w:p>
            <w:pPr>
              <w:pStyle w:val="yTable"/>
              <w:spacing w:line="180" w:lineRule="atLeast"/>
              <w:rPr>
                <w:sz w:val="18"/>
              </w:rPr>
            </w:pPr>
            <w:r>
              <w:rPr>
                <w:sz w:val="18"/>
              </w:rPr>
              <w:t>These are therefore to require and order you FORTHWITH TO eject the said defendant from the aforementioned land and/or mining tenement and to seize and take chattels or minerals specified above and deliver the same into your possession.</w:t>
            </w:r>
          </w:p>
          <w:p>
            <w:pPr>
              <w:pStyle w:val="yTable"/>
              <w:spacing w:line="180" w:lineRule="atLeast"/>
              <w:jc w:val="center"/>
              <w:rPr>
                <w:sz w:val="18"/>
              </w:rPr>
            </w:pPr>
            <w:r>
              <w:rPr>
                <w:sz w:val="18"/>
              </w:rPr>
              <w:t>By the Court</w:t>
            </w:r>
          </w:p>
          <w:p>
            <w:pPr>
              <w:pStyle w:val="yTable"/>
              <w:tabs>
                <w:tab w:val="right" w:leader="dot" w:pos="4748"/>
              </w:tabs>
              <w:spacing w:line="180" w:lineRule="atLeast"/>
              <w:ind w:left="1063"/>
              <w:rPr>
                <w:sz w:val="18"/>
              </w:rPr>
            </w:pPr>
            <w:r>
              <w:rPr>
                <w:sz w:val="18"/>
              </w:rPr>
              <w:t>.........................................Warden/Mining Registrar</w:t>
            </w:r>
          </w:p>
          <w:p>
            <w:pPr>
              <w:pStyle w:val="yTable"/>
              <w:tabs>
                <w:tab w:val="right" w:leader="dot" w:pos="4748"/>
              </w:tabs>
              <w:spacing w:before="0" w:line="180" w:lineRule="atLeast"/>
              <w:ind w:left="1060"/>
              <w:rPr>
                <w:sz w:val="18"/>
              </w:rPr>
            </w:pPr>
            <w:r>
              <w:rPr>
                <w:sz w:val="18"/>
              </w:rPr>
              <w:tab/>
              <w:t>Mineral Field</w:t>
            </w:r>
          </w:p>
        </w:tc>
      </w:tr>
      <w:tr>
        <w:trPr>
          <w:cantSplit/>
        </w:trPr>
        <w:tc>
          <w:tcPr>
            <w:tcW w:w="2078" w:type="dxa"/>
            <w:tcBorders>
              <w:top w:val="single" w:sz="4" w:space="0" w:color="auto"/>
              <w:left w:val="single" w:sz="4" w:space="0" w:color="auto"/>
              <w:bottom w:val="single" w:sz="4" w:space="0" w:color="auto"/>
              <w:right w:val="single" w:sz="4" w:space="0" w:color="auto"/>
            </w:tcBorders>
          </w:tcPr>
          <w:p>
            <w:pPr>
              <w:pStyle w:val="yTable"/>
              <w:spacing w:before="120" w:line="180" w:lineRule="atLeast"/>
              <w:ind w:left="-119"/>
              <w:jc w:val="center"/>
              <w:rPr>
                <w:sz w:val="18"/>
              </w:rPr>
            </w:pPr>
            <w:r>
              <w:rPr>
                <w:sz w:val="18"/>
              </w:rPr>
              <w:t>SEAL</w:t>
            </w:r>
          </w:p>
          <w:p>
            <w:pPr>
              <w:pStyle w:val="yTable"/>
              <w:spacing w:before="0" w:line="180" w:lineRule="atLeast"/>
              <w:ind w:left="-119"/>
              <w:jc w:val="center"/>
              <w:rPr>
                <w:sz w:val="18"/>
              </w:rPr>
            </w:pPr>
            <w:r>
              <w:rPr>
                <w:sz w:val="18"/>
              </w:rPr>
              <w:t>OF THE</w:t>
            </w:r>
          </w:p>
          <w:p>
            <w:pPr>
              <w:pStyle w:val="yTable"/>
              <w:spacing w:before="0" w:line="180" w:lineRule="atLeast"/>
              <w:ind w:left="-119"/>
              <w:jc w:val="center"/>
              <w:rPr>
                <w:sz w:val="18"/>
              </w:rPr>
            </w:pPr>
            <w:r>
              <w:rPr>
                <w:sz w:val="18"/>
              </w:rPr>
              <w:t>COURT</w:t>
            </w:r>
          </w:p>
        </w:tc>
        <w:tc>
          <w:tcPr>
            <w:tcW w:w="5010" w:type="dxa"/>
            <w:gridSpan w:val="2"/>
            <w:vMerge/>
            <w:tcBorders>
              <w:left w:val="nil"/>
            </w:tcBorders>
          </w:tcPr>
          <w:p>
            <w:pPr>
              <w:pStyle w:val="yTable"/>
              <w:spacing w:line="180" w:lineRule="atLeast"/>
              <w:rPr>
                <w:b/>
                <w:sz w:val="18"/>
              </w:rPr>
            </w:pP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t>Form 41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132)</w:t>
            </w:r>
          </w:p>
        </w:tc>
      </w:tr>
      <w:tr>
        <w:tc>
          <w:tcPr>
            <w:tcW w:w="2078" w:type="dxa"/>
          </w:tcPr>
          <w:p>
            <w:pPr>
              <w:pStyle w:val="yTable"/>
              <w:spacing w:line="180" w:lineRule="atLeast"/>
              <w:ind w:left="-120"/>
              <w:rPr>
                <w:sz w:val="18"/>
              </w:rPr>
            </w:pPr>
          </w:p>
        </w:tc>
        <w:tc>
          <w:tcPr>
            <w:tcW w:w="5010" w:type="dxa"/>
          </w:tcPr>
          <w:p>
            <w:pPr>
              <w:pStyle w:val="yTable"/>
              <w:spacing w:before="120" w:line="180" w:lineRule="atLeast"/>
            </w:pPr>
            <w:r>
              <w:rPr>
                <w:b/>
              </w:rPr>
              <w:t>NOTICE OF SEIZURE</w:t>
            </w:r>
          </w:p>
        </w:tc>
      </w:tr>
      <w:tr>
        <w:tc>
          <w:tcPr>
            <w:tcW w:w="2078" w:type="dxa"/>
          </w:tcPr>
          <w:p>
            <w:pPr>
              <w:pStyle w:val="yTable"/>
              <w:spacing w:line="180" w:lineRule="atLeast"/>
              <w:ind w:left="-120"/>
              <w:rPr>
                <w:sz w:val="18"/>
              </w:rPr>
            </w:pPr>
          </w:p>
        </w:tc>
        <w:tc>
          <w:tcPr>
            <w:tcW w:w="5010" w:type="dxa"/>
          </w:tcPr>
          <w:p>
            <w:pPr>
              <w:pStyle w:val="yTable"/>
              <w:tabs>
                <w:tab w:val="left" w:pos="2764"/>
              </w:tabs>
              <w:spacing w:line="180" w:lineRule="atLeast"/>
              <w:rPr>
                <w:sz w:val="18"/>
              </w:rPr>
            </w:pPr>
            <w:r>
              <w:rPr>
                <w:sz w:val="18"/>
              </w:rPr>
              <w:t>In the</w:t>
            </w:r>
            <w:r>
              <w:rPr>
                <w:sz w:val="18"/>
              </w:rPr>
              <w:tab/>
              <w:t>Court at</w:t>
            </w:r>
          </w:p>
          <w:p>
            <w:pPr>
              <w:pStyle w:val="yTable"/>
              <w:tabs>
                <w:tab w:val="left" w:pos="3331"/>
              </w:tabs>
              <w:spacing w:line="180" w:lineRule="atLeast"/>
              <w:rPr>
                <w:sz w:val="18"/>
              </w:rPr>
            </w:pPr>
            <w:r>
              <w:rPr>
                <w:sz w:val="18"/>
              </w:rPr>
              <w:t>Plaint No.</w:t>
            </w:r>
            <w:r>
              <w:rPr>
                <w:sz w:val="18"/>
              </w:rPr>
              <w:tab/>
              <w:t xml:space="preserve">Warrant No.              </w:t>
            </w:r>
          </w:p>
          <w:p>
            <w:pPr>
              <w:pStyle w:val="yTable"/>
              <w:spacing w:line="180" w:lineRule="atLeast"/>
              <w:jc w:val="center"/>
              <w:rPr>
                <w:sz w:val="18"/>
              </w:rPr>
            </w:pPr>
            <w:r>
              <w:rPr>
                <w:sz w:val="18"/>
              </w:rPr>
              <w:t>Between</w:t>
            </w:r>
          </w:p>
          <w:p>
            <w:pPr>
              <w:pStyle w:val="yTable"/>
              <w:spacing w:line="180" w:lineRule="atLeast"/>
              <w:jc w:val="right"/>
              <w:rPr>
                <w:sz w:val="18"/>
              </w:rPr>
            </w:pPr>
            <w:r>
              <w:rPr>
                <w:sz w:val="18"/>
              </w:rPr>
              <w:tab/>
              <w:t xml:space="preserve">Plaintiff   </w:t>
            </w:r>
          </w:p>
          <w:p>
            <w:pPr>
              <w:pStyle w:val="yTable"/>
              <w:spacing w:line="180" w:lineRule="atLeast"/>
              <w:jc w:val="center"/>
              <w:rPr>
                <w:sz w:val="18"/>
              </w:rPr>
            </w:pPr>
            <w:r>
              <w:rPr>
                <w:sz w:val="18"/>
              </w:rPr>
              <w:t>and</w:t>
            </w:r>
          </w:p>
          <w:p>
            <w:pPr>
              <w:pStyle w:val="yTable"/>
              <w:spacing w:line="180" w:lineRule="atLeast"/>
              <w:jc w:val="right"/>
              <w:rPr>
                <w:sz w:val="18"/>
              </w:rPr>
            </w:pPr>
            <w:r>
              <w:rPr>
                <w:sz w:val="18"/>
              </w:rPr>
              <w:tab/>
              <w:t xml:space="preserve">Defendant   </w:t>
            </w:r>
          </w:p>
          <w:p>
            <w:pPr>
              <w:pStyle w:val="yTable"/>
              <w:spacing w:line="180" w:lineRule="atLeast"/>
              <w:rPr>
                <w:sz w:val="18"/>
              </w:rPr>
            </w:pPr>
            <w:r>
              <w:rPr>
                <w:b/>
                <w:sz w:val="18"/>
              </w:rPr>
              <w:t>TO:</w:t>
            </w:r>
            <w:r>
              <w:rPr>
                <w:sz w:val="18"/>
              </w:rPr>
              <w:t xml:space="preserve"> The MINING REGISTRAR, at</w:t>
            </w:r>
          </w:p>
          <w:p>
            <w:pPr>
              <w:pStyle w:val="yTable"/>
              <w:spacing w:line="180" w:lineRule="atLeast"/>
              <w:rPr>
                <w:sz w:val="18"/>
              </w:rPr>
            </w:pPr>
            <w:r>
              <w:rPr>
                <w:sz w:val="18"/>
              </w:rPr>
              <w:t>TAKE NOTICE that under and by virtue of</w:t>
            </w:r>
          </w:p>
          <w:p>
            <w:pPr>
              <w:pStyle w:val="yTable"/>
              <w:tabs>
                <w:tab w:val="left" w:pos="1346"/>
                <w:tab w:val="left" w:pos="3189"/>
              </w:tabs>
              <w:spacing w:line="180" w:lineRule="atLeast"/>
              <w:rPr>
                <w:sz w:val="18"/>
              </w:rPr>
            </w:pPr>
            <w:r>
              <w:rPr>
                <w:sz w:val="18"/>
              </w:rPr>
              <w:tab/>
              <w:t>, dated the</w:t>
            </w:r>
            <w:r>
              <w:rPr>
                <w:sz w:val="18"/>
              </w:rPr>
              <w:tab/>
              <w:t xml:space="preserve">day of                   </w:t>
            </w:r>
          </w:p>
          <w:p>
            <w:pPr>
              <w:pStyle w:val="yTable"/>
              <w:tabs>
                <w:tab w:val="left" w:pos="3898"/>
              </w:tabs>
              <w:spacing w:line="180" w:lineRule="atLeast"/>
              <w:rPr>
                <w:sz w:val="18"/>
              </w:rPr>
            </w:pPr>
            <w:r>
              <w:rPr>
                <w:sz w:val="18"/>
              </w:rPr>
              <w:t>20     , issued out of the</w:t>
            </w:r>
            <w:r>
              <w:rPr>
                <w:sz w:val="18"/>
              </w:rPr>
              <w:tab/>
              <w:t>Court</w:t>
            </w:r>
          </w:p>
          <w:p>
            <w:pPr>
              <w:pStyle w:val="yTable"/>
              <w:tabs>
                <w:tab w:val="left" w:pos="2764"/>
              </w:tabs>
              <w:spacing w:line="180" w:lineRule="atLeast"/>
              <w:rPr>
                <w:sz w:val="18"/>
              </w:rPr>
            </w:pPr>
            <w:r>
              <w:rPr>
                <w:sz w:val="18"/>
              </w:rPr>
              <w:t>at</w:t>
            </w:r>
            <w:r>
              <w:rPr>
                <w:sz w:val="18"/>
              </w:rPr>
              <w:tab/>
              <w:t xml:space="preserve">(copy attached)              </w:t>
            </w:r>
          </w:p>
          <w:p>
            <w:pPr>
              <w:pStyle w:val="yTable"/>
              <w:tabs>
                <w:tab w:val="left" w:pos="3898"/>
              </w:tabs>
              <w:spacing w:line="180" w:lineRule="atLeast"/>
              <w:rPr>
                <w:sz w:val="18"/>
              </w:rPr>
            </w:pPr>
            <w:r>
              <w:rPr>
                <w:sz w:val="18"/>
              </w:rPr>
              <w:t>I have this day seized all the</w:t>
            </w:r>
            <w:r>
              <w:rPr>
                <w:sz w:val="18"/>
              </w:rPr>
              <w:tab/>
              <w:t>right,</w:t>
            </w:r>
          </w:p>
          <w:p>
            <w:pPr>
              <w:pStyle w:val="yTable"/>
              <w:spacing w:before="0" w:line="180" w:lineRule="atLeast"/>
              <w:rPr>
                <w:sz w:val="18"/>
              </w:rPr>
            </w:pPr>
            <w:r>
              <w:rPr>
                <w:sz w:val="18"/>
              </w:rPr>
              <w:t>title and interest (if any) in and to the shares specified in the undermentioned mining tenement </w:t>
            </w:r>
            <w:r>
              <w:rPr>
                <w:snapToGrid w:val="0"/>
                <w:sz w:val="18"/>
              </w:rPr>
              <w:t>—</w:t>
            </w:r>
            <w:r>
              <w:rPr>
                <w:sz w:val="18"/>
              </w:rPr>
              <w:t> </w:t>
            </w:r>
          </w:p>
          <w:p>
            <w:pPr>
              <w:pStyle w:val="yTable"/>
              <w:spacing w:line="180" w:lineRule="atLeast"/>
              <w:rPr>
                <w:sz w:val="18"/>
              </w:rPr>
            </w:pP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(a) Type</w:t>
            </w:r>
          </w:p>
          <w:p>
            <w:pPr>
              <w:pStyle w:val="yTable"/>
              <w:spacing w:before="0" w:line="180" w:lineRule="atLeast"/>
              <w:ind w:left="-119"/>
              <w:rPr>
                <w:sz w:val="18"/>
              </w:rPr>
            </w:pPr>
            <w:r>
              <w:rPr>
                <w:sz w:val="18"/>
              </w:rPr>
              <w:t>(b) Number</w:t>
            </w:r>
          </w:p>
          <w:p>
            <w:pPr>
              <w:pStyle w:val="yTable"/>
              <w:spacing w:before="0" w:line="180" w:lineRule="atLeast"/>
              <w:ind w:left="-119"/>
              <w:rPr>
                <w:sz w:val="18"/>
              </w:rPr>
            </w:pPr>
            <w:r>
              <w:rPr>
                <w:sz w:val="18"/>
              </w:rPr>
              <w:t>(c) Mineral Field</w:t>
            </w:r>
          </w:p>
          <w:p>
            <w:pPr>
              <w:pStyle w:val="yTable"/>
              <w:spacing w:before="0" w:line="180" w:lineRule="atLeast"/>
              <w:ind w:left="-119"/>
              <w:rPr>
                <w:sz w:val="18"/>
              </w:rPr>
            </w:pPr>
            <w:r>
              <w:rPr>
                <w:sz w:val="18"/>
              </w:rPr>
              <w:t>(d) 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w:t>
            </w:r>
          </w:p>
          <w:p>
            <w:pPr>
              <w:pStyle w:val="yTable"/>
              <w:tabs>
                <w:tab w:val="left" w:pos="2338"/>
              </w:tabs>
              <w:spacing w:line="180" w:lineRule="atLeast"/>
              <w:rPr>
                <w:sz w:val="18"/>
              </w:rPr>
            </w:pPr>
            <w:r>
              <w:rPr>
                <w:sz w:val="18"/>
              </w:rPr>
              <w:t>(a)</w:t>
            </w:r>
            <w:r>
              <w:rPr>
                <w:sz w:val="18"/>
              </w:rPr>
              <w:tab/>
              <w:t>(b)</w:t>
            </w:r>
          </w:p>
          <w:p>
            <w:pPr>
              <w:pStyle w:val="yTable"/>
              <w:spacing w:line="180" w:lineRule="atLeast"/>
              <w:rPr>
                <w:sz w:val="18"/>
              </w:rPr>
            </w:pPr>
            <w:r>
              <w:rPr>
                <w:sz w:val="18"/>
              </w:rPr>
              <w:t>(c)</w:t>
            </w:r>
          </w:p>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rPr>
                <w:sz w:val="18"/>
              </w:rPr>
            </w:pPr>
            <w:r>
              <w:rPr>
                <w:sz w:val="18"/>
              </w:rPr>
              <w:t>You will therefore communicate with me before registering any transfer, or other dealing with the shares specified while this seizure remains in force.</w:t>
            </w:r>
          </w:p>
          <w:p>
            <w:pPr>
              <w:pStyle w:val="yTable"/>
              <w:spacing w:line="180" w:lineRule="atLeast"/>
              <w:rPr>
                <w:sz w:val="18"/>
              </w:rPr>
            </w:pPr>
            <w:r>
              <w:rPr>
                <w:sz w:val="18"/>
              </w:rPr>
              <w:t>DATED at</w:t>
            </w:r>
          </w:p>
          <w:p>
            <w:pPr>
              <w:pStyle w:val="yTable"/>
              <w:tabs>
                <w:tab w:val="left" w:pos="1913"/>
                <w:tab w:val="left" w:pos="3756"/>
              </w:tabs>
              <w:spacing w:line="180" w:lineRule="atLeast"/>
              <w:rPr>
                <w:sz w:val="18"/>
              </w:rPr>
            </w:pPr>
            <w:r>
              <w:rPr>
                <w:sz w:val="18"/>
              </w:rPr>
              <w:t>this</w:t>
            </w:r>
            <w:r>
              <w:rPr>
                <w:sz w:val="18"/>
              </w:rPr>
              <w:tab/>
              <w:t>day of</w:t>
            </w:r>
            <w:r>
              <w:rPr>
                <w:sz w:val="18"/>
              </w:rPr>
              <w:tab/>
              <w:t xml:space="preserve">20     </w:t>
            </w:r>
          </w:p>
          <w:p>
            <w:pPr>
              <w:pStyle w:val="yTable"/>
              <w:tabs>
                <w:tab w:val="right" w:leader="dot" w:pos="4748"/>
              </w:tabs>
              <w:spacing w:line="180" w:lineRule="atLeast"/>
              <w:ind w:left="921"/>
              <w:rPr>
                <w:sz w:val="18"/>
              </w:rPr>
            </w:pPr>
            <w:r>
              <w:rPr>
                <w:sz w:val="18"/>
              </w:rPr>
              <w:tab/>
              <w:t>Bailiff</w:t>
            </w: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3219"/>
        <w:gridCol w:w="1843"/>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3219"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957"/>
              </w:tabs>
              <w:spacing w:line="180" w:lineRule="atLeast"/>
              <w:rPr>
                <w:sz w:val="18"/>
              </w:rPr>
            </w:pPr>
            <w:r>
              <w:rPr>
                <w:sz w:val="18"/>
              </w:rPr>
              <w:t>Received at ..........................................m.</w:t>
            </w:r>
          </w:p>
          <w:p>
            <w:pPr>
              <w:pStyle w:val="yTable"/>
              <w:tabs>
                <w:tab w:val="right" w:leader="dot" w:pos="2957"/>
              </w:tabs>
              <w:spacing w:line="180" w:lineRule="atLeast"/>
              <w:rPr>
                <w:sz w:val="18"/>
              </w:rPr>
            </w:pPr>
            <w:r>
              <w:rPr>
                <w:sz w:val="18"/>
              </w:rPr>
              <w:t>on  ............................................................</w:t>
            </w:r>
          </w:p>
          <w:p>
            <w:pPr>
              <w:pStyle w:val="yTable"/>
              <w:tabs>
                <w:tab w:val="right" w:leader="dot" w:pos="2957"/>
              </w:tabs>
              <w:spacing w:line="180" w:lineRule="atLeast"/>
              <w:rPr>
                <w:sz w:val="18"/>
              </w:rPr>
            </w:pPr>
            <w:r>
              <w:rPr>
                <w:sz w:val="18"/>
              </w:rPr>
              <w:t xml:space="preserve">with fee of $ ............................................ </w:t>
            </w:r>
          </w:p>
          <w:p>
            <w:pPr>
              <w:pStyle w:val="yTable"/>
              <w:tabs>
                <w:tab w:val="right" w:leader="dot" w:pos="2957"/>
              </w:tabs>
              <w:spacing w:line="180" w:lineRule="atLeast"/>
              <w:rPr>
                <w:sz w:val="18"/>
              </w:rPr>
            </w:pPr>
          </w:p>
          <w:p>
            <w:pPr>
              <w:pStyle w:val="yTable"/>
              <w:tabs>
                <w:tab w:val="right" w:leader="dot" w:pos="2957"/>
              </w:tabs>
              <w:spacing w:line="180" w:lineRule="atLeast"/>
              <w:rPr>
                <w:sz w:val="18"/>
              </w:rPr>
            </w:pPr>
          </w:p>
          <w:p>
            <w:pPr>
              <w:pStyle w:val="yTable"/>
              <w:tabs>
                <w:tab w:val="right" w:leader="dot" w:pos="2957"/>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xml:space="preserve">, 20     </w:t>
            </w:r>
          </w:p>
          <w:p>
            <w:pPr>
              <w:pStyle w:val="yTable"/>
              <w:spacing w:before="40" w:line="180" w:lineRule="atLeast"/>
              <w:rPr>
                <w:sz w:val="18"/>
              </w:rPr>
            </w:pPr>
            <w:r>
              <w:rPr>
                <w:sz w:val="18"/>
              </w:rPr>
              <w:t>in respect to </w:t>
            </w:r>
            <w:r>
              <w:rPr>
                <w:snapToGrid w:val="0"/>
                <w:sz w:val="18"/>
              </w:rPr>
              <w:t>—</w:t>
            </w:r>
            <w:r>
              <w:rPr>
                <w:sz w:val="18"/>
              </w:rPr>
              <w:t> </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r>
              <w:rPr>
                <w:sz w:val="18"/>
              </w:rPr>
              <w:t> </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1041"/>
        <w:gridCol w:w="2126"/>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gridSpan w:val="3"/>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43</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gridSpan w:val="3"/>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3"/>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until the</w:t>
            </w:r>
            <w:r>
              <w:rPr>
                <w:sz w:val="18"/>
              </w:rPr>
              <w:tab/>
              <w:t>day of</w:t>
            </w:r>
            <w:r>
              <w:rPr>
                <w:sz w:val="18"/>
              </w:rPr>
              <w:tab/>
              <w:t xml:space="preserve">20   </w:t>
            </w: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DATED this</w:t>
            </w:r>
            <w:r>
              <w:rPr>
                <w:sz w:val="18"/>
              </w:rPr>
              <w:tab/>
              <w:t>day of</w:t>
            </w:r>
            <w:r>
              <w:rPr>
                <w:sz w:val="18"/>
              </w:rPr>
              <w:tab/>
              <w:t xml:space="preserve">20   </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gridSpan w:val="3"/>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gridSpan w:val="2"/>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Table"/>
        <w:spacing w:line="180" w:lineRule="atLeast"/>
        <w:rPr>
          <w:sz w:val="18"/>
        </w:rPr>
      </w:pPr>
    </w:p>
    <w:p>
      <w:pPr>
        <w:pStyle w:val="yTable"/>
        <w:spacing w:line="180" w:lineRule="atLeast"/>
        <w:jc w:val="center"/>
        <w:rPr>
          <w:snapToGrid w:val="0"/>
          <w:sz w:val="18"/>
        </w:rPr>
      </w:pPr>
      <w:r>
        <w:rPr>
          <w:snapToGrid w:val="0"/>
          <w:sz w:val="18"/>
        </w:rPr>
        <w:t>_______________</w:t>
      </w:r>
    </w:p>
    <w:p>
      <w:pPr>
        <w:pStyle w:val="yTable"/>
        <w:pageBreakBefor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[First Schedule amended in Gazette 12 Nov 1982 p. 4491 (erratum in Gazette 19 Nov 1982 p. 4578); 30 May 1986 p. 1841; 20 Jun 1986 p. 2084; 2 Oct 1987 p. 3821</w:t>
      </w:r>
      <w:r>
        <w:noBreakHyphen/>
        <w:t>36 (erratum in Gazette 6 Nov 1987 p. 4110); 20 May 1988 p. 1707; 31 May 1991 p. 2700</w:t>
      </w:r>
      <w:r>
        <w:noBreakHyphen/>
        <w:t>7; 5 Jul 1991 p. 3359; 31 Jul 1992 p. 3777</w:t>
      </w:r>
      <w:r>
        <w:noBreakHyphen/>
        <w:t>80; 24 Dec 1993 p. 6829</w:t>
      </w:r>
      <w:r>
        <w:noBreakHyphen/>
        <w:t>30; 24 Jun 1994 p. 2939</w:t>
      </w:r>
      <w:r>
        <w:noBreakHyphen/>
        <w:t>42; 13 Oct 1995 p. 4823; 4 Apr 1997 p. 1780</w:t>
      </w:r>
      <w:r>
        <w:noBreakHyphen/>
        <w:t>1; 3 Oct 1997 p. 5533</w:t>
      </w:r>
      <w:r>
        <w:noBreakHyphen/>
        <w:t>5; 11 Jun 1999 p. 2546</w:t>
      </w:r>
      <w:r>
        <w:noBreakHyphen/>
        <w:t>52; 2 Feb 2001 p. 710</w:t>
      </w:r>
      <w:r>
        <w:noBreakHyphen/>
        <w:t>11; 13 Dec 2002 p. 5805</w:t>
      </w:r>
      <w:r>
        <w:noBreakHyphen/>
        <w:t>6; 17 Jan 2003 p. 107</w:t>
      </w:r>
      <w:r>
        <w:noBreakHyphen/>
        <w:t xml:space="preserve">9 and 114; 3 Feb 2006 p. 524-8 and 602-3.] </w:t>
      </w:r>
    </w:p>
    <w:p>
      <w:pPr>
        <w:pStyle w:val="yScheduleHeading"/>
      </w:pPr>
      <w:bookmarkStart w:id="1603" w:name="_Toc104276773"/>
      <w:bookmarkStart w:id="1604" w:name="_Toc127338187"/>
      <w:r>
        <w:rPr>
          <w:rStyle w:val="CharSchNo"/>
        </w:rPr>
        <w:t>Second Schedule</w:t>
      </w:r>
      <w:bookmarkEnd w:id="1603"/>
      <w:bookmarkEnd w:id="1604"/>
    </w:p>
    <w:p>
      <w:pPr>
        <w:pStyle w:val="yMiscellaneousHeading"/>
        <w:rPr>
          <w:b/>
          <w:snapToGrid w:val="0"/>
          <w:sz w:val="28"/>
        </w:rPr>
      </w:pPr>
      <w:r>
        <w:rPr>
          <w:b/>
          <w:snapToGrid w:val="0"/>
          <w:sz w:val="28"/>
        </w:rPr>
        <w:t>Schedule of fees and rents</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Existing exploration licence per square kilometre or part thereof —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pacing w:val="-2"/>
                <w:sz w:val="18"/>
              </w:rPr>
              <w:t>38.72</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pacing w:val="-2"/>
                <w:sz w:val="18"/>
              </w:rPr>
              <w:t>131.12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Graticular exploration licence —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 xml:space="preserve">all other licences, per block —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pacing w:val="-2"/>
                <w:sz w:val="18"/>
              </w:rPr>
              <w:t>244.31</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101.42</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157.74</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214.06</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405.46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11.88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i/>
                <w:spacing w:val="-2"/>
                <w:sz w:val="18"/>
                <w:vertAlign w:val="superscript"/>
              </w:rPr>
              <w:t> 6</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13.42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13.42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r>
              <w:rPr>
                <w:spacing w:val="-2"/>
                <w:sz w:val="18"/>
              </w:rPr>
              <w:t>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0.33</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11.88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$18.70)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1.87</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5.83</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220.00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950.00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215.00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540.00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205.00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5.40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270.00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310.00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370.00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1 850.00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27.00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Minimum $21.50)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5.40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17.00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5.40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Transfer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Mining Tenement ...............................................</w:t>
            </w:r>
          </w:p>
        </w:tc>
        <w:tc>
          <w:tcPr>
            <w:tcW w:w="1188" w:type="dxa"/>
          </w:tcPr>
          <w:p>
            <w:pPr>
              <w:pStyle w:val="yTable"/>
              <w:spacing w:before="0" w:line="180" w:lineRule="atLeast"/>
              <w:ind w:left="56"/>
              <w:rPr>
                <w:spacing w:val="-2"/>
                <w:sz w:val="18"/>
              </w:rPr>
            </w:pPr>
            <w:r>
              <w:rPr>
                <w:spacing w:val="-2"/>
                <w:sz w:val="18"/>
              </w:rPr>
              <w:t>Reg. 75</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Mortgage ............................................................</w:t>
            </w:r>
          </w:p>
        </w:tc>
        <w:tc>
          <w:tcPr>
            <w:tcW w:w="1188" w:type="dxa"/>
          </w:tcPr>
          <w:p>
            <w:pPr>
              <w:pStyle w:val="yTable"/>
              <w:spacing w:before="0" w:line="180" w:lineRule="atLeast"/>
              <w:ind w:left="56"/>
              <w:rPr>
                <w:spacing w:val="-2"/>
                <w:sz w:val="18"/>
              </w:rPr>
            </w:pPr>
            <w:r>
              <w:rPr>
                <w:spacing w:val="-2"/>
                <w:sz w:val="18"/>
              </w:rPr>
              <w:t>Reg. 84</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165.00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t>Warden’s Court Fees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 xml:space="preserve">For entering a plaint, excluding service fee, but including the issue of summons for each defendant and all necessary witness subpoenas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47.50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Defence, including notice of defence and all necessary witness subpoenas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w:t>
            </w:r>
            <w:r>
              <w:rPr>
                <w:spacing w:val="-2"/>
                <w:sz w:val="18"/>
              </w:rPr>
              <w:tab/>
              <w:t>Issue or renewal of a warrant of execution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1.00</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filed bill (minimum fee $10.00) </w:t>
            </w:r>
            <w:r>
              <w:rPr>
                <w:snapToGrid w:val="0"/>
                <w:sz w:val="18"/>
              </w:rPr>
              <w:t>—</w:t>
            </w:r>
            <w:r>
              <w:rPr>
                <w:spacing w:val="-2"/>
                <w:sz w:val="18"/>
              </w:rPr>
              <w:t xml:space="preserve"> provided  that where the filed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2769-71; 3 Feb 2006 p. 528 and 603-4.]</w:t>
      </w:r>
    </w:p>
    <w:p>
      <w:pPr>
        <w:pStyle w:val="yScheduleHeading"/>
      </w:pPr>
      <w:bookmarkStart w:id="1605" w:name="_Toc74979322"/>
      <w:bookmarkStart w:id="1606" w:name="_Toc104276774"/>
      <w:bookmarkStart w:id="1607" w:name="_Toc127338188"/>
      <w:r>
        <w:rPr>
          <w:rStyle w:val="CharSchNo"/>
        </w:rPr>
        <w:t>Third Schedule</w:t>
      </w:r>
      <w:r>
        <w:t> — </w:t>
      </w:r>
      <w:r>
        <w:rPr>
          <w:rStyle w:val="CharSchText"/>
        </w:rPr>
        <w:t>Transitional provisions relating to Geocentric Datum of Australia</w:t>
      </w:r>
      <w:bookmarkEnd w:id="1605"/>
      <w:bookmarkEnd w:id="1606"/>
      <w:bookmarkEnd w:id="1607"/>
    </w:p>
    <w:p>
      <w:pPr>
        <w:pStyle w:val="yShoulderClause"/>
      </w:pPr>
      <w:r>
        <w:t>[r. 89A]</w:t>
      </w:r>
    </w:p>
    <w:p>
      <w:pPr>
        <w:pStyle w:val="yFootnoteheading"/>
      </w:pPr>
      <w:r>
        <w:tab/>
        <w:t>[Heading inserted in Gazette 15 Dec 2000 p. 7220.]</w:t>
      </w:r>
    </w:p>
    <w:p>
      <w:pPr>
        <w:pStyle w:val="yHeading5"/>
      </w:pPr>
      <w:bookmarkStart w:id="1608" w:name="_Toc11229592"/>
      <w:bookmarkStart w:id="1609" w:name="_Toc104276775"/>
      <w:bookmarkStart w:id="1610" w:name="_Toc127338189"/>
      <w:r>
        <w:t>1.</w:t>
      </w:r>
      <w:r>
        <w:tab/>
        <w:t>Interpretation</w:t>
      </w:r>
      <w:bookmarkEnd w:id="1608"/>
      <w:bookmarkEnd w:id="1609"/>
      <w:bookmarkEnd w:id="1610"/>
    </w:p>
    <w:p>
      <w:pPr>
        <w:pStyle w:val="ySubsection"/>
      </w:pPr>
      <w:r>
        <w:tab/>
        <w:t>(1)</w:t>
      </w:r>
      <w:r>
        <w:tab/>
        <w:t xml:space="preserve">In this Schedule — </w:t>
      </w:r>
    </w:p>
    <w:p>
      <w:pPr>
        <w:pStyle w:val="yDefstart"/>
      </w:pPr>
      <w:r>
        <w:tab/>
      </w:r>
      <w:r>
        <w:rPr>
          <w:b/>
        </w:rPr>
        <w:t>“</w:t>
      </w:r>
      <w:r>
        <w:rPr>
          <w:rStyle w:val="CharDefText"/>
        </w:rPr>
        <w:t>Australian Geodetic Datum</w:t>
      </w:r>
      <w:r>
        <w:rPr>
          <w:b/>
        </w:rPr>
        <w:t>”</w:t>
      </w:r>
      <w:r>
        <w:t xml:space="preserve"> means the datum described in clause 2;</w:t>
      </w:r>
    </w:p>
    <w:p>
      <w:pPr>
        <w:pStyle w:val="yDefstart"/>
      </w:pPr>
      <w:r>
        <w:tab/>
      </w:r>
      <w:r>
        <w:rPr>
          <w:b/>
        </w:rPr>
        <w:t>“</w:t>
      </w:r>
      <w:r>
        <w:rPr>
          <w:rStyle w:val="CharDefText"/>
        </w:rPr>
        <w:t>block</w:t>
      </w:r>
      <w:r>
        <w:rPr>
          <w:b/>
        </w:rPr>
        <w:t>”</w:t>
      </w:r>
      <w:r>
        <w:t xml:space="preserve"> means a block as described in section 56C;</w:t>
      </w:r>
    </w:p>
    <w:p>
      <w:pPr>
        <w:pStyle w:val="yDefstart"/>
      </w:pPr>
      <w:r>
        <w:tab/>
      </w:r>
      <w:r>
        <w:rPr>
          <w:b/>
        </w:rPr>
        <w:t>“</w:t>
      </w:r>
      <w:r>
        <w:rPr>
          <w:rStyle w:val="CharDefText"/>
        </w:rPr>
        <w:t>commencement day</w:t>
      </w:r>
      <w:r>
        <w:rPr>
          <w:b/>
        </w:rPr>
        <w:t>”</w:t>
      </w:r>
      <w:r>
        <w:t xml:space="preserve"> means the day on which section 5 of the </w:t>
      </w:r>
      <w:r>
        <w:rPr>
          <w:i/>
        </w:rPr>
        <w:t>Acts Amendment (Australian Datum) Act 2000</w:t>
      </w:r>
      <w:r>
        <w:t xml:space="preserve"> comes into operation;</w:t>
      </w:r>
    </w:p>
    <w:p>
      <w:pPr>
        <w:pStyle w:val="yDefstart"/>
      </w:pPr>
      <w:r>
        <w:tab/>
      </w:r>
      <w:r>
        <w:rPr>
          <w:b/>
        </w:rPr>
        <w:t>“</w:t>
      </w:r>
      <w:r>
        <w:rPr>
          <w:rStyle w:val="CharDefText"/>
        </w:rPr>
        <w:t>existing exploration licence</w:t>
      </w:r>
      <w:r>
        <w:rPr>
          <w:b/>
        </w:rPr>
        <w:t>”</w:t>
      </w:r>
      <w:r>
        <w:t xml:space="preserve"> means an exploration licence referred to in clause 3(1) or (3);</w:t>
      </w:r>
    </w:p>
    <w:p>
      <w:pPr>
        <w:pStyle w:val="yDefstart"/>
      </w:pPr>
      <w:r>
        <w:tab/>
      </w:r>
      <w:r>
        <w:rPr>
          <w:b/>
        </w:rPr>
        <w:t>“</w:t>
      </w:r>
      <w:r>
        <w:rPr>
          <w:rStyle w:val="CharDefText"/>
        </w:rPr>
        <w:t>number</w:t>
      </w:r>
      <w:r>
        <w:rPr>
          <w:b/>
        </w:rPr>
        <w:t>”</w:t>
      </w:r>
      <w:r>
        <w:t>, in relation to a block, has the same meaning as it has in section 56C(4);</w:t>
      </w:r>
    </w:p>
    <w:p>
      <w:pPr>
        <w:pStyle w:val="yDefstart"/>
      </w:pPr>
      <w:r>
        <w:tab/>
      </w:r>
      <w:r>
        <w:rPr>
          <w:b/>
        </w:rPr>
        <w:t>“</w:t>
      </w:r>
      <w:r>
        <w:rPr>
          <w:rStyle w:val="CharDefText"/>
        </w:rPr>
        <w:t>prescribed land</w:t>
      </w:r>
      <w:r>
        <w:rPr>
          <w:b/>
        </w:rPr>
        <w:t>”</w:t>
      </w:r>
      <w:r>
        <w:t xml:space="preserve"> means all of an area of land that, as a result of the operation of section 9B in relation to the Geocentric Datum of Australia referred to in regulation 89A —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1611" w:name="_Toc11229593"/>
      <w:bookmarkStart w:id="1612" w:name="_Toc104276776"/>
      <w:r>
        <w:tab/>
        <w:t>[Clause 1 inserted in Gazette 15 Dec 2000 p. 7220-1.]</w:t>
      </w:r>
    </w:p>
    <w:p>
      <w:pPr>
        <w:pStyle w:val="yHeading5"/>
      </w:pPr>
      <w:bookmarkStart w:id="1613" w:name="_Toc127338190"/>
      <w:r>
        <w:t>2.</w:t>
      </w:r>
      <w:r>
        <w:tab/>
        <w:t>Australian Geodetic Datum</w:t>
      </w:r>
      <w:bookmarkEnd w:id="1611"/>
      <w:bookmarkEnd w:id="1612"/>
      <w:bookmarkEnd w:id="1613"/>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 xml:space="preserve">The Johnston Geodetic Station is taken to be situated at —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1614" w:name="_Toc11229594"/>
      <w:bookmarkStart w:id="1615" w:name="_Toc104276777"/>
      <w:r>
        <w:tab/>
        <w:t>[Clause 2 inserted in Gazette 15 Dec 2000 p. 7221.]</w:t>
      </w:r>
    </w:p>
    <w:p>
      <w:pPr>
        <w:pStyle w:val="yHeading5"/>
      </w:pPr>
      <w:bookmarkStart w:id="1616" w:name="_Toc127338191"/>
      <w:r>
        <w:t>3.</w:t>
      </w:r>
      <w:r>
        <w:tab/>
        <w:t>Exploration licences</w:t>
      </w:r>
      <w:bookmarkEnd w:id="1614"/>
      <w:bookmarkEnd w:id="1615"/>
      <w:bookmarkEnd w:id="1616"/>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1617" w:name="_Toc11229595"/>
      <w:bookmarkStart w:id="1618" w:name="_Toc104276778"/>
      <w:r>
        <w:tab/>
        <w:t>[Clause 3 inserted in Gazette 15 Dec 2000 p. 7221.]</w:t>
      </w:r>
    </w:p>
    <w:p>
      <w:pPr>
        <w:pStyle w:val="yHeading5"/>
      </w:pPr>
      <w:bookmarkStart w:id="1619" w:name="_Toc127338192"/>
      <w:r>
        <w:t>4.</w:t>
      </w:r>
      <w:r>
        <w:tab/>
        <w:t>Land surrendered or forfeited etc.</w:t>
      </w:r>
      <w:bookmarkEnd w:id="1617"/>
      <w:bookmarkEnd w:id="1618"/>
      <w:bookmarkEnd w:id="1619"/>
    </w:p>
    <w:p>
      <w:pPr>
        <w:pStyle w:val="ySubsection"/>
      </w:pPr>
      <w:r>
        <w:tab/>
        <w:t>(1)</w:t>
      </w:r>
      <w:r>
        <w:tab/>
        <w:t xml:space="preserve">If after the commencement day —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pPr>
      <w:r>
        <w:tab/>
        <w:t>(2)</w:t>
      </w:r>
      <w:r>
        <w:tab/>
        <w:t xml:space="preserve">If after the commencement day —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 xml:space="preserve">Subclauses (1) and (2) do not apply if  —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 xml:space="preserve">Subclauses (1) and (2) do not apply if —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98) or expiry of the licence.</w:t>
      </w:r>
    </w:p>
    <w:p>
      <w:pPr>
        <w:pStyle w:val="yFootnotesection"/>
      </w:pPr>
      <w:r>
        <w:tab/>
        <w:t>[Clause 4 inserted in Gazette 15 Dec 2000 p. 7221-2; amended in Gazette 3 Feb 2006 p. 604.]</w:t>
      </w:r>
    </w:p>
    <w:p>
      <w:pPr>
        <w:pStyle w:val="yHeading5"/>
      </w:pPr>
      <w:bookmarkStart w:id="1620" w:name="_Toc11229596"/>
      <w:bookmarkStart w:id="1621" w:name="_Toc104276779"/>
      <w:bookmarkStart w:id="1622" w:name="_Toc127338193"/>
      <w:r>
        <w:t>5.</w:t>
      </w:r>
      <w:r>
        <w:tab/>
        <w:t>Land exempted under section 19</w:t>
      </w:r>
      <w:bookmarkEnd w:id="1620"/>
      <w:bookmarkEnd w:id="1621"/>
      <w:bookmarkEnd w:id="1622"/>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1623" w:name="_Toc11229597"/>
      <w:bookmarkStart w:id="1624" w:name="_Toc104276780"/>
      <w:r>
        <w:tab/>
        <w:t>[Clause 5 inserted in Gazette 15 Dec 2000 p. 7222.]</w:t>
      </w:r>
    </w:p>
    <w:p>
      <w:pPr>
        <w:pStyle w:val="yHeading5"/>
      </w:pPr>
      <w:bookmarkStart w:id="1625" w:name="_Toc127338194"/>
      <w:r>
        <w:t>6.</w:t>
      </w:r>
      <w:r>
        <w:tab/>
        <w:t>Areas declared under section 57(4), and savings</w:t>
      </w:r>
      <w:bookmarkEnd w:id="1623"/>
      <w:bookmarkEnd w:id="1624"/>
      <w:bookmarkEnd w:id="1625"/>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 xml:space="preserve">Subclause (1) does not affect the validity of —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1626" w:name="_Toc11229598"/>
      <w:bookmarkStart w:id="1627" w:name="_Toc104276781"/>
      <w:r>
        <w:tab/>
        <w:t>[Clause 6 inserted in Gazette 15 Dec 2000 p. 7223.]</w:t>
      </w:r>
    </w:p>
    <w:p>
      <w:pPr>
        <w:pStyle w:val="yHeading5"/>
      </w:pPr>
      <w:bookmarkStart w:id="1628" w:name="_Toc127338195"/>
      <w:r>
        <w:t>7.</w:t>
      </w:r>
      <w:r>
        <w:tab/>
        <w:t>Certain prospecting licences and mining leases may be amalgamated with existing exploration licences</w:t>
      </w:r>
      <w:bookmarkEnd w:id="1626"/>
      <w:bookmarkEnd w:id="1627"/>
      <w:bookmarkEnd w:id="1628"/>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 xml:space="preserve">Another tenement, or part of another tenement, cannot be amalgamated with an exploration licence under this clause unless the land that is the subject of the other tenement, or of that part of the other tenement, is —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 xml:space="preserve">Subject to subclause (2), section 67A(4) and (5) apply to an application under subclause (1) as if —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 xml:space="preserve">In this clause — </w:t>
      </w:r>
    </w:p>
    <w:p>
      <w:pPr>
        <w:pStyle w:val="yDefstart"/>
      </w:pPr>
      <w:r>
        <w:tab/>
      </w:r>
      <w:r>
        <w:rPr>
          <w:b/>
        </w:rPr>
        <w:t>“</w:t>
      </w:r>
      <w:r>
        <w:rPr>
          <w:rStyle w:val="CharDefText"/>
        </w:rPr>
        <w:t>another tenement</w:t>
      </w:r>
      <w:r>
        <w:rPr>
          <w:b/>
        </w:rPr>
        <w:t>”</w:t>
      </w:r>
      <w:r>
        <w:t xml:space="preserve"> or </w:t>
      </w:r>
      <w:r>
        <w:rPr>
          <w:b/>
        </w:rPr>
        <w:t>“</w:t>
      </w:r>
      <w:r>
        <w:rPr>
          <w:rStyle w:val="CharDefText"/>
        </w:rPr>
        <w:t>other tenement</w:t>
      </w:r>
      <w:r>
        <w:rPr>
          <w:b/>
        </w:rPr>
        <w:t>”</w:t>
      </w:r>
      <w:r>
        <w:t xml:space="preserve"> means a prospecting licence or mining lease applied for and granted after the commencement day in respect of prescribed land.</w:t>
      </w:r>
    </w:p>
    <w:p>
      <w:pPr>
        <w:pStyle w:val="yFootnotesection"/>
      </w:pPr>
      <w:bookmarkStart w:id="1629" w:name="_Toc11229599"/>
      <w:bookmarkStart w:id="1630" w:name="_Toc104276782"/>
      <w:r>
        <w:tab/>
        <w:t>[Clause 7 inserted in Gazette 15 Dec 2000 p. 7223.]</w:t>
      </w:r>
    </w:p>
    <w:p>
      <w:pPr>
        <w:pStyle w:val="yHeading5"/>
      </w:pPr>
      <w:bookmarkStart w:id="1631" w:name="_Toc127338196"/>
      <w:r>
        <w:t>8.</w:t>
      </w:r>
      <w:r>
        <w:tab/>
        <w:t>Prescribed land does not need to be marked out</w:t>
      </w:r>
      <w:bookmarkEnd w:id="1629"/>
      <w:bookmarkEnd w:id="1630"/>
      <w:bookmarkEnd w:id="1631"/>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pPr>
      <w:r>
        <w:rPr>
          <w:noProof/>
          <w:lang w:eastAsia="en-AU"/>
        </w:rPr>
        <w:drawing>
          <wp:inline distT="0" distB="0" distL="0" distR="0">
            <wp:extent cx="3108960" cy="2728595"/>
            <wp:effectExtent l="0" t="0" r="0" b="0"/>
            <wp:docPr id="7" name="Picture 7" descr="Datum 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b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08960" cy="2728595"/>
                    </a:xfrm>
                    <a:prstGeom prst="rect">
                      <a:avLst/>
                    </a:prstGeom>
                    <a:noFill/>
                    <a:ln>
                      <a:noFill/>
                    </a:ln>
                  </pic:spPr>
                </pic:pic>
              </a:graphicData>
            </a:graphic>
          </wp:inline>
        </w:drawing>
      </w:r>
    </w:p>
    <w:p>
      <w:pPr>
        <w:pStyle w:val="yFootnotesection"/>
      </w:pPr>
      <w:r>
        <w:tab/>
        <w:t>[Clause 8 inserted in Gazette 15 Dec 2000 p. 7223-4.]</w:t>
      </w:r>
    </w:p>
    <w:p>
      <w:pPr>
        <w:spacing w:line="180" w:lineRule="atLeast"/>
        <w:ind w:right="127"/>
        <w:jc w:val="right"/>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pPr>
        <w:pStyle w:val="nHeading2"/>
      </w:pPr>
      <w:bookmarkStart w:id="1632" w:name="_Toc74979067"/>
      <w:bookmarkStart w:id="1633" w:name="_Toc74979331"/>
      <w:bookmarkStart w:id="1634" w:name="_Toc79976628"/>
      <w:bookmarkStart w:id="1635" w:name="_Toc80759899"/>
      <w:bookmarkStart w:id="1636" w:name="_Toc80783662"/>
      <w:bookmarkStart w:id="1637" w:name="_Toc94931329"/>
      <w:bookmarkStart w:id="1638" w:name="_Toc104275452"/>
      <w:bookmarkStart w:id="1639" w:name="_Toc104276783"/>
      <w:bookmarkStart w:id="1640" w:name="_Toc107199004"/>
      <w:bookmarkStart w:id="1641" w:name="_Toc107799456"/>
      <w:bookmarkStart w:id="1642" w:name="_Toc127087463"/>
      <w:bookmarkStart w:id="1643" w:name="_Toc127183776"/>
      <w:bookmarkStart w:id="1644" w:name="_Toc127338197"/>
      <w:r>
        <w:t>Notes</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45" w:name="_Toc127338198"/>
      <w:r>
        <w:rPr>
          <w:snapToGrid w:val="0"/>
        </w:rPr>
        <w:t>Compilation table</w:t>
      </w:r>
      <w:bookmarkEnd w:id="164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(see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7</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8</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iCs/>
                <w:snapToGrid w:val="0"/>
                <w:sz w:val="19"/>
                <w:lang w:val="en-US"/>
              </w:rPr>
            </w:pPr>
            <w:r>
              <w:rPr>
                <w:i/>
                <w:sz w:val="19"/>
              </w:rPr>
              <w:t>Mining Amendment Regulations (No. 5) 2004</w:t>
            </w:r>
            <w:r>
              <w:rPr>
                <w:iCs/>
                <w:sz w:val="19"/>
                <w:vertAlign w:val="superscript"/>
              </w:rPr>
              <w:t> 9</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iCs/>
                <w:sz w:val="19"/>
              </w:rPr>
            </w:pPr>
            <w:r>
              <w:rPr>
                <w:i/>
                <w:sz w:val="19"/>
              </w:rPr>
              <w:t>Mining Amendment Regulations (No. 2) 2006</w:t>
            </w:r>
            <w:r>
              <w:rPr>
                <w:iCs/>
                <w:sz w:val="19"/>
              </w:rPr>
              <w:t xml:space="preserve"> </w:t>
            </w:r>
            <w:r>
              <w:rPr>
                <w:iCs/>
                <w:sz w:val="19"/>
                <w:vertAlign w:val="superscript"/>
              </w:rPr>
              <w:t>10</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single" w:sz="8" w:space="0" w:color="auto"/>
              <w:right w:val="nil"/>
            </w:tcBorders>
          </w:tcPr>
          <w:p>
            <w:pPr>
              <w:pStyle w:val="nTable"/>
              <w:spacing w:after="40"/>
              <w:rPr>
                <w:i/>
                <w:sz w:val="19"/>
              </w:rPr>
            </w:pPr>
            <w:r>
              <w:rPr>
                <w:i/>
                <w:sz w:val="19"/>
              </w:rPr>
              <w:t>Mining Amendment Regulations (No. 4) 2006</w:t>
            </w:r>
          </w:p>
        </w:tc>
        <w:tc>
          <w:tcPr>
            <w:tcW w:w="1276" w:type="dxa"/>
            <w:tcBorders>
              <w:top w:val="nil"/>
              <w:left w:val="nil"/>
              <w:bottom w:val="single" w:sz="8" w:space="0" w:color="auto"/>
              <w:right w:val="nil"/>
            </w:tcBorders>
          </w:tcPr>
          <w:p>
            <w:pPr>
              <w:pStyle w:val="nTable"/>
              <w:spacing w:after="40"/>
              <w:rPr>
                <w:sz w:val="19"/>
              </w:rPr>
            </w:pPr>
            <w:r>
              <w:rPr>
                <w:sz w:val="19"/>
              </w:rPr>
              <w:t>4 Apr 2006 p. 1409</w:t>
            </w:r>
          </w:p>
        </w:tc>
        <w:tc>
          <w:tcPr>
            <w:tcW w:w="2693" w:type="dxa"/>
            <w:tcBorders>
              <w:top w:val="nil"/>
              <w:left w:val="nil"/>
              <w:bottom w:val="single" w:sz="8" w:space="0" w:color="auto"/>
              <w:right w:val="nil"/>
            </w:tcBorders>
          </w:tcPr>
          <w:p>
            <w:pPr>
              <w:pStyle w:val="nTable"/>
              <w:spacing w:after="40"/>
              <w:rPr>
                <w:sz w:val="19"/>
              </w:rPr>
            </w:pPr>
            <w:r>
              <w:rPr>
                <w:sz w:val="19"/>
              </w:rPr>
              <w:t xml:space="preserve">4 Apr 2006 </w:t>
            </w:r>
          </w:p>
        </w:tc>
      </w:tr>
    </w:tbl>
    <w:p>
      <w:pPr>
        <w:pStyle w:val="nSubsection"/>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4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4</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5</w:t>
      </w:r>
      <w:r>
        <w:rPr>
          <w:snapToGrid w:val="0"/>
        </w:rPr>
        <w:tab/>
        <w:t xml:space="preserve">Under the </w:t>
      </w:r>
      <w:r>
        <w:rPr>
          <w:i/>
          <w:snapToGrid w:val="0"/>
        </w:rPr>
        <w:t>Alterations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6</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7</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8</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iCs/>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iCs/>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Pr>
        <w:pStyle w:val="nSubsection"/>
      </w:pPr>
      <w:r>
        <w:rPr>
          <w:vertAlign w:val="superscript"/>
        </w:rPr>
        <w:t>10</w:t>
      </w:r>
      <w:r>
        <w:tab/>
        <w:t xml:space="preserve">The </w:t>
      </w:r>
      <w:r>
        <w:rPr>
          <w:i/>
          <w:iCs/>
        </w:rPr>
        <w:t>Mining Amendment Regulations (No. 2) 2006</w:t>
      </w:r>
      <w:r>
        <w:t xml:space="preserve"> r. 10(7) and (8) reads as follows:</w:t>
      </w:r>
    </w:p>
    <w:p>
      <w:pPr>
        <w:pStyle w:val="MiscOpen"/>
      </w:pPr>
      <w:r>
        <w:t>“</w:t>
      </w: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iCs/>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 xml:space="preserve">In subregulation (7) — </w:t>
      </w:r>
    </w:p>
    <w:p>
      <w:pPr>
        <w:pStyle w:val="nzDefstart"/>
      </w:pPr>
      <w:r>
        <w:rPr>
          <w:b/>
        </w:rPr>
        <w:tab/>
        <w:t>“</w:t>
      </w:r>
      <w:r>
        <w:rPr>
          <w:rStyle w:val="CharDefText"/>
        </w:rPr>
        <w:t>commencement day</w:t>
      </w:r>
      <w:r>
        <w:rPr>
          <w:b/>
        </w:rPr>
        <w:t>”</w:t>
      </w:r>
      <w:r>
        <w:t xml:space="preserve"> means the day on which these regulations come into operation;</w:t>
      </w:r>
    </w:p>
    <w:p>
      <w:pPr>
        <w:pStyle w:val="nzDefstart"/>
      </w:pPr>
      <w:r>
        <w:rPr>
          <w:b/>
        </w:rPr>
        <w:tab/>
        <w:t>“</w:t>
      </w:r>
      <w:r>
        <w:rPr>
          <w:rStyle w:val="CharDefText"/>
        </w:rPr>
        <w:t>existing licence</w:t>
      </w:r>
      <w:r>
        <w:rPr>
          <w:b/>
        </w:rPr>
        <w:t>”</w:t>
      </w:r>
      <w:r>
        <w:t xml:space="preserve"> means an exploration licence in force under the Act on the day on which these regulations come into operation.</w:t>
      </w:r>
    </w:p>
    <w:p>
      <w:pPr>
        <w:pStyle w:val="MiscClose"/>
      </w:pPr>
      <w:r>
        <w:t>”.</w:t>
      </w: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pPr>
        </w:p>
      </w:tc>
    </w:tr>
    <w:tr>
      <w:trPr>
        <w:cantSplit/>
      </w:trPr>
      <w:tc>
        <w:tcPr>
          <w:tcW w:w="5175" w:type="dxa"/>
        </w:tcPr>
        <w:p>
          <w:pPr>
            <w:pStyle w:val="HeaderSectionRight"/>
            <w:ind w:right="17"/>
          </w:pPr>
          <w:r>
            <w:fldChar w:fldCharType="begin"/>
          </w:r>
          <w:r>
            <w:instrText xml:space="preserve"> STYLEREF CharSchText \* MERGEFORMAT </w:instrText>
          </w:r>
          <w:r>
            <w:rPr>
              <w:noProof/>
            </w:rPr>
            <w:fldChar w:fldCharType="end"/>
          </w:r>
        </w:p>
      </w:tc>
      <w:tc>
        <w:tcPr>
          <w:tcW w:w="2088"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Regulations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2057" w:type="dxa"/>
        </w:tcPr>
        <w:p>
          <w:pPr>
            <w:pStyle w:val="HeaderNumberLeft"/>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r>
      <w:trPr>
        <w:cantSplit/>
      </w:trPr>
      <w:tc>
        <w:tcPr>
          <w:tcW w:w="2057" w:type="dxa"/>
        </w:tcPr>
        <w:p>
          <w:pPr>
            <w:pStyle w:val="HeaderSectionRight"/>
            <w:ind w:right="17"/>
            <w:jc w:val="left"/>
          </w:pPr>
          <w:r>
            <w:fldChar w:fldCharType="begin"/>
          </w:r>
          <w:r>
            <w:instrText xml:space="preserve"> STYLEREF CharSchNo \* MERGEFORMAT </w:instrText>
          </w:r>
          <w:r>
            <w:rPr>
              <w:noProof/>
            </w:rPr>
            <w:fldChar w:fldCharType="end"/>
          </w:r>
        </w:p>
      </w:tc>
      <w:tc>
        <w:tcPr>
          <w:tcW w:w="5206"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9409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7695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9EDE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CEB2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DEE0D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61819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C091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A201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5C436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8EC2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39CC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5CECB3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852"/>
    <w:docVar w:name="WAFER_20151208140852" w:val="RemoveTrackChanges"/>
    <w:docVar w:name="WAFER_20151208140852_GUID" w:val="7bbd659a-6b4d-4d7c-b209-ed65cac41a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3">
    <w:name w:val="toc 3"/>
    <w:basedOn w:val="TOC4"/>
    <w:next w:val="Normal"/>
    <w:semiHidden/>
    <w:pPr>
      <w:spacing w:before="60" w:after="20"/>
      <w:ind w:left="1701" w:hanging="567"/>
    </w:pPr>
    <w:rPr>
      <w:b/>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3">
    <w:name w:val="toc 3"/>
    <w:basedOn w:val="TOC4"/>
    <w:next w:val="Normal"/>
    <w:semiHidden/>
    <w:pPr>
      <w:spacing w:before="60" w:after="20"/>
      <w:ind w:left="1701" w:hanging="567"/>
    </w:pPr>
    <w:rPr>
      <w:b/>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6.wmf"/><Relationship Id="rId42"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5.png"/><Relationship Id="rId38"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image" Target="media/image7.png"/><Relationship Id="rId43"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243</Pages>
  <Words>57625</Words>
  <Characters>285245</Characters>
  <Application>Microsoft Office Word</Application>
  <DocSecurity>0</DocSecurity>
  <Lines>12401</Lines>
  <Paragraphs>7619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335251</CharactersWithSpaces>
  <SharedDoc>false</SharedDoc>
  <HLinks>
    <vt:vector size="12" baseType="variant">
      <vt:variant>
        <vt:i4>4980752</vt:i4>
      </vt:variant>
      <vt:variant>
        <vt:i4>224367</vt:i4>
      </vt:variant>
      <vt:variant>
        <vt:i4>1025</vt:i4>
      </vt:variant>
      <vt:variant>
        <vt:i4>1</vt:i4>
      </vt:variant>
      <vt:variant>
        <vt:lpwstr>C:\WP51\GRAPHICS\MISC\Crest2.gif</vt:lpwstr>
      </vt:variant>
      <vt:variant>
        <vt:lpwstr/>
      </vt:variant>
      <vt:variant>
        <vt:i4>1835028</vt:i4>
      </vt:variant>
      <vt:variant>
        <vt:i4>333714</vt:i4>
      </vt:variant>
      <vt:variant>
        <vt:i4>1026</vt:i4>
      </vt:variant>
      <vt:variant>
        <vt:i4>1</vt:i4>
      </vt:variant>
      <vt:variant>
        <vt:lpwstr>Datum drawing.bmp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1981 - 05-h0-04</dc:title>
  <dc:subject/>
  <dc:creator/>
  <cp:keywords/>
  <dc:description/>
  <cp:lastModifiedBy>svcMRProcess</cp:lastModifiedBy>
  <cp:revision>4</cp:revision>
  <dcterms:created xsi:type="dcterms:W3CDTF">2020-02-26T22:19:00Z</dcterms:created>
  <dcterms:modified xsi:type="dcterms:W3CDTF">2020-02-26T22:19:00Z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20060404</vt:lpwstr>
  </property>
  <property fmtid="{D5CDD505-2E9C-101B-9397-08002B2CF9AE}" pid="4" name="DocumentType">
    <vt:lpwstr>Reg</vt:lpwstr>
  </property>
  <property fmtid="{D5CDD505-2E9C-101B-9397-08002B2CF9AE}" pid="5" name="OwlsUID">
    <vt:i4>4643</vt:i4>
  </property>
  <property fmtid="{D5CDD505-2E9C-101B-9397-08002B2CF9AE}" pid="6" name="AsAtDate">
    <vt:lpwstr>04 Apr 2006</vt:lpwstr>
  </property>
  <property fmtid="{D5CDD505-2E9C-101B-9397-08002B2CF9AE}" pid="7" name="Suffix">
    <vt:lpwstr>05-h0-04</vt:lpwstr>
  </property>
</Properties>
</file>