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_Toc161209285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_Toc161209286 \h </w:instrText>
      </w:r>
      <w:r>
        <w:fldChar w:fldCharType="separate"/>
      </w:r>
      <w:r>
        <w:t>1</w:t>
      </w:r>
      <w:r>
        <w:fldChar w:fldCharType="end"/>
      </w:r>
    </w:p>
    <w:p>
      <w:pPr>
        <w:pStyle w:val="TOC2"/>
        <w:tabs>
          <w:tab w:val="right" w:leader="dot" w:pos="7088"/>
        </w:tabs>
        <w:rPr>
          <w:b w:val="0"/>
          <w:sz w:val="24"/>
          <w:szCs w:val="24"/>
        </w:rPr>
      </w:pPr>
      <w:r>
        <w:rPr>
          <w:szCs w:val="30"/>
        </w:rPr>
        <w:t>Part II — Miner’s Rights</w:t>
      </w:r>
    </w:p>
    <w:p>
      <w:pPr>
        <w:pStyle w:val="TOC8"/>
        <w:rPr>
          <w:sz w:val="24"/>
          <w:szCs w:val="24"/>
        </w:rPr>
      </w:pPr>
      <w:r>
        <w:rPr>
          <w:szCs w:val="24"/>
        </w:rPr>
        <w:t>3</w:t>
      </w:r>
      <w:r>
        <w:rPr>
          <w:snapToGrid w:val="0"/>
          <w:szCs w:val="24"/>
        </w:rPr>
        <w:t>.</w:t>
      </w:r>
      <w:r>
        <w:rPr>
          <w:snapToGrid w:val="0"/>
          <w:szCs w:val="24"/>
        </w:rPr>
        <w:tab/>
        <w:t>Form of Miner’s Rights</w:t>
      </w:r>
      <w:r>
        <w:tab/>
      </w:r>
      <w:r>
        <w:fldChar w:fldCharType="begin"/>
      </w:r>
      <w:r>
        <w:instrText xml:space="preserve"> PAGEREF _Toc161209288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Quantity of samples or specimens</w:t>
      </w:r>
      <w:r>
        <w:tab/>
      </w:r>
      <w:r>
        <w:fldChar w:fldCharType="begin"/>
      </w:r>
      <w:r>
        <w:instrText xml:space="preserve"> PAGEREF _Toc161209289 \h </w:instrText>
      </w:r>
      <w:r>
        <w:fldChar w:fldCharType="separate"/>
      </w:r>
      <w:r>
        <w:t>3</w:t>
      </w:r>
      <w:r>
        <w:fldChar w:fldCharType="end"/>
      </w:r>
    </w:p>
    <w:p>
      <w:pPr>
        <w:pStyle w:val="TOC2"/>
        <w:tabs>
          <w:tab w:val="right" w:leader="dot" w:pos="7088"/>
        </w:tabs>
        <w:rPr>
          <w:b w:val="0"/>
          <w:sz w:val="24"/>
          <w:szCs w:val="24"/>
        </w:rPr>
      </w:pPr>
      <w:r>
        <w:rPr>
          <w:szCs w:val="30"/>
        </w:rPr>
        <w:t>Part IIA — Permits under section 20A</w:t>
      </w:r>
    </w:p>
    <w:p>
      <w:pPr>
        <w:pStyle w:val="TOC8"/>
        <w:rPr>
          <w:sz w:val="24"/>
          <w:szCs w:val="24"/>
        </w:rPr>
      </w:pPr>
      <w:r>
        <w:rPr>
          <w:szCs w:val="24"/>
        </w:rPr>
        <w:t>4A.</w:t>
      </w:r>
      <w:r>
        <w:rPr>
          <w:szCs w:val="24"/>
        </w:rPr>
        <w:tab/>
        <w:t>Terms used in this Part</w:t>
      </w:r>
      <w:r>
        <w:tab/>
      </w:r>
      <w:r>
        <w:fldChar w:fldCharType="begin"/>
      </w:r>
      <w:r>
        <w:instrText xml:space="preserve"> PAGEREF _Toc161209291 \h </w:instrText>
      </w:r>
      <w:r>
        <w:fldChar w:fldCharType="separate"/>
      </w:r>
      <w:r>
        <w:t>4</w:t>
      </w:r>
      <w:r>
        <w:fldChar w:fldCharType="end"/>
      </w:r>
    </w:p>
    <w:p>
      <w:pPr>
        <w:pStyle w:val="TOC8"/>
        <w:rPr>
          <w:sz w:val="24"/>
          <w:szCs w:val="24"/>
        </w:rPr>
      </w:pPr>
      <w:r>
        <w:rPr>
          <w:szCs w:val="24"/>
        </w:rPr>
        <w:t>4B.</w:t>
      </w:r>
      <w:r>
        <w:rPr>
          <w:szCs w:val="24"/>
        </w:rPr>
        <w:tab/>
        <w:t>Prescribed office — section 20A(1)</w:t>
      </w:r>
      <w:r>
        <w:tab/>
      </w:r>
      <w:r>
        <w:fldChar w:fldCharType="begin"/>
      </w:r>
      <w:r>
        <w:instrText xml:space="preserve"> PAGEREF _Toc161209292 \h </w:instrText>
      </w:r>
      <w:r>
        <w:fldChar w:fldCharType="separate"/>
      </w:r>
      <w:r>
        <w:t>4</w:t>
      </w:r>
      <w:r>
        <w:fldChar w:fldCharType="end"/>
      </w:r>
    </w:p>
    <w:p>
      <w:pPr>
        <w:pStyle w:val="TOC8"/>
        <w:rPr>
          <w:sz w:val="24"/>
          <w:szCs w:val="24"/>
        </w:rPr>
      </w:pPr>
      <w:r>
        <w:rPr>
          <w:szCs w:val="24"/>
        </w:rPr>
        <w:t>4C.</w:t>
      </w:r>
      <w:r>
        <w:rPr>
          <w:szCs w:val="24"/>
        </w:rPr>
        <w:tab/>
        <w:t>Prescribed depth — section 20A(6)(b)</w:t>
      </w:r>
      <w:r>
        <w:tab/>
      </w:r>
      <w:r>
        <w:fldChar w:fldCharType="begin"/>
      </w:r>
      <w:r>
        <w:instrText xml:space="preserve"> PAGEREF _Toc161209293 \h </w:instrText>
      </w:r>
      <w:r>
        <w:fldChar w:fldCharType="separate"/>
      </w:r>
      <w:r>
        <w:t>4</w:t>
      </w:r>
      <w:r>
        <w:fldChar w:fldCharType="end"/>
      </w:r>
    </w:p>
    <w:p>
      <w:pPr>
        <w:pStyle w:val="TOC8"/>
        <w:rPr>
          <w:sz w:val="24"/>
          <w:szCs w:val="24"/>
        </w:rPr>
      </w:pPr>
      <w:r>
        <w:rPr>
          <w:szCs w:val="24"/>
        </w:rPr>
        <w:t>4D.</w:t>
      </w:r>
      <w:r>
        <w:rPr>
          <w:szCs w:val="24"/>
        </w:rPr>
        <w:tab/>
        <w:t>Application for permit</w:t>
      </w:r>
      <w:r>
        <w:tab/>
      </w:r>
      <w:r>
        <w:fldChar w:fldCharType="begin"/>
      </w:r>
      <w:r>
        <w:instrText xml:space="preserve"> PAGEREF _Toc161209294 \h </w:instrText>
      </w:r>
      <w:r>
        <w:fldChar w:fldCharType="separate"/>
      </w:r>
      <w:r>
        <w:t>5</w:t>
      </w:r>
      <w:r>
        <w:fldChar w:fldCharType="end"/>
      </w:r>
    </w:p>
    <w:p>
      <w:pPr>
        <w:pStyle w:val="TOC8"/>
        <w:rPr>
          <w:sz w:val="24"/>
          <w:szCs w:val="24"/>
        </w:rPr>
      </w:pPr>
      <w:r>
        <w:rPr>
          <w:szCs w:val="24"/>
        </w:rPr>
        <w:t>4E.</w:t>
      </w:r>
      <w:r>
        <w:rPr>
          <w:szCs w:val="24"/>
        </w:rPr>
        <w:tab/>
        <w:t>Area of land to which permit applies</w:t>
      </w:r>
      <w:r>
        <w:tab/>
      </w:r>
      <w:r>
        <w:fldChar w:fldCharType="begin"/>
      </w:r>
      <w:r>
        <w:instrText xml:space="preserve"> PAGEREF _Toc161209295 \h </w:instrText>
      </w:r>
      <w:r>
        <w:fldChar w:fldCharType="separate"/>
      </w:r>
      <w:r>
        <w:t>5</w:t>
      </w:r>
      <w:r>
        <w:fldChar w:fldCharType="end"/>
      </w:r>
    </w:p>
    <w:p>
      <w:pPr>
        <w:pStyle w:val="TOC8"/>
        <w:rPr>
          <w:sz w:val="24"/>
          <w:szCs w:val="24"/>
        </w:rPr>
      </w:pPr>
      <w:r>
        <w:rPr>
          <w:szCs w:val="24"/>
        </w:rPr>
        <w:t>4F.</w:t>
      </w:r>
      <w:r>
        <w:rPr>
          <w:szCs w:val="24"/>
        </w:rPr>
        <w:tab/>
        <w:t>Permit conditions</w:t>
      </w:r>
      <w:r>
        <w:tab/>
      </w:r>
      <w:r>
        <w:fldChar w:fldCharType="begin"/>
      </w:r>
      <w:r>
        <w:instrText xml:space="preserve"> PAGEREF _Toc161209296 \h </w:instrText>
      </w:r>
      <w:r>
        <w:fldChar w:fldCharType="separate"/>
      </w:r>
      <w:r>
        <w:t>5</w:t>
      </w:r>
      <w:r>
        <w:fldChar w:fldCharType="end"/>
      </w:r>
    </w:p>
    <w:p>
      <w:pPr>
        <w:pStyle w:val="TOC8"/>
        <w:rPr>
          <w:sz w:val="24"/>
          <w:szCs w:val="24"/>
        </w:rPr>
      </w:pPr>
      <w:r>
        <w:rPr>
          <w:szCs w:val="24"/>
        </w:rPr>
        <w:t>4G.</w:t>
      </w:r>
      <w:r>
        <w:rPr>
          <w:szCs w:val="24"/>
        </w:rPr>
        <w:tab/>
        <w:t>Notice of issue of permit</w:t>
      </w:r>
      <w:r>
        <w:tab/>
      </w:r>
      <w:r>
        <w:fldChar w:fldCharType="begin"/>
      </w:r>
      <w:r>
        <w:instrText xml:space="preserve"> PAGEREF _Toc161209297 \h </w:instrText>
      </w:r>
      <w:r>
        <w:fldChar w:fldCharType="separate"/>
      </w:r>
      <w:r>
        <w:t>6</w:t>
      </w:r>
      <w:r>
        <w:fldChar w:fldCharType="end"/>
      </w:r>
    </w:p>
    <w:p>
      <w:pPr>
        <w:pStyle w:val="TOC8"/>
        <w:rPr>
          <w:sz w:val="24"/>
          <w:szCs w:val="24"/>
        </w:rPr>
      </w:pPr>
      <w:r>
        <w:rPr>
          <w:szCs w:val="24"/>
        </w:rPr>
        <w:t>4H.</w:t>
      </w:r>
      <w:r>
        <w:rPr>
          <w:szCs w:val="24"/>
        </w:rPr>
        <w:tab/>
        <w:t>Statement by holder of exploration licence</w:t>
      </w:r>
      <w:r>
        <w:tab/>
      </w:r>
      <w:r>
        <w:fldChar w:fldCharType="begin"/>
      </w:r>
      <w:r>
        <w:instrText xml:space="preserve"> PAGEREF _Toc161209298 \h </w:instrText>
      </w:r>
      <w:r>
        <w:fldChar w:fldCharType="separate"/>
      </w:r>
      <w:r>
        <w:t>6</w:t>
      </w:r>
      <w:r>
        <w:fldChar w:fldCharType="end"/>
      </w:r>
    </w:p>
    <w:p>
      <w:pPr>
        <w:pStyle w:val="TOC8"/>
        <w:rPr>
          <w:sz w:val="24"/>
          <w:szCs w:val="24"/>
        </w:rPr>
      </w:pPr>
      <w:r>
        <w:rPr>
          <w:szCs w:val="24"/>
        </w:rPr>
        <w:t>4I.</w:t>
      </w:r>
      <w:r>
        <w:rPr>
          <w:szCs w:val="24"/>
        </w:rPr>
        <w:tab/>
        <w:t>Commencement of operation of permit</w:t>
      </w:r>
      <w:r>
        <w:tab/>
      </w:r>
      <w:r>
        <w:fldChar w:fldCharType="begin"/>
      </w:r>
      <w:r>
        <w:instrText xml:space="preserve"> PAGEREF _Toc161209299 \h </w:instrText>
      </w:r>
      <w:r>
        <w:fldChar w:fldCharType="separate"/>
      </w:r>
      <w:r>
        <w:t>7</w:t>
      </w:r>
      <w:r>
        <w:fldChar w:fldCharType="end"/>
      </w:r>
    </w:p>
    <w:p>
      <w:pPr>
        <w:pStyle w:val="TOC8"/>
        <w:rPr>
          <w:sz w:val="24"/>
          <w:szCs w:val="24"/>
        </w:rPr>
      </w:pPr>
      <w:r>
        <w:rPr>
          <w:szCs w:val="24"/>
        </w:rPr>
        <w:t>4J.</w:t>
      </w:r>
      <w:r>
        <w:rPr>
          <w:szCs w:val="24"/>
        </w:rPr>
        <w:tab/>
        <w:t>Expiry of permit</w:t>
      </w:r>
      <w:r>
        <w:tab/>
      </w:r>
      <w:r>
        <w:fldChar w:fldCharType="begin"/>
      </w:r>
      <w:r>
        <w:instrText xml:space="preserve"> PAGEREF _Toc161209300 \h </w:instrText>
      </w:r>
      <w:r>
        <w:fldChar w:fldCharType="separate"/>
      </w:r>
      <w:r>
        <w:t>7</w:t>
      </w:r>
      <w:r>
        <w:fldChar w:fldCharType="end"/>
      </w:r>
    </w:p>
    <w:p>
      <w:pPr>
        <w:pStyle w:val="TOC8"/>
        <w:rPr>
          <w:sz w:val="24"/>
          <w:szCs w:val="24"/>
        </w:rPr>
      </w:pPr>
      <w:r>
        <w:rPr>
          <w:szCs w:val="24"/>
        </w:rPr>
        <w:t>4K.</w:t>
      </w:r>
      <w:r>
        <w:rPr>
          <w:szCs w:val="24"/>
        </w:rPr>
        <w:tab/>
        <w:t>Surrender of permit</w:t>
      </w:r>
      <w:r>
        <w:tab/>
      </w:r>
      <w:r>
        <w:fldChar w:fldCharType="begin"/>
      </w:r>
      <w:r>
        <w:instrText xml:space="preserve"> PAGEREF _Toc161209301 \h </w:instrText>
      </w:r>
      <w:r>
        <w:fldChar w:fldCharType="separate"/>
      </w:r>
      <w:r>
        <w:t>8</w:t>
      </w:r>
      <w:r>
        <w:fldChar w:fldCharType="end"/>
      </w:r>
    </w:p>
    <w:p>
      <w:pPr>
        <w:pStyle w:val="TOC8"/>
        <w:rPr>
          <w:sz w:val="24"/>
          <w:szCs w:val="24"/>
        </w:rPr>
      </w:pPr>
      <w:r>
        <w:rPr>
          <w:szCs w:val="24"/>
        </w:rPr>
        <w:t>4L.</w:t>
      </w:r>
      <w:r>
        <w:rPr>
          <w:szCs w:val="24"/>
        </w:rPr>
        <w:tab/>
        <w:t>Powers available to Minister where breach of condition, etc.</w:t>
      </w:r>
      <w:r>
        <w:tab/>
      </w:r>
      <w:r>
        <w:fldChar w:fldCharType="begin"/>
      </w:r>
      <w:r>
        <w:instrText xml:space="preserve"> PAGEREF _Toc161209302 \h </w:instrText>
      </w:r>
      <w:r>
        <w:fldChar w:fldCharType="separate"/>
      </w:r>
      <w:r>
        <w:t>8</w:t>
      </w:r>
      <w:r>
        <w:fldChar w:fldCharType="end"/>
      </w:r>
    </w:p>
    <w:p>
      <w:pPr>
        <w:pStyle w:val="TOC8"/>
        <w:rPr>
          <w:sz w:val="24"/>
          <w:szCs w:val="24"/>
        </w:rPr>
      </w:pPr>
      <w:r>
        <w:rPr>
          <w:szCs w:val="24"/>
        </w:rPr>
        <w:t>4M.</w:t>
      </w:r>
      <w:r>
        <w:rPr>
          <w:szCs w:val="24"/>
        </w:rPr>
        <w:tab/>
        <w:t>Right of permit holder to make submissions</w:t>
      </w:r>
      <w:r>
        <w:tab/>
      </w:r>
      <w:r>
        <w:fldChar w:fldCharType="begin"/>
      </w:r>
      <w:r>
        <w:instrText xml:space="preserve"> PAGEREF _Toc161209303 \h </w:instrText>
      </w:r>
      <w:r>
        <w:fldChar w:fldCharType="separate"/>
      </w:r>
      <w:r>
        <w:t>9</w:t>
      </w:r>
      <w:r>
        <w:fldChar w:fldCharType="end"/>
      </w:r>
    </w:p>
    <w:p>
      <w:pPr>
        <w:pStyle w:val="TOC8"/>
        <w:rPr>
          <w:sz w:val="24"/>
          <w:szCs w:val="24"/>
        </w:rPr>
      </w:pPr>
      <w:r>
        <w:rPr>
          <w:szCs w:val="24"/>
        </w:rPr>
        <w:t>4N.</w:t>
      </w:r>
      <w:r>
        <w:rPr>
          <w:szCs w:val="24"/>
        </w:rPr>
        <w:tab/>
        <w:t>Prospecting report on recovered minerals</w:t>
      </w:r>
      <w:r>
        <w:tab/>
      </w:r>
      <w:r>
        <w:fldChar w:fldCharType="begin"/>
      </w:r>
      <w:r>
        <w:instrText xml:space="preserve"> PAGEREF _Toc161209304 \h </w:instrText>
      </w:r>
      <w:r>
        <w:fldChar w:fldCharType="separate"/>
      </w:r>
      <w:r>
        <w:t>9</w:t>
      </w:r>
      <w:r>
        <w:fldChar w:fldCharType="end"/>
      </w:r>
    </w:p>
    <w:p>
      <w:pPr>
        <w:pStyle w:val="TOC8"/>
        <w:rPr>
          <w:sz w:val="24"/>
          <w:szCs w:val="24"/>
        </w:rPr>
      </w:pPr>
      <w:r>
        <w:rPr>
          <w:szCs w:val="24"/>
        </w:rPr>
        <w:t>4O.</w:t>
      </w:r>
      <w:r>
        <w:rPr>
          <w:szCs w:val="24"/>
        </w:rPr>
        <w:tab/>
        <w:t>Prohibition of use of certain hand tools</w:t>
      </w:r>
      <w:r>
        <w:tab/>
      </w:r>
      <w:r>
        <w:fldChar w:fldCharType="begin"/>
      </w:r>
      <w:r>
        <w:instrText xml:space="preserve"> PAGEREF _Toc161209305 \h </w:instrText>
      </w:r>
      <w:r>
        <w:fldChar w:fldCharType="separate"/>
      </w:r>
      <w:r>
        <w:t>10</w:t>
      </w:r>
      <w:r>
        <w:fldChar w:fldCharType="end"/>
      </w:r>
    </w:p>
    <w:p>
      <w:pPr>
        <w:pStyle w:val="TOC8"/>
        <w:rPr>
          <w:sz w:val="24"/>
          <w:szCs w:val="24"/>
        </w:rPr>
      </w:pPr>
      <w:r>
        <w:rPr>
          <w:szCs w:val="24"/>
        </w:rPr>
        <w:t>4P.</w:t>
      </w:r>
      <w:r>
        <w:rPr>
          <w:szCs w:val="24"/>
        </w:rPr>
        <w:tab/>
        <w:t>Application of regulations 98 and 99</w:t>
      </w:r>
      <w:r>
        <w:tab/>
      </w:r>
      <w:r>
        <w:fldChar w:fldCharType="begin"/>
      </w:r>
      <w:r>
        <w:instrText xml:space="preserve"> PAGEREF _Toc161209306 \h </w:instrText>
      </w:r>
      <w:r>
        <w:fldChar w:fldCharType="separate"/>
      </w:r>
      <w:r>
        <w:t>10</w:t>
      </w:r>
      <w:r>
        <w:fldChar w:fldCharType="end"/>
      </w:r>
    </w:p>
    <w:p>
      <w:pPr>
        <w:pStyle w:val="TOC2"/>
        <w:tabs>
          <w:tab w:val="right" w:leader="dot" w:pos="7088"/>
        </w:tabs>
        <w:rPr>
          <w:b w:val="0"/>
          <w:sz w:val="24"/>
          <w:szCs w:val="24"/>
        </w:rPr>
      </w:pPr>
      <w:r>
        <w:rPr>
          <w:szCs w:val="30"/>
        </w:rPr>
        <w:t>Part III — Mining on private land</w:t>
      </w:r>
    </w:p>
    <w:p>
      <w:pPr>
        <w:pStyle w:val="TOC8"/>
        <w:rPr>
          <w:sz w:val="24"/>
          <w:szCs w:val="24"/>
        </w:rPr>
      </w:pPr>
      <w:r>
        <w:rPr>
          <w:szCs w:val="24"/>
        </w:rPr>
        <w:t>5</w:t>
      </w:r>
      <w:r>
        <w:rPr>
          <w:snapToGrid w:val="0"/>
          <w:szCs w:val="24"/>
        </w:rPr>
        <w:t>.</w:t>
      </w:r>
      <w:r>
        <w:rPr>
          <w:snapToGrid w:val="0"/>
          <w:szCs w:val="24"/>
        </w:rPr>
        <w:tab/>
        <w:t>Application for permit to enter private land</w:t>
      </w:r>
      <w:r>
        <w:tab/>
      </w:r>
      <w:r>
        <w:fldChar w:fldCharType="begin"/>
      </w:r>
      <w:r>
        <w:instrText xml:space="preserve"> PAGEREF _Toc161209308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Form of permit to enter</w:t>
      </w:r>
      <w:r>
        <w:tab/>
      </w:r>
      <w:r>
        <w:fldChar w:fldCharType="begin"/>
      </w:r>
      <w:r>
        <w:instrText xml:space="preserve"> PAGEREF _Toc161209309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Notice of application relating to private land</w:t>
      </w:r>
      <w:r>
        <w:tab/>
      </w:r>
      <w:r>
        <w:fldChar w:fldCharType="begin"/>
      </w:r>
      <w:r>
        <w:instrText xml:space="preserve"> PAGEREF _Toc161209310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Application to bring private land under the Act</w:t>
      </w:r>
      <w:r>
        <w:tab/>
      </w:r>
      <w:r>
        <w:fldChar w:fldCharType="begin"/>
      </w:r>
      <w:r>
        <w:instrText xml:space="preserve"> PAGEREF _Toc161209311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Right of way on private land</w:t>
      </w:r>
      <w:r>
        <w:tab/>
      </w:r>
      <w:r>
        <w:fldChar w:fldCharType="begin"/>
      </w:r>
      <w:r>
        <w:instrText xml:space="preserve"> PAGEREF _Toc161209312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Consents under section 29</w:t>
      </w:r>
      <w:r>
        <w:tab/>
      </w:r>
      <w:r>
        <w:fldChar w:fldCharType="begin"/>
      </w:r>
      <w:r>
        <w:instrText xml:space="preserve"> PAGEREF _Toc161209313 \h </w:instrText>
      </w:r>
      <w:r>
        <w:fldChar w:fldCharType="separate"/>
      </w:r>
      <w:r>
        <w:t>12</w:t>
      </w:r>
      <w:r>
        <w:fldChar w:fldCharType="end"/>
      </w:r>
    </w:p>
    <w:p>
      <w:pPr>
        <w:pStyle w:val="TOC8"/>
        <w:rPr>
          <w:sz w:val="24"/>
          <w:szCs w:val="24"/>
        </w:rPr>
      </w:pPr>
      <w:r>
        <w:rPr>
          <w:szCs w:val="24"/>
        </w:rPr>
        <w:t>10A</w:t>
      </w:r>
      <w:r>
        <w:rPr>
          <w:snapToGrid w:val="0"/>
          <w:szCs w:val="24"/>
        </w:rPr>
        <w:t>.</w:t>
      </w:r>
      <w:r>
        <w:rPr>
          <w:snapToGrid w:val="0"/>
          <w:szCs w:val="24"/>
        </w:rPr>
        <w:tab/>
        <w:t>Compensation</w:t>
      </w:r>
      <w:r>
        <w:tab/>
      </w:r>
      <w:r>
        <w:fldChar w:fldCharType="begin"/>
      </w:r>
      <w:r>
        <w:instrText xml:space="preserve"> PAGEREF _Toc161209314 \h </w:instrText>
      </w:r>
      <w:r>
        <w:fldChar w:fldCharType="separate"/>
      </w:r>
      <w:r>
        <w:t>12</w:t>
      </w:r>
      <w:r>
        <w:fldChar w:fldCharType="end"/>
      </w:r>
    </w:p>
    <w:p>
      <w:pPr>
        <w:pStyle w:val="TOC2"/>
        <w:tabs>
          <w:tab w:val="right" w:leader="dot" w:pos="7088"/>
        </w:tabs>
        <w:rPr>
          <w:b w:val="0"/>
          <w:sz w:val="24"/>
          <w:szCs w:val="24"/>
        </w:rPr>
      </w:pPr>
      <w:r>
        <w:rPr>
          <w:szCs w:val="30"/>
        </w:rPr>
        <w:t>Part IV — Mining tenements</w:t>
      </w:r>
    </w:p>
    <w:p>
      <w:pPr>
        <w:pStyle w:val="TOC4"/>
        <w:tabs>
          <w:tab w:val="right" w:leader="dot" w:pos="7088"/>
        </w:tabs>
        <w:rPr>
          <w:b w:val="0"/>
          <w:sz w:val="24"/>
          <w:szCs w:val="24"/>
        </w:rPr>
      </w:pPr>
      <w:r>
        <w:rPr>
          <w:szCs w:val="26"/>
        </w:rPr>
        <w:t>Division 1</w:t>
      </w:r>
      <w:r>
        <w:rPr>
          <w:snapToGrid w:val="0"/>
          <w:szCs w:val="26"/>
        </w:rPr>
        <w:t> — </w:t>
      </w:r>
      <w:r>
        <w:rPr>
          <w:szCs w:val="26"/>
        </w:rPr>
        <w:t>Prospecting licences</w:t>
      </w:r>
    </w:p>
    <w:p>
      <w:pPr>
        <w:pStyle w:val="TOC8"/>
        <w:rPr>
          <w:sz w:val="24"/>
          <w:szCs w:val="24"/>
        </w:rPr>
      </w:pPr>
      <w:r>
        <w:rPr>
          <w:szCs w:val="24"/>
        </w:rPr>
        <w:t>11</w:t>
      </w:r>
      <w:r>
        <w:rPr>
          <w:snapToGrid w:val="0"/>
          <w:szCs w:val="24"/>
        </w:rPr>
        <w:t>.</w:t>
      </w:r>
      <w:r>
        <w:rPr>
          <w:snapToGrid w:val="0"/>
          <w:szCs w:val="24"/>
        </w:rPr>
        <w:tab/>
        <w:t>Marking out and application</w:t>
      </w:r>
      <w:r>
        <w:tab/>
      </w:r>
      <w:r>
        <w:fldChar w:fldCharType="begin"/>
      </w:r>
      <w:r>
        <w:instrText xml:space="preserve"> PAGEREF _Toc161209317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Instrument of licence</w:t>
      </w:r>
      <w:r>
        <w:tab/>
      </w:r>
      <w:r>
        <w:fldChar w:fldCharType="begin"/>
      </w:r>
      <w:r>
        <w:instrText xml:space="preserve"> PAGEREF _Toc161209318 \h </w:instrText>
      </w:r>
      <w:r>
        <w:fldChar w:fldCharType="separate"/>
      </w:r>
      <w:r>
        <w:t>14</w:t>
      </w:r>
      <w:r>
        <w:fldChar w:fldCharType="end"/>
      </w:r>
    </w:p>
    <w:p>
      <w:pPr>
        <w:pStyle w:val="TOC8"/>
        <w:rPr>
          <w:sz w:val="24"/>
          <w:szCs w:val="24"/>
        </w:rPr>
      </w:pPr>
      <w:r>
        <w:rPr>
          <w:szCs w:val="24"/>
        </w:rPr>
        <w:t>13A.</w:t>
      </w:r>
      <w:r>
        <w:rPr>
          <w:szCs w:val="24"/>
        </w:rPr>
        <w:tab/>
        <w:t>Programme of work for ground disturbing equipment</w:t>
      </w:r>
      <w:r>
        <w:tab/>
      </w:r>
      <w:r>
        <w:fldChar w:fldCharType="begin"/>
      </w:r>
      <w:r>
        <w:instrText xml:space="preserve"> PAGEREF _Toc161209319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Limit on amount of earth, etc., that may be removed</w:t>
      </w:r>
      <w:r>
        <w:tab/>
      </w:r>
      <w:r>
        <w:fldChar w:fldCharType="begin"/>
      </w:r>
      <w:r>
        <w:instrText xml:space="preserve"> PAGEREF _Toc161209320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Expenditure condition</w:t>
      </w:r>
      <w:r>
        <w:tab/>
      </w:r>
      <w:r>
        <w:fldChar w:fldCharType="begin"/>
      </w:r>
      <w:r>
        <w:instrText xml:space="preserve"> PAGEREF _Toc161209321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Reports to be filed</w:t>
      </w:r>
      <w:r>
        <w:tab/>
      </w:r>
      <w:r>
        <w:fldChar w:fldCharType="begin"/>
      </w:r>
      <w:r>
        <w:instrText xml:space="preserve"> PAGEREF _Toc161209322 \h </w:instrText>
      </w:r>
      <w:r>
        <w:fldChar w:fldCharType="separate"/>
      </w:r>
      <w:r>
        <w:t>16</w:t>
      </w:r>
      <w:r>
        <w:fldChar w:fldCharType="end"/>
      </w:r>
    </w:p>
    <w:p>
      <w:pPr>
        <w:pStyle w:val="TOC8"/>
        <w:rPr>
          <w:sz w:val="24"/>
          <w:szCs w:val="24"/>
        </w:rPr>
      </w:pPr>
      <w:r>
        <w:rPr>
          <w:szCs w:val="24"/>
        </w:rPr>
        <w:t>16A.</w:t>
      </w:r>
      <w:r>
        <w:rPr>
          <w:szCs w:val="24"/>
        </w:rPr>
        <w:tab/>
        <w:t>Grounds for extension under section 45(1a)</w:t>
      </w:r>
      <w:r>
        <w:tab/>
      </w:r>
      <w:r>
        <w:fldChar w:fldCharType="begin"/>
      </w:r>
      <w:r>
        <w:instrText xml:space="preserve"> PAGEREF _Toc161209323 \h </w:instrText>
      </w:r>
      <w:r>
        <w:fldChar w:fldCharType="separate"/>
      </w:r>
      <w:r>
        <w:t>17</w:t>
      </w:r>
      <w:r>
        <w:fldChar w:fldCharType="end"/>
      </w:r>
    </w:p>
    <w:p>
      <w:pPr>
        <w:pStyle w:val="TOC8"/>
        <w:rPr>
          <w:sz w:val="24"/>
          <w:szCs w:val="24"/>
        </w:rPr>
      </w:pPr>
      <w:r>
        <w:rPr>
          <w:szCs w:val="24"/>
        </w:rPr>
        <w:t>16B.</w:t>
      </w:r>
      <w:r>
        <w:rPr>
          <w:szCs w:val="24"/>
        </w:rPr>
        <w:tab/>
        <w:t>Application for extension of prospecting licence</w:t>
      </w:r>
      <w:r>
        <w:tab/>
      </w:r>
      <w:r>
        <w:fldChar w:fldCharType="begin"/>
      </w:r>
      <w:r>
        <w:instrText xml:space="preserve"> PAGEREF _Toc161209324 \h </w:instrText>
      </w:r>
      <w:r>
        <w:fldChar w:fldCharType="separate"/>
      </w:r>
      <w:r>
        <w:t>18</w:t>
      </w:r>
      <w:r>
        <w:fldChar w:fldCharType="end"/>
      </w:r>
    </w:p>
    <w:p>
      <w:pPr>
        <w:pStyle w:val="TOC8"/>
        <w:rPr>
          <w:sz w:val="24"/>
          <w:szCs w:val="24"/>
        </w:rPr>
      </w:pPr>
      <w:r>
        <w:rPr>
          <w:szCs w:val="24"/>
        </w:rPr>
        <w:t>16C.</w:t>
      </w:r>
      <w:r>
        <w:rPr>
          <w:szCs w:val="24"/>
        </w:rPr>
        <w:tab/>
        <w:t>Application for retention status</w:t>
      </w:r>
      <w:r>
        <w:tab/>
      </w:r>
      <w:r>
        <w:fldChar w:fldCharType="begin"/>
      </w:r>
      <w:r>
        <w:instrText xml:space="preserve"> PAGEREF _Toc161209325 \h </w:instrText>
      </w:r>
      <w:r>
        <w:fldChar w:fldCharType="separate"/>
      </w:r>
      <w:r>
        <w:t>18</w:t>
      </w:r>
      <w:r>
        <w:fldChar w:fldCharType="end"/>
      </w:r>
    </w:p>
    <w:p>
      <w:pPr>
        <w:pStyle w:val="TOC8"/>
        <w:rPr>
          <w:sz w:val="24"/>
          <w:szCs w:val="24"/>
        </w:rPr>
      </w:pPr>
      <w:r>
        <w:rPr>
          <w:szCs w:val="24"/>
        </w:rPr>
        <w:t>16D.</w:t>
      </w:r>
      <w:r>
        <w:rPr>
          <w:szCs w:val="24"/>
        </w:rPr>
        <w:tab/>
        <w:t>Marking out of land that has retention status</w:t>
      </w:r>
      <w:r>
        <w:tab/>
      </w:r>
      <w:r>
        <w:fldChar w:fldCharType="begin"/>
      </w:r>
      <w:r>
        <w:instrText xml:space="preserve"> PAGEREF _Toc161209326 \h </w:instrText>
      </w:r>
      <w:r>
        <w:fldChar w:fldCharType="separate"/>
      </w:r>
      <w:r>
        <w:t>19</w:t>
      </w:r>
      <w:r>
        <w:fldChar w:fldCharType="end"/>
      </w:r>
    </w:p>
    <w:p>
      <w:pPr>
        <w:pStyle w:val="TOC8"/>
        <w:rPr>
          <w:sz w:val="24"/>
          <w:szCs w:val="24"/>
        </w:rPr>
      </w:pPr>
      <w:r>
        <w:rPr>
          <w:szCs w:val="24"/>
        </w:rPr>
        <w:t>16E.</w:t>
      </w:r>
      <w:r>
        <w:rPr>
          <w:szCs w:val="24"/>
        </w:rPr>
        <w:tab/>
        <w:t>Application for special prospecting licence</w:t>
      </w:r>
      <w:r>
        <w:tab/>
      </w:r>
      <w:r>
        <w:fldChar w:fldCharType="begin"/>
      </w:r>
      <w:r>
        <w:instrText xml:space="preserve"> PAGEREF _Toc161209327 \h </w:instrText>
      </w:r>
      <w:r>
        <w:fldChar w:fldCharType="separate"/>
      </w:r>
      <w:r>
        <w:t>19</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Exploration licences</w:t>
      </w:r>
    </w:p>
    <w:p>
      <w:pPr>
        <w:pStyle w:val="TOC8"/>
        <w:rPr>
          <w:sz w:val="24"/>
          <w:szCs w:val="24"/>
        </w:rPr>
      </w:pPr>
      <w:r>
        <w:rPr>
          <w:szCs w:val="24"/>
        </w:rPr>
        <w:t>17</w:t>
      </w:r>
      <w:r>
        <w:rPr>
          <w:snapToGrid w:val="0"/>
          <w:szCs w:val="24"/>
        </w:rPr>
        <w:t>.</w:t>
      </w:r>
      <w:r>
        <w:rPr>
          <w:snapToGrid w:val="0"/>
          <w:szCs w:val="24"/>
        </w:rPr>
        <w:tab/>
        <w:t>Application</w:t>
      </w:r>
      <w:r>
        <w:tab/>
      </w:r>
      <w:r>
        <w:fldChar w:fldCharType="begin"/>
      </w:r>
      <w:r>
        <w:instrText xml:space="preserve"> PAGEREF _Toc161209329 \h </w:instrText>
      </w:r>
      <w:r>
        <w:fldChar w:fldCharType="separate"/>
      </w:r>
      <w:r>
        <w:t>20</w:t>
      </w:r>
      <w:r>
        <w:fldChar w:fldCharType="end"/>
      </w:r>
    </w:p>
    <w:p>
      <w:pPr>
        <w:pStyle w:val="TOC8"/>
        <w:rPr>
          <w:sz w:val="24"/>
          <w:szCs w:val="24"/>
        </w:rPr>
      </w:pPr>
      <w:r>
        <w:rPr>
          <w:szCs w:val="24"/>
        </w:rPr>
        <w:t>19</w:t>
      </w:r>
      <w:r>
        <w:rPr>
          <w:snapToGrid w:val="0"/>
          <w:szCs w:val="24"/>
        </w:rPr>
        <w:t>.</w:t>
      </w:r>
      <w:r>
        <w:rPr>
          <w:snapToGrid w:val="0"/>
          <w:szCs w:val="24"/>
        </w:rPr>
        <w:tab/>
        <w:t>Instrument of licence</w:t>
      </w:r>
      <w:r>
        <w:tab/>
      </w:r>
      <w:r>
        <w:fldChar w:fldCharType="begin"/>
      </w:r>
      <w:r>
        <w:instrText xml:space="preserve"> PAGEREF _Toc161209330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Limit on amount of earth, etc., that may be removed</w:t>
      </w:r>
      <w:r>
        <w:tab/>
      </w:r>
      <w:r>
        <w:fldChar w:fldCharType="begin"/>
      </w:r>
      <w:r>
        <w:instrText xml:space="preserve"> PAGEREF _Toc161209331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Expenditure condition</w:t>
      </w:r>
      <w:r>
        <w:tab/>
      </w:r>
      <w:r>
        <w:fldChar w:fldCharType="begin"/>
      </w:r>
      <w:r>
        <w:instrText xml:space="preserve"> PAGEREF _Toc161209332 \h </w:instrText>
      </w:r>
      <w:r>
        <w:fldChar w:fldCharType="separate"/>
      </w:r>
      <w:r>
        <w:t>20</w:t>
      </w:r>
      <w:r>
        <w:fldChar w:fldCharType="end"/>
      </w:r>
    </w:p>
    <w:p>
      <w:pPr>
        <w:pStyle w:val="TOC8"/>
        <w:rPr>
          <w:sz w:val="24"/>
          <w:szCs w:val="24"/>
        </w:rPr>
      </w:pPr>
      <w:r>
        <w:rPr>
          <w:szCs w:val="24"/>
        </w:rPr>
        <w:t>21A.</w:t>
      </w:r>
      <w:r>
        <w:rPr>
          <w:szCs w:val="24"/>
        </w:rPr>
        <w:tab/>
        <w:t>Programme of work for ground disturbing equipment</w:t>
      </w:r>
      <w:r>
        <w:tab/>
      </w:r>
      <w:r>
        <w:fldChar w:fldCharType="begin"/>
      </w:r>
      <w:r>
        <w:instrText xml:space="preserve"> PAGEREF _Toc161209333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Reports to be filed</w:t>
      </w:r>
      <w:r>
        <w:tab/>
      </w:r>
      <w:r>
        <w:fldChar w:fldCharType="begin"/>
      </w:r>
      <w:r>
        <w:instrText xml:space="preserve"> PAGEREF _Toc161209334 \h </w:instrText>
      </w:r>
      <w:r>
        <w:fldChar w:fldCharType="separate"/>
      </w:r>
      <w:r>
        <w:t>24</w:t>
      </w:r>
      <w:r>
        <w:fldChar w:fldCharType="end"/>
      </w:r>
    </w:p>
    <w:p>
      <w:pPr>
        <w:pStyle w:val="TOC8"/>
        <w:rPr>
          <w:sz w:val="24"/>
          <w:szCs w:val="24"/>
        </w:rPr>
      </w:pPr>
      <w:r>
        <w:rPr>
          <w:szCs w:val="24"/>
        </w:rPr>
        <w:t>22A.</w:t>
      </w:r>
      <w:r>
        <w:rPr>
          <w:szCs w:val="24"/>
        </w:rPr>
        <w:tab/>
        <w:t>Grounds for deferral under section 65(3b)</w:t>
      </w:r>
      <w:r>
        <w:tab/>
      </w:r>
      <w:r>
        <w:fldChar w:fldCharType="begin"/>
      </w:r>
      <w:r>
        <w:instrText xml:space="preserve"> PAGEREF _Toc161209335 \h </w:instrText>
      </w:r>
      <w:r>
        <w:fldChar w:fldCharType="separate"/>
      </w:r>
      <w:r>
        <w:t>24</w:t>
      </w:r>
      <w:r>
        <w:fldChar w:fldCharType="end"/>
      </w:r>
    </w:p>
    <w:p>
      <w:pPr>
        <w:pStyle w:val="TOC8"/>
        <w:rPr>
          <w:sz w:val="24"/>
          <w:szCs w:val="24"/>
        </w:rPr>
      </w:pPr>
      <w:r>
        <w:rPr>
          <w:szCs w:val="24"/>
        </w:rPr>
        <w:t>22B.</w:t>
      </w:r>
      <w:r>
        <w:rPr>
          <w:szCs w:val="24"/>
        </w:rPr>
        <w:tab/>
        <w:t>Application for deferral</w:t>
      </w:r>
      <w:r>
        <w:tab/>
      </w:r>
      <w:r>
        <w:fldChar w:fldCharType="begin"/>
      </w:r>
      <w:r>
        <w:instrText xml:space="preserve"> PAGEREF _Toc161209336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Endorsement of plans upon surrender</w:t>
      </w:r>
      <w:r>
        <w:tab/>
      </w:r>
      <w:r>
        <w:fldChar w:fldCharType="begin"/>
      </w:r>
      <w:r>
        <w:instrText xml:space="preserve"> PAGEREF _Toc161209337 \h </w:instrText>
      </w:r>
      <w:r>
        <w:fldChar w:fldCharType="separate"/>
      </w:r>
      <w:r>
        <w:t>26</w:t>
      </w:r>
      <w:r>
        <w:fldChar w:fldCharType="end"/>
      </w:r>
    </w:p>
    <w:p>
      <w:pPr>
        <w:pStyle w:val="TOC8"/>
        <w:rPr>
          <w:sz w:val="24"/>
          <w:szCs w:val="24"/>
        </w:rPr>
      </w:pPr>
      <w:r>
        <w:rPr>
          <w:szCs w:val="24"/>
        </w:rPr>
        <w:t>23AA</w:t>
      </w:r>
      <w:r>
        <w:rPr>
          <w:snapToGrid w:val="0"/>
          <w:szCs w:val="24"/>
        </w:rPr>
        <w:t>.</w:t>
      </w:r>
      <w:r>
        <w:rPr>
          <w:snapToGrid w:val="0"/>
          <w:szCs w:val="24"/>
        </w:rPr>
        <w:tab/>
        <w:t>Refund of rent following unsuccessful application under section 65(1a)</w:t>
      </w:r>
      <w:r>
        <w:tab/>
      </w:r>
      <w:r>
        <w:fldChar w:fldCharType="begin"/>
      </w:r>
      <w:r>
        <w:instrText xml:space="preserve"> PAGEREF _Toc161209338 \h </w:instrText>
      </w:r>
      <w:r>
        <w:fldChar w:fldCharType="separate"/>
      </w:r>
      <w:r>
        <w:t>26</w:t>
      </w:r>
      <w:r>
        <w:fldChar w:fldCharType="end"/>
      </w:r>
    </w:p>
    <w:p>
      <w:pPr>
        <w:pStyle w:val="TOC8"/>
        <w:rPr>
          <w:sz w:val="24"/>
          <w:szCs w:val="24"/>
        </w:rPr>
      </w:pPr>
      <w:r>
        <w:rPr>
          <w:szCs w:val="24"/>
        </w:rPr>
        <w:t>23AB</w:t>
      </w:r>
      <w:r>
        <w:rPr>
          <w:snapToGrid w:val="0"/>
          <w:szCs w:val="24"/>
        </w:rPr>
        <w:t>.</w:t>
      </w:r>
      <w:r>
        <w:rPr>
          <w:snapToGrid w:val="0"/>
          <w:szCs w:val="24"/>
        </w:rPr>
        <w:tab/>
        <w:t>Grounds for extension under section 61(2)</w:t>
      </w:r>
      <w:r>
        <w:tab/>
      </w:r>
      <w:r>
        <w:fldChar w:fldCharType="begin"/>
      </w:r>
      <w:r>
        <w:instrText xml:space="preserve"> PAGEREF _Toc161209339 \h </w:instrText>
      </w:r>
      <w:r>
        <w:fldChar w:fldCharType="separate"/>
      </w:r>
      <w:r>
        <w:t>27</w:t>
      </w:r>
      <w:r>
        <w:fldChar w:fldCharType="end"/>
      </w:r>
    </w:p>
    <w:p>
      <w:pPr>
        <w:pStyle w:val="TOC8"/>
        <w:rPr>
          <w:sz w:val="24"/>
          <w:szCs w:val="24"/>
        </w:rPr>
      </w:pPr>
      <w:r>
        <w:rPr>
          <w:szCs w:val="24"/>
        </w:rPr>
        <w:t>23A</w:t>
      </w:r>
      <w:r>
        <w:rPr>
          <w:snapToGrid w:val="0"/>
          <w:szCs w:val="24"/>
        </w:rPr>
        <w:t>.</w:t>
      </w:r>
      <w:r>
        <w:rPr>
          <w:snapToGrid w:val="0"/>
          <w:szCs w:val="24"/>
        </w:rPr>
        <w:tab/>
        <w:t>Extension of exploration licence</w:t>
      </w:r>
      <w:r>
        <w:tab/>
      </w:r>
      <w:r>
        <w:fldChar w:fldCharType="begin"/>
      </w:r>
      <w:r>
        <w:instrText xml:space="preserve"> PAGEREF _Toc161209340 \h </w:instrText>
      </w:r>
      <w:r>
        <w:fldChar w:fldCharType="separate"/>
      </w:r>
      <w:r>
        <w:t>28</w:t>
      </w:r>
      <w:r>
        <w:fldChar w:fldCharType="end"/>
      </w:r>
    </w:p>
    <w:p>
      <w:pPr>
        <w:pStyle w:val="TOC8"/>
        <w:rPr>
          <w:sz w:val="24"/>
          <w:szCs w:val="24"/>
        </w:rPr>
      </w:pPr>
      <w:r>
        <w:rPr>
          <w:szCs w:val="24"/>
        </w:rPr>
        <w:t>23BA.</w:t>
      </w:r>
      <w:r>
        <w:rPr>
          <w:szCs w:val="24"/>
        </w:rPr>
        <w:tab/>
        <w:t>Application for retention status</w:t>
      </w:r>
      <w:r>
        <w:tab/>
      </w:r>
      <w:r>
        <w:fldChar w:fldCharType="begin"/>
      </w:r>
      <w:r>
        <w:instrText xml:space="preserve"> PAGEREF _Toc161209341 \h </w:instrText>
      </w:r>
      <w:r>
        <w:fldChar w:fldCharType="separate"/>
      </w:r>
      <w:r>
        <w:t>28</w:t>
      </w:r>
      <w:r>
        <w:fldChar w:fldCharType="end"/>
      </w:r>
    </w:p>
    <w:p>
      <w:pPr>
        <w:pStyle w:val="TOC8"/>
        <w:rPr>
          <w:sz w:val="24"/>
          <w:szCs w:val="24"/>
        </w:rPr>
      </w:pPr>
      <w:r>
        <w:rPr>
          <w:szCs w:val="24"/>
        </w:rPr>
        <w:t>23BB.</w:t>
      </w:r>
      <w:r>
        <w:rPr>
          <w:szCs w:val="24"/>
        </w:rPr>
        <w:tab/>
        <w:t>Application for special prospecting licence</w:t>
      </w:r>
      <w:r>
        <w:tab/>
      </w:r>
      <w:r>
        <w:fldChar w:fldCharType="begin"/>
      </w:r>
      <w:r>
        <w:instrText xml:space="preserve"> PAGEREF _Toc161209342 \h </w:instrText>
      </w:r>
      <w:r>
        <w:fldChar w:fldCharType="separate"/>
      </w:r>
      <w:r>
        <w:t>29</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Retention licences</w:t>
      </w:r>
    </w:p>
    <w:p>
      <w:pPr>
        <w:pStyle w:val="TOC8"/>
        <w:rPr>
          <w:sz w:val="24"/>
          <w:szCs w:val="24"/>
        </w:rPr>
      </w:pPr>
      <w:r>
        <w:rPr>
          <w:szCs w:val="24"/>
        </w:rPr>
        <w:t>23B</w:t>
      </w:r>
      <w:r>
        <w:rPr>
          <w:snapToGrid w:val="0"/>
          <w:szCs w:val="24"/>
        </w:rPr>
        <w:t>.</w:t>
      </w:r>
      <w:r>
        <w:rPr>
          <w:snapToGrid w:val="0"/>
          <w:szCs w:val="24"/>
        </w:rPr>
        <w:tab/>
        <w:t>Application and marking out</w:t>
      </w:r>
      <w:r>
        <w:tab/>
      </w:r>
      <w:r>
        <w:fldChar w:fldCharType="begin"/>
      </w:r>
      <w:r>
        <w:instrText xml:space="preserve"> PAGEREF _Toc161209344 \h </w:instrText>
      </w:r>
      <w:r>
        <w:fldChar w:fldCharType="separate"/>
      </w:r>
      <w:r>
        <w:t>30</w:t>
      </w:r>
      <w:r>
        <w:fldChar w:fldCharType="end"/>
      </w:r>
    </w:p>
    <w:p>
      <w:pPr>
        <w:pStyle w:val="TOC8"/>
        <w:rPr>
          <w:sz w:val="24"/>
          <w:szCs w:val="24"/>
        </w:rPr>
      </w:pPr>
      <w:r>
        <w:rPr>
          <w:szCs w:val="24"/>
        </w:rPr>
        <w:t>23D</w:t>
      </w:r>
      <w:r>
        <w:rPr>
          <w:snapToGrid w:val="0"/>
          <w:szCs w:val="24"/>
        </w:rPr>
        <w:t>.</w:t>
      </w:r>
      <w:r>
        <w:rPr>
          <w:snapToGrid w:val="0"/>
          <w:szCs w:val="24"/>
        </w:rPr>
        <w:tab/>
        <w:t>Instrument of licence</w:t>
      </w:r>
      <w:r>
        <w:tab/>
      </w:r>
      <w:r>
        <w:fldChar w:fldCharType="begin"/>
      </w:r>
      <w:r>
        <w:instrText xml:space="preserve"> PAGEREF _Toc161209345 \h </w:instrText>
      </w:r>
      <w:r>
        <w:fldChar w:fldCharType="separate"/>
      </w:r>
      <w:r>
        <w:t>30</w:t>
      </w:r>
      <w:r>
        <w:fldChar w:fldCharType="end"/>
      </w:r>
    </w:p>
    <w:p>
      <w:pPr>
        <w:pStyle w:val="TOC8"/>
        <w:rPr>
          <w:sz w:val="24"/>
          <w:szCs w:val="24"/>
        </w:rPr>
      </w:pPr>
      <w:r>
        <w:rPr>
          <w:szCs w:val="24"/>
        </w:rPr>
        <w:t>23DA.</w:t>
      </w:r>
      <w:r>
        <w:rPr>
          <w:szCs w:val="24"/>
        </w:rPr>
        <w:tab/>
        <w:t>Programme of work for ground disturbing equipment</w:t>
      </w:r>
      <w:r>
        <w:tab/>
      </w:r>
      <w:r>
        <w:fldChar w:fldCharType="begin"/>
      </w:r>
      <w:r>
        <w:instrText xml:space="preserve"> PAGEREF _Toc161209346 \h </w:instrText>
      </w:r>
      <w:r>
        <w:fldChar w:fldCharType="separate"/>
      </w:r>
      <w:r>
        <w:t>30</w:t>
      </w:r>
      <w:r>
        <w:fldChar w:fldCharType="end"/>
      </w:r>
    </w:p>
    <w:p>
      <w:pPr>
        <w:pStyle w:val="TOC8"/>
        <w:rPr>
          <w:sz w:val="24"/>
          <w:szCs w:val="24"/>
        </w:rPr>
      </w:pPr>
      <w:r>
        <w:rPr>
          <w:szCs w:val="24"/>
        </w:rPr>
        <w:t>23E</w:t>
      </w:r>
      <w:r>
        <w:rPr>
          <w:snapToGrid w:val="0"/>
          <w:szCs w:val="24"/>
        </w:rPr>
        <w:t>.</w:t>
      </w:r>
      <w:r>
        <w:rPr>
          <w:snapToGrid w:val="0"/>
          <w:szCs w:val="24"/>
        </w:rPr>
        <w:tab/>
        <w:t>Reports to be lodged</w:t>
      </w:r>
      <w:r>
        <w:tab/>
      </w:r>
      <w:r>
        <w:fldChar w:fldCharType="begin"/>
      </w:r>
      <w:r>
        <w:instrText xml:space="preserve"> PAGEREF _Toc161209347 \h </w:instrText>
      </w:r>
      <w:r>
        <w:fldChar w:fldCharType="separate"/>
      </w:r>
      <w:r>
        <w:t>31</w:t>
      </w:r>
      <w:r>
        <w:fldChar w:fldCharType="end"/>
      </w:r>
    </w:p>
    <w:p>
      <w:pPr>
        <w:pStyle w:val="TOC8"/>
        <w:rPr>
          <w:sz w:val="24"/>
          <w:szCs w:val="24"/>
        </w:rPr>
      </w:pPr>
      <w:r>
        <w:rPr>
          <w:szCs w:val="24"/>
        </w:rPr>
        <w:t>23F</w:t>
      </w:r>
      <w:r>
        <w:rPr>
          <w:snapToGrid w:val="0"/>
          <w:szCs w:val="24"/>
        </w:rPr>
        <w:t>.</w:t>
      </w:r>
      <w:r>
        <w:rPr>
          <w:snapToGrid w:val="0"/>
          <w:szCs w:val="24"/>
        </w:rPr>
        <w:tab/>
        <w:t>Application for renewal</w:t>
      </w:r>
      <w:r>
        <w:tab/>
      </w:r>
      <w:r>
        <w:fldChar w:fldCharType="begin"/>
      </w:r>
      <w:r>
        <w:instrText xml:space="preserve"> PAGEREF _Toc161209348 \h </w:instrText>
      </w:r>
      <w:r>
        <w:fldChar w:fldCharType="separate"/>
      </w:r>
      <w:r>
        <w:t>31</w:t>
      </w:r>
      <w:r>
        <w:fldChar w:fldCharType="end"/>
      </w:r>
    </w:p>
    <w:p>
      <w:pPr>
        <w:pStyle w:val="TOC8"/>
        <w:rPr>
          <w:sz w:val="24"/>
          <w:szCs w:val="24"/>
        </w:rPr>
      </w:pPr>
      <w:r>
        <w:rPr>
          <w:szCs w:val="24"/>
        </w:rPr>
        <w:t>23G</w:t>
      </w:r>
      <w:r>
        <w:rPr>
          <w:snapToGrid w:val="0"/>
          <w:szCs w:val="24"/>
        </w:rPr>
        <w:t>.</w:t>
      </w:r>
      <w:r>
        <w:rPr>
          <w:snapToGrid w:val="0"/>
          <w:szCs w:val="24"/>
        </w:rPr>
        <w:tab/>
        <w:t>Limit on amount of earth, etc., that may be removed</w:t>
      </w:r>
      <w:r>
        <w:tab/>
      </w:r>
      <w:r>
        <w:fldChar w:fldCharType="begin"/>
      </w:r>
      <w:r>
        <w:instrText xml:space="preserve"> PAGEREF _Toc161209349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Mining leases</w:t>
      </w:r>
    </w:p>
    <w:p>
      <w:pPr>
        <w:pStyle w:val="TOC8"/>
        <w:rPr>
          <w:sz w:val="24"/>
          <w:szCs w:val="24"/>
        </w:rPr>
      </w:pPr>
      <w:r>
        <w:rPr>
          <w:szCs w:val="24"/>
        </w:rPr>
        <w:t>24</w:t>
      </w:r>
      <w:r>
        <w:rPr>
          <w:snapToGrid w:val="0"/>
          <w:szCs w:val="24"/>
        </w:rPr>
        <w:t>.</w:t>
      </w:r>
      <w:r>
        <w:rPr>
          <w:snapToGrid w:val="0"/>
          <w:szCs w:val="24"/>
        </w:rPr>
        <w:tab/>
        <w:t>Marking out and application</w:t>
      </w:r>
      <w:r>
        <w:tab/>
      </w:r>
      <w:r>
        <w:fldChar w:fldCharType="begin"/>
      </w:r>
      <w:r>
        <w:instrText xml:space="preserve"> PAGEREF _Toc161209351 \h </w:instrText>
      </w:r>
      <w:r>
        <w:fldChar w:fldCharType="separate"/>
      </w:r>
      <w:r>
        <w:t>32</w:t>
      </w:r>
      <w:r>
        <w:fldChar w:fldCharType="end"/>
      </w:r>
    </w:p>
    <w:p>
      <w:pPr>
        <w:pStyle w:val="TOC8"/>
        <w:rPr>
          <w:sz w:val="24"/>
          <w:szCs w:val="24"/>
        </w:rPr>
      </w:pPr>
      <w:r>
        <w:rPr>
          <w:szCs w:val="24"/>
        </w:rPr>
        <w:t>25.</w:t>
      </w:r>
      <w:r>
        <w:rPr>
          <w:szCs w:val="24"/>
        </w:rPr>
        <w:tab/>
        <w:t>Guidelines under Part IV Division 3 of the Act</w:t>
      </w:r>
      <w:r>
        <w:tab/>
      </w:r>
      <w:r>
        <w:fldChar w:fldCharType="begin"/>
      </w:r>
      <w:r>
        <w:instrText xml:space="preserve"> PAGEREF _Toc161209352 \h </w:instrText>
      </w:r>
      <w:r>
        <w:fldChar w:fldCharType="separate"/>
      </w:r>
      <w:r>
        <w:t>33</w:t>
      </w:r>
      <w:r>
        <w:fldChar w:fldCharType="end"/>
      </w:r>
    </w:p>
    <w:p>
      <w:pPr>
        <w:pStyle w:val="TOC8"/>
        <w:rPr>
          <w:sz w:val="24"/>
          <w:szCs w:val="24"/>
        </w:rPr>
      </w:pPr>
      <w:r>
        <w:rPr>
          <w:szCs w:val="24"/>
        </w:rPr>
        <w:t>25A.</w:t>
      </w:r>
      <w:r>
        <w:rPr>
          <w:szCs w:val="24"/>
        </w:rPr>
        <w:tab/>
        <w:t>Marking out after grant of lease</w:t>
      </w:r>
      <w:r>
        <w:tab/>
      </w:r>
      <w:r>
        <w:fldChar w:fldCharType="begin"/>
      </w:r>
      <w:r>
        <w:instrText xml:space="preserve"> PAGEREF _Toc161209353 \h </w:instrText>
      </w:r>
      <w:r>
        <w:fldChar w:fldCharType="separate"/>
      </w:r>
      <w:r>
        <w:t>33</w:t>
      </w:r>
      <w:r>
        <w:fldChar w:fldCharType="end"/>
      </w:r>
    </w:p>
    <w:p>
      <w:pPr>
        <w:pStyle w:val="TOC8"/>
        <w:rPr>
          <w:sz w:val="24"/>
          <w:szCs w:val="24"/>
        </w:rPr>
      </w:pPr>
      <w:r>
        <w:rPr>
          <w:szCs w:val="24"/>
        </w:rPr>
        <w:t>25B.</w:t>
      </w:r>
      <w:r>
        <w:rPr>
          <w:szCs w:val="24"/>
        </w:rPr>
        <w:tab/>
        <w:t>Fees for copies of certain documents</w:t>
      </w:r>
      <w:r>
        <w:tab/>
      </w:r>
      <w:r>
        <w:fldChar w:fldCharType="begin"/>
      </w:r>
      <w:r>
        <w:instrText xml:space="preserve"> PAGEREF _Toc161209354 \h </w:instrText>
      </w:r>
      <w:r>
        <w:fldChar w:fldCharType="separate"/>
      </w:r>
      <w:r>
        <w:t>33</w:t>
      </w:r>
      <w:r>
        <w:fldChar w:fldCharType="end"/>
      </w:r>
    </w:p>
    <w:p>
      <w:pPr>
        <w:pStyle w:val="TOC8"/>
        <w:rPr>
          <w:sz w:val="24"/>
          <w:szCs w:val="24"/>
        </w:rPr>
      </w:pPr>
      <w:r>
        <w:rPr>
          <w:szCs w:val="24"/>
        </w:rPr>
        <w:t>25C.</w:t>
      </w:r>
      <w:r>
        <w:rPr>
          <w:szCs w:val="24"/>
        </w:rPr>
        <w:tab/>
        <w:t>Qualified persons — section 74</w:t>
      </w:r>
      <w:r>
        <w:tab/>
      </w:r>
      <w:r>
        <w:fldChar w:fldCharType="begin"/>
      </w:r>
      <w:r>
        <w:instrText xml:space="preserve"> PAGEREF _Toc161209355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Instrument of lease</w:t>
      </w:r>
      <w:r>
        <w:tab/>
      </w:r>
      <w:r>
        <w:fldChar w:fldCharType="begin"/>
      </w:r>
      <w:r>
        <w:instrText xml:space="preserve"> PAGEREF _Toc161209356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_Toc161209357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Additional condition</w:t>
      </w:r>
      <w:r>
        <w:tab/>
      </w:r>
      <w:r>
        <w:fldChar w:fldCharType="begin"/>
      </w:r>
      <w:r>
        <w:instrText xml:space="preserve"> PAGEREF _Toc161209358 \h </w:instrText>
      </w:r>
      <w:r>
        <w:fldChar w:fldCharType="separate"/>
      </w:r>
      <w:r>
        <w:t>34</w:t>
      </w:r>
      <w:r>
        <w:fldChar w:fldCharType="end"/>
      </w:r>
    </w:p>
    <w:p>
      <w:pPr>
        <w:pStyle w:val="TOC8"/>
        <w:rPr>
          <w:sz w:val="24"/>
          <w:szCs w:val="24"/>
        </w:rPr>
      </w:pPr>
      <w:r>
        <w:rPr>
          <w:szCs w:val="24"/>
        </w:rPr>
        <w:t>28A</w:t>
      </w:r>
      <w:r>
        <w:rPr>
          <w:snapToGrid w:val="0"/>
          <w:szCs w:val="24"/>
        </w:rPr>
        <w:t>.</w:t>
      </w:r>
      <w:r>
        <w:rPr>
          <w:snapToGrid w:val="0"/>
          <w:szCs w:val="24"/>
        </w:rPr>
        <w:tab/>
        <w:t>Additional rent for mining lease producing iron ore</w:t>
      </w:r>
      <w:r>
        <w:tab/>
      </w:r>
      <w:r>
        <w:fldChar w:fldCharType="begin"/>
      </w:r>
      <w:r>
        <w:instrText xml:space="preserve"> PAGEREF _Toc161209359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Application for renewal</w:t>
      </w:r>
      <w:r>
        <w:tab/>
      </w:r>
      <w:r>
        <w:fldChar w:fldCharType="begin"/>
      </w:r>
      <w:r>
        <w:instrText xml:space="preserve"> PAGEREF _Toc161209360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Notice required by section 56A(8), 70(6) or 85B(3)</w:t>
      </w:r>
      <w:r>
        <w:tab/>
      </w:r>
      <w:r>
        <w:fldChar w:fldCharType="begin"/>
      </w:r>
      <w:r>
        <w:instrText xml:space="preserve"> PAGEREF _Toc161209361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Expenditure condition</w:t>
      </w:r>
      <w:r>
        <w:tab/>
      </w:r>
      <w:r>
        <w:fldChar w:fldCharType="begin"/>
      </w:r>
      <w:r>
        <w:instrText xml:space="preserve"> PAGEREF _Toc161209362 \h </w:instrText>
      </w:r>
      <w:r>
        <w:fldChar w:fldCharType="separate"/>
      </w:r>
      <w:r>
        <w:t>36</w:t>
      </w:r>
      <w:r>
        <w:fldChar w:fldCharType="end"/>
      </w:r>
    </w:p>
    <w:p>
      <w:pPr>
        <w:pStyle w:val="TOC8"/>
        <w:rPr>
          <w:sz w:val="24"/>
          <w:szCs w:val="24"/>
        </w:rPr>
      </w:pPr>
      <w:r>
        <w:rPr>
          <w:szCs w:val="24"/>
        </w:rPr>
        <w:t>31A.</w:t>
      </w:r>
      <w:r>
        <w:rPr>
          <w:szCs w:val="24"/>
        </w:rPr>
        <w:tab/>
        <w:t>Programme of work for ground disturbing equipment</w:t>
      </w:r>
      <w:r>
        <w:tab/>
      </w:r>
      <w:r>
        <w:fldChar w:fldCharType="begin"/>
      </w:r>
      <w:r>
        <w:instrText xml:space="preserve"> PAGEREF _Toc161209363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Reports to be filed</w:t>
      </w:r>
      <w:r>
        <w:tab/>
      </w:r>
      <w:r>
        <w:fldChar w:fldCharType="begin"/>
      </w:r>
      <w:r>
        <w:instrText xml:space="preserve"> PAGEREF _Toc161209364 \h </w:instrText>
      </w:r>
      <w:r>
        <w:fldChar w:fldCharType="separate"/>
      </w:r>
      <w:r>
        <w:t>38</w:t>
      </w:r>
      <w:r>
        <w:fldChar w:fldCharType="end"/>
      </w:r>
    </w:p>
    <w:p>
      <w:pPr>
        <w:pStyle w:val="TOC8"/>
        <w:rPr>
          <w:sz w:val="24"/>
          <w:szCs w:val="24"/>
        </w:rPr>
      </w:pPr>
      <w:r>
        <w:rPr>
          <w:szCs w:val="24"/>
        </w:rPr>
        <w:t>32A.</w:t>
      </w:r>
      <w:r>
        <w:rPr>
          <w:szCs w:val="24"/>
        </w:rPr>
        <w:tab/>
        <w:t>Condition under section 82A</w:t>
      </w:r>
      <w:r>
        <w:tab/>
      </w:r>
      <w:r>
        <w:fldChar w:fldCharType="begin"/>
      </w:r>
      <w:r>
        <w:instrText xml:space="preserve"> PAGEREF _Toc161209365 \h </w:instrText>
      </w:r>
      <w:r>
        <w:fldChar w:fldCharType="separate"/>
      </w:r>
      <w:r>
        <w:t>38</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General purpose leases</w:t>
      </w:r>
    </w:p>
    <w:p>
      <w:pPr>
        <w:pStyle w:val="TOC8"/>
        <w:rPr>
          <w:sz w:val="24"/>
          <w:szCs w:val="24"/>
        </w:rPr>
      </w:pPr>
      <w:r>
        <w:rPr>
          <w:szCs w:val="24"/>
        </w:rPr>
        <w:t>33</w:t>
      </w:r>
      <w:r>
        <w:rPr>
          <w:snapToGrid w:val="0"/>
          <w:szCs w:val="24"/>
        </w:rPr>
        <w:t>.</w:t>
      </w:r>
      <w:r>
        <w:rPr>
          <w:snapToGrid w:val="0"/>
          <w:szCs w:val="24"/>
        </w:rPr>
        <w:tab/>
        <w:t>Marking out and application</w:t>
      </w:r>
      <w:r>
        <w:tab/>
      </w:r>
      <w:r>
        <w:fldChar w:fldCharType="begin"/>
      </w:r>
      <w:r>
        <w:instrText xml:space="preserve"> PAGEREF _Toc161209367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Instrument of lease</w:t>
      </w:r>
      <w:r>
        <w:tab/>
      </w:r>
      <w:r>
        <w:fldChar w:fldCharType="begin"/>
      </w:r>
      <w:r>
        <w:instrText xml:space="preserve"> PAGEREF _Toc161209368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Covenants and conditions</w:t>
      </w:r>
      <w:r>
        <w:tab/>
      </w:r>
      <w:r>
        <w:fldChar w:fldCharType="begin"/>
      </w:r>
      <w:r>
        <w:instrText xml:space="preserve"> PAGEREF _Toc161209369 \h </w:instrText>
      </w:r>
      <w:r>
        <w:fldChar w:fldCharType="separate"/>
      </w:r>
      <w:r>
        <w:t>39</w:t>
      </w:r>
      <w:r>
        <w:fldChar w:fldCharType="end"/>
      </w:r>
    </w:p>
    <w:p>
      <w:pPr>
        <w:pStyle w:val="TOC8"/>
        <w:rPr>
          <w:sz w:val="24"/>
          <w:szCs w:val="24"/>
        </w:rPr>
      </w:pPr>
      <w:r>
        <w:rPr>
          <w:szCs w:val="24"/>
        </w:rPr>
        <w:t>36A</w:t>
      </w:r>
      <w:r>
        <w:rPr>
          <w:snapToGrid w:val="0"/>
          <w:szCs w:val="24"/>
        </w:rPr>
        <w:t>.</w:t>
      </w:r>
      <w:r>
        <w:rPr>
          <w:snapToGrid w:val="0"/>
          <w:szCs w:val="24"/>
        </w:rPr>
        <w:tab/>
        <w:t>Application for renewal</w:t>
      </w:r>
      <w:r>
        <w:tab/>
      </w:r>
      <w:r>
        <w:fldChar w:fldCharType="begin"/>
      </w:r>
      <w:r>
        <w:instrText xml:space="preserve"> PAGEREF _Toc161209370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37</w:t>
      </w:r>
      <w:r>
        <w:rPr>
          <w:snapToGrid w:val="0"/>
          <w:szCs w:val="24"/>
        </w:rPr>
        <w:t>.</w:t>
      </w:r>
      <w:r>
        <w:rPr>
          <w:snapToGrid w:val="0"/>
          <w:szCs w:val="24"/>
        </w:rPr>
        <w:tab/>
        <w:t>Marking out and application</w:t>
      </w:r>
      <w:r>
        <w:tab/>
      </w:r>
      <w:r>
        <w:fldChar w:fldCharType="begin"/>
      </w:r>
      <w:r>
        <w:instrText xml:space="preserve"> PAGEREF _Toc161209372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Shape of licence</w:t>
      </w:r>
      <w:r>
        <w:tab/>
      </w:r>
      <w:r>
        <w:fldChar w:fldCharType="begin"/>
      </w:r>
      <w:r>
        <w:instrText xml:space="preserve"> PAGEREF _Toc161209373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Covenants and conditions</w:t>
      </w:r>
      <w:r>
        <w:tab/>
      </w:r>
      <w:r>
        <w:fldChar w:fldCharType="begin"/>
      </w:r>
      <w:r>
        <w:instrText xml:space="preserve"> PAGEREF _Toc161209374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Instrument of licence</w:t>
      </w:r>
      <w:r>
        <w:tab/>
      </w:r>
      <w:r>
        <w:fldChar w:fldCharType="begin"/>
      </w:r>
      <w:r>
        <w:instrText xml:space="preserve"> PAGEREF _Toc161209375 \h </w:instrText>
      </w:r>
      <w:r>
        <w:fldChar w:fldCharType="separate"/>
      </w:r>
      <w:r>
        <w:t>42</w:t>
      </w:r>
      <w:r>
        <w:fldChar w:fldCharType="end"/>
      </w:r>
    </w:p>
    <w:p>
      <w:pPr>
        <w:pStyle w:val="TOC8"/>
        <w:rPr>
          <w:sz w:val="24"/>
          <w:szCs w:val="24"/>
        </w:rPr>
      </w:pPr>
      <w:r>
        <w:rPr>
          <w:szCs w:val="24"/>
        </w:rPr>
        <w:t>42A</w:t>
      </w:r>
      <w:r>
        <w:rPr>
          <w:snapToGrid w:val="0"/>
          <w:szCs w:val="24"/>
        </w:rPr>
        <w:t>.</w:t>
      </w:r>
      <w:r>
        <w:rPr>
          <w:snapToGrid w:val="0"/>
          <w:szCs w:val="24"/>
        </w:rPr>
        <w:tab/>
        <w:t>Application for renewal</w:t>
      </w:r>
      <w:r>
        <w:tab/>
      </w:r>
      <w:r>
        <w:fldChar w:fldCharType="begin"/>
      </w:r>
      <w:r>
        <w:instrText xml:space="preserve"> PAGEREF _Toc161209376 \h </w:instrText>
      </w:r>
      <w:r>
        <w:fldChar w:fldCharType="separate"/>
      </w:r>
      <w:r>
        <w:t>42</w:t>
      </w:r>
      <w:r>
        <w:fldChar w:fldCharType="end"/>
      </w:r>
    </w:p>
    <w:p>
      <w:pPr>
        <w:pStyle w:val="TOC8"/>
        <w:rPr>
          <w:sz w:val="24"/>
          <w:szCs w:val="24"/>
        </w:rPr>
      </w:pPr>
      <w:r>
        <w:rPr>
          <w:szCs w:val="24"/>
        </w:rPr>
        <w:t>42B</w:t>
      </w:r>
      <w:r>
        <w:rPr>
          <w:snapToGrid w:val="0"/>
          <w:szCs w:val="24"/>
        </w:rPr>
        <w:t>.</w:t>
      </w:r>
      <w:r>
        <w:rPr>
          <w:snapToGrid w:val="0"/>
          <w:szCs w:val="24"/>
        </w:rPr>
        <w:tab/>
        <w:t>Prescribed purposes for grant of miscellaneous licence</w:t>
      </w:r>
      <w:r>
        <w:tab/>
      </w:r>
      <w:r>
        <w:fldChar w:fldCharType="begin"/>
      </w:r>
      <w:r>
        <w:instrText xml:space="preserve"> PAGEREF _Toc161209377 \h </w:instrText>
      </w:r>
      <w:r>
        <w:fldChar w:fldCharType="separate"/>
      </w:r>
      <w:r>
        <w:t>43</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Surrenders and forfeitures</w:t>
      </w:r>
    </w:p>
    <w:p>
      <w:pPr>
        <w:pStyle w:val="TOC8"/>
        <w:rPr>
          <w:sz w:val="24"/>
          <w:szCs w:val="24"/>
        </w:rPr>
      </w:pPr>
      <w:r>
        <w:rPr>
          <w:szCs w:val="24"/>
        </w:rPr>
        <w:t>43</w:t>
      </w:r>
      <w:r>
        <w:rPr>
          <w:snapToGrid w:val="0"/>
          <w:szCs w:val="24"/>
        </w:rPr>
        <w:t>.</w:t>
      </w:r>
      <w:r>
        <w:rPr>
          <w:snapToGrid w:val="0"/>
          <w:szCs w:val="24"/>
        </w:rPr>
        <w:tab/>
        <w:t>Surrender of tenement</w:t>
      </w:r>
      <w:r>
        <w:tab/>
      </w:r>
      <w:r>
        <w:fldChar w:fldCharType="begin"/>
      </w:r>
      <w:r>
        <w:instrText xml:space="preserve"> PAGEREF _Toc161209379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Shape of tenement after partial surrender</w:t>
      </w:r>
      <w:r>
        <w:tab/>
      </w:r>
      <w:r>
        <w:fldChar w:fldCharType="begin"/>
      </w:r>
      <w:r>
        <w:instrText xml:space="preserve"> PAGEREF _Toc161209380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Marking out etc., required for partial surrender</w:t>
      </w:r>
      <w:r>
        <w:tab/>
      </w:r>
      <w:r>
        <w:fldChar w:fldCharType="begin"/>
      </w:r>
      <w:r>
        <w:instrText xml:space="preserve"> PAGEREF _Toc161209381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Partial surrender to be endorsed on instrument of lease/licence</w:t>
      </w:r>
      <w:r>
        <w:tab/>
      </w:r>
      <w:r>
        <w:fldChar w:fldCharType="begin"/>
      </w:r>
      <w:r>
        <w:instrText xml:space="preserve"> PAGEREF _Toc161209382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Consent of mortgagee to surrender</w:t>
      </w:r>
      <w:r>
        <w:tab/>
      </w:r>
      <w:r>
        <w:fldChar w:fldCharType="begin"/>
      </w:r>
      <w:r>
        <w:instrText xml:space="preserve"> PAGEREF _Toc161209383 \h </w:instrText>
      </w:r>
      <w:r>
        <w:fldChar w:fldCharType="separate"/>
      </w:r>
      <w:r>
        <w:t>46</w:t>
      </w:r>
      <w:r>
        <w:fldChar w:fldCharType="end"/>
      </w:r>
    </w:p>
    <w:p>
      <w:pPr>
        <w:pStyle w:val="TOC8"/>
        <w:rPr>
          <w:sz w:val="24"/>
          <w:szCs w:val="24"/>
        </w:rPr>
      </w:pPr>
      <w:r>
        <w:rPr>
          <w:szCs w:val="24"/>
        </w:rPr>
        <w:t>47A</w:t>
      </w:r>
      <w:r>
        <w:rPr>
          <w:snapToGrid w:val="0"/>
          <w:szCs w:val="24"/>
        </w:rPr>
        <w:t>.</w:t>
      </w:r>
      <w:r>
        <w:rPr>
          <w:snapToGrid w:val="0"/>
          <w:szCs w:val="24"/>
        </w:rPr>
        <w:tab/>
        <w:t>Refund where conditional surrender of mining lease or general purpose lease</w:t>
      </w:r>
      <w:r>
        <w:tab/>
      </w:r>
      <w:r>
        <w:fldChar w:fldCharType="begin"/>
      </w:r>
      <w:r>
        <w:instrText xml:space="preserve"> PAGEREF _Toc161209384 \h </w:instrText>
      </w:r>
      <w:r>
        <w:fldChar w:fldCharType="separate"/>
      </w:r>
      <w:r>
        <w:t>47</w:t>
      </w:r>
      <w:r>
        <w:fldChar w:fldCharType="end"/>
      </w:r>
    </w:p>
    <w:p>
      <w:pPr>
        <w:pStyle w:val="TOC8"/>
        <w:rPr>
          <w:sz w:val="24"/>
          <w:szCs w:val="24"/>
        </w:rPr>
      </w:pPr>
      <w:r>
        <w:rPr>
          <w:szCs w:val="24"/>
        </w:rPr>
        <w:t>48</w:t>
      </w:r>
      <w:r>
        <w:rPr>
          <w:snapToGrid w:val="0"/>
          <w:szCs w:val="24"/>
        </w:rPr>
        <w:t>.</w:t>
      </w:r>
      <w:r>
        <w:rPr>
          <w:snapToGrid w:val="0"/>
          <w:szCs w:val="24"/>
        </w:rPr>
        <w:tab/>
        <w:t>Plaint for forfeiture</w:t>
      </w:r>
      <w:r>
        <w:tab/>
      </w:r>
      <w:r>
        <w:fldChar w:fldCharType="begin"/>
      </w:r>
      <w:r>
        <w:instrText xml:space="preserve"> PAGEREF _Toc161209385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Forfeiture for non</w:t>
      </w:r>
      <w:r>
        <w:rPr>
          <w:snapToGrid w:val="0"/>
          <w:szCs w:val="24"/>
        </w:rPr>
        <w:noBreakHyphen/>
        <w:t>payment of rent, etc.</w:t>
      </w:r>
      <w:r>
        <w:tab/>
      </w:r>
      <w:r>
        <w:fldChar w:fldCharType="begin"/>
      </w:r>
      <w:r>
        <w:instrText xml:space="preserve"> PAGEREF _Toc161209386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Notice to holder of mining tenement of intended forfeiture</w:t>
      </w:r>
      <w:r>
        <w:tab/>
      </w:r>
      <w:r>
        <w:fldChar w:fldCharType="begin"/>
      </w:r>
      <w:r>
        <w:instrText xml:space="preserve"> PAGEREF _Toc161209387 \h </w:instrText>
      </w:r>
      <w:r>
        <w:fldChar w:fldCharType="separate"/>
      </w:r>
      <w:r>
        <w:t>48</w:t>
      </w:r>
      <w:r>
        <w:fldChar w:fldCharType="end"/>
      </w:r>
    </w:p>
    <w:p>
      <w:pPr>
        <w:pStyle w:val="TOC8"/>
        <w:rPr>
          <w:sz w:val="24"/>
          <w:szCs w:val="24"/>
        </w:rPr>
      </w:pPr>
      <w:r>
        <w:rPr>
          <w:szCs w:val="24"/>
        </w:rPr>
        <w:t>51</w:t>
      </w:r>
      <w:r>
        <w:rPr>
          <w:snapToGrid w:val="0"/>
          <w:szCs w:val="24"/>
        </w:rPr>
        <w:t>.</w:t>
      </w:r>
      <w:r>
        <w:rPr>
          <w:snapToGrid w:val="0"/>
          <w:szCs w:val="24"/>
        </w:rPr>
        <w:tab/>
        <w:t>Application for restoration of tenement</w:t>
      </w:r>
      <w:r>
        <w:tab/>
      </w:r>
      <w:r>
        <w:fldChar w:fldCharType="begin"/>
      </w:r>
      <w:r>
        <w:instrText xml:space="preserve"> PAGEREF _Toc161209388 \h </w:instrText>
      </w:r>
      <w:r>
        <w:fldChar w:fldCharType="separate"/>
      </w:r>
      <w:r>
        <w:t>49</w:t>
      </w:r>
      <w:r>
        <w:fldChar w:fldCharType="end"/>
      </w:r>
    </w:p>
    <w:p>
      <w:pPr>
        <w:pStyle w:val="TOC8"/>
        <w:rPr>
          <w:sz w:val="24"/>
          <w:szCs w:val="24"/>
        </w:rPr>
      </w:pPr>
      <w:r>
        <w:rPr>
          <w:szCs w:val="24"/>
        </w:rPr>
        <w:t>51A</w:t>
      </w:r>
      <w:r>
        <w:rPr>
          <w:snapToGrid w:val="0"/>
          <w:szCs w:val="24"/>
        </w:rPr>
        <w:t>.</w:t>
      </w:r>
      <w:r>
        <w:rPr>
          <w:snapToGrid w:val="0"/>
          <w:szCs w:val="24"/>
        </w:rPr>
        <w:tab/>
        <w:t>Notice of application for restoration</w:t>
      </w:r>
      <w:r>
        <w:tab/>
      </w:r>
      <w:r>
        <w:fldChar w:fldCharType="begin"/>
      </w:r>
      <w:r>
        <w:instrText xml:space="preserve"> PAGEREF _Toc161209389 \h </w:instrText>
      </w:r>
      <w:r>
        <w:fldChar w:fldCharType="separate"/>
      </w:r>
      <w:r>
        <w:t>49</w:t>
      </w:r>
      <w:r>
        <w:fldChar w:fldCharType="end"/>
      </w:r>
    </w:p>
    <w:p>
      <w:pPr>
        <w:pStyle w:val="TOC8"/>
        <w:rPr>
          <w:sz w:val="24"/>
          <w:szCs w:val="24"/>
        </w:rPr>
      </w:pPr>
      <w:r>
        <w:rPr>
          <w:szCs w:val="24"/>
        </w:rPr>
        <w:t>51B</w:t>
      </w:r>
      <w:r>
        <w:rPr>
          <w:snapToGrid w:val="0"/>
          <w:szCs w:val="24"/>
        </w:rPr>
        <w:t>.</w:t>
      </w:r>
      <w:r>
        <w:rPr>
          <w:snapToGrid w:val="0"/>
          <w:szCs w:val="24"/>
        </w:rPr>
        <w:tab/>
        <w:t>Objection to application</w:t>
      </w:r>
      <w:r>
        <w:tab/>
      </w:r>
      <w:r>
        <w:fldChar w:fldCharType="begin"/>
      </w:r>
      <w:r>
        <w:instrText xml:space="preserve"> PAGEREF _Toc161209390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Reduced expenditure where forfeiture plaint lodged</w:t>
      </w:r>
      <w:r>
        <w:tab/>
      </w:r>
      <w:r>
        <w:fldChar w:fldCharType="begin"/>
      </w:r>
      <w:r>
        <w:instrText xml:space="preserve"> PAGEREF _Toc161209391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Notice to mortgagee</w:t>
      </w:r>
      <w:r>
        <w:tab/>
      </w:r>
      <w:r>
        <w:fldChar w:fldCharType="begin"/>
      </w:r>
      <w:r>
        <w:instrText xml:space="preserve"> PAGEREF _Toc161209392 \h </w:instrText>
      </w:r>
      <w:r>
        <w:fldChar w:fldCharType="separate"/>
      </w:r>
      <w:r>
        <w:t>50</w:t>
      </w:r>
      <w:r>
        <w:fldChar w:fldCharType="end"/>
      </w:r>
    </w:p>
    <w:p>
      <w:pPr>
        <w:pStyle w:val="TOC4"/>
        <w:tabs>
          <w:tab w:val="right" w:leader="dot" w:pos="7088"/>
        </w:tabs>
        <w:rPr>
          <w:b w:val="0"/>
          <w:sz w:val="24"/>
          <w:szCs w:val="24"/>
        </w:rPr>
      </w:pPr>
      <w:r>
        <w:rPr>
          <w:szCs w:val="26"/>
        </w:rPr>
        <w:t>Division 7</w:t>
      </w:r>
      <w:r>
        <w:rPr>
          <w:snapToGrid w:val="0"/>
          <w:szCs w:val="26"/>
        </w:rPr>
        <w:t> — </w:t>
      </w:r>
      <w:r>
        <w:rPr>
          <w:szCs w:val="26"/>
        </w:rPr>
        <w:t>Exemptions</w:t>
      </w:r>
    </w:p>
    <w:p>
      <w:pPr>
        <w:pStyle w:val="TOC8"/>
        <w:rPr>
          <w:sz w:val="24"/>
          <w:szCs w:val="24"/>
        </w:rPr>
      </w:pPr>
      <w:r>
        <w:rPr>
          <w:szCs w:val="24"/>
        </w:rPr>
        <w:t>54</w:t>
      </w:r>
      <w:r>
        <w:rPr>
          <w:snapToGrid w:val="0"/>
          <w:szCs w:val="24"/>
        </w:rPr>
        <w:t>.</w:t>
      </w:r>
      <w:r>
        <w:rPr>
          <w:snapToGrid w:val="0"/>
          <w:szCs w:val="24"/>
        </w:rPr>
        <w:tab/>
        <w:t>Application for certificate of exemption</w:t>
      </w:r>
      <w:r>
        <w:tab/>
      </w:r>
      <w:r>
        <w:fldChar w:fldCharType="begin"/>
      </w:r>
      <w:r>
        <w:instrText xml:space="preserve"> PAGEREF _Toc161209394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Objection to application for exemption</w:t>
      </w:r>
      <w:r>
        <w:tab/>
      </w:r>
      <w:r>
        <w:fldChar w:fldCharType="begin"/>
      </w:r>
      <w:r>
        <w:instrText xml:space="preserve"> PAGEREF _Toc161209395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Evidence in support of application and objection</w:t>
      </w:r>
      <w:r>
        <w:tab/>
      </w:r>
      <w:r>
        <w:fldChar w:fldCharType="begin"/>
      </w:r>
      <w:r>
        <w:instrText xml:space="preserve"> PAGEREF _Toc161209396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Certificate of exemption</w:t>
      </w:r>
      <w:r>
        <w:tab/>
      </w:r>
      <w:r>
        <w:fldChar w:fldCharType="begin"/>
      </w:r>
      <w:r>
        <w:instrText xml:space="preserve"> PAGEREF _Toc161209397 \h </w:instrText>
      </w:r>
      <w:r>
        <w:fldChar w:fldCharType="separate"/>
      </w:r>
      <w:r>
        <w:t>52</w:t>
      </w:r>
      <w:r>
        <w:fldChar w:fldCharType="end"/>
      </w:r>
    </w:p>
    <w:p>
      <w:pPr>
        <w:pStyle w:val="TOC8"/>
        <w:rPr>
          <w:sz w:val="24"/>
          <w:szCs w:val="24"/>
        </w:rPr>
      </w:pPr>
      <w:r>
        <w:rPr>
          <w:szCs w:val="24"/>
        </w:rPr>
        <w:t>58A.</w:t>
      </w:r>
      <w:r>
        <w:rPr>
          <w:szCs w:val="24"/>
        </w:rPr>
        <w:tab/>
        <w:t>Aggregate exploration expenditure</w:t>
      </w:r>
      <w:r>
        <w:tab/>
      </w:r>
      <w:r>
        <w:fldChar w:fldCharType="begin"/>
      </w:r>
      <w:r>
        <w:instrText xml:space="preserve"> PAGEREF _Toc161209398 \h </w:instrText>
      </w:r>
      <w:r>
        <w:fldChar w:fldCharType="separate"/>
      </w:r>
      <w:r>
        <w:t>52</w:t>
      </w:r>
      <w:r>
        <w:fldChar w:fldCharType="end"/>
      </w:r>
    </w:p>
    <w:p>
      <w:pPr>
        <w:pStyle w:val="TOC2"/>
        <w:tabs>
          <w:tab w:val="right" w:leader="dot" w:pos="7088"/>
        </w:tabs>
        <w:rPr>
          <w:b w:val="0"/>
          <w:sz w:val="24"/>
          <w:szCs w:val="24"/>
        </w:rPr>
      </w:pPr>
      <w:r>
        <w:rPr>
          <w:szCs w:val="30"/>
        </w:rPr>
        <w:t>Part V — General regulations</w:t>
      </w:r>
    </w:p>
    <w:p>
      <w:pPr>
        <w:pStyle w:val="TOC4"/>
        <w:tabs>
          <w:tab w:val="right" w:leader="dot" w:pos="7088"/>
        </w:tabs>
        <w:rPr>
          <w:b w:val="0"/>
          <w:sz w:val="24"/>
          <w:szCs w:val="24"/>
        </w:rPr>
      </w:pPr>
      <w:r>
        <w:rPr>
          <w:szCs w:val="26"/>
        </w:rPr>
        <w:t>Division 1</w:t>
      </w:r>
      <w:r>
        <w:rPr>
          <w:snapToGrid w:val="0"/>
          <w:szCs w:val="26"/>
        </w:rPr>
        <w:t> — </w:t>
      </w:r>
      <w:r>
        <w:rPr>
          <w:szCs w:val="26"/>
        </w:rPr>
        <w:t>Marking out mining tenements</w:t>
      </w:r>
    </w:p>
    <w:p>
      <w:pPr>
        <w:pStyle w:val="TOC8"/>
        <w:rPr>
          <w:sz w:val="24"/>
          <w:szCs w:val="24"/>
        </w:rPr>
      </w:pPr>
      <w:r>
        <w:rPr>
          <w:szCs w:val="24"/>
        </w:rPr>
        <w:t>59</w:t>
      </w:r>
      <w:r>
        <w:rPr>
          <w:snapToGrid w:val="0"/>
          <w:szCs w:val="24"/>
        </w:rPr>
        <w:t>.</w:t>
      </w:r>
      <w:r>
        <w:rPr>
          <w:snapToGrid w:val="0"/>
          <w:szCs w:val="24"/>
        </w:rPr>
        <w:tab/>
        <w:t>Manner of marking out a tenement</w:t>
      </w:r>
      <w:r>
        <w:tab/>
      </w:r>
      <w:r>
        <w:fldChar w:fldCharType="begin"/>
      </w:r>
      <w:r>
        <w:instrText xml:space="preserve"> PAGEREF _Toc161209401 \h </w:instrText>
      </w:r>
      <w:r>
        <w:fldChar w:fldCharType="separate"/>
      </w:r>
      <w:r>
        <w:t>53</w:t>
      </w:r>
      <w:r>
        <w:fldChar w:fldCharType="end"/>
      </w:r>
    </w:p>
    <w:p>
      <w:pPr>
        <w:pStyle w:val="TOC8"/>
        <w:rPr>
          <w:sz w:val="24"/>
          <w:szCs w:val="24"/>
        </w:rPr>
      </w:pPr>
      <w:r>
        <w:rPr>
          <w:szCs w:val="24"/>
        </w:rPr>
        <w:t>60</w:t>
      </w:r>
      <w:r>
        <w:rPr>
          <w:snapToGrid w:val="0"/>
          <w:szCs w:val="24"/>
        </w:rPr>
        <w:t>.</w:t>
      </w:r>
      <w:r>
        <w:rPr>
          <w:snapToGrid w:val="0"/>
          <w:szCs w:val="24"/>
        </w:rPr>
        <w:tab/>
        <w:t>Stones used to support posts</w:t>
      </w:r>
      <w:r>
        <w:tab/>
      </w:r>
      <w:r>
        <w:fldChar w:fldCharType="begin"/>
      </w:r>
      <w:r>
        <w:instrText xml:space="preserve"> PAGEREF _Toc161209402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Marking out surveyed land</w:t>
      </w:r>
      <w:r>
        <w:tab/>
      </w:r>
      <w:r>
        <w:fldChar w:fldCharType="begin"/>
      </w:r>
      <w:r>
        <w:instrText xml:space="preserve"> PAGEREF _Toc161209403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Surplus land may be applied for by others</w:t>
      </w:r>
      <w:r>
        <w:tab/>
      </w:r>
      <w:r>
        <w:fldChar w:fldCharType="begin"/>
      </w:r>
      <w:r>
        <w:instrText xml:space="preserve"> PAGEREF _Toc161209404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Land marked out but not applied for</w:t>
      </w:r>
      <w:r>
        <w:tab/>
      </w:r>
      <w:r>
        <w:fldChar w:fldCharType="begin"/>
      </w:r>
      <w:r>
        <w:instrText xml:space="preserve"> PAGEREF _Toc161209405 \h </w:instrText>
      </w:r>
      <w:r>
        <w:fldChar w:fldCharType="separate"/>
      </w:r>
      <w:r>
        <w:t>55</w:t>
      </w:r>
      <w:r>
        <w:fldChar w:fldCharType="end"/>
      </w:r>
    </w:p>
    <w:p>
      <w:pPr>
        <w:pStyle w:val="TOC8"/>
        <w:rPr>
          <w:sz w:val="24"/>
          <w:szCs w:val="24"/>
        </w:rPr>
      </w:pPr>
      <w:r>
        <w:rPr>
          <w:szCs w:val="24"/>
        </w:rPr>
        <w:t>63A.</w:t>
      </w:r>
      <w:r>
        <w:rPr>
          <w:szCs w:val="24"/>
        </w:rPr>
        <w:tab/>
        <w:t>Requirement for marking out following grant of reversion licence</w:t>
      </w:r>
      <w:r>
        <w:tab/>
      </w:r>
      <w:r>
        <w:fldChar w:fldCharType="begin"/>
      </w:r>
      <w:r>
        <w:instrText xml:space="preserve"> PAGEREF _Toc161209406 \h </w:instrText>
      </w:r>
      <w:r>
        <w:fldChar w:fldCharType="separate"/>
      </w:r>
      <w:r>
        <w:t>55</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Applications and objections</w:t>
      </w:r>
    </w:p>
    <w:p>
      <w:pPr>
        <w:pStyle w:val="TOC8"/>
        <w:rPr>
          <w:sz w:val="24"/>
          <w:szCs w:val="24"/>
        </w:rPr>
      </w:pPr>
      <w:r>
        <w:rPr>
          <w:szCs w:val="24"/>
        </w:rPr>
        <w:t>64</w:t>
      </w:r>
      <w:r>
        <w:rPr>
          <w:snapToGrid w:val="0"/>
          <w:szCs w:val="24"/>
        </w:rPr>
        <w:t>.</w:t>
      </w:r>
      <w:r>
        <w:rPr>
          <w:snapToGrid w:val="0"/>
          <w:szCs w:val="24"/>
        </w:rPr>
        <w:tab/>
        <w:t>Application for mining tenement</w:t>
      </w:r>
      <w:r>
        <w:tab/>
      </w:r>
      <w:r>
        <w:fldChar w:fldCharType="begin"/>
      </w:r>
      <w:r>
        <w:instrText xml:space="preserve"> PAGEREF _Toc161209408 \h </w:instrText>
      </w:r>
      <w:r>
        <w:fldChar w:fldCharType="separate"/>
      </w:r>
      <w:r>
        <w:t>55</w:t>
      </w:r>
      <w:r>
        <w:fldChar w:fldCharType="end"/>
      </w:r>
    </w:p>
    <w:p>
      <w:pPr>
        <w:pStyle w:val="TOC8"/>
        <w:rPr>
          <w:sz w:val="24"/>
          <w:szCs w:val="24"/>
        </w:rPr>
      </w:pPr>
      <w:r>
        <w:rPr>
          <w:szCs w:val="24"/>
        </w:rPr>
        <w:t>64A</w:t>
      </w:r>
      <w:r>
        <w:rPr>
          <w:snapToGrid w:val="0"/>
          <w:szCs w:val="24"/>
        </w:rPr>
        <w:t>.</w:t>
      </w:r>
      <w:r>
        <w:rPr>
          <w:snapToGrid w:val="0"/>
          <w:szCs w:val="24"/>
        </w:rPr>
        <w:tab/>
        <w:t>Notice of application for prospecting licence, exploration licence, retention licence or mining lease</w:t>
      </w:r>
      <w:r>
        <w:tab/>
      </w:r>
      <w:r>
        <w:fldChar w:fldCharType="begin"/>
      </w:r>
      <w:r>
        <w:instrText xml:space="preserve"> PAGEREF _Toc161209409 \h </w:instrText>
      </w:r>
      <w:r>
        <w:fldChar w:fldCharType="separate"/>
      </w:r>
      <w:r>
        <w:t>57</w:t>
      </w:r>
      <w:r>
        <w:fldChar w:fldCharType="end"/>
      </w:r>
    </w:p>
    <w:p>
      <w:pPr>
        <w:pStyle w:val="TOC8"/>
        <w:rPr>
          <w:sz w:val="24"/>
          <w:szCs w:val="24"/>
        </w:rPr>
      </w:pPr>
      <w:r>
        <w:rPr>
          <w:szCs w:val="24"/>
        </w:rPr>
        <w:t>64B</w:t>
      </w:r>
      <w:r>
        <w:rPr>
          <w:snapToGrid w:val="0"/>
          <w:szCs w:val="24"/>
        </w:rPr>
        <w:t>.</w:t>
      </w:r>
      <w:r>
        <w:rPr>
          <w:snapToGrid w:val="0"/>
          <w:szCs w:val="24"/>
        </w:rPr>
        <w:tab/>
        <w:t>Notice of application for mining tenement — pastoral lessee or other leaseholder</w:t>
      </w:r>
      <w:r>
        <w:tab/>
      </w:r>
      <w:r>
        <w:fldChar w:fldCharType="begin"/>
      </w:r>
      <w:r>
        <w:instrText xml:space="preserve"> PAGEREF _Toc161209410 \h </w:instrText>
      </w:r>
      <w:r>
        <w:fldChar w:fldCharType="separate"/>
      </w:r>
      <w:r>
        <w:t>58</w:t>
      </w:r>
      <w:r>
        <w:fldChar w:fldCharType="end"/>
      </w:r>
    </w:p>
    <w:p>
      <w:pPr>
        <w:pStyle w:val="TOC8"/>
        <w:rPr>
          <w:sz w:val="24"/>
          <w:szCs w:val="24"/>
        </w:rPr>
      </w:pPr>
      <w:r>
        <w:rPr>
          <w:szCs w:val="24"/>
        </w:rPr>
        <w:t>64C.</w:t>
      </w:r>
      <w:r>
        <w:rPr>
          <w:szCs w:val="24"/>
        </w:rPr>
        <w:tab/>
        <w:t>Copy of application for miscellaneous licence</w:t>
      </w:r>
      <w:r>
        <w:tab/>
      </w:r>
      <w:r>
        <w:fldChar w:fldCharType="begin"/>
      </w:r>
      <w:r>
        <w:instrText xml:space="preserve"> PAGEREF _Toc161209411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Number of shares to be stated on application</w:t>
      </w:r>
      <w:r>
        <w:tab/>
      </w:r>
      <w:r>
        <w:fldChar w:fldCharType="begin"/>
      </w:r>
      <w:r>
        <w:instrText xml:space="preserve"> PAGEREF _Toc161209412 \h </w:instrText>
      </w:r>
      <w:r>
        <w:fldChar w:fldCharType="separate"/>
      </w:r>
      <w:r>
        <w:t>58</w:t>
      </w:r>
      <w:r>
        <w:fldChar w:fldCharType="end"/>
      </w:r>
    </w:p>
    <w:p>
      <w:pPr>
        <w:pStyle w:val="TOC8"/>
        <w:rPr>
          <w:sz w:val="24"/>
          <w:szCs w:val="24"/>
        </w:rPr>
      </w:pPr>
      <w:r>
        <w:rPr>
          <w:szCs w:val="24"/>
        </w:rPr>
        <w:t>66</w:t>
      </w:r>
      <w:r>
        <w:rPr>
          <w:snapToGrid w:val="0"/>
          <w:szCs w:val="24"/>
        </w:rPr>
        <w:t>.</w:t>
      </w:r>
      <w:r>
        <w:rPr>
          <w:snapToGrid w:val="0"/>
          <w:szCs w:val="24"/>
        </w:rPr>
        <w:tab/>
        <w:t>Description of boundaries</w:t>
      </w:r>
      <w:r>
        <w:tab/>
      </w:r>
      <w:r>
        <w:fldChar w:fldCharType="begin"/>
      </w:r>
      <w:r>
        <w:instrText xml:space="preserve"> PAGEREF _Toc161209413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Objection against application</w:t>
      </w:r>
      <w:r>
        <w:tab/>
      </w:r>
      <w:r>
        <w:fldChar w:fldCharType="begin"/>
      </w:r>
      <w:r>
        <w:instrText xml:space="preserve"> PAGEREF _Toc161209414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Warden may obtain report</w:t>
      </w:r>
      <w:r>
        <w:tab/>
      </w:r>
      <w:r>
        <w:fldChar w:fldCharType="begin"/>
      </w:r>
      <w:r>
        <w:instrText xml:space="preserve"> PAGEREF _Toc161209415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Withdrawal of applications</w:t>
      </w:r>
      <w:r>
        <w:tab/>
      </w:r>
      <w:r>
        <w:fldChar w:fldCharType="begin"/>
      </w:r>
      <w:r>
        <w:instrText xml:space="preserve"> PAGEREF _Toc161209416 \h </w:instrText>
      </w:r>
      <w:r>
        <w:fldChar w:fldCharType="separate"/>
      </w:r>
      <w:r>
        <w:t>59</w:t>
      </w:r>
      <w:r>
        <w:fldChar w:fldCharType="end"/>
      </w:r>
    </w:p>
    <w:p>
      <w:pPr>
        <w:pStyle w:val="TOC8"/>
        <w:rPr>
          <w:sz w:val="24"/>
          <w:szCs w:val="24"/>
        </w:rPr>
      </w:pPr>
      <w:r>
        <w:rPr>
          <w:szCs w:val="24"/>
        </w:rPr>
        <w:t>69A.</w:t>
      </w:r>
      <w:r>
        <w:rPr>
          <w:szCs w:val="24"/>
        </w:rPr>
        <w:tab/>
        <w:t>GST to be paid at time of grant of application</w:t>
      </w:r>
      <w:r>
        <w:tab/>
      </w:r>
      <w:r>
        <w:fldChar w:fldCharType="begin"/>
      </w:r>
      <w:r>
        <w:instrText xml:space="preserve"> PAGEREF _Toc161209417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Refund of rent on withdrawal or refusal of application</w:t>
      </w:r>
      <w:r>
        <w:tab/>
      </w:r>
      <w:r>
        <w:fldChar w:fldCharType="begin"/>
      </w:r>
      <w:r>
        <w:instrText xml:space="preserve"> PAGEREF _Toc161209418 \h </w:instrText>
      </w:r>
      <w:r>
        <w:fldChar w:fldCharType="separate"/>
      </w:r>
      <w:r>
        <w:t>60</w:t>
      </w:r>
      <w:r>
        <w:fldChar w:fldCharType="end"/>
      </w:r>
    </w:p>
    <w:p>
      <w:pPr>
        <w:pStyle w:val="TOC8"/>
        <w:rPr>
          <w:sz w:val="24"/>
          <w:szCs w:val="24"/>
        </w:rPr>
      </w:pPr>
      <w:r>
        <w:rPr>
          <w:szCs w:val="24"/>
        </w:rPr>
        <w:t>70A</w:t>
      </w:r>
      <w:r>
        <w:rPr>
          <w:snapToGrid w:val="0"/>
          <w:szCs w:val="24"/>
        </w:rPr>
        <w:t>.</w:t>
      </w:r>
      <w:r>
        <w:rPr>
          <w:snapToGrid w:val="0"/>
          <w:szCs w:val="24"/>
        </w:rPr>
        <w:tab/>
        <w:t>Amalgamation of secondary tenement</w:t>
      </w:r>
      <w:r>
        <w:tab/>
      </w:r>
      <w:r>
        <w:fldChar w:fldCharType="begin"/>
      </w:r>
      <w:r>
        <w:instrText xml:space="preserve"> PAGEREF _Toc161209419 \h </w:instrText>
      </w:r>
      <w:r>
        <w:fldChar w:fldCharType="separate"/>
      </w:r>
      <w:r>
        <w:t>61</w:t>
      </w:r>
      <w:r>
        <w:fldChar w:fldCharType="end"/>
      </w:r>
    </w:p>
    <w:p>
      <w:pPr>
        <w:pStyle w:val="TOC8"/>
        <w:rPr>
          <w:sz w:val="24"/>
          <w:szCs w:val="24"/>
        </w:rPr>
      </w:pPr>
      <w:r>
        <w:rPr>
          <w:szCs w:val="24"/>
        </w:rPr>
        <w:t>70B</w:t>
      </w:r>
      <w:r>
        <w:rPr>
          <w:snapToGrid w:val="0"/>
          <w:szCs w:val="24"/>
        </w:rPr>
        <w:t>.</w:t>
      </w:r>
      <w:r>
        <w:rPr>
          <w:snapToGrid w:val="0"/>
          <w:szCs w:val="24"/>
        </w:rPr>
        <w:tab/>
        <w:t>Agreement as to priority</w:t>
      </w:r>
      <w:r>
        <w:tab/>
      </w:r>
      <w:r>
        <w:fldChar w:fldCharType="begin"/>
      </w:r>
      <w:r>
        <w:instrText xml:space="preserve"> PAGEREF _Toc161209420 \h </w:instrText>
      </w:r>
      <w:r>
        <w:fldChar w:fldCharType="separate"/>
      </w:r>
      <w:r>
        <w:t>61</w:t>
      </w:r>
      <w:r>
        <w:fldChar w:fldCharType="end"/>
      </w:r>
    </w:p>
    <w:p>
      <w:pPr>
        <w:pStyle w:val="TOC8"/>
        <w:rPr>
          <w:sz w:val="24"/>
          <w:szCs w:val="24"/>
        </w:rPr>
      </w:pPr>
      <w:r>
        <w:rPr>
          <w:szCs w:val="24"/>
        </w:rPr>
        <w:t>70C</w:t>
      </w:r>
      <w:r>
        <w:rPr>
          <w:snapToGrid w:val="0"/>
          <w:szCs w:val="24"/>
        </w:rPr>
        <w:t>.</w:t>
      </w:r>
      <w:r>
        <w:rPr>
          <w:snapToGrid w:val="0"/>
          <w:szCs w:val="24"/>
        </w:rPr>
        <w:tab/>
        <w:t>Refund where licence substituted or lease refused</w:t>
      </w:r>
      <w:r>
        <w:tab/>
      </w:r>
      <w:r>
        <w:fldChar w:fldCharType="begin"/>
      </w:r>
      <w:r>
        <w:instrText xml:space="preserve"> PAGEREF _Toc161209421 \h </w:instrText>
      </w:r>
      <w:r>
        <w:fldChar w:fldCharType="separate"/>
      </w:r>
      <w:r>
        <w:t>62</w:t>
      </w:r>
      <w:r>
        <w:fldChar w:fldCharType="end"/>
      </w:r>
    </w:p>
    <w:p>
      <w:pPr>
        <w:pStyle w:val="TOC8"/>
        <w:rPr>
          <w:sz w:val="24"/>
          <w:szCs w:val="24"/>
        </w:rPr>
      </w:pPr>
      <w:r>
        <w:rPr>
          <w:szCs w:val="24"/>
        </w:rPr>
        <w:t>70D</w:t>
      </w:r>
      <w:r>
        <w:rPr>
          <w:snapToGrid w:val="0"/>
          <w:szCs w:val="24"/>
        </w:rPr>
        <w:t>.</w:t>
      </w:r>
      <w:r>
        <w:rPr>
          <w:snapToGrid w:val="0"/>
          <w:szCs w:val="24"/>
        </w:rPr>
        <w:tab/>
        <w:t>Refund when retention licence granted or refused</w:t>
      </w:r>
      <w:r>
        <w:tab/>
      </w:r>
      <w:r>
        <w:fldChar w:fldCharType="begin"/>
      </w:r>
      <w:r>
        <w:instrText xml:space="preserve"> PAGEREF _Toc161209422 \h </w:instrText>
      </w:r>
      <w:r>
        <w:fldChar w:fldCharType="separate"/>
      </w:r>
      <w:r>
        <w:t>62</w:t>
      </w:r>
      <w:r>
        <w:fldChar w:fldCharType="end"/>
      </w:r>
    </w:p>
    <w:p>
      <w:pPr>
        <w:pStyle w:val="TOC8"/>
        <w:rPr>
          <w:sz w:val="24"/>
          <w:szCs w:val="24"/>
        </w:rPr>
      </w:pPr>
      <w:r>
        <w:rPr>
          <w:szCs w:val="24"/>
        </w:rPr>
        <w:t>70E.</w:t>
      </w:r>
      <w:r>
        <w:rPr>
          <w:szCs w:val="24"/>
        </w:rPr>
        <w:tab/>
        <w:t>Partial refund of application fee in certain circumstances</w:t>
      </w:r>
      <w:r>
        <w:tab/>
      </w:r>
      <w:r>
        <w:fldChar w:fldCharType="begin"/>
      </w:r>
      <w:r>
        <w:instrText xml:space="preserve"> PAGEREF _Toc161209423 \h </w:instrText>
      </w:r>
      <w:r>
        <w:fldChar w:fldCharType="separate"/>
      </w:r>
      <w:r>
        <w:t>63</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Boundary marks</w:t>
      </w:r>
    </w:p>
    <w:p>
      <w:pPr>
        <w:pStyle w:val="TOC8"/>
        <w:rPr>
          <w:sz w:val="24"/>
          <w:szCs w:val="24"/>
        </w:rPr>
      </w:pPr>
      <w:r>
        <w:rPr>
          <w:szCs w:val="24"/>
        </w:rPr>
        <w:t>71</w:t>
      </w:r>
      <w:r>
        <w:rPr>
          <w:snapToGrid w:val="0"/>
          <w:szCs w:val="24"/>
        </w:rPr>
        <w:t>.</w:t>
      </w:r>
      <w:r>
        <w:rPr>
          <w:snapToGrid w:val="0"/>
          <w:szCs w:val="24"/>
        </w:rPr>
        <w:tab/>
        <w:t>Boundary marks to be maintained</w:t>
      </w:r>
      <w:r>
        <w:tab/>
      </w:r>
      <w:r>
        <w:fldChar w:fldCharType="begin"/>
      </w:r>
      <w:r>
        <w:instrText xml:space="preserve"> PAGEREF _Toc161209425 \h </w:instrText>
      </w:r>
      <w:r>
        <w:fldChar w:fldCharType="separate"/>
      </w:r>
      <w:r>
        <w:t>63</w:t>
      </w:r>
      <w:r>
        <w:fldChar w:fldCharType="end"/>
      </w:r>
    </w:p>
    <w:p>
      <w:pPr>
        <w:pStyle w:val="TOC8"/>
        <w:rPr>
          <w:sz w:val="24"/>
          <w:szCs w:val="24"/>
        </w:rPr>
      </w:pPr>
      <w:r>
        <w:rPr>
          <w:szCs w:val="24"/>
        </w:rPr>
        <w:t>72</w:t>
      </w:r>
      <w:r>
        <w:rPr>
          <w:snapToGrid w:val="0"/>
          <w:szCs w:val="24"/>
        </w:rPr>
        <w:t>.</w:t>
      </w:r>
      <w:r>
        <w:rPr>
          <w:snapToGrid w:val="0"/>
          <w:szCs w:val="24"/>
        </w:rPr>
        <w:tab/>
        <w:t>No liability for mining if boundary marks not maintained</w:t>
      </w:r>
      <w:r>
        <w:tab/>
      </w:r>
      <w:r>
        <w:fldChar w:fldCharType="begin"/>
      </w:r>
      <w:r>
        <w:instrText xml:space="preserve"> PAGEREF _Toc161209426 \h </w:instrText>
      </w:r>
      <w:r>
        <w:fldChar w:fldCharType="separate"/>
      </w:r>
      <w:r>
        <w:t>63</w:t>
      </w:r>
      <w:r>
        <w:fldChar w:fldCharType="end"/>
      </w:r>
    </w:p>
    <w:p>
      <w:pPr>
        <w:pStyle w:val="TOC8"/>
        <w:rPr>
          <w:sz w:val="24"/>
          <w:szCs w:val="24"/>
        </w:rPr>
      </w:pPr>
      <w:r>
        <w:rPr>
          <w:szCs w:val="24"/>
        </w:rPr>
        <w:t>73</w:t>
      </w:r>
      <w:r>
        <w:rPr>
          <w:snapToGrid w:val="0"/>
          <w:szCs w:val="24"/>
        </w:rPr>
        <w:t>.</w:t>
      </w:r>
      <w:r>
        <w:rPr>
          <w:snapToGrid w:val="0"/>
          <w:szCs w:val="24"/>
        </w:rPr>
        <w:tab/>
        <w:t>Holder to identify boundaries</w:t>
      </w:r>
      <w:r>
        <w:tab/>
      </w:r>
      <w:r>
        <w:fldChar w:fldCharType="begin"/>
      </w:r>
      <w:r>
        <w:instrText xml:space="preserve"> PAGEREF _Toc161209427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False documents/notices not to be posted</w:t>
      </w:r>
      <w:r>
        <w:tab/>
      </w:r>
      <w:r>
        <w:fldChar w:fldCharType="begin"/>
      </w:r>
      <w:r>
        <w:instrText xml:space="preserve"> PAGEREF _Toc161209428 \h </w:instrText>
      </w:r>
      <w:r>
        <w:fldChar w:fldCharType="separate"/>
      </w:r>
      <w:r>
        <w:t>64</w:t>
      </w:r>
      <w:r>
        <w:fldChar w:fldCharType="end"/>
      </w:r>
    </w:p>
    <w:p>
      <w:pPr>
        <w:pStyle w:val="TOC4"/>
        <w:tabs>
          <w:tab w:val="right" w:leader="dot" w:pos="7088"/>
        </w:tabs>
        <w:rPr>
          <w:b w:val="0"/>
          <w:sz w:val="24"/>
          <w:szCs w:val="24"/>
        </w:rPr>
      </w:pPr>
      <w:r>
        <w:rPr>
          <w:szCs w:val="26"/>
        </w:rPr>
        <w:t>Division 3A</w:t>
      </w:r>
      <w:r>
        <w:rPr>
          <w:snapToGrid w:val="0"/>
          <w:szCs w:val="26"/>
        </w:rPr>
        <w:t> — </w:t>
      </w:r>
      <w:r>
        <w:rPr>
          <w:szCs w:val="26"/>
        </w:rPr>
        <w:t>Fossicking</w:t>
      </w:r>
    </w:p>
    <w:p>
      <w:pPr>
        <w:pStyle w:val="TOC8"/>
        <w:rPr>
          <w:sz w:val="24"/>
          <w:szCs w:val="24"/>
        </w:rPr>
      </w:pPr>
      <w:r>
        <w:rPr>
          <w:szCs w:val="24"/>
        </w:rPr>
        <w:t>74A</w:t>
      </w:r>
      <w:r>
        <w:rPr>
          <w:snapToGrid w:val="0"/>
          <w:szCs w:val="24"/>
        </w:rPr>
        <w:t>.</w:t>
      </w:r>
      <w:r>
        <w:rPr>
          <w:snapToGrid w:val="0"/>
          <w:szCs w:val="24"/>
        </w:rPr>
        <w:tab/>
        <w:t>Means of fossicking</w:t>
      </w:r>
      <w:r>
        <w:tab/>
      </w:r>
      <w:r>
        <w:fldChar w:fldCharType="begin"/>
      </w:r>
      <w:r>
        <w:instrText xml:space="preserve"> PAGEREF _Toc161209430 \h </w:instrText>
      </w:r>
      <w:r>
        <w:fldChar w:fldCharType="separate"/>
      </w:r>
      <w:r>
        <w:t>64</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Transfers, caveats, mortgages</w:t>
      </w:r>
    </w:p>
    <w:p>
      <w:pPr>
        <w:pStyle w:val="TOC8"/>
        <w:rPr>
          <w:sz w:val="24"/>
          <w:szCs w:val="24"/>
        </w:rPr>
      </w:pPr>
      <w:r>
        <w:rPr>
          <w:szCs w:val="24"/>
        </w:rPr>
        <w:t>75</w:t>
      </w:r>
      <w:r>
        <w:rPr>
          <w:snapToGrid w:val="0"/>
          <w:szCs w:val="24"/>
        </w:rPr>
        <w:t>.</w:t>
      </w:r>
      <w:r>
        <w:rPr>
          <w:snapToGrid w:val="0"/>
          <w:szCs w:val="24"/>
        </w:rPr>
        <w:tab/>
        <w:t>Transfer of tenement</w:t>
      </w:r>
      <w:r>
        <w:tab/>
      </w:r>
      <w:r>
        <w:fldChar w:fldCharType="begin"/>
      </w:r>
      <w:r>
        <w:instrText xml:space="preserve"> PAGEREF _Toc161209432 \h </w:instrText>
      </w:r>
      <w:r>
        <w:fldChar w:fldCharType="separate"/>
      </w:r>
      <w:r>
        <w:t>64</w:t>
      </w:r>
      <w:r>
        <w:fldChar w:fldCharType="end"/>
      </w:r>
    </w:p>
    <w:p>
      <w:pPr>
        <w:pStyle w:val="TOC8"/>
        <w:rPr>
          <w:sz w:val="24"/>
          <w:szCs w:val="24"/>
        </w:rPr>
      </w:pPr>
      <w:r>
        <w:rPr>
          <w:szCs w:val="24"/>
        </w:rPr>
        <w:t>76.</w:t>
      </w:r>
      <w:r>
        <w:rPr>
          <w:szCs w:val="24"/>
        </w:rPr>
        <w:tab/>
        <w:t>Lodgment of caveats</w:t>
      </w:r>
      <w:r>
        <w:tab/>
      </w:r>
      <w:r>
        <w:fldChar w:fldCharType="begin"/>
      </w:r>
      <w:r>
        <w:instrText xml:space="preserve"> PAGEREF _Toc161209433 \h </w:instrText>
      </w:r>
      <w:r>
        <w:fldChar w:fldCharType="separate"/>
      </w:r>
      <w:r>
        <w:t>65</w:t>
      </w:r>
      <w:r>
        <w:fldChar w:fldCharType="end"/>
      </w:r>
    </w:p>
    <w:p>
      <w:pPr>
        <w:pStyle w:val="TOC8"/>
        <w:rPr>
          <w:sz w:val="24"/>
          <w:szCs w:val="24"/>
        </w:rPr>
      </w:pPr>
      <w:r>
        <w:rPr>
          <w:szCs w:val="24"/>
        </w:rPr>
        <w:t>76A</w:t>
      </w:r>
      <w:r>
        <w:rPr>
          <w:snapToGrid w:val="0"/>
          <w:szCs w:val="24"/>
        </w:rPr>
        <w:t>.</w:t>
      </w:r>
      <w:r>
        <w:rPr>
          <w:snapToGrid w:val="0"/>
          <w:szCs w:val="24"/>
        </w:rPr>
        <w:tab/>
        <w:t>Withdrawal of caveats</w:t>
      </w:r>
      <w:r>
        <w:tab/>
      </w:r>
      <w:r>
        <w:fldChar w:fldCharType="begin"/>
      </w:r>
      <w:r>
        <w:instrText xml:space="preserve"> PAGEREF _Toc161209434 \h </w:instrText>
      </w:r>
      <w:r>
        <w:fldChar w:fldCharType="separate"/>
      </w:r>
      <w:r>
        <w:t>66</w:t>
      </w:r>
      <w:r>
        <w:fldChar w:fldCharType="end"/>
      </w:r>
    </w:p>
    <w:p>
      <w:pPr>
        <w:pStyle w:val="TOC8"/>
        <w:rPr>
          <w:sz w:val="24"/>
          <w:szCs w:val="24"/>
        </w:rPr>
      </w:pPr>
      <w:r>
        <w:rPr>
          <w:szCs w:val="24"/>
        </w:rPr>
        <w:t>76B</w:t>
      </w:r>
      <w:r>
        <w:rPr>
          <w:snapToGrid w:val="0"/>
          <w:szCs w:val="24"/>
        </w:rPr>
        <w:t>.</w:t>
      </w:r>
      <w:r>
        <w:rPr>
          <w:snapToGrid w:val="0"/>
          <w:szCs w:val="24"/>
        </w:rPr>
        <w:tab/>
        <w:t>Notification of registration of surrender</w:t>
      </w:r>
      <w:r>
        <w:tab/>
      </w:r>
      <w:r>
        <w:fldChar w:fldCharType="begin"/>
      </w:r>
      <w:r>
        <w:instrText xml:space="preserve"> PAGEREF _Toc161209435 \h </w:instrText>
      </w:r>
      <w:r>
        <w:fldChar w:fldCharType="separate"/>
      </w:r>
      <w:r>
        <w:t>66</w:t>
      </w:r>
      <w:r>
        <w:fldChar w:fldCharType="end"/>
      </w:r>
    </w:p>
    <w:p>
      <w:pPr>
        <w:pStyle w:val="TOC8"/>
        <w:rPr>
          <w:sz w:val="24"/>
          <w:szCs w:val="24"/>
        </w:rPr>
      </w:pPr>
      <w:r>
        <w:rPr>
          <w:szCs w:val="24"/>
        </w:rPr>
        <w:t>77.</w:t>
      </w:r>
      <w:r>
        <w:rPr>
          <w:szCs w:val="24"/>
        </w:rPr>
        <w:tab/>
        <w:t>Mortgage</w:t>
      </w:r>
      <w:r>
        <w:tab/>
      </w:r>
      <w:r>
        <w:fldChar w:fldCharType="begin"/>
      </w:r>
      <w:r>
        <w:instrText xml:space="preserve"> PAGEREF _Toc161209436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Covenants included in mortgage</w:t>
      </w:r>
      <w:r>
        <w:tab/>
      </w:r>
      <w:r>
        <w:fldChar w:fldCharType="begin"/>
      </w:r>
      <w:r>
        <w:instrText xml:space="preserve"> PAGEREF _Toc161209437 \h </w:instrText>
      </w:r>
      <w:r>
        <w:fldChar w:fldCharType="separate"/>
      </w:r>
      <w:r>
        <w:t>66</w:t>
      </w:r>
      <w:r>
        <w:fldChar w:fldCharType="end"/>
      </w:r>
    </w:p>
    <w:p>
      <w:pPr>
        <w:pStyle w:val="TOC8"/>
        <w:rPr>
          <w:sz w:val="24"/>
          <w:szCs w:val="24"/>
        </w:rPr>
      </w:pPr>
      <w:r>
        <w:rPr>
          <w:szCs w:val="24"/>
        </w:rPr>
        <w:t>80</w:t>
      </w:r>
      <w:r>
        <w:rPr>
          <w:snapToGrid w:val="0"/>
          <w:szCs w:val="24"/>
        </w:rPr>
        <w:t>.</w:t>
      </w:r>
      <w:r>
        <w:rPr>
          <w:snapToGrid w:val="0"/>
          <w:szCs w:val="24"/>
        </w:rPr>
        <w:tab/>
        <w:t>Mortgagee’s expenses may be added to security</w:t>
      </w:r>
      <w:r>
        <w:tab/>
      </w:r>
      <w:r>
        <w:fldChar w:fldCharType="begin"/>
      </w:r>
      <w:r>
        <w:instrText xml:space="preserve"> PAGEREF _Toc161209438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Transfer under powers contained in mortgage</w:t>
      </w:r>
      <w:r>
        <w:tab/>
      </w:r>
      <w:r>
        <w:fldChar w:fldCharType="begin"/>
      </w:r>
      <w:r>
        <w:instrText xml:space="preserve"> PAGEREF _Toc161209439 \h </w:instrText>
      </w:r>
      <w:r>
        <w:fldChar w:fldCharType="separate"/>
      </w:r>
      <w:r>
        <w:t>68</w:t>
      </w:r>
      <w:r>
        <w:fldChar w:fldCharType="end"/>
      </w:r>
    </w:p>
    <w:p>
      <w:pPr>
        <w:pStyle w:val="TOC8"/>
        <w:rPr>
          <w:sz w:val="24"/>
          <w:szCs w:val="24"/>
        </w:rPr>
      </w:pPr>
      <w:r>
        <w:rPr>
          <w:szCs w:val="24"/>
        </w:rPr>
        <w:t>82</w:t>
      </w:r>
      <w:r>
        <w:rPr>
          <w:snapToGrid w:val="0"/>
          <w:szCs w:val="24"/>
        </w:rPr>
        <w:t>.</w:t>
      </w:r>
      <w:r>
        <w:rPr>
          <w:snapToGrid w:val="0"/>
          <w:szCs w:val="24"/>
        </w:rPr>
        <w:tab/>
        <w:t>Redemption of mortgage</w:t>
      </w:r>
      <w:r>
        <w:tab/>
      </w:r>
      <w:r>
        <w:fldChar w:fldCharType="begin"/>
      </w:r>
      <w:r>
        <w:instrText xml:space="preserve"> PAGEREF _Toc161209440 \h </w:instrText>
      </w:r>
      <w:r>
        <w:fldChar w:fldCharType="separate"/>
      </w:r>
      <w:r>
        <w:t>68</w:t>
      </w:r>
      <w:r>
        <w:fldChar w:fldCharType="end"/>
      </w:r>
    </w:p>
    <w:p>
      <w:pPr>
        <w:pStyle w:val="TOC8"/>
        <w:rPr>
          <w:sz w:val="24"/>
          <w:szCs w:val="24"/>
        </w:rPr>
      </w:pPr>
      <w:r>
        <w:rPr>
          <w:szCs w:val="24"/>
        </w:rPr>
        <w:t>83</w:t>
      </w:r>
      <w:r>
        <w:rPr>
          <w:snapToGrid w:val="0"/>
          <w:szCs w:val="24"/>
        </w:rPr>
        <w:t>.</w:t>
      </w:r>
      <w:r>
        <w:rPr>
          <w:snapToGrid w:val="0"/>
          <w:szCs w:val="24"/>
        </w:rPr>
        <w:tab/>
        <w:t>Discharge of mortgage</w:t>
      </w:r>
      <w:r>
        <w:tab/>
      </w:r>
      <w:r>
        <w:fldChar w:fldCharType="begin"/>
      </w:r>
      <w:r>
        <w:instrText xml:space="preserve"> PAGEREF _Toc161209441 \h </w:instrText>
      </w:r>
      <w:r>
        <w:fldChar w:fldCharType="separate"/>
      </w:r>
      <w:r>
        <w:t>69</w:t>
      </w:r>
      <w:r>
        <w:fldChar w:fldCharType="end"/>
      </w:r>
    </w:p>
    <w:p>
      <w:pPr>
        <w:pStyle w:val="TOC8"/>
        <w:rPr>
          <w:sz w:val="24"/>
          <w:szCs w:val="24"/>
        </w:rPr>
      </w:pPr>
      <w:r>
        <w:rPr>
          <w:szCs w:val="24"/>
        </w:rPr>
        <w:t>84</w:t>
      </w:r>
      <w:r>
        <w:rPr>
          <w:snapToGrid w:val="0"/>
          <w:szCs w:val="24"/>
        </w:rPr>
        <w:t>.</w:t>
      </w:r>
      <w:r>
        <w:rPr>
          <w:snapToGrid w:val="0"/>
          <w:szCs w:val="24"/>
        </w:rPr>
        <w:tab/>
        <w:t>Transfer of mortgage</w:t>
      </w:r>
      <w:r>
        <w:tab/>
      </w:r>
      <w:r>
        <w:fldChar w:fldCharType="begin"/>
      </w:r>
      <w:r>
        <w:instrText xml:space="preserve"> PAGEREF _Toc161209442 \h </w:instrText>
      </w:r>
      <w:r>
        <w:fldChar w:fldCharType="separate"/>
      </w:r>
      <w:r>
        <w:t>69</w:t>
      </w:r>
      <w:r>
        <w:fldChar w:fldCharType="end"/>
      </w:r>
    </w:p>
    <w:p>
      <w:pPr>
        <w:pStyle w:val="TOC4"/>
        <w:tabs>
          <w:tab w:val="right" w:leader="dot" w:pos="7088"/>
        </w:tabs>
        <w:rPr>
          <w:b w:val="0"/>
          <w:sz w:val="24"/>
          <w:szCs w:val="24"/>
        </w:rPr>
      </w:pPr>
      <w:r>
        <w:rPr>
          <w:szCs w:val="26"/>
        </w:rPr>
        <w:t>Division 4A — Lodgment of instruments and the register</w:t>
      </w:r>
    </w:p>
    <w:p>
      <w:pPr>
        <w:pStyle w:val="TOC8"/>
        <w:rPr>
          <w:sz w:val="24"/>
          <w:szCs w:val="24"/>
        </w:rPr>
      </w:pPr>
      <w:r>
        <w:rPr>
          <w:szCs w:val="24"/>
        </w:rPr>
        <w:t>84A.</w:t>
      </w:r>
      <w:r>
        <w:rPr>
          <w:szCs w:val="24"/>
        </w:rPr>
        <w:tab/>
        <w:t>Lodgment of instruments</w:t>
      </w:r>
      <w:r>
        <w:tab/>
      </w:r>
      <w:r>
        <w:fldChar w:fldCharType="begin"/>
      </w:r>
      <w:r>
        <w:instrText xml:space="preserve"> PAGEREF _Toc161209444 \h </w:instrText>
      </w:r>
      <w:r>
        <w:fldChar w:fldCharType="separate"/>
      </w:r>
      <w:r>
        <w:t>69</w:t>
      </w:r>
      <w:r>
        <w:fldChar w:fldCharType="end"/>
      </w:r>
    </w:p>
    <w:p>
      <w:pPr>
        <w:pStyle w:val="TOC8"/>
        <w:rPr>
          <w:sz w:val="24"/>
          <w:szCs w:val="24"/>
        </w:rPr>
      </w:pPr>
      <w:r>
        <w:rPr>
          <w:szCs w:val="24"/>
        </w:rPr>
        <w:t>84B.</w:t>
      </w:r>
      <w:r>
        <w:rPr>
          <w:szCs w:val="24"/>
        </w:rPr>
        <w:tab/>
        <w:t>Provisional lodgment</w:t>
      </w:r>
      <w:r>
        <w:tab/>
      </w:r>
      <w:r>
        <w:fldChar w:fldCharType="begin"/>
      </w:r>
      <w:r>
        <w:instrText xml:space="preserve"> PAGEREF _Toc161209445 \h </w:instrText>
      </w:r>
      <w:r>
        <w:fldChar w:fldCharType="separate"/>
      </w:r>
      <w:r>
        <w:t>69</w:t>
      </w:r>
      <w:r>
        <w:fldChar w:fldCharType="end"/>
      </w:r>
    </w:p>
    <w:p>
      <w:pPr>
        <w:pStyle w:val="TOC8"/>
        <w:rPr>
          <w:sz w:val="24"/>
          <w:szCs w:val="24"/>
        </w:rPr>
      </w:pPr>
      <w:r>
        <w:rPr>
          <w:szCs w:val="24"/>
        </w:rPr>
        <w:t>84C.</w:t>
      </w:r>
      <w:r>
        <w:rPr>
          <w:szCs w:val="24"/>
        </w:rPr>
        <w:tab/>
        <w:t>Content of register</w:t>
      </w:r>
      <w:r>
        <w:tab/>
      </w:r>
      <w:r>
        <w:fldChar w:fldCharType="begin"/>
      </w:r>
      <w:r>
        <w:instrText xml:space="preserve"> PAGEREF _Toc161209446 \h </w:instrText>
      </w:r>
      <w:r>
        <w:fldChar w:fldCharType="separate"/>
      </w:r>
      <w:r>
        <w:t>71</w:t>
      </w:r>
      <w:r>
        <w:fldChar w:fldCharType="end"/>
      </w:r>
    </w:p>
    <w:p>
      <w:pPr>
        <w:pStyle w:val="TOC8"/>
        <w:rPr>
          <w:sz w:val="24"/>
          <w:szCs w:val="24"/>
        </w:rPr>
      </w:pPr>
      <w:r>
        <w:rPr>
          <w:szCs w:val="24"/>
        </w:rPr>
        <w:t>84D.</w:t>
      </w:r>
      <w:r>
        <w:rPr>
          <w:szCs w:val="24"/>
        </w:rPr>
        <w:tab/>
        <w:t>Fees for copies of entries, dealings, etc.</w:t>
      </w:r>
      <w:r>
        <w:tab/>
      </w:r>
      <w:r>
        <w:fldChar w:fldCharType="begin"/>
      </w:r>
      <w:r>
        <w:instrText xml:space="preserve"> PAGEREF _Toc161209447 \h </w:instrText>
      </w:r>
      <w:r>
        <w:fldChar w:fldCharType="separate"/>
      </w:r>
      <w:r>
        <w:t>72</w:t>
      </w:r>
      <w:r>
        <w:fldChar w:fldCharType="end"/>
      </w:r>
    </w:p>
    <w:p>
      <w:pPr>
        <w:pStyle w:val="TOC8"/>
        <w:rPr>
          <w:sz w:val="24"/>
          <w:szCs w:val="24"/>
        </w:rPr>
      </w:pPr>
      <w:r>
        <w:rPr>
          <w:szCs w:val="24"/>
        </w:rPr>
        <w:t>84E.</w:t>
      </w:r>
      <w:r>
        <w:rPr>
          <w:szCs w:val="24"/>
        </w:rPr>
        <w:tab/>
        <w:t>Amendment of register</w:t>
      </w:r>
      <w:r>
        <w:tab/>
      </w:r>
      <w:r>
        <w:fldChar w:fldCharType="begin"/>
      </w:r>
      <w:r>
        <w:instrText xml:space="preserve"> PAGEREF _Toc161209448 \h </w:instrText>
      </w:r>
      <w:r>
        <w:fldChar w:fldCharType="separate"/>
      </w:r>
      <w:r>
        <w:t>72</w:t>
      </w:r>
      <w:r>
        <w:fldChar w:fldCharType="end"/>
      </w:r>
    </w:p>
    <w:p>
      <w:pPr>
        <w:pStyle w:val="TOC8"/>
        <w:rPr>
          <w:sz w:val="24"/>
          <w:szCs w:val="24"/>
        </w:rPr>
      </w:pPr>
      <w:r>
        <w:rPr>
          <w:szCs w:val="24"/>
        </w:rPr>
        <w:t>84F.</w:t>
      </w:r>
      <w:r>
        <w:rPr>
          <w:szCs w:val="24"/>
        </w:rPr>
        <w:tab/>
        <w:t>Inclusion of information in register despite late lodgment of report</w:t>
      </w:r>
      <w:r>
        <w:tab/>
      </w:r>
      <w:r>
        <w:fldChar w:fldCharType="begin"/>
      </w:r>
      <w:r>
        <w:instrText xml:space="preserve"> PAGEREF _Toc161209449 \h </w:instrText>
      </w:r>
      <w:r>
        <w:fldChar w:fldCharType="separate"/>
      </w:r>
      <w:r>
        <w:t>72</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Production and royalties</w:t>
      </w:r>
    </w:p>
    <w:p>
      <w:pPr>
        <w:pStyle w:val="TOC8"/>
        <w:rPr>
          <w:sz w:val="24"/>
          <w:szCs w:val="24"/>
        </w:rPr>
      </w:pPr>
      <w:r>
        <w:rPr>
          <w:szCs w:val="24"/>
        </w:rPr>
        <w:t>85.</w:t>
      </w:r>
      <w:r>
        <w:rPr>
          <w:szCs w:val="24"/>
        </w:rPr>
        <w:tab/>
        <w:t>Terms used in this Division</w:t>
      </w:r>
      <w:r>
        <w:tab/>
      </w:r>
      <w:r>
        <w:fldChar w:fldCharType="begin"/>
      </w:r>
      <w:r>
        <w:instrText xml:space="preserve"> PAGEREF _Toc161209451 \h </w:instrText>
      </w:r>
      <w:r>
        <w:fldChar w:fldCharType="separate"/>
      </w:r>
      <w:r>
        <w:t>72</w:t>
      </w:r>
      <w:r>
        <w:fldChar w:fldCharType="end"/>
      </w:r>
    </w:p>
    <w:p>
      <w:pPr>
        <w:pStyle w:val="TOC8"/>
        <w:rPr>
          <w:sz w:val="24"/>
          <w:szCs w:val="24"/>
        </w:rPr>
      </w:pPr>
      <w:r>
        <w:rPr>
          <w:szCs w:val="24"/>
        </w:rPr>
        <w:t>85AA.</w:t>
      </w:r>
      <w:r>
        <w:rPr>
          <w:szCs w:val="24"/>
        </w:rPr>
        <w:tab/>
        <w:t>Effect of GST etc. on royalties</w:t>
      </w:r>
      <w:r>
        <w:tab/>
      </w:r>
      <w:r>
        <w:fldChar w:fldCharType="begin"/>
      </w:r>
      <w:r>
        <w:instrText xml:space="preserve"> PAGEREF _Toc161209452 \h </w:instrText>
      </w:r>
      <w:r>
        <w:fldChar w:fldCharType="separate"/>
      </w:r>
      <w:r>
        <w:t>74</w:t>
      </w:r>
      <w:r>
        <w:fldChar w:fldCharType="end"/>
      </w:r>
    </w:p>
    <w:p>
      <w:pPr>
        <w:pStyle w:val="TOC8"/>
        <w:rPr>
          <w:sz w:val="24"/>
          <w:szCs w:val="24"/>
        </w:rPr>
      </w:pPr>
      <w:r>
        <w:rPr>
          <w:szCs w:val="24"/>
        </w:rPr>
        <w:t>85AB.</w:t>
      </w:r>
      <w:r>
        <w:rPr>
          <w:szCs w:val="24"/>
        </w:rPr>
        <w:tab/>
        <w:t>Conversion to Australian currency</w:t>
      </w:r>
      <w:r>
        <w:tab/>
      </w:r>
      <w:r>
        <w:fldChar w:fldCharType="begin"/>
      </w:r>
      <w:r>
        <w:instrText xml:space="preserve"> PAGEREF _Toc161209453 \h </w:instrText>
      </w:r>
      <w:r>
        <w:fldChar w:fldCharType="separate"/>
      </w:r>
      <w:r>
        <w:t>75</w:t>
      </w:r>
      <w:r>
        <w:fldChar w:fldCharType="end"/>
      </w:r>
    </w:p>
    <w:p>
      <w:pPr>
        <w:pStyle w:val="TOC8"/>
        <w:rPr>
          <w:sz w:val="24"/>
          <w:szCs w:val="24"/>
        </w:rPr>
      </w:pPr>
      <w:r>
        <w:rPr>
          <w:szCs w:val="24"/>
        </w:rPr>
        <w:t>85A.</w:t>
      </w:r>
      <w:r>
        <w:rPr>
          <w:szCs w:val="24"/>
        </w:rPr>
        <w:tab/>
        <w:t>Quarterly production reports</w:t>
      </w:r>
      <w:r>
        <w:tab/>
      </w:r>
      <w:r>
        <w:fldChar w:fldCharType="begin"/>
      </w:r>
      <w:r>
        <w:instrText xml:space="preserve"> PAGEREF _Toc161209454 \h </w:instrText>
      </w:r>
      <w:r>
        <w:fldChar w:fldCharType="separate"/>
      </w:r>
      <w:r>
        <w:t>76</w:t>
      </w:r>
      <w:r>
        <w:fldChar w:fldCharType="end"/>
      </w:r>
    </w:p>
    <w:p>
      <w:pPr>
        <w:pStyle w:val="TOC8"/>
        <w:rPr>
          <w:sz w:val="24"/>
          <w:szCs w:val="24"/>
        </w:rPr>
      </w:pPr>
      <w:r>
        <w:rPr>
          <w:szCs w:val="24"/>
        </w:rPr>
        <w:t>85B</w:t>
      </w:r>
      <w:r>
        <w:rPr>
          <w:snapToGrid w:val="0"/>
          <w:szCs w:val="24"/>
        </w:rPr>
        <w:t>.</w:t>
      </w:r>
      <w:r>
        <w:rPr>
          <w:snapToGrid w:val="0"/>
          <w:szCs w:val="24"/>
        </w:rPr>
        <w:tab/>
        <w:t>Royalty return</w:t>
      </w:r>
      <w:r>
        <w:tab/>
      </w:r>
      <w:r>
        <w:fldChar w:fldCharType="begin"/>
      </w:r>
      <w:r>
        <w:instrText xml:space="preserve"> PAGEREF _Toc161209455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Rates of royalty</w:t>
      </w:r>
      <w:r>
        <w:tab/>
      </w:r>
      <w:r>
        <w:fldChar w:fldCharType="begin"/>
      </w:r>
      <w:r>
        <w:instrText xml:space="preserve"> PAGEREF _Toc161209456 \h </w:instrText>
      </w:r>
      <w:r>
        <w:fldChar w:fldCharType="separate"/>
      </w:r>
      <w:r>
        <w:t>78</w:t>
      </w:r>
      <w:r>
        <w:fldChar w:fldCharType="end"/>
      </w:r>
    </w:p>
    <w:p>
      <w:pPr>
        <w:pStyle w:val="TOC8"/>
        <w:rPr>
          <w:sz w:val="24"/>
          <w:szCs w:val="24"/>
        </w:rPr>
      </w:pPr>
      <w:r>
        <w:rPr>
          <w:szCs w:val="24"/>
        </w:rPr>
        <w:t>86AA</w:t>
      </w:r>
      <w:r>
        <w:rPr>
          <w:snapToGrid w:val="0"/>
          <w:szCs w:val="24"/>
        </w:rPr>
        <w:t>.</w:t>
      </w:r>
      <w:r>
        <w:rPr>
          <w:snapToGrid w:val="0"/>
          <w:szCs w:val="24"/>
        </w:rPr>
        <w:tab/>
        <w:t>Rates of royalty in respect of gold</w:t>
      </w:r>
      <w:r>
        <w:tab/>
      </w:r>
      <w:r>
        <w:fldChar w:fldCharType="begin"/>
      </w:r>
      <w:r>
        <w:instrText xml:space="preserve"> PAGEREF _Toc161209457 \h </w:instrText>
      </w:r>
      <w:r>
        <w:fldChar w:fldCharType="separate"/>
      </w:r>
      <w:r>
        <w:t>85</w:t>
      </w:r>
      <w:r>
        <w:fldChar w:fldCharType="end"/>
      </w:r>
    </w:p>
    <w:p>
      <w:pPr>
        <w:pStyle w:val="TOC8"/>
        <w:rPr>
          <w:sz w:val="24"/>
          <w:szCs w:val="24"/>
        </w:rPr>
      </w:pPr>
      <w:r>
        <w:rPr>
          <w:szCs w:val="24"/>
        </w:rPr>
        <w:t>86AB.</w:t>
      </w:r>
      <w:r>
        <w:rPr>
          <w:szCs w:val="24"/>
        </w:rPr>
        <w:tab/>
        <w:t>Optional royalty rate for cobalt sold as a nickel by</w:t>
      </w:r>
      <w:r>
        <w:rPr>
          <w:szCs w:val="24"/>
        </w:rPr>
        <w:noBreakHyphen/>
        <w:t>product</w:t>
      </w:r>
      <w:r>
        <w:tab/>
      </w:r>
      <w:r>
        <w:fldChar w:fldCharType="begin"/>
      </w:r>
      <w:r>
        <w:instrText xml:space="preserve"> PAGEREF _Toc161209458 \h </w:instrText>
      </w:r>
      <w:r>
        <w:fldChar w:fldCharType="separate"/>
      </w:r>
      <w:r>
        <w:t>89</w:t>
      </w:r>
      <w:r>
        <w:fldChar w:fldCharType="end"/>
      </w:r>
    </w:p>
    <w:p>
      <w:pPr>
        <w:pStyle w:val="TOC8"/>
        <w:rPr>
          <w:sz w:val="24"/>
          <w:szCs w:val="24"/>
        </w:rPr>
      </w:pPr>
      <w:r>
        <w:rPr>
          <w:szCs w:val="24"/>
        </w:rPr>
        <w:t>86AC.</w:t>
      </w:r>
      <w:r>
        <w:rPr>
          <w:szCs w:val="24"/>
        </w:rPr>
        <w:tab/>
        <w:t>Rates of royalty for ilmenite feedstock</w:t>
      </w:r>
      <w:r>
        <w:tab/>
      </w:r>
      <w:r>
        <w:fldChar w:fldCharType="begin"/>
      </w:r>
      <w:r>
        <w:instrText xml:space="preserve"> PAGEREF _Toc161209459 \h </w:instrText>
      </w:r>
      <w:r>
        <w:fldChar w:fldCharType="separate"/>
      </w:r>
      <w:r>
        <w:t>90</w:t>
      </w:r>
      <w:r>
        <w:fldChar w:fldCharType="end"/>
      </w:r>
    </w:p>
    <w:p>
      <w:pPr>
        <w:pStyle w:val="TOC8"/>
        <w:rPr>
          <w:sz w:val="24"/>
          <w:szCs w:val="24"/>
        </w:rPr>
      </w:pPr>
      <w:r>
        <w:rPr>
          <w:szCs w:val="24"/>
        </w:rPr>
        <w:t>86A.</w:t>
      </w:r>
      <w:r>
        <w:rPr>
          <w:szCs w:val="24"/>
        </w:rPr>
        <w:tab/>
        <w:t>Payment of royalties</w:t>
      </w:r>
      <w:r>
        <w:tab/>
      </w:r>
      <w:r>
        <w:fldChar w:fldCharType="begin"/>
      </w:r>
      <w:r>
        <w:instrText xml:space="preserve"> PAGEREF _Toc161209460 \h </w:instrText>
      </w:r>
      <w:r>
        <w:fldChar w:fldCharType="separate"/>
      </w:r>
      <w:r>
        <w:t>92</w:t>
      </w:r>
      <w:r>
        <w:fldChar w:fldCharType="end"/>
      </w:r>
    </w:p>
    <w:p>
      <w:pPr>
        <w:pStyle w:val="TOC8"/>
        <w:rPr>
          <w:sz w:val="24"/>
          <w:szCs w:val="24"/>
        </w:rPr>
      </w:pPr>
      <w:r>
        <w:rPr>
          <w:szCs w:val="24"/>
        </w:rPr>
        <w:t>86B</w:t>
      </w:r>
      <w:r>
        <w:rPr>
          <w:snapToGrid w:val="0"/>
          <w:szCs w:val="24"/>
        </w:rPr>
        <w:t>.</w:t>
      </w:r>
      <w:r>
        <w:rPr>
          <w:snapToGrid w:val="0"/>
          <w:szCs w:val="24"/>
        </w:rPr>
        <w:tab/>
        <w:t>Tenement within Carnarvon Irrigation District</w:t>
      </w:r>
      <w:r>
        <w:tab/>
      </w:r>
      <w:r>
        <w:fldChar w:fldCharType="begin"/>
      </w:r>
      <w:r>
        <w:instrText xml:space="preserve"> PAGEREF _Toc161209461 \h </w:instrText>
      </w:r>
      <w:r>
        <w:fldChar w:fldCharType="separate"/>
      </w:r>
      <w:r>
        <w:t>93</w:t>
      </w:r>
      <w:r>
        <w:fldChar w:fldCharType="end"/>
      </w:r>
    </w:p>
    <w:p>
      <w:pPr>
        <w:pStyle w:val="TOC8"/>
        <w:rPr>
          <w:sz w:val="24"/>
          <w:szCs w:val="24"/>
        </w:rPr>
      </w:pPr>
      <w:r>
        <w:rPr>
          <w:szCs w:val="24"/>
        </w:rPr>
        <w:t>86D</w:t>
      </w:r>
      <w:r>
        <w:rPr>
          <w:snapToGrid w:val="0"/>
          <w:szCs w:val="24"/>
        </w:rPr>
        <w:t>.</w:t>
      </w:r>
      <w:r>
        <w:rPr>
          <w:snapToGrid w:val="0"/>
          <w:szCs w:val="24"/>
        </w:rPr>
        <w:tab/>
        <w:t>Exemption in respect of certain clay, gravel, limestone, rock or sand</w:t>
      </w:r>
      <w:r>
        <w:tab/>
      </w:r>
      <w:r>
        <w:fldChar w:fldCharType="begin"/>
      </w:r>
      <w:r>
        <w:instrText xml:space="preserve"> PAGEREF _Toc161209462 \h </w:instrText>
      </w:r>
      <w:r>
        <w:fldChar w:fldCharType="separate"/>
      </w:r>
      <w:r>
        <w:t>93</w:t>
      </w:r>
      <w:r>
        <w:fldChar w:fldCharType="end"/>
      </w:r>
    </w:p>
    <w:p>
      <w:pPr>
        <w:pStyle w:val="TOC8"/>
        <w:rPr>
          <w:sz w:val="24"/>
          <w:szCs w:val="24"/>
        </w:rPr>
      </w:pPr>
      <w:r>
        <w:rPr>
          <w:szCs w:val="24"/>
        </w:rPr>
        <w:t>86E</w:t>
      </w:r>
      <w:r>
        <w:rPr>
          <w:snapToGrid w:val="0"/>
          <w:szCs w:val="24"/>
        </w:rPr>
        <w:t>.</w:t>
      </w:r>
      <w:r>
        <w:rPr>
          <w:snapToGrid w:val="0"/>
          <w:szCs w:val="24"/>
        </w:rPr>
        <w:tab/>
        <w:t>Exemption in respect of rock for the Eyre Highway</w:t>
      </w:r>
      <w:r>
        <w:tab/>
      </w:r>
      <w:r>
        <w:fldChar w:fldCharType="begin"/>
      </w:r>
      <w:r>
        <w:instrText xml:space="preserve"> PAGEREF _Toc161209463 \h </w:instrText>
      </w:r>
      <w:r>
        <w:fldChar w:fldCharType="separate"/>
      </w:r>
      <w:r>
        <w:t>93</w:t>
      </w:r>
      <w:r>
        <w:fldChar w:fldCharType="end"/>
      </w:r>
    </w:p>
    <w:p>
      <w:pPr>
        <w:pStyle w:val="TOC8"/>
        <w:rPr>
          <w:sz w:val="24"/>
          <w:szCs w:val="24"/>
        </w:rPr>
      </w:pPr>
      <w:r>
        <w:rPr>
          <w:szCs w:val="24"/>
        </w:rPr>
        <w:t>86F.</w:t>
      </w:r>
      <w:r>
        <w:rPr>
          <w:szCs w:val="24"/>
        </w:rPr>
        <w:tab/>
        <w:t>Royalty relief</w:t>
      </w:r>
      <w:r>
        <w:tab/>
      </w:r>
      <w:r>
        <w:fldChar w:fldCharType="begin"/>
      </w:r>
      <w:r>
        <w:instrText xml:space="preserve"> PAGEREF _Toc161209464 \h </w:instrText>
      </w:r>
      <w:r>
        <w:fldChar w:fldCharType="separate"/>
      </w:r>
      <w:r>
        <w:t>94</w:t>
      </w:r>
      <w:r>
        <w:fldChar w:fldCharType="end"/>
      </w:r>
    </w:p>
    <w:p>
      <w:pPr>
        <w:pStyle w:val="TOC8"/>
        <w:rPr>
          <w:sz w:val="24"/>
          <w:szCs w:val="24"/>
        </w:rPr>
      </w:pPr>
      <w:r>
        <w:rPr>
          <w:szCs w:val="24"/>
        </w:rPr>
        <w:t>87</w:t>
      </w:r>
      <w:r>
        <w:rPr>
          <w:snapToGrid w:val="0"/>
          <w:szCs w:val="24"/>
        </w:rPr>
        <w:t>.</w:t>
      </w:r>
      <w:r>
        <w:rPr>
          <w:snapToGrid w:val="0"/>
          <w:szCs w:val="24"/>
        </w:rPr>
        <w:tab/>
        <w:t>Minister may determine value of mineral for the purpose of calculating royalties</w:t>
      </w:r>
      <w:r>
        <w:tab/>
      </w:r>
      <w:r>
        <w:fldChar w:fldCharType="begin"/>
      </w:r>
      <w:r>
        <w:instrText xml:space="preserve"> PAGEREF _Toc161209465 \h </w:instrText>
      </w:r>
      <w:r>
        <w:fldChar w:fldCharType="separate"/>
      </w:r>
      <w:r>
        <w:t>95</w:t>
      </w:r>
      <w:r>
        <w:fldChar w:fldCharType="end"/>
      </w:r>
    </w:p>
    <w:p>
      <w:pPr>
        <w:pStyle w:val="TOC8"/>
        <w:rPr>
          <w:sz w:val="24"/>
          <w:szCs w:val="24"/>
        </w:rPr>
      </w:pPr>
      <w:r>
        <w:rPr>
          <w:szCs w:val="24"/>
        </w:rPr>
        <w:t>87A</w:t>
      </w:r>
      <w:r>
        <w:rPr>
          <w:snapToGrid w:val="0"/>
          <w:szCs w:val="24"/>
        </w:rPr>
        <w:t>.</w:t>
      </w:r>
      <w:r>
        <w:rPr>
          <w:snapToGrid w:val="0"/>
          <w:szCs w:val="24"/>
        </w:rPr>
        <w:tab/>
        <w:t>Notice of determination and assessment under regulation 87</w:t>
      </w:r>
      <w:r>
        <w:tab/>
      </w:r>
      <w:r>
        <w:fldChar w:fldCharType="begin"/>
      </w:r>
      <w:r>
        <w:instrText xml:space="preserve"> PAGEREF _Toc161209466 \h </w:instrText>
      </w:r>
      <w:r>
        <w:fldChar w:fldCharType="separate"/>
      </w:r>
      <w:r>
        <w:t>96</w:t>
      </w:r>
      <w:r>
        <w:fldChar w:fldCharType="end"/>
      </w:r>
    </w:p>
    <w:p>
      <w:pPr>
        <w:pStyle w:val="TOC8"/>
        <w:rPr>
          <w:sz w:val="24"/>
          <w:szCs w:val="24"/>
        </w:rPr>
      </w:pPr>
      <w:r>
        <w:rPr>
          <w:szCs w:val="24"/>
        </w:rPr>
        <w:t>87B</w:t>
      </w:r>
      <w:r>
        <w:rPr>
          <w:snapToGrid w:val="0"/>
          <w:szCs w:val="24"/>
        </w:rPr>
        <w:t>.</w:t>
      </w:r>
      <w:r>
        <w:rPr>
          <w:snapToGrid w:val="0"/>
          <w:szCs w:val="24"/>
        </w:rPr>
        <w:tab/>
        <w:t>Records</w:t>
      </w:r>
      <w:r>
        <w:tab/>
      </w:r>
      <w:r>
        <w:fldChar w:fldCharType="begin"/>
      </w:r>
      <w:r>
        <w:instrText xml:space="preserve"> PAGEREF _Toc161209467 \h </w:instrText>
      </w:r>
      <w:r>
        <w:fldChar w:fldCharType="separate"/>
      </w:r>
      <w:r>
        <w:t>96</w:t>
      </w:r>
      <w:r>
        <w:fldChar w:fldCharType="end"/>
      </w:r>
    </w:p>
    <w:p>
      <w:pPr>
        <w:pStyle w:val="TOC8"/>
        <w:rPr>
          <w:sz w:val="24"/>
          <w:szCs w:val="24"/>
        </w:rPr>
      </w:pPr>
      <w:r>
        <w:rPr>
          <w:szCs w:val="24"/>
        </w:rPr>
        <w:t>89</w:t>
      </w:r>
      <w:r>
        <w:rPr>
          <w:snapToGrid w:val="0"/>
          <w:szCs w:val="24"/>
        </w:rPr>
        <w:t>.</w:t>
      </w:r>
      <w:r>
        <w:rPr>
          <w:snapToGrid w:val="0"/>
          <w:szCs w:val="24"/>
        </w:rPr>
        <w:tab/>
        <w:t>Recovery of royalty</w:t>
      </w:r>
      <w:r>
        <w:tab/>
      </w:r>
      <w:r>
        <w:fldChar w:fldCharType="begin"/>
      </w:r>
      <w:r>
        <w:instrText xml:space="preserve"> PAGEREF _Toc161209468 \h </w:instrText>
      </w:r>
      <w:r>
        <w:fldChar w:fldCharType="separate"/>
      </w:r>
      <w:r>
        <w:t>97</w:t>
      </w:r>
      <w:r>
        <w:fldChar w:fldCharType="end"/>
      </w:r>
    </w:p>
    <w:p>
      <w:pPr>
        <w:pStyle w:val="TOC4"/>
        <w:tabs>
          <w:tab w:val="right" w:leader="dot" w:pos="7088"/>
        </w:tabs>
        <w:rPr>
          <w:b w:val="0"/>
          <w:sz w:val="24"/>
          <w:szCs w:val="24"/>
        </w:rPr>
      </w:pPr>
      <w:r>
        <w:rPr>
          <w:szCs w:val="26"/>
        </w:rPr>
        <w:t>Division 5A — Prescribed Australian datum</w:t>
      </w:r>
    </w:p>
    <w:p>
      <w:pPr>
        <w:pStyle w:val="TOC8"/>
        <w:rPr>
          <w:sz w:val="24"/>
          <w:szCs w:val="24"/>
        </w:rPr>
      </w:pPr>
      <w:r>
        <w:rPr>
          <w:szCs w:val="24"/>
        </w:rPr>
        <w:t>89A.</w:t>
      </w:r>
      <w:r>
        <w:rPr>
          <w:szCs w:val="24"/>
        </w:rPr>
        <w:tab/>
        <w:t>Geocentric Datum of Australia — section 9B</w:t>
      </w:r>
      <w:r>
        <w:tab/>
      </w:r>
      <w:r>
        <w:fldChar w:fldCharType="begin"/>
      </w:r>
      <w:r>
        <w:instrText xml:space="preserve"> PAGEREF _Toc161209470 \h </w:instrText>
      </w:r>
      <w:r>
        <w:fldChar w:fldCharType="separate"/>
      </w:r>
      <w:r>
        <w:t>97</w:t>
      </w:r>
      <w:r>
        <w:fldChar w:fldCharType="end"/>
      </w:r>
    </w:p>
    <w:p>
      <w:pPr>
        <w:pStyle w:val="TOC4"/>
        <w:tabs>
          <w:tab w:val="right" w:leader="dot" w:pos="708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89B.</w:t>
      </w:r>
      <w:r>
        <w:rPr>
          <w:szCs w:val="24"/>
        </w:rPr>
        <w:tab/>
        <w:t>Prescribed office — section 8(1)</w:t>
      </w:r>
      <w:r>
        <w:tab/>
      </w:r>
      <w:r>
        <w:fldChar w:fldCharType="begin"/>
      </w:r>
      <w:r>
        <w:instrText xml:space="preserve"> PAGEREF _Toc161209472 \h </w:instrText>
      </w:r>
      <w:r>
        <w:fldChar w:fldCharType="separate"/>
      </w:r>
      <w:r>
        <w:t>98</w:t>
      </w:r>
      <w:r>
        <w:fldChar w:fldCharType="end"/>
      </w:r>
    </w:p>
    <w:p>
      <w:pPr>
        <w:pStyle w:val="TOC8"/>
        <w:rPr>
          <w:sz w:val="24"/>
          <w:szCs w:val="24"/>
        </w:rPr>
      </w:pPr>
      <w:r>
        <w:rPr>
          <w:szCs w:val="24"/>
        </w:rPr>
        <w:t>89C.</w:t>
      </w:r>
      <w:r>
        <w:rPr>
          <w:szCs w:val="24"/>
        </w:rPr>
        <w:tab/>
        <w:t>Identified mineral resource — section 8(1)</w:t>
      </w:r>
      <w:r>
        <w:tab/>
      </w:r>
      <w:r>
        <w:fldChar w:fldCharType="begin"/>
      </w:r>
      <w:r>
        <w:instrText xml:space="preserve"> PAGEREF _Toc161209473 \h </w:instrText>
      </w:r>
      <w:r>
        <w:fldChar w:fldCharType="separate"/>
      </w:r>
      <w:r>
        <w:t>98</w:t>
      </w:r>
      <w:r>
        <w:fldChar w:fldCharType="end"/>
      </w:r>
    </w:p>
    <w:p>
      <w:pPr>
        <w:pStyle w:val="TOC8"/>
        <w:rPr>
          <w:sz w:val="24"/>
          <w:szCs w:val="24"/>
        </w:rPr>
      </w:pPr>
      <w:r>
        <w:rPr>
          <w:szCs w:val="24"/>
        </w:rPr>
        <w:t>90</w:t>
      </w:r>
      <w:r>
        <w:rPr>
          <w:snapToGrid w:val="0"/>
          <w:szCs w:val="24"/>
        </w:rPr>
        <w:t>.</w:t>
      </w:r>
      <w:r>
        <w:rPr>
          <w:snapToGrid w:val="0"/>
          <w:szCs w:val="24"/>
        </w:rPr>
        <w:tab/>
        <w:t>Forms to be completed in accordance with directions</w:t>
      </w:r>
      <w:r>
        <w:tab/>
      </w:r>
      <w:r>
        <w:fldChar w:fldCharType="begin"/>
      </w:r>
      <w:r>
        <w:instrText xml:space="preserve"> PAGEREF _Toc161209474 \h </w:instrText>
      </w:r>
      <w:r>
        <w:fldChar w:fldCharType="separate"/>
      </w:r>
      <w:r>
        <w:t>99</w:t>
      </w:r>
      <w:r>
        <w:fldChar w:fldCharType="end"/>
      </w:r>
    </w:p>
    <w:p>
      <w:pPr>
        <w:pStyle w:val="TOC8"/>
        <w:rPr>
          <w:sz w:val="24"/>
          <w:szCs w:val="24"/>
        </w:rPr>
      </w:pPr>
      <w:r>
        <w:rPr>
          <w:szCs w:val="24"/>
        </w:rPr>
        <w:t>90A.</w:t>
      </w:r>
      <w:r>
        <w:rPr>
          <w:szCs w:val="24"/>
        </w:rPr>
        <w:tab/>
      </w:r>
      <w:r>
        <w:rPr>
          <w:snapToGrid w:val="0"/>
          <w:szCs w:val="24"/>
        </w:rPr>
        <w:t>Prescribed procedure for certain applications</w:t>
      </w:r>
      <w:r>
        <w:tab/>
      </w:r>
      <w:r>
        <w:fldChar w:fldCharType="begin"/>
      </w:r>
      <w:r>
        <w:instrText xml:space="preserve"> PAGEREF _Toc161209475 \h </w:instrText>
      </w:r>
      <w:r>
        <w:fldChar w:fldCharType="separate"/>
      </w:r>
      <w:r>
        <w:t>99</w:t>
      </w:r>
      <w:r>
        <w:fldChar w:fldCharType="end"/>
      </w:r>
    </w:p>
    <w:p>
      <w:pPr>
        <w:pStyle w:val="TOC8"/>
        <w:rPr>
          <w:sz w:val="24"/>
          <w:szCs w:val="24"/>
        </w:rPr>
      </w:pPr>
      <w:r>
        <w:rPr>
          <w:szCs w:val="24"/>
        </w:rPr>
        <w:t>91</w:t>
      </w:r>
      <w:r>
        <w:rPr>
          <w:snapToGrid w:val="0"/>
          <w:szCs w:val="24"/>
        </w:rPr>
        <w:t>.</w:t>
      </w:r>
      <w:r>
        <w:rPr>
          <w:snapToGrid w:val="0"/>
          <w:szCs w:val="24"/>
        </w:rPr>
        <w:tab/>
        <w:t>Appeal to Minister</w:t>
      </w:r>
      <w:r>
        <w:tab/>
      </w:r>
      <w:r>
        <w:fldChar w:fldCharType="begin"/>
      </w:r>
      <w:r>
        <w:instrText xml:space="preserve"> PAGEREF _Toc161209476 \h </w:instrText>
      </w:r>
      <w:r>
        <w:fldChar w:fldCharType="separate"/>
      </w:r>
      <w:r>
        <w:t>100</w:t>
      </w:r>
      <w:r>
        <w:fldChar w:fldCharType="end"/>
      </w:r>
    </w:p>
    <w:p>
      <w:pPr>
        <w:pStyle w:val="TOC8"/>
        <w:rPr>
          <w:sz w:val="24"/>
          <w:szCs w:val="24"/>
        </w:rPr>
      </w:pPr>
      <w:r>
        <w:rPr>
          <w:szCs w:val="24"/>
        </w:rPr>
        <w:t>92</w:t>
      </w:r>
      <w:r>
        <w:rPr>
          <w:snapToGrid w:val="0"/>
          <w:szCs w:val="24"/>
        </w:rPr>
        <w:t>.</w:t>
      </w:r>
      <w:r>
        <w:rPr>
          <w:snapToGrid w:val="0"/>
          <w:szCs w:val="24"/>
        </w:rPr>
        <w:tab/>
        <w:t>Shape of tenement</w:t>
      </w:r>
      <w:r>
        <w:tab/>
      </w:r>
      <w:r>
        <w:fldChar w:fldCharType="begin"/>
      </w:r>
      <w:r>
        <w:instrText xml:space="preserve"> PAGEREF _Toc161209477 \h </w:instrText>
      </w:r>
      <w:r>
        <w:fldChar w:fldCharType="separate"/>
      </w:r>
      <w:r>
        <w:t>100</w:t>
      </w:r>
      <w:r>
        <w:fldChar w:fldCharType="end"/>
      </w:r>
    </w:p>
    <w:p>
      <w:pPr>
        <w:pStyle w:val="TOC8"/>
        <w:rPr>
          <w:sz w:val="24"/>
          <w:szCs w:val="24"/>
        </w:rPr>
      </w:pPr>
      <w:r>
        <w:rPr>
          <w:szCs w:val="24"/>
        </w:rPr>
        <w:t>95</w:t>
      </w:r>
      <w:r>
        <w:rPr>
          <w:snapToGrid w:val="0"/>
          <w:szCs w:val="24"/>
        </w:rPr>
        <w:t>.</w:t>
      </w:r>
      <w:r>
        <w:rPr>
          <w:snapToGrid w:val="0"/>
          <w:szCs w:val="24"/>
        </w:rPr>
        <w:tab/>
        <w:t>Tenements within more than one mineral field or district</w:t>
      </w:r>
      <w:r>
        <w:tab/>
      </w:r>
      <w:r>
        <w:fldChar w:fldCharType="begin"/>
      </w:r>
      <w:r>
        <w:instrText xml:space="preserve"> PAGEREF _Toc161209478 \h </w:instrText>
      </w:r>
      <w:r>
        <w:fldChar w:fldCharType="separate"/>
      </w:r>
      <w:r>
        <w:t>101</w:t>
      </w:r>
      <w:r>
        <w:fldChar w:fldCharType="end"/>
      </w:r>
    </w:p>
    <w:p>
      <w:pPr>
        <w:pStyle w:val="TOC8"/>
        <w:rPr>
          <w:sz w:val="24"/>
          <w:szCs w:val="24"/>
        </w:rPr>
      </w:pPr>
      <w:r>
        <w:rPr>
          <w:szCs w:val="24"/>
        </w:rPr>
        <w:t>95A.</w:t>
      </w:r>
      <w:r>
        <w:rPr>
          <w:szCs w:val="24"/>
        </w:rPr>
        <w:tab/>
        <w:t>Mining statistics</w:t>
      </w:r>
      <w:r>
        <w:tab/>
      </w:r>
      <w:r>
        <w:fldChar w:fldCharType="begin"/>
      </w:r>
      <w:r>
        <w:instrText xml:space="preserve"> PAGEREF _Toc161209479 \h </w:instrText>
      </w:r>
      <w:r>
        <w:fldChar w:fldCharType="separate"/>
      </w:r>
      <w:r>
        <w:t>101</w:t>
      </w:r>
      <w:r>
        <w:fldChar w:fldCharType="end"/>
      </w:r>
    </w:p>
    <w:p>
      <w:pPr>
        <w:pStyle w:val="TOC8"/>
        <w:rPr>
          <w:sz w:val="24"/>
          <w:szCs w:val="24"/>
        </w:rPr>
      </w:pPr>
      <w:r>
        <w:rPr>
          <w:szCs w:val="24"/>
        </w:rPr>
        <w:t>96</w:t>
      </w:r>
      <w:r>
        <w:rPr>
          <w:snapToGrid w:val="0"/>
          <w:szCs w:val="24"/>
        </w:rPr>
        <w:t>.</w:t>
      </w:r>
      <w:r>
        <w:rPr>
          <w:snapToGrid w:val="0"/>
          <w:szCs w:val="24"/>
        </w:rPr>
        <w:tab/>
        <w:t>Release of mining information</w:t>
      </w:r>
      <w:r>
        <w:tab/>
      </w:r>
      <w:r>
        <w:fldChar w:fldCharType="begin"/>
      </w:r>
      <w:r>
        <w:instrText xml:space="preserve"> PAGEREF _Toc161209480 \h </w:instrText>
      </w:r>
      <w:r>
        <w:fldChar w:fldCharType="separate"/>
      </w:r>
      <w:r>
        <w:t>102</w:t>
      </w:r>
      <w:r>
        <w:fldChar w:fldCharType="end"/>
      </w:r>
    </w:p>
    <w:p>
      <w:pPr>
        <w:pStyle w:val="TOC8"/>
        <w:rPr>
          <w:sz w:val="24"/>
          <w:szCs w:val="24"/>
        </w:rPr>
      </w:pPr>
      <w:r>
        <w:rPr>
          <w:szCs w:val="24"/>
        </w:rPr>
        <w:t>96A</w:t>
      </w:r>
      <w:r>
        <w:rPr>
          <w:snapToGrid w:val="0"/>
          <w:szCs w:val="24"/>
        </w:rPr>
        <w:t>.</w:t>
      </w:r>
      <w:r>
        <w:rPr>
          <w:snapToGrid w:val="0"/>
          <w:szCs w:val="24"/>
        </w:rPr>
        <w:tab/>
        <w:t>Authorisation for release of information in mineral exploration reports</w:t>
      </w:r>
      <w:r>
        <w:tab/>
      </w:r>
      <w:r>
        <w:fldChar w:fldCharType="begin"/>
      </w:r>
      <w:r>
        <w:instrText xml:space="preserve"> PAGEREF _Toc161209481 \h </w:instrText>
      </w:r>
      <w:r>
        <w:fldChar w:fldCharType="separate"/>
      </w:r>
      <w:r>
        <w:t>104</w:t>
      </w:r>
      <w:r>
        <w:fldChar w:fldCharType="end"/>
      </w:r>
    </w:p>
    <w:p>
      <w:pPr>
        <w:pStyle w:val="TOC8"/>
        <w:rPr>
          <w:sz w:val="24"/>
          <w:szCs w:val="24"/>
        </w:rPr>
      </w:pPr>
      <w:r>
        <w:rPr>
          <w:szCs w:val="24"/>
        </w:rPr>
        <w:t>96B</w:t>
      </w:r>
      <w:r>
        <w:rPr>
          <w:snapToGrid w:val="0"/>
          <w:szCs w:val="24"/>
        </w:rPr>
        <w:t>.</w:t>
      </w:r>
      <w:r>
        <w:rPr>
          <w:snapToGrid w:val="0"/>
          <w:szCs w:val="24"/>
        </w:rPr>
        <w:tab/>
        <w:t>Publication of guidelines — mineral exploration reports</w:t>
      </w:r>
      <w:r>
        <w:tab/>
      </w:r>
      <w:r>
        <w:fldChar w:fldCharType="begin"/>
      </w:r>
      <w:r>
        <w:instrText xml:space="preserve"> PAGEREF _Toc161209482 \h </w:instrText>
      </w:r>
      <w:r>
        <w:fldChar w:fldCharType="separate"/>
      </w:r>
      <w:r>
        <w:t>105</w:t>
      </w:r>
      <w:r>
        <w:fldChar w:fldCharType="end"/>
      </w:r>
    </w:p>
    <w:p>
      <w:pPr>
        <w:pStyle w:val="TOC8"/>
        <w:rPr>
          <w:sz w:val="24"/>
          <w:szCs w:val="24"/>
        </w:rPr>
      </w:pPr>
      <w:r>
        <w:rPr>
          <w:szCs w:val="24"/>
        </w:rPr>
        <w:t>96C.</w:t>
      </w:r>
      <w:r>
        <w:rPr>
          <w:szCs w:val="24"/>
        </w:rPr>
        <w:tab/>
        <w:t>Specific expenditure provisions</w:t>
      </w:r>
      <w:r>
        <w:tab/>
      </w:r>
      <w:r>
        <w:fldChar w:fldCharType="begin"/>
      </w:r>
      <w:r>
        <w:instrText xml:space="preserve"> PAGEREF _Toc161209483 \h </w:instrText>
      </w:r>
      <w:r>
        <w:fldChar w:fldCharType="separate"/>
      </w:r>
      <w:r>
        <w:t>105</w:t>
      </w:r>
      <w:r>
        <w:fldChar w:fldCharType="end"/>
      </w:r>
    </w:p>
    <w:p>
      <w:pPr>
        <w:pStyle w:val="TOC8"/>
        <w:rPr>
          <w:sz w:val="24"/>
          <w:szCs w:val="24"/>
        </w:rPr>
      </w:pPr>
      <w:r>
        <w:rPr>
          <w:szCs w:val="24"/>
        </w:rPr>
        <w:t>96D.</w:t>
      </w:r>
      <w:r>
        <w:rPr>
          <w:szCs w:val="24"/>
        </w:rPr>
        <w:tab/>
        <w:t>Drill cores</w:t>
      </w:r>
      <w:r>
        <w:tab/>
      </w:r>
      <w:r>
        <w:fldChar w:fldCharType="begin"/>
      </w:r>
      <w:r>
        <w:instrText xml:space="preserve"> PAGEREF _Toc161209484 \h </w:instrText>
      </w:r>
      <w:r>
        <w:fldChar w:fldCharType="separate"/>
      </w:r>
      <w:r>
        <w:t>107</w:t>
      </w:r>
      <w:r>
        <w:fldChar w:fldCharType="end"/>
      </w:r>
    </w:p>
    <w:p>
      <w:pPr>
        <w:pStyle w:val="TOC8"/>
        <w:rPr>
          <w:sz w:val="24"/>
          <w:szCs w:val="24"/>
        </w:rPr>
      </w:pPr>
      <w:r>
        <w:rPr>
          <w:szCs w:val="24"/>
        </w:rPr>
        <w:t>97</w:t>
      </w:r>
      <w:r>
        <w:rPr>
          <w:snapToGrid w:val="0"/>
          <w:szCs w:val="24"/>
        </w:rPr>
        <w:t>.</w:t>
      </w:r>
      <w:r>
        <w:rPr>
          <w:snapToGrid w:val="0"/>
          <w:szCs w:val="24"/>
        </w:rPr>
        <w:tab/>
        <w:t>No mining that obstructs public thoroughfares, etc.</w:t>
      </w:r>
      <w:r>
        <w:tab/>
      </w:r>
      <w:r>
        <w:fldChar w:fldCharType="begin"/>
      </w:r>
      <w:r>
        <w:instrText xml:space="preserve"> PAGEREF _Toc161209485 \h </w:instrText>
      </w:r>
      <w:r>
        <w:fldChar w:fldCharType="separate"/>
      </w:r>
      <w:r>
        <w:t>108</w:t>
      </w:r>
      <w:r>
        <w:fldChar w:fldCharType="end"/>
      </w:r>
    </w:p>
    <w:p>
      <w:pPr>
        <w:pStyle w:val="TOC8"/>
        <w:rPr>
          <w:sz w:val="24"/>
          <w:szCs w:val="24"/>
        </w:rPr>
      </w:pPr>
      <w:r>
        <w:rPr>
          <w:szCs w:val="24"/>
        </w:rPr>
        <w:t>98</w:t>
      </w:r>
      <w:r>
        <w:rPr>
          <w:snapToGrid w:val="0"/>
          <w:szCs w:val="24"/>
        </w:rPr>
        <w:t>.</w:t>
      </w:r>
      <w:r>
        <w:rPr>
          <w:snapToGrid w:val="0"/>
          <w:szCs w:val="24"/>
        </w:rPr>
        <w:tab/>
        <w:t>Control of detritus, dirt, etc.</w:t>
      </w:r>
      <w:r>
        <w:tab/>
      </w:r>
      <w:r>
        <w:fldChar w:fldCharType="begin"/>
      </w:r>
      <w:r>
        <w:instrText xml:space="preserve"> PAGEREF _Toc161209486 \h </w:instrText>
      </w:r>
      <w:r>
        <w:fldChar w:fldCharType="separate"/>
      </w:r>
      <w:r>
        <w:t>108</w:t>
      </w:r>
      <w:r>
        <w:fldChar w:fldCharType="end"/>
      </w:r>
    </w:p>
    <w:p>
      <w:pPr>
        <w:pStyle w:val="TOC8"/>
        <w:rPr>
          <w:sz w:val="24"/>
          <w:szCs w:val="24"/>
        </w:rPr>
      </w:pPr>
      <w:r>
        <w:rPr>
          <w:szCs w:val="24"/>
        </w:rPr>
        <w:t>99</w:t>
      </w:r>
      <w:r>
        <w:rPr>
          <w:snapToGrid w:val="0"/>
          <w:szCs w:val="24"/>
        </w:rPr>
        <w:t>.</w:t>
      </w:r>
      <w:r>
        <w:rPr>
          <w:snapToGrid w:val="0"/>
          <w:szCs w:val="24"/>
        </w:rPr>
        <w:tab/>
        <w:t>Decency and sanitation</w:t>
      </w:r>
      <w:r>
        <w:tab/>
      </w:r>
      <w:r>
        <w:fldChar w:fldCharType="begin"/>
      </w:r>
      <w:r>
        <w:instrText xml:space="preserve"> PAGEREF _Toc161209487 \h </w:instrText>
      </w:r>
      <w:r>
        <w:fldChar w:fldCharType="separate"/>
      </w:r>
      <w:r>
        <w:t>108</w:t>
      </w:r>
      <w:r>
        <w:fldChar w:fldCharType="end"/>
      </w:r>
    </w:p>
    <w:p>
      <w:pPr>
        <w:pStyle w:val="TOC8"/>
        <w:rPr>
          <w:sz w:val="24"/>
          <w:szCs w:val="24"/>
        </w:rPr>
      </w:pPr>
      <w:r>
        <w:rPr>
          <w:szCs w:val="24"/>
        </w:rPr>
        <w:t>100</w:t>
      </w:r>
      <w:r>
        <w:rPr>
          <w:snapToGrid w:val="0"/>
          <w:szCs w:val="24"/>
        </w:rPr>
        <w:t>.</w:t>
      </w:r>
      <w:r>
        <w:rPr>
          <w:snapToGrid w:val="0"/>
          <w:szCs w:val="24"/>
        </w:rPr>
        <w:tab/>
        <w:t>Removal of fences, timbers, etc.</w:t>
      </w:r>
      <w:r>
        <w:tab/>
      </w:r>
      <w:r>
        <w:fldChar w:fldCharType="begin"/>
      </w:r>
      <w:r>
        <w:instrText xml:space="preserve"> PAGEREF _Toc161209488 \h </w:instrText>
      </w:r>
      <w:r>
        <w:fldChar w:fldCharType="separate"/>
      </w:r>
      <w:r>
        <w:t>108</w:t>
      </w:r>
      <w:r>
        <w:fldChar w:fldCharType="end"/>
      </w:r>
    </w:p>
    <w:p>
      <w:pPr>
        <w:pStyle w:val="TOC8"/>
        <w:rPr>
          <w:sz w:val="24"/>
          <w:szCs w:val="24"/>
        </w:rPr>
      </w:pPr>
      <w:r>
        <w:rPr>
          <w:szCs w:val="24"/>
        </w:rPr>
        <w:t>101.</w:t>
      </w:r>
      <w:r>
        <w:rPr>
          <w:szCs w:val="24"/>
        </w:rPr>
        <w:tab/>
        <w:t>Manner of camping — section 20(2)(e)</w:t>
      </w:r>
      <w:r>
        <w:tab/>
      </w:r>
      <w:r>
        <w:fldChar w:fldCharType="begin"/>
      </w:r>
      <w:r>
        <w:instrText xml:space="preserve"> PAGEREF _Toc161209489 \h </w:instrText>
      </w:r>
      <w:r>
        <w:fldChar w:fldCharType="separate"/>
      </w:r>
      <w:r>
        <w:t>109</w:t>
      </w:r>
      <w:r>
        <w:fldChar w:fldCharType="end"/>
      </w:r>
    </w:p>
    <w:p>
      <w:pPr>
        <w:pStyle w:val="TOC8"/>
        <w:rPr>
          <w:sz w:val="24"/>
          <w:szCs w:val="24"/>
        </w:rPr>
      </w:pPr>
      <w:r>
        <w:rPr>
          <w:szCs w:val="24"/>
        </w:rPr>
        <w:t>101A.</w:t>
      </w:r>
      <w:r>
        <w:rPr>
          <w:szCs w:val="24"/>
        </w:rPr>
        <w:tab/>
        <w:t>Notice before mining under certain Crown land or private land</w:t>
      </w:r>
      <w:r>
        <w:tab/>
      </w:r>
      <w:r>
        <w:fldChar w:fldCharType="begin"/>
      </w:r>
      <w:r>
        <w:instrText xml:space="preserve"> PAGEREF _Toc161209490 \h </w:instrText>
      </w:r>
      <w:r>
        <w:fldChar w:fldCharType="separate"/>
      </w:r>
      <w:r>
        <w:t>109</w:t>
      </w:r>
      <w:r>
        <w:fldChar w:fldCharType="end"/>
      </w:r>
    </w:p>
    <w:p>
      <w:pPr>
        <w:pStyle w:val="TOC8"/>
        <w:rPr>
          <w:sz w:val="24"/>
          <w:szCs w:val="24"/>
        </w:rPr>
      </w:pPr>
      <w:r>
        <w:rPr>
          <w:szCs w:val="24"/>
        </w:rPr>
        <w:t>102</w:t>
      </w:r>
      <w:r>
        <w:rPr>
          <w:snapToGrid w:val="0"/>
          <w:szCs w:val="24"/>
        </w:rPr>
        <w:t>.</w:t>
      </w:r>
      <w:r>
        <w:rPr>
          <w:snapToGrid w:val="0"/>
          <w:szCs w:val="24"/>
        </w:rPr>
        <w:tab/>
        <w:t>Devolution on death, etc.</w:t>
      </w:r>
      <w:r>
        <w:tab/>
      </w:r>
      <w:r>
        <w:fldChar w:fldCharType="begin"/>
      </w:r>
      <w:r>
        <w:instrText xml:space="preserve"> PAGEREF _Toc161209491 \h </w:instrText>
      </w:r>
      <w:r>
        <w:fldChar w:fldCharType="separate"/>
      </w:r>
      <w:r>
        <w:t>110</w:t>
      </w:r>
      <w:r>
        <w:fldChar w:fldCharType="end"/>
      </w:r>
    </w:p>
    <w:p>
      <w:pPr>
        <w:pStyle w:val="TOC8"/>
        <w:rPr>
          <w:sz w:val="24"/>
          <w:szCs w:val="24"/>
        </w:rPr>
      </w:pPr>
      <w:r>
        <w:rPr>
          <w:szCs w:val="24"/>
        </w:rPr>
        <w:t>104</w:t>
      </w:r>
      <w:r>
        <w:rPr>
          <w:snapToGrid w:val="0"/>
          <w:szCs w:val="24"/>
        </w:rPr>
        <w:t>.</w:t>
      </w:r>
      <w:r>
        <w:rPr>
          <w:snapToGrid w:val="0"/>
          <w:szCs w:val="24"/>
        </w:rPr>
        <w:tab/>
        <w:t>Time for any act may be extended</w:t>
      </w:r>
      <w:r>
        <w:tab/>
      </w:r>
      <w:r>
        <w:fldChar w:fldCharType="begin"/>
      </w:r>
      <w:r>
        <w:instrText xml:space="preserve"> PAGEREF _Toc161209492 \h </w:instrText>
      </w:r>
      <w:r>
        <w:fldChar w:fldCharType="separate"/>
      </w:r>
      <w:r>
        <w:t>110</w:t>
      </w:r>
      <w:r>
        <w:fldChar w:fldCharType="end"/>
      </w:r>
    </w:p>
    <w:p>
      <w:pPr>
        <w:pStyle w:val="TOC8"/>
        <w:rPr>
          <w:sz w:val="24"/>
          <w:szCs w:val="24"/>
        </w:rPr>
      </w:pPr>
      <w:r>
        <w:rPr>
          <w:szCs w:val="24"/>
        </w:rPr>
        <w:t>105</w:t>
      </w:r>
      <w:r>
        <w:rPr>
          <w:snapToGrid w:val="0"/>
          <w:szCs w:val="24"/>
        </w:rPr>
        <w:t>.</w:t>
      </w:r>
      <w:r>
        <w:rPr>
          <w:snapToGrid w:val="0"/>
          <w:szCs w:val="24"/>
        </w:rPr>
        <w:tab/>
        <w:t>Application for copy document</w:t>
      </w:r>
      <w:r>
        <w:tab/>
      </w:r>
      <w:r>
        <w:fldChar w:fldCharType="begin"/>
      </w:r>
      <w:r>
        <w:instrText xml:space="preserve"> PAGEREF _Toc161209493 \h </w:instrText>
      </w:r>
      <w:r>
        <w:fldChar w:fldCharType="separate"/>
      </w:r>
      <w:r>
        <w:t>110</w:t>
      </w:r>
      <w:r>
        <w:fldChar w:fldCharType="end"/>
      </w:r>
    </w:p>
    <w:p>
      <w:pPr>
        <w:pStyle w:val="TOC8"/>
        <w:rPr>
          <w:sz w:val="24"/>
          <w:szCs w:val="24"/>
        </w:rPr>
      </w:pPr>
      <w:r>
        <w:rPr>
          <w:szCs w:val="24"/>
        </w:rPr>
        <w:t>108</w:t>
      </w:r>
      <w:r>
        <w:rPr>
          <w:snapToGrid w:val="0"/>
          <w:szCs w:val="24"/>
        </w:rPr>
        <w:t>.</w:t>
      </w:r>
      <w:r>
        <w:rPr>
          <w:snapToGrid w:val="0"/>
          <w:szCs w:val="24"/>
        </w:rPr>
        <w:tab/>
        <w:t>Appointment of attorney</w:t>
      </w:r>
      <w:r>
        <w:tab/>
      </w:r>
      <w:r>
        <w:fldChar w:fldCharType="begin"/>
      </w:r>
      <w:r>
        <w:instrText xml:space="preserve"> PAGEREF _Toc161209494 \h </w:instrText>
      </w:r>
      <w:r>
        <w:fldChar w:fldCharType="separate"/>
      </w:r>
      <w:r>
        <w:t>111</w:t>
      </w:r>
      <w:r>
        <w:fldChar w:fldCharType="end"/>
      </w:r>
    </w:p>
    <w:p>
      <w:pPr>
        <w:pStyle w:val="TOC8"/>
        <w:rPr>
          <w:sz w:val="24"/>
          <w:szCs w:val="24"/>
        </w:rPr>
      </w:pPr>
      <w:r>
        <w:rPr>
          <w:szCs w:val="24"/>
        </w:rPr>
        <w:t>109</w:t>
      </w:r>
      <w:r>
        <w:rPr>
          <w:snapToGrid w:val="0"/>
          <w:szCs w:val="24"/>
        </w:rPr>
        <w:t>.</w:t>
      </w:r>
      <w:r>
        <w:rPr>
          <w:snapToGrid w:val="0"/>
          <w:szCs w:val="24"/>
        </w:rPr>
        <w:tab/>
        <w:t>Fees and rents</w:t>
      </w:r>
      <w:r>
        <w:tab/>
      </w:r>
      <w:r>
        <w:fldChar w:fldCharType="begin"/>
      </w:r>
      <w:r>
        <w:instrText xml:space="preserve"> PAGEREF _Toc161209495 \h </w:instrText>
      </w:r>
      <w:r>
        <w:fldChar w:fldCharType="separate"/>
      </w:r>
      <w:r>
        <w:t>111</w:t>
      </w:r>
      <w:r>
        <w:fldChar w:fldCharType="end"/>
      </w:r>
    </w:p>
    <w:p>
      <w:pPr>
        <w:pStyle w:val="TOC8"/>
        <w:rPr>
          <w:sz w:val="24"/>
          <w:szCs w:val="24"/>
        </w:rPr>
      </w:pPr>
      <w:r>
        <w:rPr>
          <w:szCs w:val="24"/>
        </w:rPr>
        <w:t>109A.</w:t>
      </w:r>
      <w:r>
        <w:rPr>
          <w:szCs w:val="24"/>
        </w:rPr>
        <w:tab/>
        <w:t>GST to be paid on certain applications</w:t>
      </w:r>
      <w:r>
        <w:tab/>
      </w:r>
      <w:r>
        <w:fldChar w:fldCharType="begin"/>
      </w:r>
      <w:r>
        <w:instrText xml:space="preserve"> PAGEREF _Toc161209496 \h </w:instrText>
      </w:r>
      <w:r>
        <w:fldChar w:fldCharType="separate"/>
      </w:r>
      <w:r>
        <w:t>111</w:t>
      </w:r>
      <w:r>
        <w:fldChar w:fldCharType="end"/>
      </w:r>
    </w:p>
    <w:p>
      <w:pPr>
        <w:pStyle w:val="TOC8"/>
        <w:rPr>
          <w:sz w:val="24"/>
          <w:szCs w:val="24"/>
        </w:rPr>
      </w:pPr>
      <w:r>
        <w:rPr>
          <w:szCs w:val="24"/>
        </w:rPr>
        <w:t>111</w:t>
      </w:r>
      <w:r>
        <w:rPr>
          <w:snapToGrid w:val="0"/>
          <w:szCs w:val="24"/>
        </w:rPr>
        <w:t>.</w:t>
      </w:r>
      <w:r>
        <w:rPr>
          <w:snapToGrid w:val="0"/>
          <w:szCs w:val="24"/>
        </w:rPr>
        <w:tab/>
        <w:t>Service of notices</w:t>
      </w:r>
      <w:r>
        <w:tab/>
      </w:r>
      <w:r>
        <w:fldChar w:fldCharType="begin"/>
      </w:r>
      <w:r>
        <w:instrText xml:space="preserve"> PAGEREF _Toc161209497 \h </w:instrText>
      </w:r>
      <w:r>
        <w:fldChar w:fldCharType="separate"/>
      </w:r>
      <w:r>
        <w:t>112</w:t>
      </w:r>
      <w:r>
        <w:fldChar w:fldCharType="end"/>
      </w:r>
    </w:p>
    <w:p>
      <w:pPr>
        <w:pStyle w:val="TOC8"/>
        <w:rPr>
          <w:sz w:val="24"/>
          <w:szCs w:val="24"/>
        </w:rPr>
      </w:pPr>
      <w:r>
        <w:rPr>
          <w:szCs w:val="24"/>
        </w:rPr>
        <w:t>112.</w:t>
      </w:r>
      <w:r>
        <w:rPr>
          <w:szCs w:val="24"/>
        </w:rPr>
        <w:tab/>
        <w:t>Securities</w:t>
      </w:r>
      <w:r>
        <w:tab/>
      </w:r>
      <w:r>
        <w:fldChar w:fldCharType="begin"/>
      </w:r>
      <w:r>
        <w:instrText xml:space="preserve"> PAGEREF _Toc161209498 \h </w:instrText>
      </w:r>
      <w:r>
        <w:fldChar w:fldCharType="separate"/>
      </w:r>
      <w:r>
        <w:t>113</w:t>
      </w:r>
      <w:r>
        <w:fldChar w:fldCharType="end"/>
      </w:r>
    </w:p>
    <w:p>
      <w:pPr>
        <w:pStyle w:val="TOC8"/>
        <w:rPr>
          <w:sz w:val="24"/>
          <w:szCs w:val="24"/>
        </w:rPr>
      </w:pPr>
      <w:r>
        <w:rPr>
          <w:szCs w:val="24"/>
        </w:rPr>
        <w:t>112A</w:t>
      </w:r>
      <w:r>
        <w:rPr>
          <w:snapToGrid w:val="0"/>
          <w:szCs w:val="24"/>
        </w:rPr>
        <w:t>.</w:t>
      </w:r>
      <w:r>
        <w:rPr>
          <w:snapToGrid w:val="0"/>
          <w:szCs w:val="24"/>
        </w:rPr>
        <w:tab/>
        <w:t>Discharge of security</w:t>
      </w:r>
      <w:r>
        <w:tab/>
      </w:r>
      <w:r>
        <w:fldChar w:fldCharType="begin"/>
      </w:r>
      <w:r>
        <w:instrText xml:space="preserve"> PAGEREF _Toc161209499 \h </w:instrText>
      </w:r>
      <w:r>
        <w:fldChar w:fldCharType="separate"/>
      </w:r>
      <w:r>
        <w:t>113</w:t>
      </w:r>
      <w:r>
        <w:fldChar w:fldCharType="end"/>
      </w:r>
    </w:p>
    <w:p>
      <w:pPr>
        <w:pStyle w:val="TOC8"/>
        <w:rPr>
          <w:sz w:val="24"/>
          <w:szCs w:val="24"/>
        </w:rPr>
      </w:pPr>
      <w:r>
        <w:rPr>
          <w:szCs w:val="24"/>
        </w:rPr>
        <w:t>113</w:t>
      </w:r>
      <w:r>
        <w:rPr>
          <w:snapToGrid w:val="0"/>
          <w:szCs w:val="24"/>
        </w:rPr>
        <w:t>.</w:t>
      </w:r>
      <w:r>
        <w:rPr>
          <w:snapToGrid w:val="0"/>
          <w:szCs w:val="24"/>
        </w:rPr>
        <w:tab/>
        <w:t>Employees not to use information</w:t>
      </w:r>
      <w:r>
        <w:tab/>
      </w:r>
      <w:r>
        <w:fldChar w:fldCharType="begin"/>
      </w:r>
      <w:r>
        <w:instrText xml:space="preserve"> PAGEREF _Toc161209500 \h </w:instrText>
      </w:r>
      <w:r>
        <w:fldChar w:fldCharType="separate"/>
      </w:r>
      <w:r>
        <w:t>114</w:t>
      </w:r>
      <w:r>
        <w:fldChar w:fldCharType="end"/>
      </w:r>
    </w:p>
    <w:p>
      <w:pPr>
        <w:pStyle w:val="TOC8"/>
        <w:rPr>
          <w:sz w:val="24"/>
          <w:szCs w:val="24"/>
        </w:rPr>
      </w:pPr>
      <w:r>
        <w:rPr>
          <w:szCs w:val="24"/>
        </w:rPr>
        <w:t>113A.</w:t>
      </w:r>
      <w:r>
        <w:rPr>
          <w:szCs w:val="24"/>
        </w:rPr>
        <w:tab/>
        <w:t>General power for wardens to administer oaths</w:t>
      </w:r>
      <w:r>
        <w:tab/>
      </w:r>
      <w:r>
        <w:fldChar w:fldCharType="begin"/>
      </w:r>
      <w:r>
        <w:instrText xml:space="preserve"> PAGEREF _Toc161209501 \h </w:instrText>
      </w:r>
      <w:r>
        <w:fldChar w:fldCharType="separate"/>
      </w:r>
      <w:r>
        <w:t>114</w:t>
      </w:r>
      <w:r>
        <w:fldChar w:fldCharType="end"/>
      </w:r>
    </w:p>
    <w:p>
      <w:pPr>
        <w:pStyle w:val="TOC8"/>
        <w:rPr>
          <w:sz w:val="24"/>
          <w:szCs w:val="24"/>
        </w:rPr>
      </w:pPr>
      <w:r>
        <w:rPr>
          <w:szCs w:val="24"/>
        </w:rPr>
        <w:t>114</w:t>
      </w:r>
      <w:r>
        <w:rPr>
          <w:snapToGrid w:val="0"/>
          <w:szCs w:val="24"/>
        </w:rPr>
        <w:t>.</w:t>
      </w:r>
      <w:r>
        <w:rPr>
          <w:snapToGrid w:val="0"/>
          <w:szCs w:val="24"/>
        </w:rPr>
        <w:tab/>
        <w:t>Warden’s order not to be disobeyed</w:t>
      </w:r>
      <w:r>
        <w:tab/>
      </w:r>
      <w:r>
        <w:fldChar w:fldCharType="begin"/>
      </w:r>
      <w:r>
        <w:instrText xml:space="preserve"> PAGEREF _Toc161209502 \h </w:instrText>
      </w:r>
      <w:r>
        <w:fldChar w:fldCharType="separate"/>
      </w:r>
      <w:r>
        <w:t>114</w:t>
      </w:r>
      <w:r>
        <w:fldChar w:fldCharType="end"/>
      </w:r>
    </w:p>
    <w:p>
      <w:pPr>
        <w:pStyle w:val="TOC8"/>
        <w:rPr>
          <w:sz w:val="24"/>
          <w:szCs w:val="24"/>
        </w:rPr>
      </w:pPr>
      <w:r>
        <w:rPr>
          <w:szCs w:val="24"/>
        </w:rPr>
        <w:t>115</w:t>
      </w:r>
      <w:r>
        <w:rPr>
          <w:snapToGrid w:val="0"/>
          <w:szCs w:val="24"/>
        </w:rPr>
        <w:t>.</w:t>
      </w:r>
      <w:r>
        <w:rPr>
          <w:snapToGrid w:val="0"/>
          <w:szCs w:val="24"/>
        </w:rPr>
        <w:tab/>
        <w:t>General penalty</w:t>
      </w:r>
      <w:r>
        <w:tab/>
      </w:r>
      <w:r>
        <w:fldChar w:fldCharType="begin"/>
      </w:r>
      <w:r>
        <w:instrText xml:space="preserve"> PAGEREF _Toc161209503 \h </w:instrText>
      </w:r>
      <w:r>
        <w:fldChar w:fldCharType="separate"/>
      </w:r>
      <w:r>
        <w:t>114</w:t>
      </w:r>
      <w:r>
        <w:fldChar w:fldCharType="end"/>
      </w:r>
    </w:p>
    <w:p>
      <w:pPr>
        <w:pStyle w:val="TOC2"/>
        <w:tabs>
          <w:tab w:val="right" w:leader="dot" w:pos="7088"/>
        </w:tabs>
        <w:rPr>
          <w:b w:val="0"/>
          <w:sz w:val="24"/>
          <w:szCs w:val="24"/>
        </w:rPr>
      </w:pPr>
      <w:r>
        <w:rPr>
          <w:szCs w:val="30"/>
        </w:rPr>
        <w:t>Part VI — Surveys</w:t>
      </w:r>
    </w:p>
    <w:p>
      <w:pPr>
        <w:pStyle w:val="TOC8"/>
        <w:rPr>
          <w:sz w:val="24"/>
          <w:szCs w:val="24"/>
        </w:rPr>
      </w:pPr>
      <w:r>
        <w:rPr>
          <w:szCs w:val="24"/>
        </w:rPr>
        <w:t>116</w:t>
      </w:r>
      <w:r>
        <w:rPr>
          <w:snapToGrid w:val="0"/>
          <w:szCs w:val="24"/>
        </w:rPr>
        <w:t>.</w:t>
      </w:r>
      <w:r>
        <w:rPr>
          <w:snapToGrid w:val="0"/>
          <w:szCs w:val="24"/>
        </w:rPr>
        <w:tab/>
        <w:t>Terms used in this Part</w:t>
      </w:r>
      <w:r>
        <w:tab/>
      </w:r>
      <w:r>
        <w:fldChar w:fldCharType="begin"/>
      </w:r>
      <w:r>
        <w:instrText xml:space="preserve"> PAGEREF _Toc161209505 \h </w:instrText>
      </w:r>
      <w:r>
        <w:fldChar w:fldCharType="separate"/>
      </w:r>
      <w:r>
        <w:t>115</w:t>
      </w:r>
      <w:r>
        <w:fldChar w:fldCharType="end"/>
      </w:r>
    </w:p>
    <w:p>
      <w:pPr>
        <w:pStyle w:val="TOC8"/>
        <w:rPr>
          <w:sz w:val="24"/>
          <w:szCs w:val="24"/>
        </w:rPr>
      </w:pPr>
      <w:r>
        <w:rPr>
          <w:szCs w:val="24"/>
        </w:rPr>
        <w:t>117</w:t>
      </w:r>
      <w:r>
        <w:rPr>
          <w:snapToGrid w:val="0"/>
          <w:szCs w:val="24"/>
        </w:rPr>
        <w:t>.</w:t>
      </w:r>
      <w:r>
        <w:rPr>
          <w:snapToGrid w:val="0"/>
          <w:szCs w:val="24"/>
        </w:rPr>
        <w:tab/>
        <w:t>Approved surveyors</w:t>
      </w:r>
      <w:r>
        <w:tab/>
      </w:r>
      <w:r>
        <w:fldChar w:fldCharType="begin"/>
      </w:r>
      <w:r>
        <w:instrText xml:space="preserve"> PAGEREF _Toc161209506 \h </w:instrText>
      </w:r>
      <w:r>
        <w:fldChar w:fldCharType="separate"/>
      </w:r>
      <w:r>
        <w:t>115</w:t>
      </w:r>
      <w:r>
        <w:fldChar w:fldCharType="end"/>
      </w:r>
    </w:p>
    <w:p>
      <w:pPr>
        <w:pStyle w:val="TOC8"/>
        <w:rPr>
          <w:sz w:val="24"/>
          <w:szCs w:val="24"/>
        </w:rPr>
      </w:pPr>
      <w:r>
        <w:rPr>
          <w:szCs w:val="24"/>
        </w:rPr>
        <w:t>118</w:t>
      </w:r>
      <w:r>
        <w:rPr>
          <w:snapToGrid w:val="0"/>
          <w:szCs w:val="24"/>
        </w:rPr>
        <w:t>.</w:t>
      </w:r>
      <w:r>
        <w:rPr>
          <w:snapToGrid w:val="0"/>
          <w:szCs w:val="24"/>
        </w:rPr>
        <w:tab/>
        <w:t>Initiation of mining surveys</w:t>
      </w:r>
      <w:r>
        <w:tab/>
      </w:r>
      <w:r>
        <w:fldChar w:fldCharType="begin"/>
      </w:r>
      <w:r>
        <w:instrText xml:space="preserve"> PAGEREF _Toc161209507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Notice of proposed mining surveys</w:t>
      </w:r>
      <w:r>
        <w:tab/>
      </w:r>
      <w:r>
        <w:fldChar w:fldCharType="begin"/>
      </w:r>
      <w:r>
        <w:instrText xml:space="preserve"> PAGEREF _Toc161209508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When mining surveys are to be carried out</w:t>
      </w:r>
      <w:r>
        <w:tab/>
      </w:r>
      <w:r>
        <w:fldChar w:fldCharType="begin"/>
      </w:r>
      <w:r>
        <w:instrText xml:space="preserve"> PAGEREF _Toc161209509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Refund of certain survey fees</w:t>
      </w:r>
      <w:r>
        <w:tab/>
      </w:r>
      <w:r>
        <w:fldChar w:fldCharType="begin"/>
      </w:r>
      <w:r>
        <w:instrText xml:space="preserve"> PAGEREF _Toc161209510 \h </w:instrText>
      </w:r>
      <w:r>
        <w:fldChar w:fldCharType="separate"/>
      </w:r>
      <w:r>
        <w:t>118</w:t>
      </w:r>
      <w:r>
        <w:fldChar w:fldCharType="end"/>
      </w:r>
    </w:p>
    <w:p>
      <w:pPr>
        <w:pStyle w:val="TOC8"/>
        <w:rPr>
          <w:sz w:val="24"/>
          <w:szCs w:val="24"/>
        </w:rPr>
      </w:pPr>
      <w:r>
        <w:rPr>
          <w:szCs w:val="24"/>
        </w:rPr>
        <w:t>119</w:t>
      </w:r>
      <w:r>
        <w:rPr>
          <w:snapToGrid w:val="0"/>
          <w:szCs w:val="24"/>
        </w:rPr>
        <w:t>.</w:t>
      </w:r>
      <w:r>
        <w:rPr>
          <w:snapToGrid w:val="0"/>
          <w:szCs w:val="24"/>
        </w:rPr>
        <w:tab/>
        <w:t>Boundary marks to be pointed out</w:t>
      </w:r>
      <w:r>
        <w:tab/>
      </w:r>
      <w:r>
        <w:fldChar w:fldCharType="begin"/>
      </w:r>
      <w:r>
        <w:instrText xml:space="preserve"> PAGEREF _Toc161209511 \h </w:instrText>
      </w:r>
      <w:r>
        <w:fldChar w:fldCharType="separate"/>
      </w:r>
      <w:r>
        <w:t>118</w:t>
      </w:r>
      <w:r>
        <w:fldChar w:fldCharType="end"/>
      </w:r>
    </w:p>
    <w:p>
      <w:pPr>
        <w:pStyle w:val="TOC8"/>
        <w:rPr>
          <w:sz w:val="24"/>
          <w:szCs w:val="24"/>
        </w:rPr>
      </w:pPr>
      <w:r>
        <w:rPr>
          <w:szCs w:val="24"/>
        </w:rPr>
        <w:t>120</w:t>
      </w:r>
      <w:r>
        <w:rPr>
          <w:snapToGrid w:val="0"/>
          <w:szCs w:val="24"/>
        </w:rPr>
        <w:t>.</w:t>
      </w:r>
      <w:r>
        <w:rPr>
          <w:snapToGrid w:val="0"/>
          <w:szCs w:val="24"/>
        </w:rPr>
        <w:tab/>
        <w:t>Adjustment of boundaries</w:t>
      </w:r>
      <w:r>
        <w:tab/>
      </w:r>
      <w:r>
        <w:fldChar w:fldCharType="begin"/>
      </w:r>
      <w:r>
        <w:instrText xml:space="preserve"> PAGEREF _Toc161209512 \h </w:instrText>
      </w:r>
      <w:r>
        <w:fldChar w:fldCharType="separate"/>
      </w:r>
      <w:r>
        <w:t>119</w:t>
      </w:r>
      <w:r>
        <w:fldChar w:fldCharType="end"/>
      </w:r>
    </w:p>
    <w:p>
      <w:pPr>
        <w:pStyle w:val="TOC8"/>
        <w:rPr>
          <w:sz w:val="24"/>
          <w:szCs w:val="24"/>
        </w:rPr>
      </w:pPr>
      <w:r>
        <w:rPr>
          <w:szCs w:val="24"/>
        </w:rPr>
        <w:t>120A</w:t>
      </w:r>
      <w:r>
        <w:rPr>
          <w:snapToGrid w:val="0"/>
          <w:szCs w:val="24"/>
        </w:rPr>
        <w:t>.</w:t>
      </w:r>
      <w:r>
        <w:rPr>
          <w:snapToGrid w:val="0"/>
          <w:szCs w:val="24"/>
        </w:rPr>
        <w:tab/>
        <w:t>Disputes and objections in mining survey</w:t>
      </w:r>
      <w:r>
        <w:tab/>
      </w:r>
      <w:r>
        <w:fldChar w:fldCharType="begin"/>
      </w:r>
      <w:r>
        <w:instrText xml:space="preserve"> PAGEREF _Toc161209513 \h </w:instrText>
      </w:r>
      <w:r>
        <w:fldChar w:fldCharType="separate"/>
      </w:r>
      <w:r>
        <w:t>120</w:t>
      </w:r>
      <w:r>
        <w:fldChar w:fldCharType="end"/>
      </w:r>
    </w:p>
    <w:p>
      <w:pPr>
        <w:pStyle w:val="TOC8"/>
        <w:rPr>
          <w:sz w:val="24"/>
          <w:szCs w:val="24"/>
        </w:rPr>
      </w:pPr>
      <w:r>
        <w:rPr>
          <w:szCs w:val="24"/>
        </w:rPr>
        <w:t>120B</w:t>
      </w:r>
      <w:r>
        <w:rPr>
          <w:snapToGrid w:val="0"/>
          <w:szCs w:val="24"/>
        </w:rPr>
        <w:t>.</w:t>
      </w:r>
      <w:r>
        <w:rPr>
          <w:snapToGrid w:val="0"/>
          <w:szCs w:val="24"/>
        </w:rPr>
        <w:tab/>
        <w:t>Cost of travelling</w:t>
      </w:r>
      <w:r>
        <w:tab/>
      </w:r>
      <w:r>
        <w:fldChar w:fldCharType="begin"/>
      </w:r>
      <w:r>
        <w:instrText xml:space="preserve"> PAGEREF _Toc161209514 \h </w:instrText>
      </w:r>
      <w:r>
        <w:fldChar w:fldCharType="separate"/>
      </w:r>
      <w:r>
        <w:t>121</w:t>
      </w:r>
      <w:r>
        <w:fldChar w:fldCharType="end"/>
      </w:r>
    </w:p>
    <w:p>
      <w:pPr>
        <w:pStyle w:val="TOC8"/>
        <w:rPr>
          <w:sz w:val="24"/>
          <w:szCs w:val="24"/>
        </w:rPr>
      </w:pPr>
      <w:r>
        <w:rPr>
          <w:szCs w:val="24"/>
        </w:rPr>
        <w:t>120C</w:t>
      </w:r>
      <w:r>
        <w:rPr>
          <w:snapToGrid w:val="0"/>
          <w:szCs w:val="24"/>
        </w:rPr>
        <w:t>.</w:t>
      </w:r>
      <w:r>
        <w:rPr>
          <w:snapToGrid w:val="0"/>
          <w:szCs w:val="24"/>
        </w:rPr>
        <w:tab/>
        <w:t>Correction of errors or omissions</w:t>
      </w:r>
      <w:r>
        <w:tab/>
      </w:r>
      <w:r>
        <w:fldChar w:fldCharType="begin"/>
      </w:r>
      <w:r>
        <w:instrText xml:space="preserve"> PAGEREF _Toc161209515 \h </w:instrText>
      </w:r>
      <w:r>
        <w:fldChar w:fldCharType="separate"/>
      </w:r>
      <w:r>
        <w:t>121</w:t>
      </w:r>
      <w:r>
        <w:fldChar w:fldCharType="end"/>
      </w:r>
    </w:p>
    <w:p>
      <w:pPr>
        <w:pStyle w:val="TOC8"/>
        <w:rPr>
          <w:sz w:val="24"/>
          <w:szCs w:val="24"/>
        </w:rPr>
      </w:pPr>
      <w:r>
        <w:rPr>
          <w:szCs w:val="24"/>
        </w:rPr>
        <w:t>120D</w:t>
      </w:r>
      <w:r>
        <w:rPr>
          <w:snapToGrid w:val="0"/>
          <w:szCs w:val="24"/>
        </w:rPr>
        <w:t>.</w:t>
      </w:r>
      <w:r>
        <w:rPr>
          <w:snapToGrid w:val="0"/>
          <w:szCs w:val="24"/>
        </w:rPr>
        <w:tab/>
        <w:t>Cost of check surveys and of correction of errors to be met by approved surveyors</w:t>
      </w:r>
      <w:r>
        <w:tab/>
      </w:r>
      <w:r>
        <w:fldChar w:fldCharType="begin"/>
      </w:r>
      <w:r>
        <w:instrText xml:space="preserve"> PAGEREF _Toc161209516 \h </w:instrText>
      </w:r>
      <w:r>
        <w:fldChar w:fldCharType="separate"/>
      </w:r>
      <w:r>
        <w:t>122</w:t>
      </w:r>
      <w:r>
        <w:fldChar w:fldCharType="end"/>
      </w:r>
    </w:p>
    <w:p>
      <w:pPr>
        <w:pStyle w:val="TOC8"/>
        <w:rPr>
          <w:sz w:val="24"/>
          <w:szCs w:val="24"/>
        </w:rPr>
      </w:pPr>
      <w:r>
        <w:rPr>
          <w:szCs w:val="24"/>
        </w:rPr>
        <w:t>120E</w:t>
      </w:r>
      <w:r>
        <w:rPr>
          <w:snapToGrid w:val="0"/>
          <w:szCs w:val="24"/>
        </w:rPr>
        <w:t>.</w:t>
      </w:r>
      <w:r>
        <w:rPr>
          <w:snapToGrid w:val="0"/>
          <w:szCs w:val="24"/>
        </w:rPr>
        <w:tab/>
        <w:t>Report of surveyed tenements to be prepared</w:t>
      </w:r>
      <w:r>
        <w:tab/>
      </w:r>
      <w:r>
        <w:fldChar w:fldCharType="begin"/>
      </w:r>
      <w:r>
        <w:instrText xml:space="preserve"> PAGEREF _Toc161209517 \h </w:instrText>
      </w:r>
      <w:r>
        <w:fldChar w:fldCharType="separate"/>
      </w:r>
      <w:r>
        <w:t>122</w:t>
      </w:r>
      <w:r>
        <w:fldChar w:fldCharType="end"/>
      </w:r>
    </w:p>
    <w:p>
      <w:pPr>
        <w:pStyle w:val="TOC2"/>
        <w:tabs>
          <w:tab w:val="right" w:leader="dot" w:pos="7088"/>
        </w:tabs>
        <w:rPr>
          <w:b w:val="0"/>
          <w:sz w:val="24"/>
          <w:szCs w:val="24"/>
        </w:rPr>
      </w:pPr>
      <w:r>
        <w:rPr>
          <w:szCs w:val="30"/>
        </w:rPr>
        <w:t>Part VIA — Inspectors</w:t>
      </w:r>
    </w:p>
    <w:p>
      <w:pPr>
        <w:pStyle w:val="TOC4"/>
        <w:tabs>
          <w:tab w:val="right" w:leader="dot" w:pos="7088"/>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120F</w:t>
      </w:r>
      <w:r>
        <w:rPr>
          <w:snapToGrid w:val="0"/>
          <w:szCs w:val="24"/>
        </w:rPr>
        <w:t>.</w:t>
      </w:r>
      <w:r>
        <w:rPr>
          <w:snapToGrid w:val="0"/>
          <w:szCs w:val="24"/>
        </w:rPr>
        <w:tab/>
        <w:t>Assignment of inspectors for environmental purpose</w:t>
      </w:r>
      <w:r>
        <w:tab/>
      </w:r>
      <w:r>
        <w:fldChar w:fldCharType="begin"/>
      </w:r>
      <w:r>
        <w:instrText xml:space="preserve"> PAGEREF _Toc161209520 \h </w:instrText>
      </w:r>
      <w:r>
        <w:fldChar w:fldCharType="separate"/>
      </w:r>
      <w:r>
        <w:t>123</w:t>
      </w:r>
      <w:r>
        <w:fldChar w:fldCharType="end"/>
      </w:r>
    </w:p>
    <w:p>
      <w:pPr>
        <w:pStyle w:val="TOC8"/>
        <w:rPr>
          <w:sz w:val="24"/>
          <w:szCs w:val="24"/>
        </w:rPr>
      </w:pPr>
      <w:r>
        <w:rPr>
          <w:szCs w:val="24"/>
        </w:rPr>
        <w:t>120G</w:t>
      </w:r>
      <w:r>
        <w:rPr>
          <w:snapToGrid w:val="0"/>
          <w:szCs w:val="24"/>
        </w:rPr>
        <w:t>.</w:t>
      </w:r>
      <w:r>
        <w:rPr>
          <w:snapToGrid w:val="0"/>
          <w:szCs w:val="24"/>
        </w:rPr>
        <w:tab/>
        <w:t>Inspectors may enter mining tenement or mine</w:t>
      </w:r>
      <w:r>
        <w:tab/>
      </w:r>
      <w:r>
        <w:fldChar w:fldCharType="begin"/>
      </w:r>
      <w:r>
        <w:instrText xml:space="preserve"> PAGEREF _Toc161209521 \h </w:instrText>
      </w:r>
      <w:r>
        <w:fldChar w:fldCharType="separate"/>
      </w:r>
      <w:r>
        <w:t>124</w:t>
      </w:r>
      <w:r>
        <w:fldChar w:fldCharType="end"/>
      </w:r>
    </w:p>
    <w:p>
      <w:pPr>
        <w:pStyle w:val="TOC4"/>
        <w:tabs>
          <w:tab w:val="right" w:leader="dot" w:pos="7088"/>
        </w:tabs>
        <w:rPr>
          <w:b w:val="0"/>
          <w:sz w:val="24"/>
          <w:szCs w:val="24"/>
        </w:rPr>
      </w:pPr>
      <w:r>
        <w:rPr>
          <w:szCs w:val="26"/>
        </w:rPr>
        <w:t>Division 2</w:t>
      </w:r>
      <w:r>
        <w:rPr>
          <w:snapToGrid w:val="0"/>
          <w:szCs w:val="26"/>
        </w:rPr>
        <w:t> — </w:t>
      </w:r>
      <w:r>
        <w:rPr>
          <w:szCs w:val="26"/>
        </w:rPr>
        <w:t>Directions to modify mining operations</w:t>
      </w:r>
    </w:p>
    <w:p>
      <w:pPr>
        <w:pStyle w:val="TOC8"/>
        <w:rPr>
          <w:sz w:val="24"/>
          <w:szCs w:val="24"/>
        </w:rPr>
      </w:pPr>
      <w:r>
        <w:rPr>
          <w:szCs w:val="24"/>
        </w:rPr>
        <w:t>120H</w:t>
      </w:r>
      <w:r>
        <w:rPr>
          <w:snapToGrid w:val="0"/>
          <w:szCs w:val="24"/>
        </w:rPr>
        <w:t>.</w:t>
      </w:r>
      <w:r>
        <w:rPr>
          <w:snapToGrid w:val="0"/>
          <w:szCs w:val="24"/>
        </w:rPr>
        <w:tab/>
        <w:t>Inspectors may issue directions</w:t>
      </w:r>
      <w:r>
        <w:tab/>
      </w:r>
      <w:r>
        <w:fldChar w:fldCharType="begin"/>
      </w:r>
      <w:r>
        <w:instrText xml:space="preserve"> PAGEREF _Toc161209523 \h </w:instrText>
      </w:r>
      <w:r>
        <w:fldChar w:fldCharType="separate"/>
      </w:r>
      <w:r>
        <w:t>124</w:t>
      </w:r>
      <w:r>
        <w:fldChar w:fldCharType="end"/>
      </w:r>
    </w:p>
    <w:p>
      <w:pPr>
        <w:pStyle w:val="TOC8"/>
        <w:rPr>
          <w:sz w:val="24"/>
          <w:szCs w:val="24"/>
        </w:rPr>
      </w:pPr>
      <w:r>
        <w:rPr>
          <w:szCs w:val="24"/>
        </w:rPr>
        <w:t>120I</w:t>
      </w:r>
      <w:r>
        <w:rPr>
          <w:snapToGrid w:val="0"/>
          <w:szCs w:val="24"/>
        </w:rPr>
        <w:t>.</w:t>
      </w:r>
      <w:r>
        <w:rPr>
          <w:snapToGrid w:val="0"/>
          <w:szCs w:val="24"/>
        </w:rPr>
        <w:tab/>
        <w:t>Directions</w:t>
      </w:r>
      <w:r>
        <w:tab/>
      </w:r>
      <w:r>
        <w:fldChar w:fldCharType="begin"/>
      </w:r>
      <w:r>
        <w:instrText xml:space="preserve"> PAGEREF _Toc161209524 \h </w:instrText>
      </w:r>
      <w:r>
        <w:fldChar w:fldCharType="separate"/>
      </w:r>
      <w:r>
        <w:t>125</w:t>
      </w:r>
      <w:r>
        <w:fldChar w:fldCharType="end"/>
      </w:r>
    </w:p>
    <w:p>
      <w:pPr>
        <w:pStyle w:val="TOC8"/>
        <w:rPr>
          <w:sz w:val="24"/>
          <w:szCs w:val="24"/>
        </w:rPr>
      </w:pPr>
      <w:r>
        <w:rPr>
          <w:szCs w:val="24"/>
        </w:rPr>
        <w:t>120J</w:t>
      </w:r>
      <w:r>
        <w:rPr>
          <w:snapToGrid w:val="0"/>
          <w:szCs w:val="24"/>
        </w:rPr>
        <w:t>.</w:t>
      </w:r>
      <w:r>
        <w:rPr>
          <w:snapToGrid w:val="0"/>
          <w:szCs w:val="24"/>
        </w:rPr>
        <w:tab/>
        <w:t>Review of direction</w:t>
      </w:r>
      <w:r>
        <w:tab/>
      </w:r>
      <w:r>
        <w:fldChar w:fldCharType="begin"/>
      </w:r>
      <w:r>
        <w:instrText xml:space="preserve"> PAGEREF _Toc161209525 \h </w:instrText>
      </w:r>
      <w:r>
        <w:fldChar w:fldCharType="separate"/>
      </w:r>
      <w:r>
        <w:t>125</w:t>
      </w:r>
      <w:r>
        <w:fldChar w:fldCharType="end"/>
      </w:r>
    </w:p>
    <w:p>
      <w:pPr>
        <w:pStyle w:val="TOC8"/>
        <w:rPr>
          <w:sz w:val="24"/>
          <w:szCs w:val="24"/>
        </w:rPr>
      </w:pPr>
      <w:r>
        <w:rPr>
          <w:szCs w:val="24"/>
        </w:rPr>
        <w:t>120K</w:t>
      </w:r>
      <w:r>
        <w:rPr>
          <w:snapToGrid w:val="0"/>
          <w:szCs w:val="24"/>
        </w:rPr>
        <w:t>.</w:t>
      </w:r>
      <w:r>
        <w:rPr>
          <w:snapToGrid w:val="0"/>
          <w:szCs w:val="24"/>
        </w:rPr>
        <w:tab/>
        <w:t>Compliance with directions</w:t>
      </w:r>
      <w:r>
        <w:tab/>
      </w:r>
      <w:r>
        <w:fldChar w:fldCharType="begin"/>
      </w:r>
      <w:r>
        <w:instrText xml:space="preserve"> PAGEREF _Toc161209526 \h </w:instrText>
      </w:r>
      <w:r>
        <w:fldChar w:fldCharType="separate"/>
      </w:r>
      <w:r>
        <w:t>126</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Stop Work Orders</w:t>
      </w:r>
    </w:p>
    <w:p>
      <w:pPr>
        <w:pStyle w:val="TOC8"/>
        <w:rPr>
          <w:sz w:val="24"/>
          <w:szCs w:val="24"/>
        </w:rPr>
      </w:pPr>
      <w:r>
        <w:rPr>
          <w:szCs w:val="24"/>
        </w:rPr>
        <w:t>120L</w:t>
      </w:r>
      <w:r>
        <w:rPr>
          <w:snapToGrid w:val="0"/>
          <w:szCs w:val="24"/>
        </w:rPr>
        <w:t>.</w:t>
      </w:r>
      <w:r>
        <w:rPr>
          <w:snapToGrid w:val="0"/>
          <w:szCs w:val="24"/>
        </w:rPr>
        <w:tab/>
        <w:t>Inspectors may issue Stop Work Orders</w:t>
      </w:r>
      <w:r>
        <w:tab/>
      </w:r>
      <w:r>
        <w:fldChar w:fldCharType="begin"/>
      </w:r>
      <w:r>
        <w:instrText xml:space="preserve"> PAGEREF _Toc161209528 \h </w:instrText>
      </w:r>
      <w:r>
        <w:fldChar w:fldCharType="separate"/>
      </w:r>
      <w:r>
        <w:t>127</w:t>
      </w:r>
      <w:r>
        <w:fldChar w:fldCharType="end"/>
      </w:r>
    </w:p>
    <w:p>
      <w:pPr>
        <w:pStyle w:val="TOC8"/>
        <w:rPr>
          <w:sz w:val="24"/>
          <w:szCs w:val="24"/>
        </w:rPr>
      </w:pPr>
      <w:r>
        <w:rPr>
          <w:szCs w:val="24"/>
        </w:rPr>
        <w:t>120M</w:t>
      </w:r>
      <w:r>
        <w:rPr>
          <w:snapToGrid w:val="0"/>
          <w:szCs w:val="24"/>
        </w:rPr>
        <w:t>.</w:t>
      </w:r>
      <w:r>
        <w:rPr>
          <w:snapToGrid w:val="0"/>
          <w:szCs w:val="24"/>
        </w:rPr>
        <w:tab/>
        <w:t>Stop Work Orders</w:t>
      </w:r>
      <w:r>
        <w:tab/>
      </w:r>
      <w:r>
        <w:fldChar w:fldCharType="begin"/>
      </w:r>
      <w:r>
        <w:instrText xml:space="preserve"> PAGEREF _Toc161209529 \h </w:instrText>
      </w:r>
      <w:r>
        <w:fldChar w:fldCharType="separate"/>
      </w:r>
      <w:r>
        <w:t>128</w:t>
      </w:r>
      <w:r>
        <w:fldChar w:fldCharType="end"/>
      </w:r>
    </w:p>
    <w:p>
      <w:pPr>
        <w:pStyle w:val="TOC8"/>
        <w:rPr>
          <w:sz w:val="24"/>
          <w:szCs w:val="24"/>
        </w:rPr>
      </w:pPr>
      <w:r>
        <w:rPr>
          <w:szCs w:val="24"/>
        </w:rPr>
        <w:t>120N</w:t>
      </w:r>
      <w:r>
        <w:rPr>
          <w:snapToGrid w:val="0"/>
          <w:szCs w:val="24"/>
        </w:rPr>
        <w:t>.</w:t>
      </w:r>
      <w:r>
        <w:rPr>
          <w:snapToGrid w:val="0"/>
          <w:szCs w:val="24"/>
        </w:rPr>
        <w:tab/>
        <w:t>Review of a Stop Work Order</w:t>
      </w:r>
      <w:r>
        <w:tab/>
      </w:r>
      <w:r>
        <w:fldChar w:fldCharType="begin"/>
      </w:r>
      <w:r>
        <w:instrText xml:space="preserve"> PAGEREF _Toc161209530 \h </w:instrText>
      </w:r>
      <w:r>
        <w:fldChar w:fldCharType="separate"/>
      </w:r>
      <w:r>
        <w:t>128</w:t>
      </w:r>
      <w:r>
        <w:fldChar w:fldCharType="end"/>
      </w:r>
    </w:p>
    <w:p>
      <w:pPr>
        <w:pStyle w:val="TOC8"/>
        <w:rPr>
          <w:sz w:val="24"/>
          <w:szCs w:val="24"/>
        </w:rPr>
      </w:pPr>
      <w:r>
        <w:rPr>
          <w:szCs w:val="24"/>
        </w:rPr>
        <w:t>120O</w:t>
      </w:r>
      <w:r>
        <w:rPr>
          <w:snapToGrid w:val="0"/>
          <w:szCs w:val="24"/>
        </w:rPr>
        <w:t>.</w:t>
      </w:r>
      <w:r>
        <w:rPr>
          <w:snapToGrid w:val="0"/>
          <w:szCs w:val="24"/>
        </w:rPr>
        <w:tab/>
        <w:t>Compliance with Stop Work Orders</w:t>
      </w:r>
      <w:r>
        <w:tab/>
      </w:r>
      <w:r>
        <w:fldChar w:fldCharType="begin"/>
      </w:r>
      <w:r>
        <w:instrText xml:space="preserve"> PAGEREF _Toc161209531 \h </w:instrText>
      </w:r>
      <w:r>
        <w:fldChar w:fldCharType="separate"/>
      </w:r>
      <w:r>
        <w:t>129</w:t>
      </w:r>
      <w:r>
        <w:fldChar w:fldCharType="end"/>
      </w:r>
    </w:p>
    <w:p>
      <w:pPr>
        <w:pStyle w:val="TOC2"/>
        <w:tabs>
          <w:tab w:val="right" w:leader="dot" w:pos="7088"/>
        </w:tabs>
        <w:rPr>
          <w:b w:val="0"/>
          <w:sz w:val="24"/>
          <w:szCs w:val="24"/>
        </w:rPr>
      </w:pPr>
      <w:r>
        <w:rPr>
          <w:szCs w:val="30"/>
        </w:rPr>
        <w:t>Part VIB — Aerial photography</w:t>
      </w:r>
    </w:p>
    <w:p>
      <w:pPr>
        <w:pStyle w:val="TOC8"/>
        <w:rPr>
          <w:sz w:val="24"/>
          <w:szCs w:val="24"/>
        </w:rPr>
      </w:pPr>
      <w:r>
        <w:rPr>
          <w:szCs w:val="24"/>
        </w:rPr>
        <w:t>120P</w:t>
      </w:r>
      <w:r>
        <w:rPr>
          <w:snapToGrid w:val="0"/>
          <w:szCs w:val="24"/>
        </w:rPr>
        <w:t>.</w:t>
      </w:r>
      <w:r>
        <w:rPr>
          <w:snapToGrid w:val="0"/>
          <w:szCs w:val="24"/>
        </w:rPr>
        <w:tab/>
        <w:t>Terms used in this Part</w:t>
      </w:r>
      <w:r>
        <w:tab/>
      </w:r>
      <w:r>
        <w:fldChar w:fldCharType="begin"/>
      </w:r>
      <w:r>
        <w:instrText xml:space="preserve"> PAGEREF _Toc161209533 \h </w:instrText>
      </w:r>
      <w:r>
        <w:fldChar w:fldCharType="separate"/>
      </w:r>
      <w:r>
        <w:t>131</w:t>
      </w:r>
      <w:r>
        <w:fldChar w:fldCharType="end"/>
      </w:r>
    </w:p>
    <w:p>
      <w:pPr>
        <w:pStyle w:val="TOC8"/>
        <w:rPr>
          <w:sz w:val="24"/>
          <w:szCs w:val="24"/>
        </w:rPr>
      </w:pPr>
      <w:r>
        <w:rPr>
          <w:szCs w:val="24"/>
        </w:rPr>
        <w:t>120Q</w:t>
      </w:r>
      <w:r>
        <w:rPr>
          <w:snapToGrid w:val="0"/>
          <w:szCs w:val="24"/>
        </w:rPr>
        <w:t>.</w:t>
      </w:r>
      <w:r>
        <w:rPr>
          <w:snapToGrid w:val="0"/>
          <w:szCs w:val="24"/>
        </w:rPr>
        <w:tab/>
        <w:t>Information to be provided as to aerial photography</w:t>
      </w:r>
      <w:r>
        <w:tab/>
      </w:r>
      <w:r>
        <w:fldChar w:fldCharType="begin"/>
      </w:r>
      <w:r>
        <w:instrText xml:space="preserve"> PAGEREF _Toc161209534 \h </w:instrText>
      </w:r>
      <w:r>
        <w:fldChar w:fldCharType="separate"/>
      </w:r>
      <w:r>
        <w:t>131</w:t>
      </w:r>
      <w:r>
        <w:fldChar w:fldCharType="end"/>
      </w:r>
    </w:p>
    <w:p>
      <w:pPr>
        <w:pStyle w:val="TOC8"/>
        <w:rPr>
          <w:sz w:val="24"/>
          <w:szCs w:val="24"/>
        </w:rPr>
      </w:pPr>
      <w:r>
        <w:rPr>
          <w:szCs w:val="24"/>
        </w:rPr>
        <w:t>120R</w:t>
      </w:r>
      <w:r>
        <w:rPr>
          <w:snapToGrid w:val="0"/>
          <w:szCs w:val="24"/>
        </w:rPr>
        <w:t>.</w:t>
      </w:r>
      <w:r>
        <w:rPr>
          <w:snapToGrid w:val="0"/>
          <w:szCs w:val="24"/>
        </w:rPr>
        <w:tab/>
        <w:t>Register</w:t>
      </w:r>
      <w:r>
        <w:tab/>
      </w:r>
      <w:r>
        <w:fldChar w:fldCharType="begin"/>
      </w:r>
      <w:r>
        <w:instrText xml:space="preserve"> PAGEREF _Toc161209535 \h </w:instrText>
      </w:r>
      <w:r>
        <w:fldChar w:fldCharType="separate"/>
      </w:r>
      <w:r>
        <w:t>132</w:t>
      </w:r>
      <w:r>
        <w:fldChar w:fldCharType="end"/>
      </w:r>
    </w:p>
    <w:p>
      <w:pPr>
        <w:pStyle w:val="TOC8"/>
        <w:rPr>
          <w:sz w:val="24"/>
          <w:szCs w:val="24"/>
        </w:rPr>
      </w:pPr>
      <w:r>
        <w:rPr>
          <w:szCs w:val="24"/>
        </w:rPr>
        <w:t>120S</w:t>
      </w:r>
      <w:r>
        <w:rPr>
          <w:snapToGrid w:val="0"/>
          <w:szCs w:val="24"/>
        </w:rPr>
        <w:t>.</w:t>
      </w:r>
      <w:r>
        <w:rPr>
          <w:snapToGrid w:val="0"/>
          <w:szCs w:val="24"/>
        </w:rPr>
        <w:tab/>
        <w:t>Confidentiality of information</w:t>
      </w:r>
      <w:r>
        <w:tab/>
      </w:r>
      <w:r>
        <w:fldChar w:fldCharType="begin"/>
      </w:r>
      <w:r>
        <w:instrText xml:space="preserve"> PAGEREF _Toc161209536 \h </w:instrText>
      </w:r>
      <w:r>
        <w:fldChar w:fldCharType="separate"/>
      </w:r>
      <w:r>
        <w:t>132</w:t>
      </w:r>
      <w:r>
        <w:fldChar w:fldCharType="end"/>
      </w:r>
    </w:p>
    <w:p>
      <w:pPr>
        <w:pStyle w:val="TOC2"/>
        <w:tabs>
          <w:tab w:val="right" w:leader="dot" w:pos="7088"/>
        </w:tabs>
        <w:rPr>
          <w:b w:val="0"/>
          <w:sz w:val="24"/>
          <w:szCs w:val="24"/>
        </w:rPr>
      </w:pPr>
      <w:r>
        <w:rPr>
          <w:szCs w:val="30"/>
        </w:rPr>
        <w:t>Part VII — Legal proceedings</w:t>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_Toc161209538 \h </w:instrText>
      </w:r>
      <w:r>
        <w:fldChar w:fldCharType="separate"/>
      </w:r>
      <w:r>
        <w:t>133</w:t>
      </w:r>
      <w:r>
        <w:fldChar w:fldCharType="end"/>
      </w:r>
    </w:p>
    <w:p>
      <w:pPr>
        <w:pStyle w:val="TOC8"/>
        <w:rPr>
          <w:sz w:val="24"/>
          <w:szCs w:val="24"/>
        </w:rPr>
      </w:pPr>
      <w:r>
        <w:rPr>
          <w:szCs w:val="24"/>
        </w:rPr>
        <w:t>122</w:t>
      </w:r>
      <w:r>
        <w:rPr>
          <w:snapToGrid w:val="0"/>
          <w:szCs w:val="24"/>
        </w:rPr>
        <w:t>.</w:t>
      </w:r>
      <w:r>
        <w:rPr>
          <w:snapToGrid w:val="0"/>
          <w:szCs w:val="24"/>
        </w:rPr>
        <w:tab/>
        <w:t>Lodgment, withdrawal of plaint</w:t>
      </w:r>
      <w:r>
        <w:tab/>
      </w:r>
      <w:r>
        <w:fldChar w:fldCharType="begin"/>
      </w:r>
      <w:r>
        <w:instrText xml:space="preserve"> PAGEREF _Toc161209539 \h </w:instrText>
      </w:r>
      <w:r>
        <w:fldChar w:fldCharType="separate"/>
      </w:r>
      <w:r>
        <w:t>133</w:t>
      </w:r>
      <w:r>
        <w:fldChar w:fldCharType="end"/>
      </w:r>
    </w:p>
    <w:p>
      <w:pPr>
        <w:pStyle w:val="TOC8"/>
        <w:rPr>
          <w:sz w:val="24"/>
          <w:szCs w:val="24"/>
        </w:rPr>
      </w:pPr>
      <w:r>
        <w:rPr>
          <w:szCs w:val="24"/>
        </w:rPr>
        <w:t>123</w:t>
      </w:r>
      <w:r>
        <w:rPr>
          <w:snapToGrid w:val="0"/>
          <w:szCs w:val="24"/>
        </w:rPr>
        <w:t>.</w:t>
      </w:r>
      <w:r>
        <w:rPr>
          <w:snapToGrid w:val="0"/>
          <w:szCs w:val="24"/>
        </w:rPr>
        <w:tab/>
        <w:t>Issue of summons</w:t>
      </w:r>
      <w:r>
        <w:tab/>
      </w:r>
      <w:r>
        <w:fldChar w:fldCharType="begin"/>
      </w:r>
      <w:r>
        <w:instrText xml:space="preserve"> PAGEREF _Toc161209540 \h </w:instrText>
      </w:r>
      <w:r>
        <w:fldChar w:fldCharType="separate"/>
      </w:r>
      <w:r>
        <w:t>133</w:t>
      </w:r>
      <w:r>
        <w:fldChar w:fldCharType="end"/>
      </w:r>
    </w:p>
    <w:p>
      <w:pPr>
        <w:pStyle w:val="TOC8"/>
        <w:rPr>
          <w:sz w:val="24"/>
          <w:szCs w:val="24"/>
        </w:rPr>
      </w:pPr>
      <w:r>
        <w:rPr>
          <w:szCs w:val="24"/>
        </w:rPr>
        <w:t>124</w:t>
      </w:r>
      <w:r>
        <w:rPr>
          <w:snapToGrid w:val="0"/>
          <w:szCs w:val="24"/>
        </w:rPr>
        <w:t>.</w:t>
      </w:r>
      <w:r>
        <w:rPr>
          <w:snapToGrid w:val="0"/>
          <w:szCs w:val="24"/>
        </w:rPr>
        <w:tab/>
        <w:t>Affidavit of service</w:t>
      </w:r>
      <w:r>
        <w:tab/>
      </w:r>
      <w:r>
        <w:fldChar w:fldCharType="begin"/>
      </w:r>
      <w:r>
        <w:instrText xml:space="preserve"> PAGEREF _Toc161209541 \h </w:instrText>
      </w:r>
      <w:r>
        <w:fldChar w:fldCharType="separate"/>
      </w:r>
      <w:r>
        <w:t>134</w:t>
      </w:r>
      <w:r>
        <w:fldChar w:fldCharType="end"/>
      </w:r>
    </w:p>
    <w:p>
      <w:pPr>
        <w:pStyle w:val="TOC8"/>
        <w:rPr>
          <w:sz w:val="24"/>
          <w:szCs w:val="24"/>
        </w:rPr>
      </w:pPr>
      <w:r>
        <w:rPr>
          <w:szCs w:val="24"/>
        </w:rPr>
        <w:t>125</w:t>
      </w:r>
      <w:r>
        <w:rPr>
          <w:snapToGrid w:val="0"/>
          <w:szCs w:val="24"/>
        </w:rPr>
        <w:t>.</w:t>
      </w:r>
      <w:r>
        <w:rPr>
          <w:snapToGrid w:val="0"/>
          <w:szCs w:val="24"/>
        </w:rPr>
        <w:tab/>
        <w:t>Time for service</w:t>
      </w:r>
      <w:r>
        <w:tab/>
      </w:r>
      <w:r>
        <w:fldChar w:fldCharType="begin"/>
      </w:r>
      <w:r>
        <w:instrText xml:space="preserve"> PAGEREF _Toc161209542 \h </w:instrText>
      </w:r>
      <w:r>
        <w:fldChar w:fldCharType="separate"/>
      </w:r>
      <w:r>
        <w:t>134</w:t>
      </w:r>
      <w:r>
        <w:fldChar w:fldCharType="end"/>
      </w:r>
    </w:p>
    <w:p>
      <w:pPr>
        <w:pStyle w:val="TOC8"/>
        <w:rPr>
          <w:sz w:val="24"/>
          <w:szCs w:val="24"/>
        </w:rPr>
      </w:pPr>
      <w:r>
        <w:rPr>
          <w:szCs w:val="24"/>
        </w:rPr>
        <w:t>126</w:t>
      </w:r>
      <w:r>
        <w:rPr>
          <w:snapToGrid w:val="0"/>
          <w:szCs w:val="24"/>
        </w:rPr>
        <w:t>.</w:t>
      </w:r>
      <w:r>
        <w:rPr>
          <w:snapToGrid w:val="0"/>
          <w:szCs w:val="24"/>
        </w:rPr>
        <w:tab/>
        <w:t>Notice of defence</w:t>
      </w:r>
      <w:r>
        <w:tab/>
      </w:r>
      <w:r>
        <w:fldChar w:fldCharType="begin"/>
      </w:r>
      <w:r>
        <w:instrText xml:space="preserve"> PAGEREF _Toc161209543 \h </w:instrText>
      </w:r>
      <w:r>
        <w:fldChar w:fldCharType="separate"/>
      </w:r>
      <w:r>
        <w:t>134</w:t>
      </w:r>
      <w:r>
        <w:fldChar w:fldCharType="end"/>
      </w:r>
    </w:p>
    <w:p>
      <w:pPr>
        <w:pStyle w:val="TOC8"/>
        <w:rPr>
          <w:sz w:val="24"/>
          <w:szCs w:val="24"/>
        </w:rPr>
      </w:pPr>
      <w:r>
        <w:rPr>
          <w:szCs w:val="24"/>
        </w:rPr>
        <w:t>127</w:t>
      </w:r>
      <w:r>
        <w:rPr>
          <w:snapToGrid w:val="0"/>
          <w:szCs w:val="24"/>
        </w:rPr>
        <w:t>.</w:t>
      </w:r>
      <w:r>
        <w:rPr>
          <w:snapToGrid w:val="0"/>
          <w:szCs w:val="24"/>
        </w:rPr>
        <w:tab/>
        <w:t>Subpoena of witness</w:t>
      </w:r>
      <w:r>
        <w:tab/>
      </w:r>
      <w:r>
        <w:fldChar w:fldCharType="begin"/>
      </w:r>
      <w:r>
        <w:instrText xml:space="preserve"> PAGEREF _Toc161209544 \h </w:instrText>
      </w:r>
      <w:r>
        <w:fldChar w:fldCharType="separate"/>
      </w:r>
      <w:r>
        <w:t>134</w:t>
      </w:r>
      <w:r>
        <w:fldChar w:fldCharType="end"/>
      </w:r>
    </w:p>
    <w:p>
      <w:pPr>
        <w:pStyle w:val="TOC8"/>
        <w:rPr>
          <w:sz w:val="24"/>
          <w:szCs w:val="24"/>
        </w:rPr>
      </w:pPr>
      <w:r>
        <w:rPr>
          <w:szCs w:val="24"/>
        </w:rPr>
        <w:t>127A</w:t>
      </w:r>
      <w:r>
        <w:rPr>
          <w:snapToGrid w:val="0"/>
          <w:szCs w:val="24"/>
        </w:rPr>
        <w:t>.</w:t>
      </w:r>
      <w:r>
        <w:rPr>
          <w:snapToGrid w:val="0"/>
          <w:szCs w:val="24"/>
        </w:rPr>
        <w:tab/>
        <w:t>Persons before whom affidavit may be sworn</w:t>
      </w:r>
      <w:r>
        <w:tab/>
      </w:r>
      <w:r>
        <w:fldChar w:fldCharType="begin"/>
      </w:r>
      <w:r>
        <w:instrText xml:space="preserve"> PAGEREF _Toc161209545 \h </w:instrText>
      </w:r>
      <w:r>
        <w:fldChar w:fldCharType="separate"/>
      </w:r>
      <w:r>
        <w:t>135</w:t>
      </w:r>
      <w:r>
        <w:fldChar w:fldCharType="end"/>
      </w:r>
    </w:p>
    <w:p>
      <w:pPr>
        <w:pStyle w:val="TOC8"/>
        <w:rPr>
          <w:sz w:val="24"/>
          <w:szCs w:val="24"/>
        </w:rPr>
      </w:pPr>
      <w:r>
        <w:rPr>
          <w:szCs w:val="24"/>
        </w:rPr>
        <w:t>128</w:t>
      </w:r>
      <w:r>
        <w:rPr>
          <w:snapToGrid w:val="0"/>
          <w:szCs w:val="24"/>
        </w:rPr>
        <w:t>.</w:t>
      </w:r>
      <w:r>
        <w:rPr>
          <w:snapToGrid w:val="0"/>
          <w:szCs w:val="24"/>
        </w:rPr>
        <w:tab/>
        <w:t>Costs</w:t>
      </w:r>
      <w:r>
        <w:tab/>
      </w:r>
      <w:r>
        <w:fldChar w:fldCharType="begin"/>
      </w:r>
      <w:r>
        <w:instrText xml:space="preserve"> PAGEREF _Toc161209546 \h </w:instrText>
      </w:r>
      <w:r>
        <w:fldChar w:fldCharType="separate"/>
      </w:r>
      <w:r>
        <w:t>135</w:t>
      </w:r>
      <w:r>
        <w:fldChar w:fldCharType="end"/>
      </w:r>
    </w:p>
    <w:p>
      <w:pPr>
        <w:pStyle w:val="TOC8"/>
        <w:rPr>
          <w:sz w:val="24"/>
          <w:szCs w:val="24"/>
        </w:rPr>
      </w:pPr>
      <w:r>
        <w:rPr>
          <w:szCs w:val="24"/>
        </w:rPr>
        <w:t>129</w:t>
      </w:r>
      <w:r>
        <w:rPr>
          <w:snapToGrid w:val="0"/>
          <w:szCs w:val="24"/>
        </w:rPr>
        <w:t>.</w:t>
      </w:r>
      <w:r>
        <w:rPr>
          <w:snapToGrid w:val="0"/>
          <w:szCs w:val="24"/>
        </w:rPr>
        <w:tab/>
        <w:t>Copy of judgment</w:t>
      </w:r>
      <w:r>
        <w:tab/>
      </w:r>
      <w:r>
        <w:fldChar w:fldCharType="begin"/>
      </w:r>
      <w:r>
        <w:instrText xml:space="preserve"> PAGEREF _Toc161209547 \h </w:instrText>
      </w:r>
      <w:r>
        <w:fldChar w:fldCharType="separate"/>
      </w:r>
      <w:r>
        <w:t>136</w:t>
      </w:r>
      <w:r>
        <w:fldChar w:fldCharType="end"/>
      </w:r>
    </w:p>
    <w:p>
      <w:pPr>
        <w:pStyle w:val="TOC8"/>
        <w:rPr>
          <w:sz w:val="24"/>
          <w:szCs w:val="24"/>
        </w:rPr>
      </w:pPr>
      <w:r>
        <w:rPr>
          <w:szCs w:val="24"/>
        </w:rPr>
        <w:t>130</w:t>
      </w:r>
      <w:r>
        <w:rPr>
          <w:snapToGrid w:val="0"/>
          <w:szCs w:val="24"/>
        </w:rPr>
        <w:t>.</w:t>
      </w:r>
      <w:r>
        <w:rPr>
          <w:snapToGrid w:val="0"/>
          <w:szCs w:val="24"/>
        </w:rPr>
        <w:tab/>
        <w:t>Warrant of execution</w:t>
      </w:r>
      <w:r>
        <w:tab/>
      </w:r>
      <w:r>
        <w:fldChar w:fldCharType="begin"/>
      </w:r>
      <w:r>
        <w:instrText xml:space="preserve"> PAGEREF _Toc161209548 \h </w:instrText>
      </w:r>
      <w:r>
        <w:fldChar w:fldCharType="separate"/>
      </w:r>
      <w:r>
        <w:t>136</w:t>
      </w:r>
      <w:r>
        <w:fldChar w:fldCharType="end"/>
      </w:r>
    </w:p>
    <w:p>
      <w:pPr>
        <w:pStyle w:val="TOC8"/>
        <w:rPr>
          <w:sz w:val="24"/>
          <w:szCs w:val="24"/>
        </w:rPr>
      </w:pPr>
      <w:r>
        <w:rPr>
          <w:szCs w:val="24"/>
        </w:rPr>
        <w:t>131</w:t>
      </w:r>
      <w:r>
        <w:rPr>
          <w:snapToGrid w:val="0"/>
          <w:szCs w:val="24"/>
        </w:rPr>
        <w:t>.</w:t>
      </w:r>
      <w:r>
        <w:rPr>
          <w:snapToGrid w:val="0"/>
          <w:szCs w:val="24"/>
        </w:rPr>
        <w:tab/>
        <w:t>Warrant for recovery of possession</w:t>
      </w:r>
      <w:r>
        <w:tab/>
      </w:r>
      <w:r>
        <w:fldChar w:fldCharType="begin"/>
      </w:r>
      <w:r>
        <w:instrText xml:space="preserve"> PAGEREF _Toc161209549 \h </w:instrText>
      </w:r>
      <w:r>
        <w:fldChar w:fldCharType="separate"/>
      </w:r>
      <w:r>
        <w:t>136</w:t>
      </w:r>
      <w:r>
        <w:fldChar w:fldCharType="end"/>
      </w:r>
    </w:p>
    <w:p>
      <w:pPr>
        <w:pStyle w:val="TOC8"/>
        <w:rPr>
          <w:sz w:val="24"/>
          <w:szCs w:val="24"/>
        </w:rPr>
      </w:pPr>
      <w:r>
        <w:rPr>
          <w:szCs w:val="24"/>
        </w:rPr>
        <w:t>132</w:t>
      </w:r>
      <w:r>
        <w:rPr>
          <w:snapToGrid w:val="0"/>
          <w:szCs w:val="24"/>
        </w:rPr>
        <w:t>.</w:t>
      </w:r>
      <w:r>
        <w:rPr>
          <w:snapToGrid w:val="0"/>
          <w:szCs w:val="24"/>
        </w:rPr>
        <w:tab/>
        <w:t>Notice of seizure</w:t>
      </w:r>
      <w:r>
        <w:tab/>
      </w:r>
      <w:r>
        <w:fldChar w:fldCharType="begin"/>
      </w:r>
      <w:r>
        <w:instrText xml:space="preserve"> PAGEREF _Toc161209550 \h </w:instrText>
      </w:r>
      <w:r>
        <w:fldChar w:fldCharType="separate"/>
      </w:r>
      <w:r>
        <w:t>136</w:t>
      </w:r>
      <w:r>
        <w:fldChar w:fldCharType="end"/>
      </w:r>
    </w:p>
    <w:p>
      <w:pPr>
        <w:pStyle w:val="TOC8"/>
        <w:rPr>
          <w:sz w:val="24"/>
          <w:szCs w:val="24"/>
        </w:rPr>
      </w:pPr>
      <w:r>
        <w:rPr>
          <w:szCs w:val="24"/>
        </w:rPr>
        <w:t>133</w:t>
      </w:r>
      <w:r>
        <w:rPr>
          <w:snapToGrid w:val="0"/>
          <w:szCs w:val="24"/>
        </w:rPr>
        <w:t>.</w:t>
      </w:r>
      <w:r>
        <w:rPr>
          <w:snapToGrid w:val="0"/>
          <w:szCs w:val="24"/>
        </w:rPr>
        <w:tab/>
        <w:t>Sale under warrant of execution</w:t>
      </w:r>
      <w:r>
        <w:tab/>
      </w:r>
      <w:r>
        <w:fldChar w:fldCharType="begin"/>
      </w:r>
      <w:r>
        <w:instrText xml:space="preserve"> PAGEREF _Toc161209551 \h </w:instrText>
      </w:r>
      <w:r>
        <w:fldChar w:fldCharType="separate"/>
      </w:r>
      <w:r>
        <w:t>137</w:t>
      </w:r>
      <w:r>
        <w:fldChar w:fldCharType="end"/>
      </w:r>
    </w:p>
    <w:p>
      <w:pPr>
        <w:pStyle w:val="TOC8"/>
        <w:rPr>
          <w:sz w:val="24"/>
          <w:szCs w:val="24"/>
        </w:rPr>
      </w:pPr>
      <w:r>
        <w:rPr>
          <w:szCs w:val="24"/>
        </w:rPr>
        <w:t>134</w:t>
      </w:r>
      <w:r>
        <w:rPr>
          <w:snapToGrid w:val="0"/>
          <w:szCs w:val="24"/>
        </w:rPr>
        <w:t>.</w:t>
      </w:r>
      <w:r>
        <w:rPr>
          <w:snapToGrid w:val="0"/>
          <w:szCs w:val="24"/>
        </w:rPr>
        <w:tab/>
        <w:t>Transfer upon sale</w:t>
      </w:r>
      <w:r>
        <w:tab/>
      </w:r>
      <w:r>
        <w:fldChar w:fldCharType="begin"/>
      </w:r>
      <w:r>
        <w:instrText xml:space="preserve"> PAGEREF _Toc161209552 \h </w:instrText>
      </w:r>
      <w:r>
        <w:fldChar w:fldCharType="separate"/>
      </w:r>
      <w:r>
        <w:t>137</w:t>
      </w:r>
      <w:r>
        <w:fldChar w:fldCharType="end"/>
      </w:r>
    </w:p>
    <w:p>
      <w:pPr>
        <w:pStyle w:val="TOC8"/>
        <w:rPr>
          <w:sz w:val="24"/>
          <w:szCs w:val="24"/>
        </w:rPr>
      </w:pPr>
      <w:r>
        <w:rPr>
          <w:szCs w:val="24"/>
        </w:rPr>
        <w:t>135</w:t>
      </w:r>
      <w:r>
        <w:rPr>
          <w:snapToGrid w:val="0"/>
          <w:szCs w:val="24"/>
        </w:rPr>
        <w:t>.</w:t>
      </w:r>
      <w:r>
        <w:rPr>
          <w:snapToGrid w:val="0"/>
          <w:szCs w:val="24"/>
        </w:rPr>
        <w:tab/>
        <w:t>Appeal to Supreme Court</w:t>
      </w:r>
      <w:r>
        <w:tab/>
      </w:r>
      <w:r>
        <w:fldChar w:fldCharType="begin"/>
      </w:r>
      <w:r>
        <w:instrText xml:space="preserve"> PAGEREF _Toc161209553 \h </w:instrText>
      </w:r>
      <w:r>
        <w:fldChar w:fldCharType="separate"/>
      </w:r>
      <w:r>
        <w:t>137</w:t>
      </w:r>
      <w:r>
        <w:fldChar w:fldCharType="end"/>
      </w:r>
    </w:p>
    <w:p>
      <w:pPr>
        <w:pStyle w:val="TOC8"/>
        <w:rPr>
          <w:sz w:val="24"/>
          <w:szCs w:val="24"/>
        </w:rPr>
      </w:pPr>
      <w:r>
        <w:rPr>
          <w:szCs w:val="24"/>
        </w:rPr>
        <w:t>136</w:t>
      </w:r>
      <w:r>
        <w:rPr>
          <w:snapToGrid w:val="0"/>
          <w:szCs w:val="24"/>
        </w:rPr>
        <w:t>.</w:t>
      </w:r>
      <w:r>
        <w:rPr>
          <w:snapToGrid w:val="0"/>
          <w:szCs w:val="24"/>
        </w:rPr>
        <w:tab/>
        <w:t>Injunction</w:t>
      </w:r>
      <w:r>
        <w:tab/>
      </w:r>
      <w:r>
        <w:fldChar w:fldCharType="begin"/>
      </w:r>
      <w:r>
        <w:instrText xml:space="preserve"> PAGEREF _Toc161209554 \h </w:instrText>
      </w:r>
      <w:r>
        <w:fldChar w:fldCharType="separate"/>
      </w:r>
      <w:r>
        <w:t>137</w:t>
      </w:r>
      <w:r>
        <w:fldChar w:fldCharType="end"/>
      </w:r>
    </w:p>
    <w:p>
      <w:pPr>
        <w:pStyle w:val="TOC2"/>
        <w:tabs>
          <w:tab w:val="right" w:leader="dot" w:pos="7088"/>
        </w:tabs>
        <w:rPr>
          <w:b w:val="0"/>
          <w:sz w:val="24"/>
          <w:szCs w:val="24"/>
        </w:rPr>
      </w:pPr>
      <w:r>
        <w:rPr>
          <w:szCs w:val="28"/>
        </w:rPr>
        <w:t>First Schedule</w:t>
      </w:r>
    </w:p>
    <w:p>
      <w:pPr>
        <w:pStyle w:val="TOC2"/>
        <w:tabs>
          <w:tab w:val="right" w:leader="dot" w:pos="7088"/>
        </w:tabs>
        <w:rPr>
          <w:b w:val="0"/>
          <w:sz w:val="24"/>
          <w:szCs w:val="24"/>
        </w:rPr>
      </w:pPr>
      <w:r>
        <w:rPr>
          <w:szCs w:val="28"/>
        </w:rPr>
        <w:t>Schedule of Forms</w:t>
      </w:r>
    </w:p>
    <w:p>
      <w:pPr>
        <w:pStyle w:val="TOC2"/>
        <w:tabs>
          <w:tab w:val="right" w:leader="dot" w:pos="7088"/>
        </w:tabs>
        <w:rPr>
          <w:b w:val="0"/>
          <w:sz w:val="24"/>
          <w:szCs w:val="24"/>
        </w:rPr>
      </w:pPr>
      <w:r>
        <w:rPr>
          <w:szCs w:val="28"/>
        </w:rPr>
        <w:t>Second Schedule</w:t>
      </w:r>
    </w:p>
    <w:p>
      <w:pPr>
        <w:pStyle w:val="TOC2"/>
        <w:tabs>
          <w:tab w:val="right" w:leader="dot" w:pos="7088"/>
        </w:tabs>
        <w:rPr>
          <w:b w:val="0"/>
          <w:sz w:val="24"/>
          <w:szCs w:val="24"/>
        </w:rPr>
      </w:pPr>
      <w:r>
        <w:rPr>
          <w:szCs w:val="28"/>
        </w:rPr>
        <w:t>Schedule of fees and rents</w:t>
      </w:r>
    </w:p>
    <w:p>
      <w:pPr>
        <w:pStyle w:val="TOC2"/>
        <w:tabs>
          <w:tab w:val="right" w:leader="dot" w:pos="7088"/>
        </w:tabs>
        <w:rPr>
          <w:b w:val="0"/>
          <w:sz w:val="24"/>
          <w:szCs w:val="24"/>
        </w:rPr>
      </w:pPr>
      <w:r>
        <w:rPr>
          <w:szCs w:val="28"/>
        </w:rPr>
        <w:t>Third Schedule</w:t>
      </w:r>
      <w:r>
        <w:rPr>
          <w:sz w:val="24"/>
          <w:szCs w:val="28"/>
        </w:rPr>
        <w:t> </w:t>
      </w:r>
      <w:r>
        <w:rPr>
          <w:szCs w:val="28"/>
        </w:rPr>
        <w:t>—</w:t>
      </w:r>
      <w:r>
        <w:rPr>
          <w:sz w:val="24"/>
          <w:szCs w:val="28"/>
        </w:rPr>
        <w:t> </w:t>
      </w:r>
      <w:r>
        <w:rPr>
          <w:szCs w:val="28"/>
        </w:rPr>
        <w:t>Transitional provisions relating to Geocentric Datum of Australia</w:t>
      </w:r>
    </w:p>
    <w:p>
      <w:pPr>
        <w:pStyle w:val="TOC8"/>
        <w:rPr>
          <w:sz w:val="24"/>
          <w:szCs w:val="24"/>
        </w:rPr>
      </w:pPr>
      <w:r>
        <w:rPr>
          <w:szCs w:val="22"/>
        </w:rPr>
        <w:t>1.</w:t>
      </w:r>
      <w:r>
        <w:rPr>
          <w:szCs w:val="22"/>
        </w:rPr>
        <w:tab/>
        <w:t>Interpretation</w:t>
      </w:r>
      <w:r>
        <w:tab/>
      </w:r>
      <w:r>
        <w:fldChar w:fldCharType="begin"/>
      </w:r>
      <w:r>
        <w:instrText xml:space="preserve"> PAGEREF _Toc161209560 \h </w:instrText>
      </w:r>
      <w:r>
        <w:fldChar w:fldCharType="separate"/>
      </w:r>
      <w:r>
        <w:t>216</w:t>
      </w:r>
      <w:r>
        <w:fldChar w:fldCharType="end"/>
      </w:r>
    </w:p>
    <w:p>
      <w:pPr>
        <w:pStyle w:val="TOC8"/>
        <w:rPr>
          <w:sz w:val="24"/>
          <w:szCs w:val="24"/>
        </w:rPr>
      </w:pPr>
      <w:r>
        <w:rPr>
          <w:szCs w:val="22"/>
        </w:rPr>
        <w:t>2.</w:t>
      </w:r>
      <w:r>
        <w:rPr>
          <w:szCs w:val="22"/>
        </w:rPr>
        <w:tab/>
        <w:t>Australian Geodetic Datum</w:t>
      </w:r>
      <w:r>
        <w:tab/>
      </w:r>
      <w:r>
        <w:fldChar w:fldCharType="begin"/>
      </w:r>
      <w:r>
        <w:instrText xml:space="preserve"> PAGEREF _Toc161209561 \h </w:instrText>
      </w:r>
      <w:r>
        <w:fldChar w:fldCharType="separate"/>
      </w:r>
      <w:r>
        <w:t>216</w:t>
      </w:r>
      <w:r>
        <w:fldChar w:fldCharType="end"/>
      </w:r>
    </w:p>
    <w:p>
      <w:pPr>
        <w:pStyle w:val="TOC8"/>
        <w:rPr>
          <w:sz w:val="24"/>
          <w:szCs w:val="24"/>
        </w:rPr>
      </w:pPr>
      <w:r>
        <w:rPr>
          <w:szCs w:val="22"/>
        </w:rPr>
        <w:t>3.</w:t>
      </w:r>
      <w:r>
        <w:rPr>
          <w:szCs w:val="22"/>
        </w:rPr>
        <w:tab/>
        <w:t>Exploration licences</w:t>
      </w:r>
      <w:r>
        <w:tab/>
      </w:r>
      <w:r>
        <w:fldChar w:fldCharType="begin"/>
      </w:r>
      <w:r>
        <w:instrText xml:space="preserve"> PAGEREF _Toc161209562 \h </w:instrText>
      </w:r>
      <w:r>
        <w:fldChar w:fldCharType="separate"/>
      </w:r>
      <w:r>
        <w:t>217</w:t>
      </w:r>
      <w:r>
        <w:fldChar w:fldCharType="end"/>
      </w:r>
    </w:p>
    <w:p>
      <w:pPr>
        <w:pStyle w:val="TOC8"/>
        <w:rPr>
          <w:sz w:val="24"/>
          <w:szCs w:val="24"/>
        </w:rPr>
      </w:pPr>
      <w:r>
        <w:rPr>
          <w:szCs w:val="22"/>
        </w:rPr>
        <w:t>4.</w:t>
      </w:r>
      <w:r>
        <w:rPr>
          <w:szCs w:val="22"/>
        </w:rPr>
        <w:tab/>
        <w:t>Land surrendered or forfeited etc.</w:t>
      </w:r>
      <w:r>
        <w:tab/>
      </w:r>
      <w:r>
        <w:fldChar w:fldCharType="begin"/>
      </w:r>
      <w:r>
        <w:instrText xml:space="preserve"> PAGEREF _Toc161209563 \h </w:instrText>
      </w:r>
      <w:r>
        <w:fldChar w:fldCharType="separate"/>
      </w:r>
      <w:r>
        <w:t>217</w:t>
      </w:r>
      <w:r>
        <w:fldChar w:fldCharType="end"/>
      </w:r>
    </w:p>
    <w:p>
      <w:pPr>
        <w:pStyle w:val="TOC8"/>
        <w:rPr>
          <w:sz w:val="24"/>
          <w:szCs w:val="24"/>
        </w:rPr>
      </w:pPr>
      <w:r>
        <w:rPr>
          <w:szCs w:val="22"/>
        </w:rPr>
        <w:t>5.</w:t>
      </w:r>
      <w:r>
        <w:rPr>
          <w:szCs w:val="22"/>
        </w:rPr>
        <w:tab/>
        <w:t>Land exempted under section 19</w:t>
      </w:r>
      <w:r>
        <w:tab/>
      </w:r>
      <w:r>
        <w:fldChar w:fldCharType="begin"/>
      </w:r>
      <w:r>
        <w:instrText xml:space="preserve"> PAGEREF _Toc161209564 \h </w:instrText>
      </w:r>
      <w:r>
        <w:fldChar w:fldCharType="separate"/>
      </w:r>
      <w:r>
        <w:t>219</w:t>
      </w:r>
      <w:r>
        <w:fldChar w:fldCharType="end"/>
      </w:r>
    </w:p>
    <w:p>
      <w:pPr>
        <w:pStyle w:val="TOC8"/>
        <w:rPr>
          <w:sz w:val="24"/>
          <w:szCs w:val="24"/>
        </w:rPr>
      </w:pPr>
      <w:r>
        <w:rPr>
          <w:szCs w:val="22"/>
        </w:rPr>
        <w:t>6.</w:t>
      </w:r>
      <w:r>
        <w:rPr>
          <w:szCs w:val="22"/>
        </w:rPr>
        <w:tab/>
        <w:t>Areas declared under section 57(4), and savings</w:t>
      </w:r>
      <w:r>
        <w:tab/>
      </w:r>
      <w:r>
        <w:fldChar w:fldCharType="begin"/>
      </w:r>
      <w:r>
        <w:instrText xml:space="preserve"> PAGEREF _Toc161209565 \h </w:instrText>
      </w:r>
      <w:r>
        <w:fldChar w:fldCharType="separate"/>
      </w:r>
      <w:r>
        <w:t>219</w:t>
      </w:r>
      <w:r>
        <w:fldChar w:fldCharType="end"/>
      </w:r>
    </w:p>
    <w:p>
      <w:pPr>
        <w:pStyle w:val="TOC8"/>
        <w:rPr>
          <w:sz w:val="24"/>
          <w:szCs w:val="24"/>
        </w:rPr>
      </w:pPr>
      <w:r>
        <w:rPr>
          <w:szCs w:val="22"/>
        </w:rPr>
        <w:t>7.</w:t>
      </w:r>
      <w:r>
        <w:rPr>
          <w:szCs w:val="22"/>
        </w:rPr>
        <w:tab/>
        <w:t>Certain prospecting licences and mining leases may be amalgamated with existing exploration licences</w:t>
      </w:r>
      <w:r>
        <w:tab/>
      </w:r>
      <w:r>
        <w:fldChar w:fldCharType="begin"/>
      </w:r>
      <w:r>
        <w:instrText xml:space="preserve"> PAGEREF _Toc161209566 \h </w:instrText>
      </w:r>
      <w:r>
        <w:fldChar w:fldCharType="separate"/>
      </w:r>
      <w:r>
        <w:t>219</w:t>
      </w:r>
      <w:r>
        <w:fldChar w:fldCharType="end"/>
      </w:r>
    </w:p>
    <w:p>
      <w:pPr>
        <w:pStyle w:val="TOC8"/>
        <w:rPr>
          <w:sz w:val="24"/>
          <w:szCs w:val="24"/>
        </w:rPr>
      </w:pPr>
      <w:r>
        <w:rPr>
          <w:szCs w:val="22"/>
        </w:rPr>
        <w:t>8.</w:t>
      </w:r>
      <w:r>
        <w:rPr>
          <w:szCs w:val="22"/>
        </w:rPr>
        <w:tab/>
        <w:t>Prescribed land does not need to be marked out</w:t>
      </w:r>
      <w:r>
        <w:tab/>
      </w:r>
      <w:r>
        <w:fldChar w:fldCharType="begin"/>
      </w:r>
      <w:r>
        <w:instrText xml:space="preserve"> PAGEREF _Toc161209567 \h </w:instrText>
      </w:r>
      <w:r>
        <w:fldChar w:fldCharType="separate"/>
      </w:r>
      <w:r>
        <w:t>220</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_Toc161209569 \h </w:instrText>
      </w:r>
      <w:r>
        <w:fldChar w:fldCharType="separate"/>
      </w:r>
      <w:r>
        <w:t>221</w:t>
      </w:r>
      <w:r>
        <w:fldChar w:fldCharType="end"/>
      </w:r>
    </w:p>
    <w:p>
      <w:pPr>
        <w:pStyle w:val="TOC8"/>
        <w:rPr>
          <w:sz w:val="24"/>
        </w:rPr>
      </w:pPr>
      <w:r>
        <w:tab/>
        <w:t>Provisions that have not come into operation</w:t>
      </w:r>
      <w:r>
        <w:tab/>
      </w:r>
      <w:r>
        <w:fldChar w:fldCharType="begin"/>
      </w:r>
      <w:r>
        <w:instrText xml:space="preserve"> PAGEREF _Toc161209570 \h </w:instrText>
      </w:r>
      <w:r>
        <w:fldChar w:fldCharType="separate"/>
      </w:r>
      <w:r>
        <w:t>226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2" w:name="_Toc74978806"/>
      <w:bookmarkStart w:id="3" w:name="_Toc74979070"/>
      <w:bookmarkStart w:id="4" w:name="_Toc79976368"/>
      <w:bookmarkStart w:id="5" w:name="_Toc80759639"/>
      <w:bookmarkStart w:id="6" w:name="_Toc80783402"/>
      <w:bookmarkStart w:id="7" w:name="_Toc94931069"/>
      <w:bookmarkStart w:id="8" w:name="_Toc104275192"/>
      <w:bookmarkStart w:id="9" w:name="_Toc104276523"/>
      <w:bookmarkStart w:id="10" w:name="_Toc107198744"/>
      <w:bookmarkStart w:id="11" w:name="_Toc107799195"/>
      <w:bookmarkStart w:id="12" w:name="_Toc127087202"/>
      <w:bookmarkStart w:id="13" w:name="_Toc127183494"/>
      <w:bookmarkStart w:id="14" w:name="_Toc127337915"/>
      <w:bookmarkStart w:id="15" w:name="_Toc128386236"/>
      <w:bookmarkStart w:id="16" w:name="_Toc129150083"/>
      <w:bookmarkStart w:id="17" w:name="_Toc129587365"/>
      <w:bookmarkStart w:id="18" w:name="_Toc131477059"/>
      <w:bookmarkStart w:id="19" w:name="_Toc132106435"/>
      <w:bookmarkStart w:id="20" w:name="_Toc132168968"/>
      <w:bookmarkStart w:id="21" w:name="_Toc132442962"/>
      <w:bookmarkStart w:id="22" w:name="_Toc132523864"/>
      <w:bookmarkStart w:id="23" w:name="_Toc132702733"/>
      <w:bookmarkStart w:id="24" w:name="_Toc139167826"/>
      <w:bookmarkStart w:id="25" w:name="_Toc139433518"/>
      <w:bookmarkStart w:id="26" w:name="_Toc161202832"/>
      <w:bookmarkStart w:id="27" w:name="_Toc16120928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4633016"/>
      <w:bookmarkStart w:id="29" w:name="_Toc488740165"/>
      <w:bookmarkStart w:id="30" w:name="_Toc8623536"/>
      <w:bookmarkStart w:id="31" w:name="_Toc11229377"/>
      <w:bookmarkStart w:id="32" w:name="_Toc104276524"/>
      <w:bookmarkStart w:id="33" w:name="_Toc161209285"/>
      <w:r>
        <w:rPr>
          <w:rStyle w:val="CharSectno"/>
        </w:rPr>
        <w:t>1</w:t>
      </w:r>
      <w:r>
        <w:rPr>
          <w:snapToGrid w:val="0"/>
        </w:rPr>
        <w:t>.</w:t>
      </w:r>
      <w:r>
        <w:rPr>
          <w:snapToGrid w:val="0"/>
        </w:rPr>
        <w:tab/>
        <w:t>Citation and commencement</w:t>
      </w:r>
      <w:bookmarkEnd w:id="28"/>
      <w:bookmarkEnd w:id="29"/>
      <w:bookmarkEnd w:id="30"/>
      <w:bookmarkEnd w:id="31"/>
      <w:bookmarkEnd w:id="32"/>
      <w:bookmarkEnd w:id="33"/>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xml:space="preserve"> 1</w:t>
      </w:r>
      <w:r>
        <w:rPr>
          <w:snapToGrid w:val="0"/>
        </w:rPr>
        <w:t>.</w:t>
      </w:r>
    </w:p>
    <w:p>
      <w:pPr>
        <w:pStyle w:val="Heading5"/>
        <w:rPr>
          <w:snapToGrid w:val="0"/>
        </w:rPr>
      </w:pPr>
      <w:bookmarkStart w:id="34" w:name="_Toc474633017"/>
      <w:bookmarkStart w:id="35" w:name="_Toc488740166"/>
      <w:bookmarkStart w:id="36" w:name="_Toc8623537"/>
      <w:bookmarkStart w:id="37" w:name="_Toc11229378"/>
      <w:bookmarkStart w:id="38" w:name="_Toc104276525"/>
      <w:bookmarkStart w:id="39" w:name="_Toc161209286"/>
      <w:r>
        <w:rPr>
          <w:rStyle w:val="CharSectno"/>
        </w:rPr>
        <w:t>2</w:t>
      </w:r>
      <w:r>
        <w:rPr>
          <w:snapToGrid w:val="0"/>
        </w:rPr>
        <w:t>.</w:t>
      </w:r>
      <w:r>
        <w:rPr>
          <w:snapToGrid w:val="0"/>
        </w:rPr>
        <w:tab/>
      </w:r>
      <w:bookmarkEnd w:id="34"/>
      <w:bookmarkEnd w:id="35"/>
      <w:bookmarkEnd w:id="36"/>
      <w:bookmarkEnd w:id="37"/>
      <w:bookmarkEnd w:id="38"/>
      <w:r>
        <w:rPr>
          <w:snapToGrid w:val="0"/>
        </w:rPr>
        <w:t>Terms used in these regulations</w:t>
      </w:r>
      <w:bookmarkEnd w:id="39"/>
    </w:p>
    <w:p>
      <w:pPr>
        <w:pStyle w:val="Subsection"/>
        <w:rPr>
          <w:snapToGrid w:val="0"/>
        </w:rPr>
      </w:pPr>
      <w:r>
        <w:rPr>
          <w:snapToGrid w:val="0"/>
        </w:rPr>
        <w:tab/>
      </w:r>
      <w:r>
        <w:rPr>
          <w:snapToGrid w:val="0"/>
        </w:rPr>
        <w:tab/>
        <w:t>In these regulations unless the contrary intention appears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8; 13 Oct 1995 p. 4814; 3 Feb 2006 p. 575-6.]</w:t>
      </w:r>
    </w:p>
    <w:p>
      <w:pPr>
        <w:pStyle w:val="Heading2"/>
      </w:pPr>
      <w:bookmarkStart w:id="40" w:name="_Toc74978809"/>
      <w:bookmarkStart w:id="41" w:name="_Toc74979073"/>
      <w:bookmarkStart w:id="42" w:name="_Toc79976371"/>
      <w:bookmarkStart w:id="43" w:name="_Toc80759642"/>
      <w:bookmarkStart w:id="44" w:name="_Toc80783405"/>
      <w:bookmarkStart w:id="45" w:name="_Toc94931072"/>
      <w:bookmarkStart w:id="46" w:name="_Toc104275195"/>
      <w:bookmarkStart w:id="47" w:name="_Toc104276526"/>
      <w:bookmarkStart w:id="48" w:name="_Toc107198747"/>
      <w:bookmarkStart w:id="49" w:name="_Toc107799198"/>
      <w:bookmarkStart w:id="50" w:name="_Toc127087205"/>
      <w:bookmarkStart w:id="51" w:name="_Toc127183497"/>
      <w:bookmarkStart w:id="52" w:name="_Toc127337918"/>
      <w:bookmarkStart w:id="53" w:name="_Toc128386239"/>
      <w:bookmarkStart w:id="54" w:name="_Toc129150086"/>
      <w:bookmarkStart w:id="55" w:name="_Toc129587368"/>
      <w:bookmarkStart w:id="56" w:name="_Toc131477062"/>
      <w:bookmarkStart w:id="57" w:name="_Toc132106438"/>
      <w:bookmarkStart w:id="58" w:name="_Toc132168971"/>
      <w:bookmarkStart w:id="59" w:name="_Toc132442965"/>
      <w:bookmarkStart w:id="60" w:name="_Toc132523867"/>
      <w:bookmarkStart w:id="61" w:name="_Toc132702736"/>
      <w:bookmarkStart w:id="62" w:name="_Toc139167829"/>
      <w:bookmarkStart w:id="63" w:name="_Toc139433521"/>
      <w:bookmarkStart w:id="64" w:name="_Toc161202835"/>
      <w:bookmarkStart w:id="65" w:name="_Toc161209287"/>
      <w:r>
        <w:rPr>
          <w:rStyle w:val="CharPartNo"/>
        </w:rPr>
        <w:t>Part II</w:t>
      </w:r>
      <w:r>
        <w:rPr>
          <w:rStyle w:val="CharDivNo"/>
        </w:rPr>
        <w:t> </w:t>
      </w:r>
      <w:r>
        <w:t>—</w:t>
      </w:r>
      <w:r>
        <w:rPr>
          <w:rStyle w:val="CharDivText"/>
        </w:rPr>
        <w:t> </w:t>
      </w:r>
      <w:r>
        <w:rPr>
          <w:rStyle w:val="CharPartText"/>
        </w:rPr>
        <w:t>Miner’s Rights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474633018"/>
      <w:bookmarkStart w:id="67" w:name="_Toc488740167"/>
      <w:bookmarkStart w:id="68" w:name="_Toc8623538"/>
      <w:bookmarkStart w:id="69" w:name="_Toc11229379"/>
      <w:bookmarkStart w:id="70" w:name="_Toc104276527"/>
      <w:bookmarkStart w:id="71" w:name="_Toc161209288"/>
      <w:r>
        <w:rPr>
          <w:rStyle w:val="CharSectno"/>
        </w:rPr>
        <w:t>3</w:t>
      </w:r>
      <w:r>
        <w:rPr>
          <w:snapToGrid w:val="0"/>
        </w:rPr>
        <w:t>.</w:t>
      </w:r>
      <w:r>
        <w:rPr>
          <w:snapToGrid w:val="0"/>
        </w:rPr>
        <w:tab/>
        <w:t>Form of Miner’s Rights</w:t>
      </w:r>
      <w:bookmarkEnd w:id="66"/>
      <w:bookmarkEnd w:id="67"/>
      <w:bookmarkEnd w:id="68"/>
      <w:bookmarkEnd w:id="69"/>
      <w:bookmarkEnd w:id="70"/>
      <w:bookmarkEnd w:id="71"/>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72" w:name="_Toc474633019"/>
      <w:bookmarkStart w:id="73" w:name="_Toc488740168"/>
      <w:bookmarkStart w:id="74" w:name="_Toc8623539"/>
      <w:bookmarkStart w:id="75" w:name="_Toc11229380"/>
      <w:bookmarkStart w:id="76" w:name="_Toc104276528"/>
      <w:bookmarkStart w:id="77" w:name="_Toc161209289"/>
      <w:r>
        <w:rPr>
          <w:rStyle w:val="CharSectno"/>
        </w:rPr>
        <w:t>4</w:t>
      </w:r>
      <w:r>
        <w:rPr>
          <w:snapToGrid w:val="0"/>
        </w:rPr>
        <w:t>.</w:t>
      </w:r>
      <w:r>
        <w:rPr>
          <w:snapToGrid w:val="0"/>
        </w:rPr>
        <w:tab/>
        <w:t>Quantity of samples or specimens</w:t>
      </w:r>
      <w:bookmarkEnd w:id="72"/>
      <w:bookmarkEnd w:id="73"/>
      <w:bookmarkEnd w:id="74"/>
      <w:bookmarkEnd w:id="75"/>
      <w:bookmarkEnd w:id="76"/>
      <w:bookmarkEnd w:id="77"/>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78" w:name="_Toc74978812"/>
      <w:bookmarkStart w:id="79" w:name="_Toc74979076"/>
      <w:bookmarkStart w:id="80" w:name="_Toc79976374"/>
      <w:bookmarkStart w:id="81" w:name="_Toc80759645"/>
      <w:bookmarkStart w:id="82" w:name="_Toc80783408"/>
      <w:bookmarkStart w:id="83" w:name="_Toc94931075"/>
      <w:bookmarkStart w:id="84" w:name="_Toc104275198"/>
      <w:bookmarkStart w:id="85" w:name="_Toc104276529"/>
      <w:bookmarkStart w:id="86" w:name="_Toc107198750"/>
      <w:bookmarkStart w:id="87" w:name="_Toc107799201"/>
      <w:bookmarkStart w:id="88" w:name="_Toc127087208"/>
      <w:bookmarkStart w:id="89" w:name="_Toc127183500"/>
      <w:bookmarkStart w:id="90" w:name="_Toc127337921"/>
      <w:bookmarkStart w:id="91" w:name="_Toc128386242"/>
      <w:bookmarkStart w:id="92" w:name="_Toc129150089"/>
      <w:bookmarkStart w:id="93" w:name="_Toc129587371"/>
      <w:bookmarkStart w:id="94" w:name="_Toc131477065"/>
      <w:bookmarkStart w:id="95" w:name="_Toc132106441"/>
      <w:bookmarkStart w:id="96" w:name="_Toc132168974"/>
      <w:bookmarkStart w:id="97" w:name="_Toc132442968"/>
      <w:bookmarkStart w:id="98" w:name="_Toc132523870"/>
      <w:bookmarkStart w:id="99" w:name="_Toc132702739"/>
      <w:bookmarkStart w:id="100" w:name="_Toc139167832"/>
      <w:bookmarkStart w:id="101" w:name="_Toc139433524"/>
      <w:bookmarkStart w:id="102" w:name="_Toc161202838"/>
      <w:bookmarkStart w:id="103" w:name="_Toc161209290"/>
      <w:r>
        <w:rPr>
          <w:rStyle w:val="CharPartNo"/>
        </w:rPr>
        <w:t>Part IIA</w:t>
      </w:r>
      <w:r>
        <w:t> — </w:t>
      </w:r>
      <w:r>
        <w:rPr>
          <w:rStyle w:val="CharPartText"/>
        </w:rPr>
        <w:t>Permits under section 20A</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ind w:left="890"/>
      </w:pPr>
      <w:r>
        <w:tab/>
        <w:t>[Heading inserted in Gazette 2 Feb 2001 p. 705.]</w:t>
      </w:r>
    </w:p>
    <w:p>
      <w:pPr>
        <w:pStyle w:val="Heading5"/>
      </w:pPr>
      <w:bookmarkStart w:id="104" w:name="_Toc8623540"/>
      <w:bookmarkStart w:id="105" w:name="_Toc11229381"/>
      <w:bookmarkStart w:id="106" w:name="_Toc104276530"/>
      <w:bookmarkStart w:id="107" w:name="_Toc161209291"/>
      <w:r>
        <w:rPr>
          <w:rStyle w:val="CharSectno"/>
        </w:rPr>
        <w:t>4A</w:t>
      </w:r>
      <w:r>
        <w:t>.</w:t>
      </w:r>
      <w:r>
        <w:tab/>
      </w:r>
      <w:bookmarkEnd w:id="104"/>
      <w:bookmarkEnd w:id="105"/>
      <w:bookmarkEnd w:id="106"/>
      <w:r>
        <w:t>Terms used in this Part</w:t>
      </w:r>
      <w:bookmarkEnd w:id="107"/>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108" w:name="_Toc8623541"/>
      <w:bookmarkStart w:id="109" w:name="_Toc11229382"/>
      <w:bookmarkStart w:id="110" w:name="_Toc104276531"/>
      <w:bookmarkStart w:id="111" w:name="_Toc161209292"/>
      <w:r>
        <w:rPr>
          <w:rStyle w:val="CharSectno"/>
        </w:rPr>
        <w:t>4B</w:t>
      </w:r>
      <w:r>
        <w:t>.</w:t>
      </w:r>
      <w:r>
        <w:tab/>
        <w:t>Prescribed office — section 20A(1)</w:t>
      </w:r>
      <w:bookmarkEnd w:id="108"/>
      <w:bookmarkEnd w:id="109"/>
      <w:bookmarkEnd w:id="110"/>
      <w:bookmarkEnd w:id="111"/>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112" w:name="_Toc8623542"/>
      <w:bookmarkStart w:id="113" w:name="_Toc11229383"/>
      <w:bookmarkStart w:id="114" w:name="_Toc104276532"/>
      <w:bookmarkStart w:id="115" w:name="_Toc161209293"/>
      <w:r>
        <w:rPr>
          <w:rStyle w:val="CharSectno"/>
        </w:rPr>
        <w:t>4C</w:t>
      </w:r>
      <w:r>
        <w:t>.</w:t>
      </w:r>
      <w:r>
        <w:tab/>
        <w:t>Prescribed depth — section 20A(6)(b)</w:t>
      </w:r>
      <w:bookmarkEnd w:id="112"/>
      <w:bookmarkEnd w:id="113"/>
      <w:bookmarkEnd w:id="114"/>
      <w:bookmarkEnd w:id="115"/>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116" w:name="_Toc8623543"/>
      <w:bookmarkStart w:id="117" w:name="_Toc11229384"/>
      <w:bookmarkStart w:id="118" w:name="_Toc104276533"/>
      <w:bookmarkStart w:id="119" w:name="_Toc161209294"/>
      <w:r>
        <w:rPr>
          <w:rStyle w:val="CharSectno"/>
        </w:rPr>
        <w:t>4D</w:t>
      </w:r>
      <w:r>
        <w:t>.</w:t>
      </w:r>
      <w:r>
        <w:tab/>
        <w:t>Application for permit</w:t>
      </w:r>
      <w:bookmarkEnd w:id="116"/>
      <w:bookmarkEnd w:id="117"/>
      <w:bookmarkEnd w:id="118"/>
      <w:bookmarkEnd w:id="119"/>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120" w:name="_Toc8623544"/>
      <w:bookmarkStart w:id="121" w:name="_Toc11229385"/>
      <w:bookmarkStart w:id="122" w:name="_Toc104276534"/>
      <w:bookmarkStart w:id="123" w:name="_Toc161209295"/>
      <w:r>
        <w:rPr>
          <w:rStyle w:val="CharSectno"/>
        </w:rPr>
        <w:t>4E</w:t>
      </w:r>
      <w:r>
        <w:t>.</w:t>
      </w:r>
      <w:r>
        <w:tab/>
        <w:t>Area of land to which permit applies</w:t>
      </w:r>
      <w:bookmarkEnd w:id="120"/>
      <w:bookmarkEnd w:id="121"/>
      <w:bookmarkEnd w:id="122"/>
      <w:bookmarkEnd w:id="123"/>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124" w:name="_Toc8623545"/>
      <w:bookmarkStart w:id="125" w:name="_Toc11229386"/>
      <w:bookmarkStart w:id="126" w:name="_Toc104276535"/>
      <w:bookmarkStart w:id="127" w:name="_Toc161209296"/>
      <w:r>
        <w:rPr>
          <w:rStyle w:val="CharSectno"/>
        </w:rPr>
        <w:t>4F</w:t>
      </w:r>
      <w:r>
        <w:t>.</w:t>
      </w:r>
      <w:r>
        <w:tab/>
        <w:t>Permit conditions</w:t>
      </w:r>
      <w:bookmarkEnd w:id="124"/>
      <w:bookmarkEnd w:id="125"/>
      <w:bookmarkEnd w:id="126"/>
      <w:bookmarkEnd w:id="12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128" w:name="_Toc8623546"/>
      <w:bookmarkStart w:id="129" w:name="_Toc11229387"/>
      <w:bookmarkStart w:id="130" w:name="_Toc104276536"/>
      <w:bookmarkStart w:id="131" w:name="_Toc161209297"/>
      <w:r>
        <w:rPr>
          <w:rStyle w:val="CharSectno"/>
        </w:rPr>
        <w:t>4G</w:t>
      </w:r>
      <w:r>
        <w:t>.</w:t>
      </w:r>
      <w:r>
        <w:tab/>
        <w:t>Notice of issue of permit</w:t>
      </w:r>
      <w:bookmarkEnd w:id="128"/>
      <w:bookmarkEnd w:id="129"/>
      <w:bookmarkEnd w:id="130"/>
      <w:bookmarkEnd w:id="131"/>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132" w:name="_Toc8623547"/>
      <w:bookmarkStart w:id="133" w:name="_Toc11229388"/>
      <w:bookmarkStart w:id="134" w:name="_Toc104276537"/>
      <w:bookmarkStart w:id="135" w:name="_Toc161209298"/>
      <w:r>
        <w:rPr>
          <w:rStyle w:val="CharSectno"/>
        </w:rPr>
        <w:t>4H</w:t>
      </w:r>
      <w:r>
        <w:t>.</w:t>
      </w:r>
      <w:r>
        <w:tab/>
        <w:t xml:space="preserve">Statement by holder of exploration </w:t>
      </w:r>
      <w:bookmarkEnd w:id="132"/>
      <w:r>
        <w:t>licence</w:t>
      </w:r>
      <w:bookmarkEnd w:id="133"/>
      <w:bookmarkEnd w:id="134"/>
      <w:bookmarkEnd w:id="135"/>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136" w:name="_Toc8623548"/>
      <w:bookmarkStart w:id="137" w:name="_Toc11229389"/>
      <w:bookmarkStart w:id="138" w:name="_Toc104276538"/>
      <w:bookmarkStart w:id="139" w:name="_Toc161209299"/>
      <w:r>
        <w:rPr>
          <w:rStyle w:val="CharSectno"/>
        </w:rPr>
        <w:t>4I</w:t>
      </w:r>
      <w:r>
        <w:t>.</w:t>
      </w:r>
      <w:r>
        <w:tab/>
        <w:t>Commencement of operation of permit</w:t>
      </w:r>
      <w:bookmarkEnd w:id="136"/>
      <w:bookmarkEnd w:id="137"/>
      <w:bookmarkEnd w:id="138"/>
      <w:bookmarkEnd w:id="139"/>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140" w:name="_Toc8623549"/>
      <w:bookmarkStart w:id="141" w:name="_Toc11229390"/>
      <w:bookmarkStart w:id="142" w:name="_Toc104276539"/>
      <w:bookmarkStart w:id="143" w:name="_Toc161209300"/>
      <w:r>
        <w:rPr>
          <w:rStyle w:val="CharSectno"/>
        </w:rPr>
        <w:t>4J</w:t>
      </w:r>
      <w:r>
        <w:t>.</w:t>
      </w:r>
      <w:r>
        <w:tab/>
        <w:t>Expiry of permit</w:t>
      </w:r>
      <w:bookmarkEnd w:id="140"/>
      <w:bookmarkEnd w:id="141"/>
      <w:bookmarkEnd w:id="142"/>
      <w:bookmarkEnd w:id="143"/>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44" w:name="_Toc8623550"/>
      <w:bookmarkStart w:id="145" w:name="_Toc11229391"/>
      <w:bookmarkStart w:id="146" w:name="_Toc104276540"/>
      <w:bookmarkStart w:id="147" w:name="_Toc161209301"/>
      <w:r>
        <w:rPr>
          <w:rStyle w:val="CharSectno"/>
        </w:rPr>
        <w:t>4K</w:t>
      </w:r>
      <w:r>
        <w:t>.</w:t>
      </w:r>
      <w:r>
        <w:tab/>
        <w:t>Surrender of permit</w:t>
      </w:r>
      <w:bookmarkEnd w:id="144"/>
      <w:bookmarkEnd w:id="145"/>
      <w:bookmarkEnd w:id="146"/>
      <w:bookmarkEnd w:id="147"/>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48" w:name="_Toc8623551"/>
      <w:bookmarkStart w:id="149" w:name="_Toc11229392"/>
      <w:bookmarkStart w:id="150" w:name="_Toc104276541"/>
      <w:bookmarkStart w:id="151" w:name="_Toc161209302"/>
      <w:r>
        <w:rPr>
          <w:rStyle w:val="CharSectno"/>
        </w:rPr>
        <w:t>4L</w:t>
      </w:r>
      <w:r>
        <w:t>.</w:t>
      </w:r>
      <w:r>
        <w:tab/>
        <w:t>Powers available to Minister where breach of condition, etc.</w:t>
      </w:r>
      <w:bookmarkEnd w:id="148"/>
      <w:bookmarkEnd w:id="149"/>
      <w:bookmarkEnd w:id="150"/>
      <w:bookmarkEnd w:id="151"/>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52" w:name="_Toc8623552"/>
      <w:bookmarkStart w:id="153" w:name="_Toc11229393"/>
      <w:bookmarkStart w:id="154" w:name="_Toc104276542"/>
      <w:bookmarkStart w:id="155" w:name="_Toc161209303"/>
      <w:r>
        <w:rPr>
          <w:rStyle w:val="CharSectno"/>
        </w:rPr>
        <w:t>4M</w:t>
      </w:r>
      <w:r>
        <w:t>.</w:t>
      </w:r>
      <w:r>
        <w:tab/>
        <w:t>Right of permit holder to make submissions</w:t>
      </w:r>
      <w:bookmarkEnd w:id="152"/>
      <w:bookmarkEnd w:id="153"/>
      <w:bookmarkEnd w:id="154"/>
      <w:bookmarkEnd w:id="155"/>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56" w:name="_Toc8623553"/>
      <w:bookmarkStart w:id="157" w:name="_Toc11229394"/>
      <w:bookmarkStart w:id="158" w:name="_Toc104276543"/>
      <w:bookmarkStart w:id="159" w:name="_Toc161209304"/>
      <w:r>
        <w:rPr>
          <w:rStyle w:val="CharSectno"/>
        </w:rPr>
        <w:t>4N</w:t>
      </w:r>
      <w:r>
        <w:t>.</w:t>
      </w:r>
      <w:r>
        <w:tab/>
        <w:t>Prospecting report on recovered minerals</w:t>
      </w:r>
      <w:bookmarkEnd w:id="156"/>
      <w:bookmarkEnd w:id="157"/>
      <w:bookmarkEnd w:id="158"/>
      <w:bookmarkEnd w:id="159"/>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60" w:name="_Toc8623554"/>
      <w:bookmarkStart w:id="161" w:name="_Toc11229395"/>
      <w:bookmarkStart w:id="162" w:name="_Toc104276544"/>
      <w:bookmarkStart w:id="163" w:name="_Toc161209305"/>
      <w:r>
        <w:rPr>
          <w:rStyle w:val="CharSectno"/>
        </w:rPr>
        <w:t>4O</w:t>
      </w:r>
      <w:r>
        <w:t>.</w:t>
      </w:r>
      <w:r>
        <w:tab/>
        <w:t>Prohibition of use of certain hand tools</w:t>
      </w:r>
      <w:bookmarkEnd w:id="160"/>
      <w:bookmarkEnd w:id="161"/>
      <w:bookmarkEnd w:id="162"/>
      <w:bookmarkEnd w:id="163"/>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64" w:name="_Toc8623555"/>
      <w:bookmarkStart w:id="165" w:name="_Toc11229396"/>
      <w:bookmarkStart w:id="166" w:name="_Toc104276545"/>
      <w:bookmarkStart w:id="167" w:name="_Toc161209306"/>
      <w:r>
        <w:rPr>
          <w:rStyle w:val="CharSectno"/>
        </w:rPr>
        <w:t>4P</w:t>
      </w:r>
      <w:r>
        <w:t>.</w:t>
      </w:r>
      <w:r>
        <w:tab/>
        <w:t>Application of regulations 98 and 99</w:t>
      </w:r>
      <w:bookmarkEnd w:id="164"/>
      <w:bookmarkEnd w:id="165"/>
      <w:bookmarkEnd w:id="166"/>
      <w:bookmarkEnd w:id="16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68" w:name="_Toc74978829"/>
      <w:bookmarkStart w:id="169" w:name="_Toc74979093"/>
      <w:bookmarkStart w:id="170" w:name="_Toc79976391"/>
      <w:bookmarkStart w:id="171" w:name="_Toc80759662"/>
      <w:bookmarkStart w:id="172" w:name="_Toc80783425"/>
      <w:bookmarkStart w:id="173" w:name="_Toc94931092"/>
      <w:bookmarkStart w:id="174" w:name="_Toc104275215"/>
      <w:bookmarkStart w:id="175" w:name="_Toc104276546"/>
      <w:bookmarkStart w:id="176" w:name="_Toc107198767"/>
      <w:bookmarkStart w:id="177" w:name="_Toc107799218"/>
      <w:bookmarkStart w:id="178" w:name="_Toc127087225"/>
      <w:bookmarkStart w:id="179" w:name="_Toc127183517"/>
      <w:bookmarkStart w:id="180" w:name="_Toc127337938"/>
      <w:bookmarkStart w:id="181" w:name="_Toc128386259"/>
      <w:bookmarkStart w:id="182" w:name="_Toc129150106"/>
      <w:bookmarkStart w:id="183" w:name="_Toc129587388"/>
      <w:bookmarkStart w:id="184" w:name="_Toc131477082"/>
      <w:bookmarkStart w:id="185" w:name="_Toc132106458"/>
      <w:bookmarkStart w:id="186" w:name="_Toc132168991"/>
      <w:bookmarkStart w:id="187" w:name="_Toc132442985"/>
      <w:bookmarkStart w:id="188" w:name="_Toc132523887"/>
      <w:bookmarkStart w:id="189" w:name="_Toc132702756"/>
      <w:bookmarkStart w:id="190" w:name="_Toc139167849"/>
      <w:bookmarkStart w:id="191" w:name="_Toc139433541"/>
      <w:bookmarkStart w:id="192" w:name="_Toc161202855"/>
      <w:bookmarkStart w:id="193" w:name="_Toc161209307"/>
      <w:r>
        <w:rPr>
          <w:rStyle w:val="CharPartNo"/>
        </w:rPr>
        <w:t>Part III</w:t>
      </w:r>
      <w:r>
        <w:rPr>
          <w:rStyle w:val="CharDivNo"/>
        </w:rPr>
        <w:t> </w:t>
      </w:r>
      <w:r>
        <w:t>—</w:t>
      </w:r>
      <w:r>
        <w:rPr>
          <w:rStyle w:val="CharDivText"/>
        </w:rPr>
        <w:t> </w:t>
      </w:r>
      <w:r>
        <w:rPr>
          <w:rStyle w:val="CharPartText"/>
        </w:rPr>
        <w:t>Mining on private land</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74633020"/>
      <w:bookmarkStart w:id="195" w:name="_Toc488740169"/>
      <w:bookmarkStart w:id="196" w:name="_Toc8623556"/>
      <w:bookmarkStart w:id="197" w:name="_Toc11229397"/>
      <w:bookmarkStart w:id="198" w:name="_Toc104276547"/>
      <w:bookmarkStart w:id="199" w:name="_Toc161209308"/>
      <w:r>
        <w:rPr>
          <w:rStyle w:val="CharSectno"/>
        </w:rPr>
        <w:t>5</w:t>
      </w:r>
      <w:r>
        <w:rPr>
          <w:snapToGrid w:val="0"/>
        </w:rPr>
        <w:t>.</w:t>
      </w:r>
      <w:r>
        <w:rPr>
          <w:snapToGrid w:val="0"/>
        </w:rPr>
        <w:tab/>
        <w:t>Application for permit to enter private land</w:t>
      </w:r>
      <w:bookmarkEnd w:id="194"/>
      <w:bookmarkEnd w:id="195"/>
      <w:bookmarkEnd w:id="196"/>
      <w:bookmarkEnd w:id="197"/>
      <w:bookmarkEnd w:id="198"/>
      <w:bookmarkEnd w:id="199"/>
    </w:p>
    <w:p>
      <w:pPr>
        <w:pStyle w:val="Subsection"/>
        <w:rPr>
          <w:snapToGrid w:val="0"/>
        </w:rPr>
      </w:pPr>
      <w:r>
        <w:rPr>
          <w:snapToGrid w:val="0"/>
        </w:rPr>
        <w:tab/>
      </w:r>
      <w:r>
        <w:rPr>
          <w:snapToGrid w:val="0"/>
        </w:rPr>
        <w:tab/>
        <w:t>Application under section 30 of the Act for a permit to enter on any private land shall be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Footnotesection"/>
      </w:pPr>
      <w:r>
        <w:tab/>
        <w:t>[Regulation 5 amended in Gazette 31 Jul 1992 p. 3775.]</w:t>
      </w:r>
    </w:p>
    <w:p>
      <w:pPr>
        <w:pStyle w:val="Heading5"/>
        <w:rPr>
          <w:snapToGrid w:val="0"/>
        </w:rPr>
      </w:pPr>
      <w:bookmarkStart w:id="200" w:name="_Toc474633021"/>
      <w:bookmarkStart w:id="201" w:name="_Toc488740170"/>
      <w:bookmarkStart w:id="202" w:name="_Toc8623557"/>
      <w:bookmarkStart w:id="203" w:name="_Toc11229398"/>
      <w:bookmarkStart w:id="204" w:name="_Toc104276548"/>
      <w:bookmarkStart w:id="205" w:name="_Toc161209309"/>
      <w:r>
        <w:rPr>
          <w:rStyle w:val="CharSectno"/>
        </w:rPr>
        <w:t>6</w:t>
      </w:r>
      <w:r>
        <w:rPr>
          <w:snapToGrid w:val="0"/>
        </w:rPr>
        <w:t>.</w:t>
      </w:r>
      <w:r>
        <w:rPr>
          <w:snapToGrid w:val="0"/>
        </w:rPr>
        <w:tab/>
        <w:t>Form of permit to enter</w:t>
      </w:r>
      <w:bookmarkEnd w:id="200"/>
      <w:bookmarkEnd w:id="201"/>
      <w:bookmarkEnd w:id="202"/>
      <w:bookmarkEnd w:id="203"/>
      <w:bookmarkEnd w:id="204"/>
      <w:bookmarkEnd w:id="205"/>
    </w:p>
    <w:p>
      <w:pPr>
        <w:pStyle w:val="Subsection"/>
        <w:rPr>
          <w:snapToGrid w:val="0"/>
        </w:rPr>
      </w:pPr>
      <w:r>
        <w:rPr>
          <w:snapToGrid w:val="0"/>
        </w:rPr>
        <w:tab/>
      </w:r>
      <w:r>
        <w:rPr>
          <w:snapToGrid w:val="0"/>
        </w:rPr>
        <w:tab/>
        <w:t>A permit to enter upon private land shall be in the form No. 3 in the First Schedule.</w:t>
      </w:r>
    </w:p>
    <w:p>
      <w:pPr>
        <w:pStyle w:val="Heading5"/>
        <w:rPr>
          <w:snapToGrid w:val="0"/>
        </w:rPr>
      </w:pPr>
      <w:bookmarkStart w:id="206" w:name="_Toc474633022"/>
      <w:bookmarkStart w:id="207" w:name="_Toc488740171"/>
      <w:bookmarkStart w:id="208" w:name="_Toc8623558"/>
      <w:bookmarkStart w:id="209" w:name="_Toc11229399"/>
      <w:bookmarkStart w:id="210" w:name="_Toc104276549"/>
      <w:bookmarkStart w:id="211" w:name="_Toc161209310"/>
      <w:r>
        <w:rPr>
          <w:rStyle w:val="CharSectno"/>
        </w:rPr>
        <w:t>7</w:t>
      </w:r>
      <w:r>
        <w:rPr>
          <w:snapToGrid w:val="0"/>
        </w:rPr>
        <w:t>.</w:t>
      </w:r>
      <w:r>
        <w:rPr>
          <w:snapToGrid w:val="0"/>
        </w:rPr>
        <w:tab/>
        <w:t>Notice of application relating to private land</w:t>
      </w:r>
      <w:bookmarkEnd w:id="206"/>
      <w:bookmarkEnd w:id="207"/>
      <w:bookmarkEnd w:id="208"/>
      <w:bookmarkEnd w:id="209"/>
      <w:bookmarkEnd w:id="210"/>
      <w:bookmarkEnd w:id="211"/>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 application.</w:t>
      </w:r>
    </w:p>
    <w:p>
      <w:pPr>
        <w:pStyle w:val="Subsection"/>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w:t>
      </w:r>
    </w:p>
    <w:p>
      <w:pPr>
        <w:pStyle w:val="Heading5"/>
        <w:rPr>
          <w:snapToGrid w:val="0"/>
        </w:rPr>
      </w:pPr>
      <w:bookmarkStart w:id="212" w:name="_Toc474633023"/>
      <w:bookmarkStart w:id="213" w:name="_Toc488740172"/>
      <w:bookmarkStart w:id="214" w:name="_Toc8623559"/>
      <w:bookmarkStart w:id="215" w:name="_Toc11229400"/>
      <w:bookmarkStart w:id="216" w:name="_Toc104276550"/>
      <w:bookmarkStart w:id="217" w:name="_Toc161209311"/>
      <w:r>
        <w:rPr>
          <w:rStyle w:val="CharSectno"/>
        </w:rPr>
        <w:t>8</w:t>
      </w:r>
      <w:r>
        <w:rPr>
          <w:snapToGrid w:val="0"/>
        </w:rPr>
        <w:t>.</w:t>
      </w:r>
      <w:r>
        <w:rPr>
          <w:snapToGrid w:val="0"/>
        </w:rPr>
        <w:tab/>
        <w:t>Application to bring private land under the Act</w:t>
      </w:r>
      <w:bookmarkEnd w:id="212"/>
      <w:bookmarkEnd w:id="213"/>
      <w:bookmarkEnd w:id="214"/>
      <w:bookmarkEnd w:id="215"/>
      <w:bookmarkEnd w:id="216"/>
      <w:bookmarkEnd w:id="217"/>
    </w:p>
    <w:p>
      <w:pPr>
        <w:pStyle w:val="Subsection"/>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218" w:name="_Toc474633024"/>
      <w:bookmarkStart w:id="219" w:name="_Toc488740173"/>
      <w:bookmarkStart w:id="220" w:name="_Toc8623560"/>
      <w:bookmarkStart w:id="221" w:name="_Toc11229401"/>
      <w:bookmarkStart w:id="222" w:name="_Toc104276551"/>
      <w:bookmarkStart w:id="223" w:name="_Toc161209312"/>
      <w:r>
        <w:rPr>
          <w:rStyle w:val="CharSectno"/>
        </w:rPr>
        <w:t>9</w:t>
      </w:r>
      <w:r>
        <w:rPr>
          <w:snapToGrid w:val="0"/>
        </w:rPr>
        <w:t>.</w:t>
      </w:r>
      <w:r>
        <w:rPr>
          <w:snapToGrid w:val="0"/>
        </w:rPr>
        <w:tab/>
        <w:t>Right of way on private land</w:t>
      </w:r>
      <w:bookmarkEnd w:id="218"/>
      <w:bookmarkEnd w:id="219"/>
      <w:bookmarkEnd w:id="220"/>
      <w:bookmarkEnd w:id="221"/>
      <w:bookmarkEnd w:id="222"/>
      <w:bookmarkEnd w:id="223"/>
    </w:p>
    <w:p>
      <w:pPr>
        <w:pStyle w:val="Subsection"/>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224" w:name="_Toc474633025"/>
      <w:bookmarkStart w:id="225" w:name="_Toc488740174"/>
      <w:bookmarkStart w:id="226" w:name="_Toc8623561"/>
      <w:bookmarkStart w:id="227" w:name="_Toc11229402"/>
      <w:bookmarkStart w:id="228" w:name="_Toc104276552"/>
      <w:bookmarkStart w:id="229" w:name="_Toc161209313"/>
      <w:r>
        <w:rPr>
          <w:rStyle w:val="CharSectno"/>
        </w:rPr>
        <w:t>10</w:t>
      </w:r>
      <w:r>
        <w:rPr>
          <w:snapToGrid w:val="0"/>
        </w:rPr>
        <w:t>.</w:t>
      </w:r>
      <w:r>
        <w:rPr>
          <w:snapToGrid w:val="0"/>
        </w:rPr>
        <w:tab/>
        <w:t>Consents under section 29</w:t>
      </w:r>
      <w:bookmarkEnd w:id="224"/>
      <w:bookmarkEnd w:id="225"/>
      <w:bookmarkEnd w:id="226"/>
      <w:bookmarkEnd w:id="227"/>
      <w:bookmarkEnd w:id="228"/>
      <w:bookmarkEnd w:id="229"/>
    </w:p>
    <w:p>
      <w:pPr>
        <w:pStyle w:val="Subsection"/>
        <w:rPr>
          <w:snapToGrid w:val="0"/>
        </w:rPr>
      </w:pPr>
      <w:r>
        <w:rPr>
          <w:snapToGrid w:val="0"/>
        </w:rPr>
        <w:tab/>
        <w:t>(1)</w:t>
      </w:r>
      <w:r>
        <w:rPr>
          <w:snapToGrid w:val="0"/>
        </w:rPr>
        <w:tab/>
        <w:t>The consents in writing referred to in section 29(2) shall be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[Regulation 10 inserted in Gazette 2 Oct 1987 p. 3814; amended in Gazette 4 Apr 1997 p. 1778.]</w:t>
      </w:r>
    </w:p>
    <w:p>
      <w:pPr>
        <w:pStyle w:val="Heading5"/>
        <w:rPr>
          <w:snapToGrid w:val="0"/>
        </w:rPr>
      </w:pPr>
      <w:bookmarkStart w:id="230" w:name="_Toc474633026"/>
      <w:bookmarkStart w:id="231" w:name="_Toc488740175"/>
      <w:bookmarkStart w:id="232" w:name="_Toc8623562"/>
      <w:bookmarkStart w:id="233" w:name="_Toc11229403"/>
      <w:bookmarkStart w:id="234" w:name="_Toc104276553"/>
      <w:bookmarkStart w:id="235" w:name="_Toc161209314"/>
      <w:r>
        <w:rPr>
          <w:rStyle w:val="CharSectno"/>
        </w:rPr>
        <w:t>10A</w:t>
      </w:r>
      <w:r>
        <w:rPr>
          <w:snapToGrid w:val="0"/>
        </w:rPr>
        <w:t>.</w:t>
      </w:r>
      <w:r>
        <w:rPr>
          <w:snapToGrid w:val="0"/>
        </w:rPr>
        <w:tab/>
        <w:t>Compensation</w:t>
      </w:r>
      <w:bookmarkEnd w:id="230"/>
      <w:bookmarkEnd w:id="231"/>
      <w:bookmarkEnd w:id="232"/>
      <w:bookmarkEnd w:id="233"/>
      <w:bookmarkEnd w:id="234"/>
      <w:bookmarkEnd w:id="235"/>
    </w:p>
    <w:p>
      <w:pPr>
        <w:pStyle w:val="Subsection"/>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rPr>
          <w:snapToGrid w:val="0"/>
        </w:rPr>
      </w:pPr>
      <w:r>
        <w:rPr>
          <w:snapToGrid w:val="0"/>
        </w:rPr>
        <w:tab/>
        <w:t>(a)</w:t>
      </w:r>
      <w:r>
        <w:rPr>
          <w:snapToGrid w:val="0"/>
        </w:rPr>
        <w:tab/>
        <w:t>fix a date and time for informal proceedings to be heard by the warden;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Attendance at informal proceedings referred to in subregulation (2)(a) is not compulsory and parties may submit written submissions to the warden.</w:t>
      </w:r>
    </w:p>
    <w:p>
      <w:pPr>
        <w:pStyle w:val="Footnotesection"/>
      </w:pPr>
      <w:r>
        <w:tab/>
        <w:t>[Regulation 10A inserted in Gazette 2 Oct 1987 p. 3814.]</w:t>
      </w:r>
    </w:p>
    <w:p>
      <w:pPr>
        <w:pStyle w:val="Heading2"/>
      </w:pPr>
      <w:bookmarkStart w:id="236" w:name="_Toc74978837"/>
      <w:bookmarkStart w:id="237" w:name="_Toc74979101"/>
      <w:bookmarkStart w:id="238" w:name="_Toc79976399"/>
      <w:bookmarkStart w:id="239" w:name="_Toc80759670"/>
      <w:bookmarkStart w:id="240" w:name="_Toc80783433"/>
      <w:bookmarkStart w:id="241" w:name="_Toc94931100"/>
      <w:bookmarkStart w:id="242" w:name="_Toc104275223"/>
      <w:bookmarkStart w:id="243" w:name="_Toc104276554"/>
      <w:bookmarkStart w:id="244" w:name="_Toc107198775"/>
      <w:bookmarkStart w:id="245" w:name="_Toc107799226"/>
      <w:bookmarkStart w:id="246" w:name="_Toc127087233"/>
      <w:bookmarkStart w:id="247" w:name="_Toc127183525"/>
      <w:bookmarkStart w:id="248" w:name="_Toc127337946"/>
      <w:bookmarkStart w:id="249" w:name="_Toc128386267"/>
      <w:bookmarkStart w:id="250" w:name="_Toc129150114"/>
      <w:bookmarkStart w:id="251" w:name="_Toc129587396"/>
      <w:bookmarkStart w:id="252" w:name="_Toc131477090"/>
      <w:bookmarkStart w:id="253" w:name="_Toc132106466"/>
      <w:bookmarkStart w:id="254" w:name="_Toc132168999"/>
      <w:bookmarkStart w:id="255" w:name="_Toc132442993"/>
      <w:bookmarkStart w:id="256" w:name="_Toc132523895"/>
      <w:bookmarkStart w:id="257" w:name="_Toc132702764"/>
      <w:bookmarkStart w:id="258" w:name="_Toc139167857"/>
      <w:bookmarkStart w:id="259" w:name="_Toc139433549"/>
      <w:bookmarkStart w:id="260" w:name="_Toc161202863"/>
      <w:bookmarkStart w:id="261" w:name="_Toc161209315"/>
      <w:r>
        <w:rPr>
          <w:rStyle w:val="CharPartNo"/>
        </w:rPr>
        <w:t>Part IV</w:t>
      </w:r>
      <w:r>
        <w:t> — </w:t>
      </w:r>
      <w:r>
        <w:rPr>
          <w:rStyle w:val="CharPartText"/>
        </w:rPr>
        <w:t>Mining tenements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3"/>
      </w:pPr>
      <w:bookmarkStart w:id="262" w:name="_Toc74978838"/>
      <w:bookmarkStart w:id="263" w:name="_Toc74979102"/>
      <w:bookmarkStart w:id="264" w:name="_Toc79976400"/>
      <w:bookmarkStart w:id="265" w:name="_Toc80759671"/>
      <w:bookmarkStart w:id="266" w:name="_Toc80783434"/>
      <w:bookmarkStart w:id="267" w:name="_Toc94931101"/>
      <w:bookmarkStart w:id="268" w:name="_Toc104275224"/>
      <w:bookmarkStart w:id="269" w:name="_Toc104276555"/>
      <w:bookmarkStart w:id="270" w:name="_Toc107198776"/>
      <w:bookmarkStart w:id="271" w:name="_Toc107799227"/>
      <w:bookmarkStart w:id="272" w:name="_Toc127087234"/>
      <w:bookmarkStart w:id="273" w:name="_Toc127183526"/>
      <w:bookmarkStart w:id="274" w:name="_Toc127337947"/>
      <w:bookmarkStart w:id="275" w:name="_Toc128386268"/>
      <w:bookmarkStart w:id="276" w:name="_Toc129150115"/>
      <w:bookmarkStart w:id="277" w:name="_Toc129587397"/>
      <w:bookmarkStart w:id="278" w:name="_Toc131477091"/>
      <w:bookmarkStart w:id="279" w:name="_Toc132106467"/>
      <w:bookmarkStart w:id="280" w:name="_Toc132169000"/>
      <w:bookmarkStart w:id="281" w:name="_Toc132442994"/>
      <w:bookmarkStart w:id="282" w:name="_Toc132523896"/>
      <w:bookmarkStart w:id="283" w:name="_Toc132702765"/>
      <w:bookmarkStart w:id="284" w:name="_Toc139167858"/>
      <w:bookmarkStart w:id="285" w:name="_Toc139433550"/>
      <w:bookmarkStart w:id="286" w:name="_Toc161202864"/>
      <w:bookmarkStart w:id="287" w:name="_Toc161209316"/>
      <w:r>
        <w:rPr>
          <w:rStyle w:val="CharDivNo"/>
        </w:rPr>
        <w:t>Division 1</w:t>
      </w:r>
      <w:r>
        <w:rPr>
          <w:snapToGrid w:val="0"/>
        </w:rPr>
        <w:t> — </w:t>
      </w:r>
      <w:r>
        <w:rPr>
          <w:rStyle w:val="CharDivText"/>
        </w:rPr>
        <w:t>Prospecting licences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474633027"/>
      <w:bookmarkStart w:id="289" w:name="_Toc488740176"/>
      <w:bookmarkStart w:id="290" w:name="_Toc8623563"/>
      <w:bookmarkStart w:id="291" w:name="_Toc11229404"/>
      <w:bookmarkStart w:id="292" w:name="_Toc104276556"/>
      <w:bookmarkStart w:id="293" w:name="_Toc161209317"/>
      <w:r>
        <w:rPr>
          <w:rStyle w:val="CharSectno"/>
        </w:rPr>
        <w:t>11</w:t>
      </w:r>
      <w:r>
        <w:rPr>
          <w:snapToGrid w:val="0"/>
        </w:rPr>
        <w:t>.</w:t>
      </w:r>
      <w:r>
        <w:rPr>
          <w:snapToGrid w:val="0"/>
        </w:rPr>
        <w:tab/>
        <w:t>Marking out and application</w:t>
      </w:r>
      <w:bookmarkEnd w:id="288"/>
      <w:bookmarkEnd w:id="289"/>
      <w:bookmarkEnd w:id="290"/>
      <w:bookmarkEnd w:id="291"/>
      <w:bookmarkEnd w:id="292"/>
      <w:bookmarkEnd w:id="293"/>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rPr>
          <w:snapToGrid w:val="0"/>
        </w:rPr>
      </w:pPr>
      <w:bookmarkStart w:id="294" w:name="_Toc474633029"/>
      <w:bookmarkStart w:id="295" w:name="_Toc488740178"/>
      <w:bookmarkStart w:id="296" w:name="_Toc8623564"/>
      <w:bookmarkStart w:id="297" w:name="_Toc11229405"/>
      <w:bookmarkStart w:id="298" w:name="_Toc104276557"/>
      <w:bookmarkStart w:id="299" w:name="_Toc161209318"/>
      <w:r>
        <w:rPr>
          <w:rStyle w:val="CharSectno"/>
        </w:rPr>
        <w:t>13</w:t>
      </w:r>
      <w:r>
        <w:rPr>
          <w:snapToGrid w:val="0"/>
        </w:rPr>
        <w:t>.</w:t>
      </w:r>
      <w:r>
        <w:rPr>
          <w:snapToGrid w:val="0"/>
        </w:rPr>
        <w:tab/>
        <w:t xml:space="preserve">Instrument of </w:t>
      </w:r>
      <w:bookmarkEnd w:id="294"/>
      <w:bookmarkEnd w:id="295"/>
      <w:bookmarkEnd w:id="296"/>
      <w:r>
        <w:rPr>
          <w:snapToGrid w:val="0"/>
        </w:rPr>
        <w:t>licence</w:t>
      </w:r>
      <w:bookmarkEnd w:id="297"/>
      <w:bookmarkEnd w:id="298"/>
      <w:bookmarkEnd w:id="299"/>
    </w:p>
    <w:p>
      <w:pPr>
        <w:pStyle w:val="Subsection"/>
        <w:rPr>
          <w:snapToGrid w:val="0"/>
        </w:rPr>
      </w:pPr>
      <w:r>
        <w:rPr>
          <w:snapToGrid w:val="0"/>
        </w:rPr>
        <w:tab/>
      </w:r>
      <w:r>
        <w:rPr>
          <w:snapToGrid w:val="0"/>
        </w:rPr>
        <w:tab/>
        <w:t>The instrument of licence for a prospecting licence shall be in the form No. 4 in the First Schedule.</w:t>
      </w:r>
    </w:p>
    <w:p>
      <w:pPr>
        <w:pStyle w:val="Heading5"/>
      </w:pPr>
      <w:bookmarkStart w:id="300" w:name="_Toc161209319"/>
      <w:bookmarkStart w:id="301" w:name="_Toc474633030"/>
      <w:bookmarkStart w:id="302" w:name="_Toc488740179"/>
      <w:bookmarkStart w:id="303" w:name="_Toc8623565"/>
      <w:bookmarkStart w:id="304" w:name="_Toc11229406"/>
      <w:bookmarkStart w:id="305" w:name="_Toc104276558"/>
      <w:r>
        <w:rPr>
          <w:rStyle w:val="CharSectno"/>
        </w:rPr>
        <w:t>13A</w:t>
      </w:r>
      <w:r>
        <w:t>.</w:t>
      </w:r>
      <w:r>
        <w:tab/>
        <w:t>Programme of work for ground disturbing equipment</w:t>
      </w:r>
      <w:bookmarkEnd w:id="300"/>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rPr>
          <w:snapToGrid w:val="0"/>
        </w:rPr>
      </w:pPr>
      <w:bookmarkStart w:id="306" w:name="_Toc161209320"/>
      <w:r>
        <w:rPr>
          <w:rStyle w:val="CharSectno"/>
        </w:rPr>
        <w:t>14</w:t>
      </w:r>
      <w:r>
        <w:rPr>
          <w:snapToGrid w:val="0"/>
        </w:rPr>
        <w:t>.</w:t>
      </w:r>
      <w:r>
        <w:rPr>
          <w:snapToGrid w:val="0"/>
        </w:rPr>
        <w:tab/>
        <w:t>Limit on amount of earth, etc., that may be removed</w:t>
      </w:r>
      <w:bookmarkEnd w:id="301"/>
      <w:bookmarkEnd w:id="302"/>
      <w:bookmarkEnd w:id="303"/>
      <w:bookmarkEnd w:id="304"/>
      <w:bookmarkEnd w:id="305"/>
      <w:bookmarkEnd w:id="306"/>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307" w:name="_Toc474633031"/>
      <w:bookmarkStart w:id="308" w:name="_Toc488740180"/>
      <w:bookmarkStart w:id="309" w:name="_Toc8623566"/>
      <w:bookmarkStart w:id="310" w:name="_Toc11229407"/>
      <w:bookmarkStart w:id="311" w:name="_Toc104276559"/>
      <w:bookmarkStart w:id="312" w:name="_Toc161209321"/>
      <w:r>
        <w:rPr>
          <w:rStyle w:val="CharSectno"/>
        </w:rPr>
        <w:t>15</w:t>
      </w:r>
      <w:r>
        <w:rPr>
          <w:snapToGrid w:val="0"/>
        </w:rPr>
        <w:t>.</w:t>
      </w:r>
      <w:r>
        <w:rPr>
          <w:snapToGrid w:val="0"/>
        </w:rPr>
        <w:tab/>
        <w:t>Expenditure condition</w:t>
      </w:r>
      <w:bookmarkEnd w:id="307"/>
      <w:bookmarkEnd w:id="308"/>
      <w:bookmarkEnd w:id="309"/>
      <w:bookmarkEnd w:id="310"/>
      <w:bookmarkEnd w:id="311"/>
      <w:bookmarkEnd w:id="312"/>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313" w:name="_Toc474633032"/>
      <w:bookmarkStart w:id="314" w:name="_Toc488740181"/>
      <w:bookmarkStart w:id="315" w:name="_Toc8623567"/>
      <w:bookmarkStart w:id="316" w:name="_Toc11229408"/>
      <w:bookmarkStart w:id="317" w:name="_Toc104276560"/>
      <w:bookmarkStart w:id="318" w:name="_Toc161209322"/>
      <w:r>
        <w:rPr>
          <w:rStyle w:val="CharSectno"/>
        </w:rPr>
        <w:t>16</w:t>
      </w:r>
      <w:r>
        <w:rPr>
          <w:snapToGrid w:val="0"/>
        </w:rPr>
        <w:t>.</w:t>
      </w:r>
      <w:r>
        <w:rPr>
          <w:snapToGrid w:val="0"/>
        </w:rPr>
        <w:tab/>
        <w:t>Reports to be filed</w:t>
      </w:r>
      <w:bookmarkEnd w:id="313"/>
      <w:bookmarkEnd w:id="314"/>
      <w:bookmarkEnd w:id="315"/>
      <w:bookmarkEnd w:id="316"/>
      <w:bookmarkEnd w:id="317"/>
      <w:bookmarkEnd w:id="318"/>
    </w:p>
    <w:p>
      <w:pPr>
        <w:pStyle w:val="Subsection"/>
      </w:pPr>
      <w:r>
        <w:tab/>
        <w:t>(1)</w:t>
      </w:r>
      <w:r>
        <w:tab/>
        <w:t>A report required under section 51 is to be in the form No. 5 in the First Schedule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w:t>
      </w:r>
    </w:p>
    <w:p>
      <w:pPr>
        <w:pStyle w:val="Heading5"/>
      </w:pPr>
      <w:bookmarkStart w:id="319" w:name="_Toc161209323"/>
      <w:bookmarkStart w:id="320" w:name="_Toc74978845"/>
      <w:bookmarkStart w:id="321" w:name="_Toc74979109"/>
      <w:bookmarkStart w:id="322" w:name="_Toc79976407"/>
      <w:bookmarkStart w:id="323" w:name="_Toc80759678"/>
      <w:bookmarkStart w:id="324" w:name="_Toc80783441"/>
      <w:bookmarkStart w:id="325" w:name="_Toc94931108"/>
      <w:bookmarkStart w:id="326" w:name="_Toc104275231"/>
      <w:bookmarkStart w:id="327" w:name="_Toc104276562"/>
      <w:bookmarkStart w:id="328" w:name="_Toc107198783"/>
      <w:bookmarkStart w:id="329" w:name="_Toc107799234"/>
      <w:bookmarkStart w:id="330" w:name="_Toc127087241"/>
      <w:r>
        <w:rPr>
          <w:rStyle w:val="CharSectno"/>
        </w:rPr>
        <w:t>16A</w:t>
      </w:r>
      <w:r>
        <w:t>.</w:t>
      </w:r>
      <w:r>
        <w:tab/>
        <w:t>Grounds for extension under section 45(1a)</w:t>
      </w:r>
      <w:bookmarkEnd w:id="319"/>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331" w:name="_Toc161209324"/>
      <w:r>
        <w:rPr>
          <w:rStyle w:val="CharSectno"/>
        </w:rPr>
        <w:t>16B</w:t>
      </w:r>
      <w:r>
        <w:t>.</w:t>
      </w:r>
      <w:r>
        <w:tab/>
        <w:t>Application for extension of prospecting licence</w:t>
      </w:r>
      <w:bookmarkEnd w:id="331"/>
    </w:p>
    <w:p>
      <w:pPr>
        <w:pStyle w:val="Subsection"/>
        <w:spacing w:before="120"/>
      </w:pPr>
      <w:r>
        <w:tab/>
        <w:t>(1)</w:t>
      </w:r>
      <w:r>
        <w:tab/>
        <w:t>An application under section 45(1a) shall —</w:t>
      </w:r>
    </w:p>
    <w:p>
      <w:pPr>
        <w:pStyle w:val="Indenta"/>
        <w:spacing w:before="60"/>
      </w:pPr>
      <w:r>
        <w:tab/>
        <w:t>(a)</w:t>
      </w:r>
      <w:r>
        <w:tab/>
        <w:t>be lodged at an office of the Department during the final year of the term of the licence;</w:t>
      </w:r>
    </w:p>
    <w:p>
      <w:pPr>
        <w:pStyle w:val="Indenta"/>
        <w:spacing w:before="60"/>
      </w:pPr>
      <w:r>
        <w:tab/>
        <w:t>(b)</w:t>
      </w:r>
      <w:r>
        <w:tab/>
        <w:t>be in the form No. 9 in the First Schedule; and</w:t>
      </w:r>
    </w:p>
    <w:p>
      <w:pPr>
        <w:pStyle w:val="Indenta"/>
        <w:spacing w:before="60"/>
      </w:pPr>
      <w:r>
        <w:tab/>
        <w:t>(c)</w:t>
      </w:r>
      <w:r>
        <w:tab/>
        <w:t>be accompanied by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12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spacing w:before="180"/>
      </w:pPr>
      <w:bookmarkStart w:id="332" w:name="_Toc161209325"/>
      <w:r>
        <w:rPr>
          <w:rStyle w:val="CharSectno"/>
        </w:rPr>
        <w:t>16C</w:t>
      </w:r>
      <w:r>
        <w:t>.</w:t>
      </w:r>
      <w:r>
        <w:tab/>
        <w:t>Application for retention status</w:t>
      </w:r>
      <w:bookmarkEnd w:id="332"/>
    </w:p>
    <w:p>
      <w:pPr>
        <w:pStyle w:val="Subsection"/>
      </w:pPr>
      <w:r>
        <w:tab/>
        <w:t>(1)</w:t>
      </w:r>
      <w:r>
        <w:tab/>
        <w:t>An application under section 53(2)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333" w:name="_Toc161209326"/>
      <w:r>
        <w:rPr>
          <w:rStyle w:val="CharSectno"/>
        </w:rPr>
        <w:t>16D</w:t>
      </w:r>
      <w:r>
        <w:t>.</w:t>
      </w:r>
      <w:r>
        <w:tab/>
        <w:t>Marking out of land that has retention status</w:t>
      </w:r>
      <w:bookmarkEnd w:id="333"/>
    </w:p>
    <w:p>
      <w:pPr>
        <w:pStyle w:val="Subsection"/>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334" w:name="_Toc161209327"/>
      <w:r>
        <w:rPr>
          <w:rStyle w:val="CharSectno"/>
        </w:rPr>
        <w:t>16E</w:t>
      </w:r>
      <w:r>
        <w:t>.</w:t>
      </w:r>
      <w:r>
        <w:tab/>
        <w:t>Application for special prospecting licence</w:t>
      </w:r>
      <w:bookmarkEnd w:id="334"/>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pPr>
      <w:bookmarkStart w:id="335" w:name="_Toc127183538"/>
      <w:bookmarkStart w:id="336" w:name="_Toc127337959"/>
      <w:bookmarkStart w:id="337" w:name="_Toc128386280"/>
      <w:bookmarkStart w:id="338" w:name="_Toc129150127"/>
      <w:bookmarkStart w:id="339" w:name="_Toc129587409"/>
      <w:bookmarkStart w:id="340" w:name="_Toc131477103"/>
      <w:bookmarkStart w:id="341" w:name="_Toc132106479"/>
      <w:bookmarkStart w:id="342" w:name="_Toc132169012"/>
      <w:bookmarkStart w:id="343" w:name="_Toc132443006"/>
      <w:bookmarkStart w:id="344" w:name="_Toc132523908"/>
      <w:bookmarkStart w:id="345" w:name="_Toc132702777"/>
      <w:bookmarkStart w:id="346" w:name="_Toc139167870"/>
      <w:bookmarkStart w:id="347" w:name="_Toc139433562"/>
      <w:bookmarkStart w:id="348" w:name="_Toc161202876"/>
      <w:bookmarkStart w:id="349" w:name="_Toc161209328"/>
      <w:r>
        <w:rPr>
          <w:rStyle w:val="CharDivNo"/>
        </w:rPr>
        <w:t>Division 2</w:t>
      </w:r>
      <w:r>
        <w:rPr>
          <w:snapToGrid w:val="0"/>
        </w:rPr>
        <w:t> — </w:t>
      </w:r>
      <w:r>
        <w:rPr>
          <w:rStyle w:val="CharDivText"/>
        </w:rPr>
        <w:t>Exploration licences</w:t>
      </w:r>
      <w:bookmarkEnd w:id="320"/>
      <w:bookmarkEnd w:id="321"/>
      <w:bookmarkEnd w:id="322"/>
      <w:bookmarkEnd w:id="323"/>
      <w:bookmarkEnd w:id="324"/>
      <w:bookmarkEnd w:id="325"/>
      <w:bookmarkEnd w:id="326"/>
      <w:bookmarkEnd w:id="327"/>
      <w:bookmarkEnd w:id="328"/>
      <w:bookmarkEnd w:id="329"/>
      <w:bookmarkEnd w:id="330"/>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spacing w:before="160"/>
        <w:rPr>
          <w:snapToGrid w:val="0"/>
        </w:rPr>
      </w:pPr>
      <w:bookmarkStart w:id="350" w:name="_Toc474633034"/>
      <w:bookmarkStart w:id="351" w:name="_Toc488740183"/>
      <w:bookmarkStart w:id="352" w:name="_Toc8623569"/>
      <w:bookmarkStart w:id="353" w:name="_Toc11229410"/>
      <w:bookmarkStart w:id="354" w:name="_Toc104276563"/>
      <w:bookmarkStart w:id="355" w:name="_Toc161209329"/>
      <w:r>
        <w:rPr>
          <w:rStyle w:val="CharSectno"/>
        </w:rPr>
        <w:t>17</w:t>
      </w:r>
      <w:r>
        <w:rPr>
          <w:snapToGrid w:val="0"/>
        </w:rPr>
        <w:t>.</w:t>
      </w:r>
      <w:r>
        <w:rPr>
          <w:snapToGrid w:val="0"/>
        </w:rPr>
        <w:tab/>
        <w:t>Application</w:t>
      </w:r>
      <w:bookmarkEnd w:id="350"/>
      <w:bookmarkEnd w:id="351"/>
      <w:bookmarkEnd w:id="352"/>
      <w:bookmarkEnd w:id="353"/>
      <w:bookmarkEnd w:id="354"/>
      <w:bookmarkEnd w:id="355"/>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356" w:name="_Toc474633036"/>
      <w:bookmarkStart w:id="357" w:name="_Toc488740185"/>
      <w:r>
        <w:t>[</w:t>
      </w:r>
      <w:r>
        <w:rPr>
          <w:b/>
        </w:rPr>
        <w:t>18.</w:t>
      </w:r>
      <w:r>
        <w:rPr>
          <w:b/>
        </w:rPr>
        <w:tab/>
      </w:r>
      <w:r>
        <w:t>Repealed in Gazette 2 Feb 2001 p. 712.]</w:t>
      </w:r>
    </w:p>
    <w:p>
      <w:pPr>
        <w:pStyle w:val="Ednotesection"/>
        <w:rPr>
          <w:b/>
        </w:rPr>
      </w:pPr>
      <w:bookmarkStart w:id="358" w:name="_Toc474633037"/>
      <w:bookmarkStart w:id="359" w:name="_Toc488740186"/>
      <w:bookmarkStart w:id="360" w:name="_Toc8623571"/>
      <w:bookmarkStart w:id="361" w:name="_Toc11229412"/>
      <w:bookmarkStart w:id="362" w:name="_Toc104276565"/>
      <w:bookmarkEnd w:id="356"/>
      <w:bookmarkEnd w:id="357"/>
      <w:r>
        <w:t>[</w:t>
      </w:r>
      <w:r>
        <w:rPr>
          <w:b/>
        </w:rPr>
        <w:t>18A.</w:t>
      </w:r>
      <w:r>
        <w:rPr>
          <w:b/>
        </w:rPr>
        <w:tab/>
      </w:r>
      <w:r>
        <w:t>Repealed in Gazette 3 Feb 2006 p. 580.]</w:t>
      </w:r>
    </w:p>
    <w:p>
      <w:pPr>
        <w:pStyle w:val="Heading5"/>
        <w:rPr>
          <w:snapToGrid w:val="0"/>
        </w:rPr>
      </w:pPr>
      <w:bookmarkStart w:id="363" w:name="_Toc161209330"/>
      <w:r>
        <w:rPr>
          <w:rStyle w:val="CharSectno"/>
        </w:rPr>
        <w:t>19</w:t>
      </w:r>
      <w:r>
        <w:rPr>
          <w:snapToGrid w:val="0"/>
        </w:rPr>
        <w:t>.</w:t>
      </w:r>
      <w:r>
        <w:rPr>
          <w:snapToGrid w:val="0"/>
        </w:rPr>
        <w:tab/>
        <w:t xml:space="preserve">Instrument of </w:t>
      </w:r>
      <w:bookmarkEnd w:id="358"/>
      <w:bookmarkEnd w:id="359"/>
      <w:bookmarkEnd w:id="360"/>
      <w:r>
        <w:rPr>
          <w:snapToGrid w:val="0"/>
        </w:rPr>
        <w:t>licence</w:t>
      </w:r>
      <w:bookmarkEnd w:id="361"/>
      <w:bookmarkEnd w:id="362"/>
      <w:bookmarkEnd w:id="363"/>
    </w:p>
    <w:p>
      <w:pPr>
        <w:pStyle w:val="Subsection"/>
        <w:rPr>
          <w:snapToGrid w:val="0"/>
        </w:rPr>
      </w:pPr>
      <w:r>
        <w:rPr>
          <w:snapToGrid w:val="0"/>
        </w:rPr>
        <w:tab/>
      </w:r>
      <w:r>
        <w:rPr>
          <w:snapToGrid w:val="0"/>
        </w:rPr>
        <w:tab/>
        <w:t>The instrument of licence for an exploration licence shall be in the form No. 6 in the First Schedule.</w:t>
      </w:r>
    </w:p>
    <w:p>
      <w:pPr>
        <w:pStyle w:val="Heading5"/>
        <w:rPr>
          <w:snapToGrid w:val="0"/>
        </w:rPr>
      </w:pPr>
      <w:bookmarkStart w:id="364" w:name="_Toc474633038"/>
      <w:bookmarkStart w:id="365" w:name="_Toc488740187"/>
      <w:bookmarkStart w:id="366" w:name="_Toc8623572"/>
      <w:bookmarkStart w:id="367" w:name="_Toc11229413"/>
      <w:bookmarkStart w:id="368" w:name="_Toc104276566"/>
      <w:bookmarkStart w:id="369" w:name="_Toc161209331"/>
      <w:r>
        <w:rPr>
          <w:rStyle w:val="CharSectno"/>
        </w:rPr>
        <w:t>20</w:t>
      </w:r>
      <w:r>
        <w:rPr>
          <w:snapToGrid w:val="0"/>
        </w:rPr>
        <w:t>.</w:t>
      </w:r>
      <w:r>
        <w:rPr>
          <w:snapToGrid w:val="0"/>
        </w:rPr>
        <w:tab/>
        <w:t>Limit on amount of earth, etc., that may be removed</w:t>
      </w:r>
      <w:bookmarkEnd w:id="364"/>
      <w:bookmarkEnd w:id="365"/>
      <w:bookmarkEnd w:id="366"/>
      <w:bookmarkEnd w:id="367"/>
      <w:bookmarkEnd w:id="368"/>
      <w:bookmarkEnd w:id="369"/>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370" w:name="_Toc474633039"/>
      <w:bookmarkStart w:id="371" w:name="_Toc488740188"/>
      <w:bookmarkStart w:id="372" w:name="_Toc8623573"/>
      <w:bookmarkStart w:id="373" w:name="_Toc11229414"/>
      <w:bookmarkStart w:id="374" w:name="_Toc104276567"/>
      <w:bookmarkStart w:id="375" w:name="_Toc161209332"/>
      <w:r>
        <w:rPr>
          <w:rStyle w:val="CharSectno"/>
        </w:rPr>
        <w:t>21</w:t>
      </w:r>
      <w:r>
        <w:rPr>
          <w:snapToGrid w:val="0"/>
        </w:rPr>
        <w:t>.</w:t>
      </w:r>
      <w:r>
        <w:rPr>
          <w:snapToGrid w:val="0"/>
        </w:rPr>
        <w:tab/>
        <w:t>Expenditure condition</w:t>
      </w:r>
      <w:bookmarkEnd w:id="370"/>
      <w:bookmarkEnd w:id="371"/>
      <w:bookmarkEnd w:id="372"/>
      <w:bookmarkEnd w:id="373"/>
      <w:bookmarkEnd w:id="374"/>
      <w:bookmarkEnd w:id="375"/>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7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376" w:name="_Toc161209333"/>
      <w:bookmarkStart w:id="377" w:name="_Toc474633040"/>
      <w:bookmarkStart w:id="378" w:name="_Toc488740189"/>
      <w:bookmarkStart w:id="379" w:name="_Toc8623574"/>
      <w:bookmarkStart w:id="380" w:name="_Toc11229415"/>
      <w:bookmarkStart w:id="381" w:name="_Toc104276568"/>
      <w:r>
        <w:rPr>
          <w:rStyle w:val="CharSectno"/>
        </w:rPr>
        <w:t>21A</w:t>
      </w:r>
      <w:r>
        <w:t>.</w:t>
      </w:r>
      <w:r>
        <w:tab/>
        <w:t>Programme of work for ground disturbing equipment</w:t>
      </w:r>
      <w:bookmarkEnd w:id="376"/>
    </w:p>
    <w:p>
      <w:pPr>
        <w:pStyle w:val="Subsection"/>
        <w:spacing w:before="120"/>
      </w:pPr>
      <w:r>
        <w:tab/>
        <w:t>(1)</w:t>
      </w:r>
      <w:r>
        <w:tab/>
        <w:t>The programme of work referred to in section 63(aa)(i) shall be lodged at an office of the Department.</w:t>
      </w:r>
    </w:p>
    <w:p>
      <w:pPr>
        <w:pStyle w:val="Subsection"/>
        <w:spacing w:before="120"/>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80"/>
        <w:rPr>
          <w:snapToGrid w:val="0"/>
        </w:rPr>
      </w:pPr>
      <w:bookmarkStart w:id="382" w:name="_Toc161209334"/>
      <w:r>
        <w:rPr>
          <w:rStyle w:val="CharSectno"/>
        </w:rPr>
        <w:t>22</w:t>
      </w:r>
      <w:r>
        <w:rPr>
          <w:snapToGrid w:val="0"/>
        </w:rPr>
        <w:t>.</w:t>
      </w:r>
      <w:r>
        <w:rPr>
          <w:snapToGrid w:val="0"/>
        </w:rPr>
        <w:tab/>
        <w:t>Reports to be filed</w:t>
      </w:r>
      <w:bookmarkEnd w:id="377"/>
      <w:bookmarkEnd w:id="378"/>
      <w:bookmarkEnd w:id="379"/>
      <w:bookmarkEnd w:id="380"/>
      <w:bookmarkEnd w:id="381"/>
      <w:bookmarkEnd w:id="382"/>
    </w:p>
    <w:p>
      <w:pPr>
        <w:pStyle w:val="Subsection"/>
        <w:spacing w:before="120"/>
      </w:pPr>
      <w:r>
        <w:rPr>
          <w:snapToGrid w:val="0"/>
        </w:rPr>
        <w:tab/>
        <w:t>(1)</w:t>
      </w:r>
      <w:r>
        <w:rPr>
          <w:snapToGrid w:val="0"/>
        </w:rPr>
        <w:tab/>
        <w:t xml:space="preserve">The reports required under section 68(3) shall be a report on operations on the mining tenement in the form No. 5 in the First Schedule to be </w:t>
      </w:r>
      <w:r>
        <w:t>filed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spacing w:before="120"/>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11.]</w:t>
      </w:r>
    </w:p>
    <w:p>
      <w:pPr>
        <w:pStyle w:val="Heading5"/>
        <w:spacing w:before="180"/>
      </w:pPr>
      <w:bookmarkStart w:id="383" w:name="_Toc161209335"/>
      <w:bookmarkStart w:id="384" w:name="_Toc474633041"/>
      <w:bookmarkStart w:id="385" w:name="_Toc488740190"/>
      <w:bookmarkStart w:id="386" w:name="_Toc8623575"/>
      <w:bookmarkStart w:id="387" w:name="_Toc11229416"/>
      <w:bookmarkStart w:id="388" w:name="_Toc104276569"/>
      <w:r>
        <w:rPr>
          <w:rStyle w:val="CharSectno"/>
        </w:rPr>
        <w:t>22A</w:t>
      </w:r>
      <w:r>
        <w:t>.</w:t>
      </w:r>
      <w:r>
        <w:tab/>
        <w:t>Grounds for deferral under section 65(3b)</w:t>
      </w:r>
      <w:bookmarkEnd w:id="383"/>
    </w:p>
    <w:p>
      <w:pPr>
        <w:pStyle w:val="Subsection"/>
        <w:spacing w:before="120"/>
      </w:pPr>
      <w:r>
        <w:tab/>
      </w:r>
      <w:r>
        <w:tab/>
        <w:t>Each of the following is a ground for deferral for the purposes of section 65(3b)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by reason of difficulties or delays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 xml:space="preserve">arising from a requirement to conduct an Aboriginal heritage survey on the land to which the application for deferral relates (the </w:t>
      </w:r>
      <w:r>
        <w:rPr>
          <w:b/>
        </w:rPr>
        <w:t>“</w:t>
      </w:r>
      <w:r>
        <w:rPr>
          <w:rStyle w:val="CharDefText"/>
        </w:rPr>
        <w:t>relevant land</w:t>
      </w:r>
      <w:r>
        <w:rPr>
          <w:b/>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spacing w:before="240"/>
      </w:pPr>
      <w:bookmarkStart w:id="389" w:name="_Toc161209336"/>
      <w:r>
        <w:rPr>
          <w:rStyle w:val="CharSectno"/>
        </w:rPr>
        <w:t>22B</w:t>
      </w:r>
      <w:r>
        <w:t>.</w:t>
      </w:r>
      <w:r>
        <w:tab/>
        <w:t>Application for deferral</w:t>
      </w:r>
      <w:bookmarkEnd w:id="389"/>
    </w:p>
    <w:p>
      <w:pPr>
        <w:pStyle w:val="Subsection"/>
        <w:spacing w:before="200"/>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spacing w:before="240"/>
        <w:rPr>
          <w:snapToGrid w:val="0"/>
        </w:rPr>
      </w:pPr>
      <w:bookmarkStart w:id="390" w:name="_Toc161209337"/>
      <w:r>
        <w:rPr>
          <w:rStyle w:val="CharSectno"/>
        </w:rPr>
        <w:t>23</w:t>
      </w:r>
      <w:r>
        <w:rPr>
          <w:snapToGrid w:val="0"/>
        </w:rPr>
        <w:t>.</w:t>
      </w:r>
      <w:r>
        <w:rPr>
          <w:snapToGrid w:val="0"/>
        </w:rPr>
        <w:tab/>
        <w:t>Endorsement of plans upon surrender</w:t>
      </w:r>
      <w:bookmarkEnd w:id="384"/>
      <w:bookmarkEnd w:id="385"/>
      <w:bookmarkEnd w:id="386"/>
      <w:bookmarkEnd w:id="387"/>
      <w:bookmarkEnd w:id="388"/>
      <w:bookmarkEnd w:id="390"/>
    </w:p>
    <w:p>
      <w:pPr>
        <w:pStyle w:val="Subsection"/>
        <w:spacing w:before="20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rPr>
        <w:t>“</w:t>
      </w:r>
      <w:r>
        <w:rPr>
          <w:rStyle w:val="CharDefText"/>
        </w:rPr>
        <w:t>release date</w:t>
      </w:r>
      <w:r>
        <w:rPr>
          <w:b/>
        </w:rPr>
        <w:t>”</w:t>
      </w:r>
      <w:r>
        <w:t>) and time chosen under subregulation (1)(c) on the plans referred to in section 65(5) at least 14 days before the release date.</w:t>
      </w:r>
    </w:p>
    <w:p>
      <w:pPr>
        <w:pStyle w:val="Footnotesection"/>
      </w:pPr>
      <w:r>
        <w:tab/>
        <w:t>[Regulation 23 inserted in Gazette 31 May 1991 p. 2697; amended in Gazette 3 Feb 2006 p. 586.]</w:t>
      </w:r>
    </w:p>
    <w:p>
      <w:pPr>
        <w:pStyle w:val="Heading5"/>
        <w:rPr>
          <w:snapToGrid w:val="0"/>
        </w:rPr>
      </w:pPr>
      <w:bookmarkStart w:id="391" w:name="_Toc474633042"/>
      <w:bookmarkStart w:id="392" w:name="_Toc488740191"/>
      <w:bookmarkStart w:id="393" w:name="_Toc8623576"/>
      <w:bookmarkStart w:id="394" w:name="_Toc11229417"/>
      <w:bookmarkStart w:id="395" w:name="_Toc104276570"/>
      <w:bookmarkStart w:id="396" w:name="_Toc161209338"/>
      <w:r>
        <w:rPr>
          <w:rStyle w:val="CharSectno"/>
        </w:rPr>
        <w:t>23AA</w:t>
      </w:r>
      <w:r>
        <w:rPr>
          <w:snapToGrid w:val="0"/>
        </w:rPr>
        <w:t>.</w:t>
      </w:r>
      <w:r>
        <w:rPr>
          <w:snapToGrid w:val="0"/>
        </w:rPr>
        <w:tab/>
        <w:t>Refund of rent following unsuccessful application under section 65(1a)</w:t>
      </w:r>
      <w:bookmarkEnd w:id="391"/>
      <w:bookmarkEnd w:id="392"/>
      <w:bookmarkEnd w:id="393"/>
      <w:bookmarkEnd w:id="394"/>
      <w:bookmarkEnd w:id="395"/>
      <w:bookmarkEnd w:id="396"/>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rPr>
          <w:snapToGrid w:val="0"/>
        </w:rPr>
      </w:pPr>
      <w:bookmarkStart w:id="397" w:name="_Toc474633043"/>
      <w:bookmarkStart w:id="398" w:name="_Toc488740192"/>
      <w:bookmarkStart w:id="399" w:name="_Toc8623577"/>
      <w:bookmarkStart w:id="400" w:name="_Toc11229418"/>
      <w:bookmarkStart w:id="401" w:name="_Toc104276571"/>
      <w:bookmarkStart w:id="402" w:name="_Toc161209339"/>
      <w:r>
        <w:rPr>
          <w:rStyle w:val="CharSectno"/>
        </w:rPr>
        <w:t>23AB</w:t>
      </w:r>
      <w:r>
        <w:rPr>
          <w:snapToGrid w:val="0"/>
        </w:rPr>
        <w:t>.</w:t>
      </w:r>
      <w:r>
        <w:rPr>
          <w:snapToGrid w:val="0"/>
        </w:rPr>
        <w:tab/>
        <w:t>Grounds for extension under section 61(2)</w:t>
      </w:r>
      <w:bookmarkEnd w:id="397"/>
      <w:bookmarkEnd w:id="398"/>
      <w:bookmarkEnd w:id="399"/>
      <w:bookmarkEnd w:id="400"/>
      <w:bookmarkEnd w:id="401"/>
      <w:bookmarkEnd w:id="402"/>
    </w:p>
    <w:p>
      <w:pPr>
        <w:pStyle w:val="Subsection"/>
        <w:keepNext/>
        <w:keepLines/>
      </w:pPr>
      <w:r>
        <w:rPr>
          <w:snapToGrid w:val="0"/>
        </w:rPr>
        <w:tab/>
      </w:r>
      <w:r>
        <w:rPr>
          <w:snapToGrid w:val="0"/>
        </w:rPr>
        <w:tab/>
      </w:r>
      <w:r>
        <w:t>Each of the following is a ground for extension for the purposes of section 61(2) —</w:t>
      </w:r>
    </w:p>
    <w:p>
      <w:pPr>
        <w:pStyle w:val="Indenta"/>
        <w:spacing w:before="70"/>
        <w:rPr>
          <w:snapToGrid w:val="0"/>
        </w:rPr>
      </w:pPr>
      <w:r>
        <w:rPr>
          <w:snapToGrid w:val="0"/>
        </w:rPr>
        <w:tab/>
        <w:t>(a)</w:t>
      </w:r>
      <w:r>
        <w:rPr>
          <w:snapToGrid w:val="0"/>
        </w:rPr>
        <w:tab/>
        <w:t>by reason of difficulties or delays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w:t>
      </w:r>
    </w:p>
    <w:p>
      <w:pPr>
        <w:pStyle w:val="Heading5"/>
        <w:rPr>
          <w:snapToGrid w:val="0"/>
        </w:rPr>
      </w:pPr>
      <w:bookmarkStart w:id="403" w:name="_Toc474633044"/>
      <w:bookmarkStart w:id="404" w:name="_Toc488740193"/>
      <w:bookmarkStart w:id="405" w:name="_Toc8623578"/>
      <w:bookmarkStart w:id="406" w:name="_Toc11229419"/>
      <w:bookmarkStart w:id="407" w:name="_Toc104276572"/>
      <w:bookmarkStart w:id="408" w:name="_Toc161209340"/>
      <w:r>
        <w:rPr>
          <w:rStyle w:val="CharSectno"/>
        </w:rPr>
        <w:t>23A</w:t>
      </w:r>
      <w:r>
        <w:rPr>
          <w:snapToGrid w:val="0"/>
        </w:rPr>
        <w:t>.</w:t>
      </w:r>
      <w:r>
        <w:rPr>
          <w:snapToGrid w:val="0"/>
        </w:rPr>
        <w:tab/>
        <w:t xml:space="preserve">Extension of exploration </w:t>
      </w:r>
      <w:bookmarkEnd w:id="403"/>
      <w:bookmarkEnd w:id="404"/>
      <w:bookmarkEnd w:id="405"/>
      <w:r>
        <w:rPr>
          <w:snapToGrid w:val="0"/>
        </w:rPr>
        <w:t>licence</w:t>
      </w:r>
      <w:bookmarkEnd w:id="406"/>
      <w:bookmarkEnd w:id="407"/>
      <w:bookmarkEnd w:id="408"/>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w:t>
      </w:r>
    </w:p>
    <w:p>
      <w:pPr>
        <w:pStyle w:val="Heading5"/>
      </w:pPr>
      <w:bookmarkStart w:id="409" w:name="_Toc161209341"/>
      <w:bookmarkStart w:id="410" w:name="_Toc74978856"/>
      <w:bookmarkStart w:id="411" w:name="_Toc74979120"/>
      <w:bookmarkStart w:id="412" w:name="_Toc79976418"/>
      <w:bookmarkStart w:id="413" w:name="_Toc80759689"/>
      <w:bookmarkStart w:id="414" w:name="_Toc80783452"/>
      <w:bookmarkStart w:id="415" w:name="_Toc94931119"/>
      <w:bookmarkStart w:id="416" w:name="_Toc104275242"/>
      <w:bookmarkStart w:id="417" w:name="_Toc104276573"/>
      <w:bookmarkStart w:id="418" w:name="_Toc107198794"/>
      <w:bookmarkStart w:id="419" w:name="_Toc107799245"/>
      <w:bookmarkStart w:id="420" w:name="_Toc127087252"/>
      <w:r>
        <w:rPr>
          <w:rStyle w:val="CharSectno"/>
        </w:rPr>
        <w:t>23BA</w:t>
      </w:r>
      <w:r>
        <w:t>.</w:t>
      </w:r>
      <w:r>
        <w:tab/>
        <w:t>Application for retention status</w:t>
      </w:r>
      <w:bookmarkEnd w:id="409"/>
    </w:p>
    <w:p>
      <w:pPr>
        <w:pStyle w:val="Subsection"/>
        <w:keepNext/>
        <w:keepLines/>
      </w:pPr>
      <w:r>
        <w:tab/>
        <w:t>(1)</w:t>
      </w:r>
      <w:r>
        <w:tab/>
        <w:t>An application under section 69A(2) shall —</w:t>
      </w:r>
    </w:p>
    <w:p>
      <w:pPr>
        <w:pStyle w:val="Indenta"/>
      </w:pPr>
      <w:r>
        <w:tab/>
        <w:t>(a)</w:t>
      </w:r>
      <w:r>
        <w:tab/>
        <w:t>be lodged at an office of the Department;</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keepNext/>
        <w:keepLines/>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421" w:name="_Toc161209342"/>
      <w:r>
        <w:rPr>
          <w:rStyle w:val="CharSectno"/>
        </w:rPr>
        <w:t>23BB</w:t>
      </w:r>
      <w:r>
        <w:t>.</w:t>
      </w:r>
      <w:r>
        <w:tab/>
        <w:t>Application for special prospecting licence</w:t>
      </w:r>
      <w:bookmarkEnd w:id="421"/>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422" w:name="_Toc127183553"/>
      <w:bookmarkStart w:id="423" w:name="_Toc127337974"/>
      <w:bookmarkStart w:id="424" w:name="_Toc128386295"/>
      <w:bookmarkStart w:id="425" w:name="_Toc129150142"/>
      <w:bookmarkStart w:id="426" w:name="_Toc129587424"/>
      <w:bookmarkStart w:id="427" w:name="_Toc131477118"/>
      <w:bookmarkStart w:id="428" w:name="_Toc132106494"/>
      <w:bookmarkStart w:id="429" w:name="_Toc132169027"/>
      <w:bookmarkStart w:id="430" w:name="_Toc132443021"/>
      <w:bookmarkStart w:id="431" w:name="_Toc132523923"/>
      <w:bookmarkStart w:id="432" w:name="_Toc132702792"/>
      <w:bookmarkStart w:id="433" w:name="_Toc139167885"/>
      <w:bookmarkStart w:id="434" w:name="_Toc139433577"/>
      <w:bookmarkStart w:id="435" w:name="_Toc161202891"/>
      <w:bookmarkStart w:id="436" w:name="_Toc161209343"/>
      <w:r>
        <w:rPr>
          <w:rStyle w:val="CharDivNo"/>
        </w:rPr>
        <w:t>Division 2A</w:t>
      </w:r>
      <w:r>
        <w:rPr>
          <w:snapToGrid w:val="0"/>
        </w:rPr>
        <w:t> — </w:t>
      </w:r>
      <w:r>
        <w:rPr>
          <w:rStyle w:val="CharDivText"/>
        </w:rPr>
        <w:t>Retention licences</w:t>
      </w:r>
      <w:bookmarkEnd w:id="410"/>
      <w:bookmarkEnd w:id="411"/>
      <w:bookmarkEnd w:id="412"/>
      <w:bookmarkEnd w:id="413"/>
      <w:bookmarkEnd w:id="414"/>
      <w:bookmarkEnd w:id="415"/>
      <w:bookmarkEnd w:id="416"/>
      <w:bookmarkEnd w:id="417"/>
      <w:bookmarkEnd w:id="418"/>
      <w:bookmarkEnd w:id="419"/>
      <w:bookmarkEnd w:id="420"/>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437" w:name="_Toc474633045"/>
      <w:bookmarkStart w:id="438" w:name="_Toc488740194"/>
      <w:bookmarkStart w:id="439" w:name="_Toc8623579"/>
      <w:bookmarkStart w:id="440" w:name="_Toc11229420"/>
      <w:bookmarkStart w:id="441" w:name="_Toc104276574"/>
      <w:bookmarkStart w:id="442" w:name="_Toc161209344"/>
      <w:r>
        <w:rPr>
          <w:rStyle w:val="CharSectno"/>
        </w:rPr>
        <w:t>23B</w:t>
      </w:r>
      <w:r>
        <w:rPr>
          <w:snapToGrid w:val="0"/>
        </w:rPr>
        <w:t>.</w:t>
      </w:r>
      <w:r>
        <w:rPr>
          <w:snapToGrid w:val="0"/>
        </w:rPr>
        <w:tab/>
        <w:t>Application and marking out</w:t>
      </w:r>
      <w:bookmarkEnd w:id="437"/>
      <w:bookmarkEnd w:id="438"/>
      <w:bookmarkEnd w:id="439"/>
      <w:bookmarkEnd w:id="440"/>
      <w:bookmarkEnd w:id="441"/>
      <w:bookmarkEnd w:id="442"/>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Ednotesection"/>
        <w:rPr>
          <w:b/>
        </w:rPr>
      </w:pPr>
      <w:bookmarkStart w:id="443" w:name="_Toc474633047"/>
      <w:bookmarkStart w:id="444" w:name="_Toc488740196"/>
      <w:r>
        <w:t>[</w:t>
      </w:r>
      <w:r>
        <w:rPr>
          <w:b/>
        </w:rPr>
        <w:t>23C.</w:t>
      </w:r>
      <w:r>
        <w:rPr>
          <w:b/>
        </w:rPr>
        <w:tab/>
      </w:r>
      <w:r>
        <w:t>Repealed in Gazette 2 Feb 2001 p. 712.]</w:t>
      </w:r>
    </w:p>
    <w:p>
      <w:pPr>
        <w:pStyle w:val="Heading5"/>
        <w:rPr>
          <w:snapToGrid w:val="0"/>
        </w:rPr>
      </w:pPr>
      <w:bookmarkStart w:id="445" w:name="_Toc8623580"/>
      <w:bookmarkStart w:id="446" w:name="_Toc11229421"/>
      <w:bookmarkStart w:id="447" w:name="_Toc104276575"/>
      <w:bookmarkStart w:id="448" w:name="_Toc161209345"/>
      <w:r>
        <w:rPr>
          <w:rStyle w:val="CharSectno"/>
        </w:rPr>
        <w:t>23D</w:t>
      </w:r>
      <w:r>
        <w:rPr>
          <w:snapToGrid w:val="0"/>
        </w:rPr>
        <w:t>.</w:t>
      </w:r>
      <w:r>
        <w:rPr>
          <w:snapToGrid w:val="0"/>
        </w:rPr>
        <w:tab/>
        <w:t xml:space="preserve">Instrument of </w:t>
      </w:r>
      <w:bookmarkEnd w:id="443"/>
      <w:bookmarkEnd w:id="444"/>
      <w:bookmarkEnd w:id="445"/>
      <w:r>
        <w:rPr>
          <w:snapToGrid w:val="0"/>
        </w:rPr>
        <w:t>licence</w:t>
      </w:r>
      <w:bookmarkEnd w:id="446"/>
      <w:bookmarkEnd w:id="447"/>
      <w:bookmarkEnd w:id="448"/>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[Regulation 23D inserted in Gazette 24 Jun 1994 p. 2928.]</w:t>
      </w:r>
    </w:p>
    <w:p>
      <w:pPr>
        <w:pStyle w:val="Heading5"/>
      </w:pPr>
      <w:bookmarkStart w:id="449" w:name="_Toc161209346"/>
      <w:bookmarkStart w:id="450" w:name="_Toc474633048"/>
      <w:bookmarkStart w:id="451" w:name="_Toc488740197"/>
      <w:bookmarkStart w:id="452" w:name="_Toc8623581"/>
      <w:bookmarkStart w:id="453" w:name="_Toc11229422"/>
      <w:bookmarkStart w:id="454" w:name="_Toc104276576"/>
      <w:r>
        <w:rPr>
          <w:rStyle w:val="CharSectno"/>
        </w:rPr>
        <w:t>23DA</w:t>
      </w:r>
      <w:r>
        <w:t>.</w:t>
      </w:r>
      <w:r>
        <w:tab/>
        <w:t>Programme of work for ground disturbing equipment</w:t>
      </w:r>
      <w:bookmarkEnd w:id="449"/>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rPr>
          <w:snapToGrid w:val="0"/>
        </w:rPr>
      </w:pPr>
      <w:bookmarkStart w:id="455" w:name="_Toc161209347"/>
      <w:r>
        <w:rPr>
          <w:rStyle w:val="CharSectno"/>
        </w:rPr>
        <w:t>23E</w:t>
      </w:r>
      <w:r>
        <w:rPr>
          <w:snapToGrid w:val="0"/>
        </w:rPr>
        <w:t>.</w:t>
      </w:r>
      <w:r>
        <w:rPr>
          <w:snapToGrid w:val="0"/>
        </w:rPr>
        <w:tab/>
        <w:t>Reports to be lodged</w:t>
      </w:r>
      <w:bookmarkEnd w:id="450"/>
      <w:bookmarkEnd w:id="451"/>
      <w:bookmarkEnd w:id="452"/>
      <w:bookmarkEnd w:id="453"/>
      <w:bookmarkEnd w:id="454"/>
      <w:bookmarkEnd w:id="455"/>
    </w:p>
    <w:p>
      <w:pPr>
        <w:pStyle w:val="Subsection"/>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w:t>
      </w:r>
    </w:p>
    <w:p>
      <w:pPr>
        <w:pStyle w:val="Heading5"/>
        <w:rPr>
          <w:snapToGrid w:val="0"/>
        </w:rPr>
      </w:pPr>
      <w:bookmarkStart w:id="456" w:name="_Toc474633049"/>
      <w:bookmarkStart w:id="457" w:name="_Toc488740198"/>
      <w:bookmarkStart w:id="458" w:name="_Toc8623582"/>
      <w:bookmarkStart w:id="459" w:name="_Toc11229423"/>
      <w:bookmarkStart w:id="460" w:name="_Toc104276577"/>
      <w:bookmarkStart w:id="461" w:name="_Toc161209348"/>
      <w:r>
        <w:rPr>
          <w:rStyle w:val="CharSectno"/>
        </w:rPr>
        <w:t>23F</w:t>
      </w:r>
      <w:r>
        <w:rPr>
          <w:snapToGrid w:val="0"/>
        </w:rPr>
        <w:t>.</w:t>
      </w:r>
      <w:r>
        <w:rPr>
          <w:snapToGrid w:val="0"/>
        </w:rPr>
        <w:tab/>
        <w:t>Application for renewal</w:t>
      </w:r>
      <w:bookmarkEnd w:id="456"/>
      <w:bookmarkEnd w:id="457"/>
      <w:bookmarkEnd w:id="458"/>
      <w:bookmarkEnd w:id="459"/>
      <w:bookmarkEnd w:id="460"/>
      <w:bookmarkEnd w:id="461"/>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23F inserted in Gazette 24 Jun 1994 p. 2929; amended in Gazette 2 Feb 2001 p. 712.]</w:t>
      </w:r>
    </w:p>
    <w:p>
      <w:pPr>
        <w:pStyle w:val="Heading5"/>
        <w:spacing w:before="180"/>
        <w:rPr>
          <w:snapToGrid w:val="0"/>
        </w:rPr>
      </w:pPr>
      <w:bookmarkStart w:id="462" w:name="_Toc474633050"/>
      <w:bookmarkStart w:id="463" w:name="_Toc488740199"/>
      <w:bookmarkStart w:id="464" w:name="_Toc8623583"/>
      <w:bookmarkStart w:id="465" w:name="_Toc11229424"/>
      <w:bookmarkStart w:id="466" w:name="_Toc104276578"/>
      <w:bookmarkStart w:id="467" w:name="_Toc161209349"/>
      <w:r>
        <w:rPr>
          <w:rStyle w:val="CharSectno"/>
        </w:rPr>
        <w:t>23G</w:t>
      </w:r>
      <w:r>
        <w:rPr>
          <w:snapToGrid w:val="0"/>
        </w:rPr>
        <w:t>.</w:t>
      </w:r>
      <w:r>
        <w:rPr>
          <w:snapToGrid w:val="0"/>
        </w:rPr>
        <w:tab/>
        <w:t>Limit on amount of earth, etc., that may be removed</w:t>
      </w:r>
      <w:bookmarkEnd w:id="462"/>
      <w:bookmarkEnd w:id="463"/>
      <w:bookmarkEnd w:id="464"/>
      <w:bookmarkEnd w:id="465"/>
      <w:bookmarkEnd w:id="466"/>
      <w:bookmarkEnd w:id="467"/>
    </w:p>
    <w:p>
      <w:pPr>
        <w:pStyle w:val="Subsection"/>
        <w:spacing w:before="12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[Regulation 23G inserted in Gazette 24 Jun 1994 p. 2929.]</w:t>
      </w:r>
    </w:p>
    <w:p>
      <w:pPr>
        <w:pStyle w:val="Ednotesection"/>
        <w:spacing w:before="180"/>
        <w:ind w:left="890" w:hanging="890"/>
        <w:rPr>
          <w:b/>
        </w:rPr>
      </w:pPr>
      <w:bookmarkStart w:id="468" w:name="_Toc74978863"/>
      <w:bookmarkStart w:id="469" w:name="_Toc74979127"/>
      <w:bookmarkStart w:id="470" w:name="_Toc79976425"/>
      <w:bookmarkStart w:id="471" w:name="_Toc80759696"/>
      <w:bookmarkStart w:id="472" w:name="_Toc80783459"/>
      <w:bookmarkStart w:id="473" w:name="_Toc94931126"/>
      <w:bookmarkStart w:id="474" w:name="_Toc104275249"/>
      <w:bookmarkStart w:id="475" w:name="_Toc104276580"/>
      <w:bookmarkStart w:id="476" w:name="_Toc107198801"/>
      <w:bookmarkStart w:id="477" w:name="_Toc107799252"/>
      <w:bookmarkStart w:id="478" w:name="_Toc127087259"/>
      <w:r>
        <w:t>[</w:t>
      </w:r>
      <w:r>
        <w:rPr>
          <w:b/>
        </w:rPr>
        <w:t>23H.</w:t>
      </w:r>
      <w:r>
        <w:rPr>
          <w:b/>
        </w:rPr>
        <w:tab/>
      </w:r>
      <w:r>
        <w:t>Repealed in Gazette 3 Feb 2006 p. 590.]</w:t>
      </w:r>
    </w:p>
    <w:p>
      <w:pPr>
        <w:pStyle w:val="Heading3"/>
        <w:keepNext w:val="0"/>
      </w:pPr>
      <w:bookmarkStart w:id="479" w:name="_Toc127183560"/>
      <w:bookmarkStart w:id="480" w:name="_Toc127337981"/>
      <w:bookmarkStart w:id="481" w:name="_Toc128386302"/>
      <w:bookmarkStart w:id="482" w:name="_Toc129150149"/>
      <w:bookmarkStart w:id="483" w:name="_Toc129587431"/>
      <w:bookmarkStart w:id="484" w:name="_Toc131477125"/>
      <w:bookmarkStart w:id="485" w:name="_Toc132106501"/>
      <w:bookmarkStart w:id="486" w:name="_Toc132169034"/>
      <w:bookmarkStart w:id="487" w:name="_Toc132443028"/>
      <w:bookmarkStart w:id="488" w:name="_Toc132523930"/>
      <w:bookmarkStart w:id="489" w:name="_Toc132702799"/>
      <w:bookmarkStart w:id="490" w:name="_Toc139167892"/>
      <w:bookmarkStart w:id="491" w:name="_Toc139433584"/>
      <w:bookmarkStart w:id="492" w:name="_Toc161202898"/>
      <w:bookmarkStart w:id="493" w:name="_Toc161209350"/>
      <w:r>
        <w:rPr>
          <w:rStyle w:val="CharDivNo"/>
        </w:rPr>
        <w:t>Division 3</w:t>
      </w:r>
      <w:r>
        <w:rPr>
          <w:snapToGrid w:val="0"/>
        </w:rPr>
        <w:t> — </w:t>
      </w:r>
      <w:r>
        <w:rPr>
          <w:rStyle w:val="CharDivText"/>
        </w:rPr>
        <w:t>Mining leases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keepNext w:val="0"/>
        <w:rPr>
          <w:snapToGrid w:val="0"/>
        </w:rPr>
      </w:pPr>
      <w:bookmarkStart w:id="494" w:name="_Toc474633052"/>
      <w:bookmarkStart w:id="495" w:name="_Toc488740201"/>
      <w:bookmarkStart w:id="496" w:name="_Toc8623585"/>
      <w:bookmarkStart w:id="497" w:name="_Toc11229426"/>
      <w:bookmarkStart w:id="498" w:name="_Toc104276581"/>
      <w:bookmarkStart w:id="499" w:name="_Toc161209351"/>
      <w:r>
        <w:rPr>
          <w:rStyle w:val="CharSectno"/>
        </w:rPr>
        <w:t>24</w:t>
      </w:r>
      <w:r>
        <w:rPr>
          <w:snapToGrid w:val="0"/>
        </w:rPr>
        <w:t>.</w:t>
      </w:r>
      <w:r>
        <w:rPr>
          <w:snapToGrid w:val="0"/>
        </w:rPr>
        <w:tab/>
        <w:t>Marking out and application</w:t>
      </w:r>
      <w:bookmarkEnd w:id="494"/>
      <w:bookmarkEnd w:id="495"/>
      <w:bookmarkEnd w:id="496"/>
      <w:bookmarkEnd w:id="497"/>
      <w:bookmarkEnd w:id="498"/>
      <w:bookmarkEnd w:id="49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500" w:name="_Toc161209352"/>
      <w:bookmarkStart w:id="501" w:name="_Toc474633054"/>
      <w:bookmarkStart w:id="502" w:name="_Toc488740203"/>
      <w:bookmarkStart w:id="503" w:name="_Toc8623586"/>
      <w:bookmarkStart w:id="504" w:name="_Toc11229427"/>
      <w:bookmarkStart w:id="505" w:name="_Toc104276582"/>
      <w:r>
        <w:rPr>
          <w:rStyle w:val="CharSectno"/>
        </w:rPr>
        <w:t>25</w:t>
      </w:r>
      <w:r>
        <w:t>.</w:t>
      </w:r>
      <w:r>
        <w:tab/>
        <w:t>Guidelines under Part IV Division 3 of the Act</w:t>
      </w:r>
      <w:bookmarkEnd w:id="500"/>
    </w:p>
    <w:p>
      <w:pPr>
        <w:pStyle w:val="Subsection"/>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506" w:name="_Toc161209353"/>
      <w:r>
        <w:rPr>
          <w:rStyle w:val="CharSectno"/>
        </w:rPr>
        <w:t>25A</w:t>
      </w:r>
      <w:r>
        <w:t>.</w:t>
      </w:r>
      <w:r>
        <w:tab/>
        <w:t>Marking out after grant of lease</w:t>
      </w:r>
      <w:bookmarkEnd w:id="506"/>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507" w:name="_Toc161209354"/>
      <w:r>
        <w:t>25B.</w:t>
      </w:r>
      <w:r>
        <w:tab/>
        <w:t>Fees for copies of certain documents</w:t>
      </w:r>
      <w:bookmarkEnd w:id="507"/>
    </w:p>
    <w:p>
      <w:pPr>
        <w:pStyle w:val="Subsection"/>
      </w:pPr>
      <w:r>
        <w:tab/>
      </w:r>
      <w:r>
        <w:tab/>
        <w:t>A person who wishes to obtain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508" w:name="_Toc161209355"/>
      <w:r>
        <w:t>25C.</w:t>
      </w:r>
      <w:r>
        <w:tab/>
        <w:t>Qualified persons — section 74</w:t>
      </w:r>
      <w:bookmarkEnd w:id="508"/>
    </w:p>
    <w:p>
      <w:pPr>
        <w:pStyle w:val="Subsection"/>
      </w:pPr>
      <w:r>
        <w:tab/>
      </w:r>
      <w:r>
        <w:tab/>
        <w:t>For the purposes of paragraph (a) of the definition of “qualified person”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25C inserted in Gazette 3 Feb 2006 p. 591.]</w:t>
      </w:r>
    </w:p>
    <w:p>
      <w:pPr>
        <w:pStyle w:val="Heading5"/>
        <w:rPr>
          <w:snapToGrid w:val="0"/>
        </w:rPr>
      </w:pPr>
      <w:bookmarkStart w:id="509" w:name="_Toc161209356"/>
      <w:r>
        <w:rPr>
          <w:rStyle w:val="CharSectno"/>
        </w:rPr>
        <w:t>26</w:t>
      </w:r>
      <w:r>
        <w:rPr>
          <w:snapToGrid w:val="0"/>
        </w:rPr>
        <w:t>.</w:t>
      </w:r>
      <w:r>
        <w:rPr>
          <w:snapToGrid w:val="0"/>
        </w:rPr>
        <w:tab/>
        <w:t>Instrument of lease</w:t>
      </w:r>
      <w:bookmarkEnd w:id="501"/>
      <w:bookmarkEnd w:id="502"/>
      <w:bookmarkEnd w:id="503"/>
      <w:bookmarkEnd w:id="504"/>
      <w:bookmarkEnd w:id="505"/>
      <w:bookmarkEnd w:id="509"/>
    </w:p>
    <w:p>
      <w:pPr>
        <w:pStyle w:val="Subsection"/>
        <w:spacing w:before="120"/>
        <w:rPr>
          <w:snapToGrid w:val="0"/>
        </w:rPr>
      </w:pPr>
      <w:r>
        <w:rPr>
          <w:snapToGrid w:val="0"/>
        </w:rPr>
        <w:tab/>
      </w:r>
      <w:r>
        <w:rPr>
          <w:snapToGrid w:val="0"/>
        </w:rPr>
        <w:tab/>
        <w:t>The instrument of lease for a mining lease shall be in the form No. 8 in the First Schedule.</w:t>
      </w:r>
    </w:p>
    <w:p>
      <w:pPr>
        <w:pStyle w:val="Heading5"/>
        <w:spacing w:before="200"/>
        <w:rPr>
          <w:snapToGrid w:val="0"/>
        </w:rPr>
      </w:pPr>
      <w:bookmarkStart w:id="510" w:name="_Toc474633055"/>
      <w:bookmarkStart w:id="511" w:name="_Toc488740204"/>
      <w:bookmarkStart w:id="512" w:name="_Toc8623587"/>
      <w:bookmarkStart w:id="513" w:name="_Toc11229428"/>
      <w:bookmarkStart w:id="514" w:name="_Toc104276583"/>
      <w:bookmarkStart w:id="515" w:name="_Toc161209357"/>
      <w:r>
        <w:rPr>
          <w:rStyle w:val="CharSectno"/>
        </w:rPr>
        <w:t>27</w:t>
      </w:r>
      <w:r>
        <w:rPr>
          <w:snapToGrid w:val="0"/>
        </w:rPr>
        <w:t>.</w:t>
      </w:r>
      <w:r>
        <w:rPr>
          <w:snapToGrid w:val="0"/>
        </w:rPr>
        <w:tab/>
        <w:t>Covenants</w:t>
      </w:r>
      <w:bookmarkEnd w:id="510"/>
      <w:bookmarkEnd w:id="511"/>
      <w:bookmarkEnd w:id="512"/>
      <w:bookmarkEnd w:id="513"/>
      <w:bookmarkEnd w:id="514"/>
      <w:bookmarkEnd w:id="515"/>
    </w:p>
    <w:p>
      <w:pPr>
        <w:pStyle w:val="Subsection"/>
        <w:spacing w:before="120"/>
        <w:rPr>
          <w:snapToGrid w:val="0"/>
        </w:rPr>
      </w:pPr>
      <w:r>
        <w:rPr>
          <w:snapToGrid w:val="0"/>
        </w:rPr>
        <w:tab/>
      </w:r>
      <w:r>
        <w:rPr>
          <w:snapToGrid w:val="0"/>
        </w:rPr>
        <w:tab/>
        <w:t>Every mining lease shall contain and be subject to the following covenants that the lessee shall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Footnotesection"/>
      </w:pPr>
      <w:r>
        <w:tab/>
        <w:t>[Regulation 27 amended in Gazette 3 Feb 2006 p. 519.]</w:t>
      </w:r>
    </w:p>
    <w:p>
      <w:pPr>
        <w:pStyle w:val="Heading5"/>
        <w:rPr>
          <w:snapToGrid w:val="0"/>
        </w:rPr>
      </w:pPr>
      <w:bookmarkStart w:id="516" w:name="_Toc474633056"/>
      <w:bookmarkStart w:id="517" w:name="_Toc488740205"/>
      <w:bookmarkStart w:id="518" w:name="_Toc8623588"/>
      <w:bookmarkStart w:id="519" w:name="_Toc11229429"/>
      <w:bookmarkStart w:id="520" w:name="_Toc104276584"/>
      <w:bookmarkStart w:id="521" w:name="_Toc161209358"/>
      <w:r>
        <w:rPr>
          <w:rStyle w:val="CharSectno"/>
        </w:rPr>
        <w:t>28</w:t>
      </w:r>
      <w:r>
        <w:rPr>
          <w:snapToGrid w:val="0"/>
        </w:rPr>
        <w:t>.</w:t>
      </w:r>
      <w:r>
        <w:rPr>
          <w:snapToGrid w:val="0"/>
        </w:rPr>
        <w:tab/>
        <w:t>Additional condition</w:t>
      </w:r>
      <w:bookmarkEnd w:id="516"/>
      <w:bookmarkEnd w:id="517"/>
      <w:bookmarkEnd w:id="518"/>
      <w:bookmarkEnd w:id="519"/>
      <w:bookmarkEnd w:id="520"/>
      <w:bookmarkEnd w:id="521"/>
    </w:p>
    <w:p>
      <w:pPr>
        <w:pStyle w:val="Subsection"/>
        <w:spacing w:before="12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rPr>
          <w:snapToGrid w:val="0"/>
        </w:rPr>
      </w:pPr>
      <w:bookmarkStart w:id="522" w:name="_Toc474633057"/>
      <w:bookmarkStart w:id="523" w:name="_Toc488740206"/>
      <w:bookmarkStart w:id="524" w:name="_Toc8623589"/>
      <w:bookmarkStart w:id="525" w:name="_Toc11229430"/>
      <w:bookmarkStart w:id="526" w:name="_Toc104276585"/>
      <w:bookmarkStart w:id="527" w:name="_Toc161209359"/>
      <w:r>
        <w:rPr>
          <w:rStyle w:val="CharSectno"/>
        </w:rPr>
        <w:t>28A</w:t>
      </w:r>
      <w:r>
        <w:rPr>
          <w:snapToGrid w:val="0"/>
        </w:rPr>
        <w:t>.</w:t>
      </w:r>
      <w:r>
        <w:rPr>
          <w:snapToGrid w:val="0"/>
        </w:rPr>
        <w:tab/>
        <w:t>Additional rent for mining lease producing iron ore</w:t>
      </w:r>
      <w:bookmarkEnd w:id="522"/>
      <w:bookmarkEnd w:id="523"/>
      <w:bookmarkEnd w:id="524"/>
      <w:bookmarkEnd w:id="525"/>
      <w:bookmarkEnd w:id="526"/>
      <w:bookmarkEnd w:id="527"/>
    </w:p>
    <w:p>
      <w:pPr>
        <w:pStyle w:val="Subsection"/>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w:t>
      </w:r>
    </w:p>
    <w:p>
      <w:pPr>
        <w:pStyle w:val="Heading5"/>
        <w:rPr>
          <w:snapToGrid w:val="0"/>
        </w:rPr>
      </w:pPr>
      <w:bookmarkStart w:id="528" w:name="_Toc474633058"/>
      <w:bookmarkStart w:id="529" w:name="_Toc488740207"/>
      <w:bookmarkStart w:id="530" w:name="_Toc8623590"/>
      <w:bookmarkStart w:id="531" w:name="_Toc11229431"/>
      <w:bookmarkStart w:id="532" w:name="_Toc104276586"/>
      <w:bookmarkStart w:id="533" w:name="_Toc161209360"/>
      <w:r>
        <w:rPr>
          <w:rStyle w:val="CharSectno"/>
        </w:rPr>
        <w:t>29</w:t>
      </w:r>
      <w:r>
        <w:rPr>
          <w:snapToGrid w:val="0"/>
        </w:rPr>
        <w:t>.</w:t>
      </w:r>
      <w:r>
        <w:rPr>
          <w:snapToGrid w:val="0"/>
        </w:rPr>
        <w:tab/>
        <w:t>Application for renewal</w:t>
      </w:r>
      <w:bookmarkEnd w:id="528"/>
      <w:bookmarkEnd w:id="529"/>
      <w:bookmarkEnd w:id="530"/>
      <w:bookmarkEnd w:id="531"/>
      <w:bookmarkEnd w:id="532"/>
      <w:bookmarkEnd w:id="533"/>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w:t>
      </w:r>
    </w:p>
    <w:p>
      <w:pPr>
        <w:pStyle w:val="Heading5"/>
        <w:rPr>
          <w:snapToGrid w:val="0"/>
        </w:rPr>
      </w:pPr>
      <w:bookmarkStart w:id="534" w:name="_Toc474633059"/>
      <w:bookmarkStart w:id="535" w:name="_Toc488740208"/>
      <w:bookmarkStart w:id="536" w:name="_Toc8623591"/>
      <w:bookmarkStart w:id="537" w:name="_Toc11229432"/>
      <w:bookmarkStart w:id="538" w:name="_Toc104276587"/>
      <w:bookmarkStart w:id="539" w:name="_Toc161209361"/>
      <w:r>
        <w:rPr>
          <w:rStyle w:val="CharSectno"/>
        </w:rPr>
        <w:t>30</w:t>
      </w:r>
      <w:r>
        <w:rPr>
          <w:snapToGrid w:val="0"/>
        </w:rPr>
        <w:t>.</w:t>
      </w:r>
      <w:r>
        <w:rPr>
          <w:snapToGrid w:val="0"/>
        </w:rPr>
        <w:tab/>
        <w:t>Notice required by section 56A(8), 70(6) or 85B(3)</w:t>
      </w:r>
      <w:bookmarkEnd w:id="534"/>
      <w:bookmarkEnd w:id="535"/>
      <w:bookmarkEnd w:id="536"/>
      <w:bookmarkEnd w:id="537"/>
      <w:bookmarkEnd w:id="538"/>
      <w:bookmarkEnd w:id="539"/>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[Regulation 30 inserted in Gazette 24 Jun 1994 p. 2930.]</w:t>
      </w:r>
    </w:p>
    <w:p>
      <w:pPr>
        <w:pStyle w:val="Heading5"/>
        <w:rPr>
          <w:snapToGrid w:val="0"/>
        </w:rPr>
      </w:pPr>
      <w:bookmarkStart w:id="540" w:name="_Toc474633060"/>
      <w:bookmarkStart w:id="541" w:name="_Toc488740209"/>
      <w:bookmarkStart w:id="542" w:name="_Toc8623592"/>
      <w:bookmarkStart w:id="543" w:name="_Toc11229433"/>
      <w:bookmarkStart w:id="544" w:name="_Toc104276588"/>
      <w:bookmarkStart w:id="545" w:name="_Toc161209362"/>
      <w:r>
        <w:rPr>
          <w:rStyle w:val="CharSectno"/>
        </w:rPr>
        <w:t>31</w:t>
      </w:r>
      <w:r>
        <w:rPr>
          <w:snapToGrid w:val="0"/>
        </w:rPr>
        <w:t>.</w:t>
      </w:r>
      <w:r>
        <w:rPr>
          <w:snapToGrid w:val="0"/>
        </w:rPr>
        <w:tab/>
        <w:t>Expenditure condition</w:t>
      </w:r>
      <w:bookmarkEnd w:id="540"/>
      <w:bookmarkEnd w:id="541"/>
      <w:bookmarkEnd w:id="542"/>
      <w:bookmarkEnd w:id="543"/>
      <w:bookmarkEnd w:id="544"/>
      <w:bookmarkEnd w:id="545"/>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[Regulation 31 amended in Gazette 16 Nov 1990 p. 5728; 31 Jul 1992 p. 3776; 11 Jun 1999 p. 2544; 18 Jun 1999 p. 2643; 17 Jan 2003 p. 111.]</w:t>
      </w:r>
    </w:p>
    <w:p>
      <w:pPr>
        <w:pStyle w:val="Heading5"/>
      </w:pPr>
      <w:bookmarkStart w:id="546" w:name="_Toc161209363"/>
      <w:bookmarkStart w:id="547" w:name="_Toc474633061"/>
      <w:bookmarkStart w:id="548" w:name="_Toc488740210"/>
      <w:bookmarkStart w:id="549" w:name="_Toc8623593"/>
      <w:bookmarkStart w:id="550" w:name="_Toc11229434"/>
      <w:bookmarkStart w:id="551" w:name="_Toc104276589"/>
      <w:r>
        <w:rPr>
          <w:rStyle w:val="CharSectno"/>
        </w:rPr>
        <w:t>31A</w:t>
      </w:r>
      <w:r>
        <w:t>.</w:t>
      </w:r>
      <w:r>
        <w:tab/>
        <w:t>Programme of work for ground disturbing equipment</w:t>
      </w:r>
      <w:bookmarkEnd w:id="546"/>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552" w:name="_Toc161209364"/>
      <w:r>
        <w:rPr>
          <w:rStyle w:val="CharSectno"/>
        </w:rPr>
        <w:t>32</w:t>
      </w:r>
      <w:r>
        <w:rPr>
          <w:snapToGrid w:val="0"/>
        </w:rPr>
        <w:t>.</w:t>
      </w:r>
      <w:r>
        <w:rPr>
          <w:snapToGrid w:val="0"/>
        </w:rPr>
        <w:tab/>
        <w:t>Reports to be filed</w:t>
      </w:r>
      <w:bookmarkEnd w:id="547"/>
      <w:bookmarkEnd w:id="548"/>
      <w:bookmarkEnd w:id="549"/>
      <w:bookmarkEnd w:id="550"/>
      <w:bookmarkEnd w:id="551"/>
      <w:bookmarkEnd w:id="552"/>
    </w:p>
    <w:p>
      <w:pPr>
        <w:pStyle w:val="Subsection"/>
      </w:pPr>
      <w:r>
        <w:rPr>
          <w:snapToGrid w:val="0"/>
        </w:rPr>
        <w:tab/>
        <w:t>(1)</w:t>
      </w:r>
      <w:r>
        <w:rPr>
          <w:snapToGrid w:val="0"/>
        </w:rPr>
        <w:tab/>
        <w:t xml:space="preserve">The reports required under section 82(1) shall be in the form No. 5 in the First Schedule and </w:t>
      </w:r>
      <w:r>
        <w:t>filed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[Regulation 32 amended in Gazette 2 Oct 1987 p. 3816; 2 Jul 1993 p. 3270; 17 Jan 2003 p. 112.]</w:t>
      </w:r>
    </w:p>
    <w:p>
      <w:pPr>
        <w:pStyle w:val="Heading5"/>
      </w:pPr>
      <w:bookmarkStart w:id="553" w:name="_Toc161209365"/>
      <w:bookmarkStart w:id="554" w:name="_Toc74978873"/>
      <w:bookmarkStart w:id="555" w:name="_Toc74979137"/>
      <w:bookmarkStart w:id="556" w:name="_Toc79976435"/>
      <w:bookmarkStart w:id="557" w:name="_Toc80759706"/>
      <w:bookmarkStart w:id="558" w:name="_Toc80783469"/>
      <w:bookmarkStart w:id="559" w:name="_Toc94931136"/>
      <w:bookmarkStart w:id="560" w:name="_Toc104275259"/>
      <w:bookmarkStart w:id="561" w:name="_Toc104276590"/>
      <w:bookmarkStart w:id="562" w:name="_Toc107198811"/>
      <w:bookmarkStart w:id="563" w:name="_Toc107799262"/>
      <w:bookmarkStart w:id="564" w:name="_Toc127087269"/>
      <w:r>
        <w:rPr>
          <w:rStyle w:val="CharSectno"/>
        </w:rPr>
        <w:t>32A</w:t>
      </w:r>
      <w:r>
        <w:t>.</w:t>
      </w:r>
      <w:r>
        <w:tab/>
        <w:t>Condition under section 82A</w:t>
      </w:r>
      <w:bookmarkEnd w:id="553"/>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pPr>
      <w:bookmarkStart w:id="565" w:name="_Toc127183576"/>
      <w:bookmarkStart w:id="566" w:name="_Toc127337997"/>
      <w:bookmarkStart w:id="567" w:name="_Toc128386318"/>
      <w:bookmarkStart w:id="568" w:name="_Toc129150165"/>
      <w:bookmarkStart w:id="569" w:name="_Toc129587447"/>
      <w:bookmarkStart w:id="570" w:name="_Toc131477141"/>
      <w:bookmarkStart w:id="571" w:name="_Toc132106517"/>
      <w:bookmarkStart w:id="572" w:name="_Toc132169050"/>
      <w:bookmarkStart w:id="573" w:name="_Toc132443044"/>
      <w:bookmarkStart w:id="574" w:name="_Toc132523946"/>
      <w:bookmarkStart w:id="575" w:name="_Toc132702815"/>
      <w:bookmarkStart w:id="576" w:name="_Toc139167908"/>
      <w:bookmarkStart w:id="577" w:name="_Toc139433600"/>
      <w:bookmarkStart w:id="578" w:name="_Toc161202914"/>
      <w:bookmarkStart w:id="579" w:name="_Toc161209366"/>
      <w:r>
        <w:rPr>
          <w:rStyle w:val="CharDivNo"/>
        </w:rPr>
        <w:t>Division 4</w:t>
      </w:r>
      <w:r>
        <w:rPr>
          <w:snapToGrid w:val="0"/>
        </w:rPr>
        <w:t> — </w:t>
      </w:r>
      <w:r>
        <w:rPr>
          <w:rStyle w:val="CharDivText"/>
        </w:rPr>
        <w:t>General purpose leases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rPr>
          <w:snapToGrid w:val="0"/>
        </w:rPr>
      </w:pPr>
      <w:bookmarkStart w:id="580" w:name="_Toc474633062"/>
      <w:bookmarkStart w:id="581" w:name="_Toc488740211"/>
      <w:bookmarkStart w:id="582" w:name="_Toc8623594"/>
      <w:bookmarkStart w:id="583" w:name="_Toc11229435"/>
      <w:bookmarkStart w:id="584" w:name="_Toc104276591"/>
      <w:bookmarkStart w:id="585" w:name="_Toc161209367"/>
      <w:r>
        <w:rPr>
          <w:rStyle w:val="CharSectno"/>
        </w:rPr>
        <w:t>33</w:t>
      </w:r>
      <w:r>
        <w:rPr>
          <w:snapToGrid w:val="0"/>
        </w:rPr>
        <w:t>.</w:t>
      </w:r>
      <w:r>
        <w:rPr>
          <w:snapToGrid w:val="0"/>
        </w:rPr>
        <w:tab/>
        <w:t>Marking out and application</w:t>
      </w:r>
      <w:bookmarkEnd w:id="580"/>
      <w:bookmarkEnd w:id="581"/>
      <w:bookmarkEnd w:id="582"/>
      <w:bookmarkEnd w:id="583"/>
      <w:bookmarkEnd w:id="584"/>
      <w:bookmarkEnd w:id="585"/>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586" w:name="_Toc474633064"/>
      <w:bookmarkStart w:id="587" w:name="_Toc488740213"/>
      <w:r>
        <w:t>[</w:t>
      </w:r>
      <w:r>
        <w:rPr>
          <w:b/>
        </w:rPr>
        <w:t>34.</w:t>
      </w:r>
      <w:r>
        <w:rPr>
          <w:b/>
        </w:rPr>
        <w:tab/>
      </w:r>
      <w:r>
        <w:t>Repealed in Gazette 2 Feb 2001 p. 712.]</w:t>
      </w:r>
    </w:p>
    <w:p>
      <w:pPr>
        <w:pStyle w:val="Heading5"/>
        <w:rPr>
          <w:snapToGrid w:val="0"/>
        </w:rPr>
      </w:pPr>
      <w:bookmarkStart w:id="588" w:name="_Toc8623595"/>
      <w:bookmarkStart w:id="589" w:name="_Toc11229436"/>
      <w:bookmarkStart w:id="590" w:name="_Toc104276592"/>
      <w:bookmarkStart w:id="591" w:name="_Toc161209368"/>
      <w:r>
        <w:rPr>
          <w:rStyle w:val="CharSectno"/>
        </w:rPr>
        <w:t>35</w:t>
      </w:r>
      <w:r>
        <w:rPr>
          <w:snapToGrid w:val="0"/>
        </w:rPr>
        <w:t>.</w:t>
      </w:r>
      <w:r>
        <w:rPr>
          <w:snapToGrid w:val="0"/>
        </w:rPr>
        <w:tab/>
        <w:t>Instrument of lease</w:t>
      </w:r>
      <w:bookmarkEnd w:id="586"/>
      <w:bookmarkEnd w:id="587"/>
      <w:bookmarkEnd w:id="588"/>
      <w:bookmarkEnd w:id="589"/>
      <w:bookmarkEnd w:id="590"/>
      <w:bookmarkEnd w:id="591"/>
    </w:p>
    <w:p>
      <w:pPr>
        <w:pStyle w:val="Subsection"/>
        <w:rPr>
          <w:snapToGrid w:val="0"/>
        </w:rPr>
      </w:pPr>
      <w:r>
        <w:rPr>
          <w:snapToGrid w:val="0"/>
        </w:rPr>
        <w:tab/>
      </w:r>
      <w:r>
        <w:rPr>
          <w:snapToGrid w:val="0"/>
        </w:rPr>
        <w:tab/>
        <w:t>The instrument of lease for a general purpose lease shall be in the form No. 10 in the First Schedule.</w:t>
      </w:r>
    </w:p>
    <w:p>
      <w:pPr>
        <w:pStyle w:val="Heading5"/>
        <w:rPr>
          <w:snapToGrid w:val="0"/>
        </w:rPr>
      </w:pPr>
      <w:bookmarkStart w:id="592" w:name="_Toc474633065"/>
      <w:bookmarkStart w:id="593" w:name="_Toc488740214"/>
      <w:bookmarkStart w:id="594" w:name="_Toc8623596"/>
      <w:bookmarkStart w:id="595" w:name="_Toc11229437"/>
      <w:bookmarkStart w:id="596" w:name="_Toc104276593"/>
      <w:bookmarkStart w:id="597" w:name="_Toc161209369"/>
      <w:r>
        <w:rPr>
          <w:rStyle w:val="CharSectno"/>
        </w:rPr>
        <w:t>36</w:t>
      </w:r>
      <w:r>
        <w:rPr>
          <w:snapToGrid w:val="0"/>
        </w:rPr>
        <w:t>.</w:t>
      </w:r>
      <w:r>
        <w:rPr>
          <w:snapToGrid w:val="0"/>
        </w:rPr>
        <w:tab/>
        <w:t>Covenants and conditions</w:t>
      </w:r>
      <w:bookmarkEnd w:id="592"/>
      <w:bookmarkEnd w:id="593"/>
      <w:bookmarkEnd w:id="594"/>
      <w:bookmarkEnd w:id="595"/>
      <w:bookmarkEnd w:id="596"/>
      <w:bookmarkEnd w:id="597"/>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w:t>
      </w:r>
    </w:p>
    <w:p>
      <w:pPr>
        <w:pStyle w:val="Heading5"/>
        <w:rPr>
          <w:snapToGrid w:val="0"/>
        </w:rPr>
      </w:pPr>
      <w:bookmarkStart w:id="598" w:name="_Toc474633066"/>
      <w:bookmarkStart w:id="599" w:name="_Toc488740215"/>
      <w:bookmarkStart w:id="600" w:name="_Toc8623597"/>
      <w:bookmarkStart w:id="601" w:name="_Toc11229438"/>
      <w:bookmarkStart w:id="602" w:name="_Toc104276594"/>
      <w:bookmarkStart w:id="603" w:name="_Toc161209370"/>
      <w:r>
        <w:rPr>
          <w:rStyle w:val="CharSectno"/>
        </w:rPr>
        <w:t>36A</w:t>
      </w:r>
      <w:r>
        <w:rPr>
          <w:snapToGrid w:val="0"/>
        </w:rPr>
        <w:t>.</w:t>
      </w:r>
      <w:r>
        <w:rPr>
          <w:snapToGrid w:val="0"/>
        </w:rPr>
        <w:tab/>
        <w:t>Application for renewal</w:t>
      </w:r>
      <w:bookmarkEnd w:id="598"/>
      <w:bookmarkEnd w:id="599"/>
      <w:bookmarkEnd w:id="600"/>
      <w:bookmarkEnd w:id="601"/>
      <w:bookmarkEnd w:id="602"/>
      <w:bookmarkEnd w:id="603"/>
    </w:p>
    <w:p>
      <w:pPr>
        <w:pStyle w:val="Subsection"/>
        <w:rPr>
          <w:snapToGrid w:val="0"/>
        </w:rPr>
      </w:pPr>
      <w:r>
        <w:rPr>
          <w:snapToGrid w:val="0"/>
        </w:rPr>
        <w:tab/>
        <w:t>(1)</w:t>
      </w:r>
      <w:r>
        <w:rPr>
          <w:snapToGrid w:val="0"/>
        </w:rPr>
        <w:tab/>
        <w:t>Application for renewal of a general purpose lease under section 88 shall be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w:t>
      </w:r>
    </w:p>
    <w:p>
      <w:pPr>
        <w:pStyle w:val="Heading3"/>
      </w:pPr>
      <w:bookmarkStart w:id="604" w:name="_Toc74978878"/>
      <w:bookmarkStart w:id="605" w:name="_Toc74979142"/>
      <w:bookmarkStart w:id="606" w:name="_Toc79976440"/>
      <w:bookmarkStart w:id="607" w:name="_Toc80759711"/>
      <w:bookmarkStart w:id="608" w:name="_Toc80783474"/>
      <w:bookmarkStart w:id="609" w:name="_Toc94931141"/>
      <w:bookmarkStart w:id="610" w:name="_Toc104275264"/>
      <w:bookmarkStart w:id="611" w:name="_Toc104276595"/>
      <w:bookmarkStart w:id="612" w:name="_Toc107198816"/>
      <w:bookmarkStart w:id="613" w:name="_Toc107799267"/>
      <w:bookmarkStart w:id="614" w:name="_Toc127087274"/>
      <w:bookmarkStart w:id="615" w:name="_Toc127183581"/>
      <w:bookmarkStart w:id="616" w:name="_Toc127338002"/>
      <w:bookmarkStart w:id="617" w:name="_Toc128386323"/>
      <w:bookmarkStart w:id="618" w:name="_Toc129150170"/>
      <w:bookmarkStart w:id="619" w:name="_Toc129587452"/>
      <w:bookmarkStart w:id="620" w:name="_Toc131477146"/>
      <w:bookmarkStart w:id="621" w:name="_Toc132106522"/>
      <w:bookmarkStart w:id="622" w:name="_Toc132169055"/>
      <w:bookmarkStart w:id="623" w:name="_Toc132443049"/>
      <w:bookmarkStart w:id="624" w:name="_Toc132523951"/>
      <w:bookmarkStart w:id="625" w:name="_Toc132702820"/>
      <w:bookmarkStart w:id="626" w:name="_Toc139167913"/>
      <w:bookmarkStart w:id="627" w:name="_Toc139433605"/>
      <w:bookmarkStart w:id="628" w:name="_Toc161202919"/>
      <w:bookmarkStart w:id="629" w:name="_Toc161209371"/>
      <w:r>
        <w:rPr>
          <w:rStyle w:val="CharDivNo"/>
        </w:rPr>
        <w:t>Division 5</w:t>
      </w:r>
      <w:r>
        <w:rPr>
          <w:snapToGrid w:val="0"/>
        </w:rPr>
        <w:t> — </w:t>
      </w:r>
      <w:r>
        <w:rPr>
          <w:rStyle w:val="CharDivText"/>
        </w:rPr>
        <w:t>Miscellaneous licences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474633067"/>
      <w:bookmarkStart w:id="631" w:name="_Toc488740216"/>
      <w:bookmarkStart w:id="632" w:name="_Toc8623598"/>
      <w:bookmarkStart w:id="633" w:name="_Toc11229439"/>
      <w:bookmarkStart w:id="634" w:name="_Toc104276596"/>
      <w:bookmarkStart w:id="635" w:name="_Toc161209372"/>
      <w:r>
        <w:rPr>
          <w:rStyle w:val="CharSectno"/>
        </w:rPr>
        <w:t>37</w:t>
      </w:r>
      <w:r>
        <w:rPr>
          <w:snapToGrid w:val="0"/>
        </w:rPr>
        <w:t>.</w:t>
      </w:r>
      <w:r>
        <w:rPr>
          <w:snapToGrid w:val="0"/>
        </w:rPr>
        <w:tab/>
        <w:t>Marking out and application</w:t>
      </w:r>
      <w:bookmarkEnd w:id="630"/>
      <w:bookmarkEnd w:id="631"/>
      <w:bookmarkEnd w:id="632"/>
      <w:bookmarkEnd w:id="633"/>
      <w:bookmarkEnd w:id="634"/>
      <w:bookmarkEnd w:id="635"/>
    </w:p>
    <w:p>
      <w:pPr>
        <w:pStyle w:val="Subsection"/>
      </w:pPr>
      <w:r>
        <w:tab/>
        <w:t>(1)</w:t>
      </w:r>
      <w:r>
        <w:tab/>
        <w:t>A miscellaneous licence shall be marked out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w:t>
      </w:r>
    </w:p>
    <w:p>
      <w:pPr>
        <w:pStyle w:val="Heading5"/>
        <w:rPr>
          <w:snapToGrid w:val="0"/>
        </w:rPr>
      </w:pPr>
      <w:bookmarkStart w:id="636" w:name="_Toc474633068"/>
      <w:bookmarkStart w:id="637" w:name="_Toc488740217"/>
      <w:bookmarkStart w:id="638" w:name="_Toc8623599"/>
      <w:bookmarkStart w:id="639" w:name="_Toc11229440"/>
      <w:bookmarkStart w:id="640" w:name="_Toc104276597"/>
      <w:bookmarkStart w:id="641" w:name="_Toc161209373"/>
      <w:r>
        <w:rPr>
          <w:rStyle w:val="CharSectno"/>
        </w:rPr>
        <w:t>38</w:t>
      </w:r>
      <w:r>
        <w:rPr>
          <w:snapToGrid w:val="0"/>
        </w:rPr>
        <w:t>.</w:t>
      </w:r>
      <w:r>
        <w:rPr>
          <w:snapToGrid w:val="0"/>
        </w:rPr>
        <w:tab/>
        <w:t xml:space="preserve">Shape of </w:t>
      </w:r>
      <w:bookmarkEnd w:id="636"/>
      <w:bookmarkEnd w:id="637"/>
      <w:bookmarkEnd w:id="638"/>
      <w:r>
        <w:rPr>
          <w:snapToGrid w:val="0"/>
        </w:rPr>
        <w:t>licence</w:t>
      </w:r>
      <w:bookmarkEnd w:id="639"/>
      <w:bookmarkEnd w:id="640"/>
      <w:bookmarkEnd w:id="641"/>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spacing w:before="200"/>
        <w:ind w:left="890" w:hanging="890"/>
      </w:pPr>
      <w:r>
        <w:t>[</w:t>
      </w:r>
      <w:r>
        <w:rPr>
          <w:b/>
        </w:rPr>
        <w:t>40.</w:t>
      </w:r>
      <w:r>
        <w:tab/>
        <w:t>Repealed in Gazette 13 Oct 1995 p. 4816.]</w:t>
      </w:r>
    </w:p>
    <w:p>
      <w:pPr>
        <w:pStyle w:val="Heading5"/>
        <w:spacing w:before="200"/>
        <w:rPr>
          <w:snapToGrid w:val="0"/>
        </w:rPr>
      </w:pPr>
      <w:bookmarkStart w:id="642" w:name="_Toc474633070"/>
      <w:bookmarkStart w:id="643" w:name="_Toc488740219"/>
      <w:bookmarkStart w:id="644" w:name="_Toc8623600"/>
      <w:bookmarkStart w:id="645" w:name="_Toc11229441"/>
      <w:bookmarkStart w:id="646" w:name="_Toc104276598"/>
      <w:bookmarkStart w:id="647" w:name="_Toc161209374"/>
      <w:r>
        <w:rPr>
          <w:rStyle w:val="CharSectno"/>
        </w:rPr>
        <w:t>41</w:t>
      </w:r>
      <w:r>
        <w:rPr>
          <w:snapToGrid w:val="0"/>
        </w:rPr>
        <w:t>.</w:t>
      </w:r>
      <w:r>
        <w:rPr>
          <w:snapToGrid w:val="0"/>
        </w:rPr>
        <w:tab/>
        <w:t>Covenants and conditions</w:t>
      </w:r>
      <w:bookmarkEnd w:id="642"/>
      <w:bookmarkEnd w:id="643"/>
      <w:bookmarkEnd w:id="644"/>
      <w:bookmarkEnd w:id="645"/>
      <w:bookmarkEnd w:id="646"/>
      <w:bookmarkEnd w:id="647"/>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100"/>
        <w:ind w:left="890" w:hanging="890"/>
      </w:pPr>
      <w:r>
        <w:tab/>
        <w:t>[Regulation 41 amended in Gazette 2 Oct 1987 p. 3837; 3 Feb 2006 p. 519.]</w:t>
      </w:r>
    </w:p>
    <w:p>
      <w:pPr>
        <w:pStyle w:val="Heading5"/>
        <w:spacing w:before="200"/>
        <w:rPr>
          <w:snapToGrid w:val="0"/>
        </w:rPr>
      </w:pPr>
      <w:bookmarkStart w:id="648" w:name="_Toc474633071"/>
      <w:bookmarkStart w:id="649" w:name="_Toc488740220"/>
      <w:bookmarkStart w:id="650" w:name="_Toc8623601"/>
      <w:bookmarkStart w:id="651" w:name="_Toc11229442"/>
      <w:bookmarkStart w:id="652" w:name="_Toc104276599"/>
      <w:bookmarkStart w:id="653" w:name="_Toc161209375"/>
      <w:r>
        <w:rPr>
          <w:rStyle w:val="CharSectno"/>
        </w:rPr>
        <w:t>42</w:t>
      </w:r>
      <w:r>
        <w:rPr>
          <w:snapToGrid w:val="0"/>
        </w:rPr>
        <w:t>.</w:t>
      </w:r>
      <w:r>
        <w:rPr>
          <w:snapToGrid w:val="0"/>
        </w:rPr>
        <w:tab/>
        <w:t xml:space="preserve">Instrument of </w:t>
      </w:r>
      <w:bookmarkEnd w:id="648"/>
      <w:bookmarkEnd w:id="649"/>
      <w:bookmarkEnd w:id="650"/>
      <w:r>
        <w:rPr>
          <w:snapToGrid w:val="0"/>
        </w:rPr>
        <w:t>licence</w:t>
      </w:r>
      <w:bookmarkEnd w:id="651"/>
      <w:bookmarkEnd w:id="652"/>
      <w:bookmarkEnd w:id="653"/>
    </w:p>
    <w:p>
      <w:pPr>
        <w:pStyle w:val="Subsection"/>
        <w:spacing w:before="120"/>
        <w:rPr>
          <w:snapToGrid w:val="0"/>
        </w:rPr>
      </w:pPr>
      <w:r>
        <w:rPr>
          <w:snapToGrid w:val="0"/>
        </w:rPr>
        <w:tab/>
      </w:r>
      <w:r>
        <w:rPr>
          <w:snapToGrid w:val="0"/>
        </w:rPr>
        <w:tab/>
        <w:t>The instrument of licence for a miscellaneous licence shall be in the form No. 11 in the First Schedule.</w:t>
      </w:r>
    </w:p>
    <w:p>
      <w:pPr>
        <w:pStyle w:val="Heading5"/>
        <w:spacing w:before="200"/>
        <w:rPr>
          <w:snapToGrid w:val="0"/>
        </w:rPr>
      </w:pPr>
      <w:bookmarkStart w:id="654" w:name="_Toc474633072"/>
      <w:bookmarkStart w:id="655" w:name="_Toc488740221"/>
      <w:bookmarkStart w:id="656" w:name="_Toc8623602"/>
      <w:bookmarkStart w:id="657" w:name="_Toc11229443"/>
      <w:bookmarkStart w:id="658" w:name="_Toc104276600"/>
      <w:bookmarkStart w:id="659" w:name="_Toc161209376"/>
      <w:r>
        <w:rPr>
          <w:rStyle w:val="CharSectno"/>
        </w:rPr>
        <w:t>42A</w:t>
      </w:r>
      <w:r>
        <w:rPr>
          <w:snapToGrid w:val="0"/>
        </w:rPr>
        <w:t>.</w:t>
      </w:r>
      <w:r>
        <w:rPr>
          <w:snapToGrid w:val="0"/>
        </w:rPr>
        <w:tab/>
        <w:t>Application for renewal</w:t>
      </w:r>
      <w:bookmarkEnd w:id="654"/>
      <w:bookmarkEnd w:id="655"/>
      <w:bookmarkEnd w:id="656"/>
      <w:bookmarkEnd w:id="657"/>
      <w:bookmarkEnd w:id="658"/>
      <w:bookmarkEnd w:id="659"/>
    </w:p>
    <w:p>
      <w:pPr>
        <w:pStyle w:val="Subsection"/>
        <w:spacing w:before="120"/>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w:t>
      </w:r>
    </w:p>
    <w:p>
      <w:pPr>
        <w:pStyle w:val="Heading5"/>
        <w:rPr>
          <w:snapToGrid w:val="0"/>
        </w:rPr>
      </w:pPr>
      <w:bookmarkStart w:id="660" w:name="_Toc474633073"/>
      <w:bookmarkStart w:id="661" w:name="_Toc488740222"/>
      <w:bookmarkStart w:id="662" w:name="_Toc8623603"/>
      <w:bookmarkStart w:id="663" w:name="_Toc11229444"/>
      <w:bookmarkStart w:id="664" w:name="_Toc104276601"/>
      <w:bookmarkStart w:id="665" w:name="_Toc161209377"/>
      <w:r>
        <w:rPr>
          <w:rStyle w:val="CharSectno"/>
        </w:rPr>
        <w:t>42B</w:t>
      </w:r>
      <w:r>
        <w:rPr>
          <w:snapToGrid w:val="0"/>
        </w:rPr>
        <w:t>.</w:t>
      </w:r>
      <w:r>
        <w:rPr>
          <w:snapToGrid w:val="0"/>
        </w:rPr>
        <w:tab/>
        <w:t xml:space="preserve">Prescribed purposes for grant of miscellaneous </w:t>
      </w:r>
      <w:bookmarkEnd w:id="660"/>
      <w:bookmarkEnd w:id="661"/>
      <w:bookmarkEnd w:id="662"/>
      <w:r>
        <w:rPr>
          <w:snapToGrid w:val="0"/>
        </w:rPr>
        <w:t>licence</w:t>
      </w:r>
      <w:bookmarkEnd w:id="663"/>
      <w:bookmarkEnd w:id="664"/>
      <w:bookmarkEnd w:id="665"/>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[Regulation 42B inserted in Gazette 13 Oct 1995 p. 4817; amended in Gazette 4 Apr 1997 p. 1778.]</w:t>
      </w:r>
    </w:p>
    <w:p>
      <w:pPr>
        <w:pStyle w:val="Heading3"/>
      </w:pPr>
      <w:bookmarkStart w:id="666" w:name="_Toc74978885"/>
      <w:bookmarkStart w:id="667" w:name="_Toc74979149"/>
      <w:bookmarkStart w:id="668" w:name="_Toc79976447"/>
      <w:bookmarkStart w:id="669" w:name="_Toc80759718"/>
      <w:bookmarkStart w:id="670" w:name="_Toc80783481"/>
      <w:bookmarkStart w:id="671" w:name="_Toc94931148"/>
      <w:bookmarkStart w:id="672" w:name="_Toc104275271"/>
      <w:bookmarkStart w:id="673" w:name="_Toc104276602"/>
      <w:bookmarkStart w:id="674" w:name="_Toc107198823"/>
      <w:bookmarkStart w:id="675" w:name="_Toc107799274"/>
      <w:bookmarkStart w:id="676" w:name="_Toc127087281"/>
      <w:bookmarkStart w:id="677" w:name="_Toc127183588"/>
      <w:bookmarkStart w:id="678" w:name="_Toc127338009"/>
      <w:bookmarkStart w:id="679" w:name="_Toc128386330"/>
      <w:bookmarkStart w:id="680" w:name="_Toc129150177"/>
      <w:bookmarkStart w:id="681" w:name="_Toc129587459"/>
      <w:bookmarkStart w:id="682" w:name="_Toc131477153"/>
      <w:bookmarkStart w:id="683" w:name="_Toc132106529"/>
      <w:bookmarkStart w:id="684" w:name="_Toc132169062"/>
      <w:bookmarkStart w:id="685" w:name="_Toc132443056"/>
      <w:bookmarkStart w:id="686" w:name="_Toc132523958"/>
      <w:bookmarkStart w:id="687" w:name="_Toc132702827"/>
      <w:bookmarkStart w:id="688" w:name="_Toc139167920"/>
      <w:bookmarkStart w:id="689" w:name="_Toc139433612"/>
      <w:bookmarkStart w:id="690" w:name="_Toc161202926"/>
      <w:bookmarkStart w:id="691" w:name="_Toc161209378"/>
      <w:r>
        <w:rPr>
          <w:rStyle w:val="CharDivNo"/>
        </w:rPr>
        <w:t>Division 6</w:t>
      </w:r>
      <w:r>
        <w:rPr>
          <w:snapToGrid w:val="0"/>
        </w:rPr>
        <w:t> — </w:t>
      </w:r>
      <w:r>
        <w:rPr>
          <w:rStyle w:val="CharDivText"/>
        </w:rPr>
        <w:t>Surrenders and forfeitures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rPr>
          <w:snapToGrid w:val="0"/>
        </w:rPr>
      </w:pPr>
      <w:bookmarkStart w:id="692" w:name="_Toc474633074"/>
      <w:bookmarkStart w:id="693" w:name="_Toc488740223"/>
      <w:bookmarkStart w:id="694" w:name="_Toc8623604"/>
      <w:bookmarkStart w:id="695" w:name="_Toc11229445"/>
      <w:bookmarkStart w:id="696" w:name="_Toc104276603"/>
      <w:bookmarkStart w:id="697" w:name="_Toc161209379"/>
      <w:r>
        <w:rPr>
          <w:rStyle w:val="CharSectno"/>
        </w:rPr>
        <w:t>43</w:t>
      </w:r>
      <w:r>
        <w:rPr>
          <w:snapToGrid w:val="0"/>
        </w:rPr>
        <w:t>.</w:t>
      </w:r>
      <w:r>
        <w:rPr>
          <w:snapToGrid w:val="0"/>
        </w:rPr>
        <w:tab/>
        <w:t>Surrender of tenement</w:t>
      </w:r>
      <w:bookmarkEnd w:id="692"/>
      <w:bookmarkEnd w:id="693"/>
      <w:bookmarkEnd w:id="694"/>
      <w:bookmarkEnd w:id="695"/>
      <w:bookmarkEnd w:id="696"/>
      <w:bookmarkEnd w:id="697"/>
    </w:p>
    <w:p>
      <w:pPr>
        <w:pStyle w:val="Subsection"/>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w:t>
      </w:r>
    </w:p>
    <w:p>
      <w:pPr>
        <w:pStyle w:val="Heading5"/>
        <w:rPr>
          <w:snapToGrid w:val="0"/>
        </w:rPr>
      </w:pPr>
      <w:bookmarkStart w:id="698" w:name="_Toc474633075"/>
      <w:bookmarkStart w:id="699" w:name="_Toc488740224"/>
      <w:bookmarkStart w:id="700" w:name="_Toc8623605"/>
      <w:bookmarkStart w:id="701" w:name="_Toc11229446"/>
      <w:bookmarkStart w:id="702" w:name="_Toc104276604"/>
      <w:bookmarkStart w:id="703" w:name="_Toc161209380"/>
      <w:r>
        <w:rPr>
          <w:rStyle w:val="CharSectno"/>
        </w:rPr>
        <w:t>44</w:t>
      </w:r>
      <w:r>
        <w:rPr>
          <w:snapToGrid w:val="0"/>
        </w:rPr>
        <w:t>.</w:t>
      </w:r>
      <w:r>
        <w:rPr>
          <w:snapToGrid w:val="0"/>
        </w:rPr>
        <w:tab/>
        <w:t>Shape of tenement after partial surrender</w:t>
      </w:r>
      <w:bookmarkEnd w:id="698"/>
      <w:bookmarkEnd w:id="699"/>
      <w:bookmarkEnd w:id="700"/>
      <w:bookmarkEnd w:id="701"/>
      <w:bookmarkEnd w:id="702"/>
      <w:bookmarkEnd w:id="70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704" w:name="_Toc474633076"/>
      <w:bookmarkStart w:id="705" w:name="_Toc488740225"/>
      <w:bookmarkStart w:id="706" w:name="_Toc8623606"/>
      <w:bookmarkStart w:id="707" w:name="_Toc11229447"/>
      <w:bookmarkStart w:id="708" w:name="_Toc104276605"/>
      <w:bookmarkStart w:id="709" w:name="_Toc161209381"/>
      <w:r>
        <w:rPr>
          <w:rStyle w:val="CharSectno"/>
        </w:rPr>
        <w:t>45</w:t>
      </w:r>
      <w:r>
        <w:rPr>
          <w:snapToGrid w:val="0"/>
        </w:rPr>
        <w:t>.</w:t>
      </w:r>
      <w:r>
        <w:rPr>
          <w:snapToGrid w:val="0"/>
        </w:rPr>
        <w:tab/>
        <w:t>Marking out etc., required for partial surrender</w:t>
      </w:r>
      <w:bookmarkEnd w:id="704"/>
      <w:bookmarkEnd w:id="705"/>
      <w:bookmarkEnd w:id="706"/>
      <w:bookmarkEnd w:id="707"/>
      <w:bookmarkEnd w:id="708"/>
      <w:bookmarkEnd w:id="709"/>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[Regulation 45 amended in Gazette 15 Jun 1984 p. 1655; 20 Jun 1986 p. 2084; 26 Jun 1987 p. 2526; 2 Oct 1987 p. 3817; 16 Nov 1990 p. 5728; 31 May 1991 p. 2698 (corrigendum in Gazette 7 Jun 1991 p. 2836); 21 Jun 1991 p. 3055; 24 Jun 1994 p. 2931; 17 Jan 2003 p. 106.]</w:t>
      </w:r>
    </w:p>
    <w:p>
      <w:pPr>
        <w:pStyle w:val="Heading5"/>
        <w:rPr>
          <w:snapToGrid w:val="0"/>
        </w:rPr>
      </w:pPr>
      <w:bookmarkStart w:id="710" w:name="_Toc474633077"/>
      <w:bookmarkStart w:id="711" w:name="_Toc488740226"/>
      <w:bookmarkStart w:id="712" w:name="_Toc8623607"/>
      <w:bookmarkStart w:id="713" w:name="_Toc11229448"/>
      <w:bookmarkStart w:id="714" w:name="_Toc104276606"/>
      <w:bookmarkStart w:id="715" w:name="_Toc161209382"/>
      <w:r>
        <w:rPr>
          <w:rStyle w:val="CharSectno"/>
        </w:rPr>
        <w:t>46</w:t>
      </w:r>
      <w:r>
        <w:rPr>
          <w:snapToGrid w:val="0"/>
        </w:rPr>
        <w:t>.</w:t>
      </w:r>
      <w:r>
        <w:rPr>
          <w:snapToGrid w:val="0"/>
        </w:rPr>
        <w:tab/>
        <w:t>Partial surrender to be endorsed on instrument of lease/</w:t>
      </w:r>
      <w:bookmarkEnd w:id="710"/>
      <w:bookmarkEnd w:id="711"/>
      <w:bookmarkEnd w:id="712"/>
      <w:r>
        <w:rPr>
          <w:snapToGrid w:val="0"/>
        </w:rPr>
        <w:t>licence</w:t>
      </w:r>
      <w:bookmarkEnd w:id="713"/>
      <w:bookmarkEnd w:id="714"/>
      <w:bookmarkEnd w:id="71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716" w:name="_Toc474633078"/>
      <w:bookmarkStart w:id="717" w:name="_Toc488740227"/>
      <w:bookmarkStart w:id="718" w:name="_Toc8623608"/>
      <w:bookmarkStart w:id="719" w:name="_Toc11229449"/>
      <w:bookmarkStart w:id="720" w:name="_Toc104276607"/>
      <w:bookmarkStart w:id="721" w:name="_Toc161209383"/>
      <w:r>
        <w:rPr>
          <w:rStyle w:val="CharSectno"/>
        </w:rPr>
        <w:t>47</w:t>
      </w:r>
      <w:r>
        <w:rPr>
          <w:snapToGrid w:val="0"/>
        </w:rPr>
        <w:t>.</w:t>
      </w:r>
      <w:r>
        <w:rPr>
          <w:snapToGrid w:val="0"/>
        </w:rPr>
        <w:tab/>
        <w:t>Consent of mortgagee to surrender</w:t>
      </w:r>
      <w:bookmarkEnd w:id="716"/>
      <w:bookmarkEnd w:id="717"/>
      <w:bookmarkEnd w:id="718"/>
      <w:bookmarkEnd w:id="719"/>
      <w:bookmarkEnd w:id="720"/>
      <w:bookmarkEnd w:id="721"/>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[Regulation 47 amended in Gazette 31 May 1991 p. 2698.]</w:t>
      </w:r>
    </w:p>
    <w:p>
      <w:pPr>
        <w:pStyle w:val="Heading5"/>
        <w:rPr>
          <w:snapToGrid w:val="0"/>
        </w:rPr>
      </w:pPr>
      <w:bookmarkStart w:id="722" w:name="_Toc474633079"/>
      <w:bookmarkStart w:id="723" w:name="_Toc488740228"/>
      <w:bookmarkStart w:id="724" w:name="_Toc8623609"/>
      <w:bookmarkStart w:id="725" w:name="_Toc11229450"/>
      <w:bookmarkStart w:id="726" w:name="_Toc104276608"/>
      <w:bookmarkStart w:id="727" w:name="_Toc161209384"/>
      <w:r>
        <w:rPr>
          <w:rStyle w:val="CharSectno"/>
        </w:rPr>
        <w:t>47A</w:t>
      </w:r>
      <w:r>
        <w:rPr>
          <w:snapToGrid w:val="0"/>
        </w:rPr>
        <w:t>.</w:t>
      </w:r>
      <w:r>
        <w:rPr>
          <w:snapToGrid w:val="0"/>
        </w:rPr>
        <w:tab/>
        <w:t>Refund where conditional surrender of mining lease or general purpose lease</w:t>
      </w:r>
      <w:bookmarkEnd w:id="722"/>
      <w:bookmarkEnd w:id="723"/>
      <w:bookmarkEnd w:id="724"/>
      <w:bookmarkEnd w:id="725"/>
      <w:bookmarkEnd w:id="726"/>
      <w:bookmarkEnd w:id="727"/>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Heading5"/>
        <w:rPr>
          <w:snapToGrid w:val="0"/>
        </w:rPr>
      </w:pPr>
      <w:bookmarkStart w:id="728" w:name="_Toc474633080"/>
      <w:bookmarkStart w:id="729" w:name="_Toc488740229"/>
      <w:bookmarkStart w:id="730" w:name="_Toc8623610"/>
      <w:bookmarkStart w:id="731" w:name="_Toc11229451"/>
      <w:bookmarkStart w:id="732" w:name="_Toc104276609"/>
      <w:bookmarkStart w:id="733" w:name="_Toc161209385"/>
      <w:r>
        <w:rPr>
          <w:rStyle w:val="CharSectno"/>
        </w:rPr>
        <w:t>48</w:t>
      </w:r>
      <w:r>
        <w:rPr>
          <w:snapToGrid w:val="0"/>
        </w:rPr>
        <w:t>.</w:t>
      </w:r>
      <w:r>
        <w:rPr>
          <w:snapToGrid w:val="0"/>
        </w:rPr>
        <w:tab/>
        <w:t>Plaint for forfeiture</w:t>
      </w:r>
      <w:bookmarkEnd w:id="728"/>
      <w:bookmarkEnd w:id="729"/>
      <w:bookmarkEnd w:id="730"/>
      <w:bookmarkEnd w:id="731"/>
      <w:bookmarkEnd w:id="732"/>
      <w:bookmarkEnd w:id="733"/>
    </w:p>
    <w:p>
      <w:pPr>
        <w:pStyle w:val="Subsection"/>
        <w:rPr>
          <w:snapToGrid w:val="0"/>
        </w:rPr>
      </w:pPr>
      <w:r>
        <w:rPr>
          <w:snapToGrid w:val="0"/>
        </w:rPr>
        <w:tab/>
      </w:r>
      <w:r>
        <w:rPr>
          <w:snapToGrid w:val="0"/>
        </w:rPr>
        <w:tab/>
        <w:t>An application for the forfeiture of a mining tenement under section 96(1)(b) or section 98 of the Act shall be made by way of plaint in the form No. 33 in the First Schedule.</w:t>
      </w:r>
    </w:p>
    <w:p>
      <w:pPr>
        <w:pStyle w:val="Heading5"/>
        <w:rPr>
          <w:snapToGrid w:val="0"/>
        </w:rPr>
      </w:pPr>
      <w:bookmarkStart w:id="734" w:name="_Toc474633081"/>
      <w:bookmarkStart w:id="735" w:name="_Toc488740230"/>
      <w:bookmarkStart w:id="736" w:name="_Toc8623611"/>
      <w:bookmarkStart w:id="737" w:name="_Toc11229452"/>
      <w:bookmarkStart w:id="738" w:name="_Toc104276610"/>
      <w:bookmarkStart w:id="739" w:name="_Toc161209386"/>
      <w:r>
        <w:rPr>
          <w:rStyle w:val="CharSectno"/>
        </w:rPr>
        <w:t>49</w:t>
      </w:r>
      <w:r>
        <w:rPr>
          <w:snapToGrid w:val="0"/>
        </w:rPr>
        <w:t>.</w:t>
      </w:r>
      <w:r>
        <w:rPr>
          <w:snapToGrid w:val="0"/>
        </w:rPr>
        <w:tab/>
        <w:t>Forfeiture for non</w:t>
      </w:r>
      <w:r>
        <w:rPr>
          <w:snapToGrid w:val="0"/>
        </w:rPr>
        <w:noBreakHyphen/>
        <w:t>payment of rent, etc.</w:t>
      </w:r>
      <w:bookmarkEnd w:id="734"/>
      <w:bookmarkEnd w:id="735"/>
      <w:bookmarkEnd w:id="736"/>
      <w:bookmarkEnd w:id="737"/>
      <w:bookmarkEnd w:id="738"/>
      <w:bookmarkEnd w:id="739"/>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snapToGrid w:val="0"/>
        </w:rPr>
      </w:pPr>
      <w:r>
        <w:rPr>
          <w:snapToGrid w:val="0"/>
        </w:rPr>
        <w:tab/>
        <w:t>(3)</w:t>
      </w:r>
      <w:r>
        <w:rPr>
          <w:snapToGrid w:val="0"/>
        </w:rPr>
        <w:tab/>
        <w:t>An objection in the form No. 16 in the First Schedule against the warden making an order for forfeiture referred to in subregulation (2) may be lodged at the office of the mining registrar at any time prior to the fixed date, and the warden shall hear and determine the matter.</w:t>
      </w:r>
    </w:p>
    <w:p>
      <w:pPr>
        <w:pStyle w:val="Footnotesection"/>
      </w:pPr>
      <w:r>
        <w:tab/>
        <w:t>[Regulation 49 amended in Gazette 24 Dec 1993 p. 6828.]</w:t>
      </w:r>
    </w:p>
    <w:p>
      <w:pPr>
        <w:pStyle w:val="Heading5"/>
        <w:rPr>
          <w:snapToGrid w:val="0"/>
        </w:rPr>
      </w:pPr>
      <w:bookmarkStart w:id="740" w:name="_Toc474633082"/>
      <w:bookmarkStart w:id="741" w:name="_Toc488740231"/>
      <w:bookmarkStart w:id="742" w:name="_Toc8623612"/>
      <w:bookmarkStart w:id="743" w:name="_Toc11229453"/>
      <w:bookmarkStart w:id="744" w:name="_Toc104276611"/>
      <w:bookmarkStart w:id="745" w:name="_Toc161209387"/>
      <w:r>
        <w:rPr>
          <w:rStyle w:val="CharSectno"/>
        </w:rPr>
        <w:t>50</w:t>
      </w:r>
      <w:r>
        <w:rPr>
          <w:snapToGrid w:val="0"/>
        </w:rPr>
        <w:t>.</w:t>
      </w:r>
      <w:r>
        <w:rPr>
          <w:snapToGrid w:val="0"/>
        </w:rPr>
        <w:tab/>
        <w:t>Notice to holder of mining tenement of intended forfeiture</w:t>
      </w:r>
      <w:bookmarkEnd w:id="740"/>
      <w:bookmarkEnd w:id="741"/>
      <w:bookmarkEnd w:id="742"/>
      <w:bookmarkEnd w:id="743"/>
      <w:bookmarkEnd w:id="744"/>
      <w:bookmarkEnd w:id="745"/>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rPr>
          <w:snapToGrid w:val="0"/>
        </w:rPr>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rPr>
          <w:snapToGrid w:val="0"/>
        </w:rPr>
        <w:t>.</w:t>
      </w:r>
    </w:p>
    <w:p>
      <w:pPr>
        <w:pStyle w:val="Footnotesection"/>
      </w:pPr>
      <w:r>
        <w:tab/>
        <w:t>[Regulation 50 amended in Gazette 24 Jun 1994 p. 2931.]</w:t>
      </w:r>
    </w:p>
    <w:p>
      <w:pPr>
        <w:pStyle w:val="Heading5"/>
        <w:rPr>
          <w:snapToGrid w:val="0"/>
        </w:rPr>
      </w:pPr>
      <w:bookmarkStart w:id="746" w:name="_Toc474633083"/>
      <w:bookmarkStart w:id="747" w:name="_Toc488740232"/>
      <w:bookmarkStart w:id="748" w:name="_Toc8623613"/>
      <w:bookmarkStart w:id="749" w:name="_Toc11229454"/>
      <w:bookmarkStart w:id="750" w:name="_Toc104276612"/>
      <w:bookmarkStart w:id="751" w:name="_Toc161209388"/>
      <w:r>
        <w:rPr>
          <w:rStyle w:val="CharSectno"/>
        </w:rPr>
        <w:t>51</w:t>
      </w:r>
      <w:r>
        <w:rPr>
          <w:snapToGrid w:val="0"/>
        </w:rPr>
        <w:t>.</w:t>
      </w:r>
      <w:r>
        <w:rPr>
          <w:snapToGrid w:val="0"/>
        </w:rPr>
        <w:tab/>
        <w:t>Application for restoration of tenement</w:t>
      </w:r>
      <w:bookmarkEnd w:id="746"/>
      <w:bookmarkEnd w:id="747"/>
      <w:bookmarkEnd w:id="748"/>
      <w:bookmarkEnd w:id="749"/>
      <w:bookmarkEnd w:id="750"/>
      <w:bookmarkEnd w:id="751"/>
    </w:p>
    <w:p>
      <w:pPr>
        <w:pStyle w:val="Subsection"/>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[Regulation 51 inserted in Gazette 2 Oct 1987 p. 3818; amended in Gazette 24 Jun 1994 p. 2931.]</w:t>
      </w:r>
    </w:p>
    <w:p>
      <w:pPr>
        <w:pStyle w:val="Heading5"/>
        <w:rPr>
          <w:snapToGrid w:val="0"/>
        </w:rPr>
      </w:pPr>
      <w:bookmarkStart w:id="752" w:name="_Toc474633084"/>
      <w:bookmarkStart w:id="753" w:name="_Toc488740233"/>
      <w:bookmarkStart w:id="754" w:name="_Toc8623614"/>
      <w:bookmarkStart w:id="755" w:name="_Toc11229455"/>
      <w:bookmarkStart w:id="756" w:name="_Toc104276613"/>
      <w:bookmarkStart w:id="757" w:name="_Toc161209389"/>
      <w:r>
        <w:rPr>
          <w:rStyle w:val="CharSectno"/>
        </w:rPr>
        <w:t>51A</w:t>
      </w:r>
      <w:r>
        <w:rPr>
          <w:snapToGrid w:val="0"/>
        </w:rPr>
        <w:t>.</w:t>
      </w:r>
      <w:r>
        <w:rPr>
          <w:snapToGrid w:val="0"/>
        </w:rPr>
        <w:tab/>
        <w:t>Notice of application for restoration</w:t>
      </w:r>
      <w:bookmarkEnd w:id="752"/>
      <w:bookmarkEnd w:id="753"/>
      <w:bookmarkEnd w:id="754"/>
      <w:bookmarkEnd w:id="755"/>
      <w:bookmarkEnd w:id="756"/>
      <w:bookmarkEnd w:id="757"/>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[Regulation 51A inserted in Gazette 2 Oct 1987 p. 3818.]</w:t>
      </w:r>
    </w:p>
    <w:p>
      <w:pPr>
        <w:pStyle w:val="Heading5"/>
        <w:rPr>
          <w:snapToGrid w:val="0"/>
        </w:rPr>
      </w:pPr>
      <w:bookmarkStart w:id="758" w:name="_Toc474633085"/>
      <w:bookmarkStart w:id="759" w:name="_Toc488740234"/>
      <w:bookmarkStart w:id="760" w:name="_Toc8623615"/>
      <w:bookmarkStart w:id="761" w:name="_Toc11229456"/>
      <w:bookmarkStart w:id="762" w:name="_Toc104276614"/>
      <w:bookmarkStart w:id="763" w:name="_Toc161209390"/>
      <w:r>
        <w:rPr>
          <w:rStyle w:val="CharSectno"/>
        </w:rPr>
        <w:t>51B</w:t>
      </w:r>
      <w:r>
        <w:rPr>
          <w:snapToGrid w:val="0"/>
        </w:rPr>
        <w:t>.</w:t>
      </w:r>
      <w:r>
        <w:rPr>
          <w:snapToGrid w:val="0"/>
        </w:rPr>
        <w:tab/>
        <w:t>Objection to application</w:t>
      </w:r>
      <w:bookmarkEnd w:id="758"/>
      <w:bookmarkEnd w:id="759"/>
      <w:bookmarkEnd w:id="760"/>
      <w:bookmarkEnd w:id="761"/>
      <w:bookmarkEnd w:id="762"/>
      <w:bookmarkEnd w:id="763"/>
    </w:p>
    <w:p>
      <w:pPr>
        <w:pStyle w:val="Subsection"/>
        <w:rPr>
          <w:snapToGrid w:val="0"/>
        </w:rPr>
      </w:pPr>
      <w:r>
        <w:rPr>
          <w:snapToGrid w:val="0"/>
        </w:rPr>
        <w:tab/>
        <w:t>(1)</w:t>
      </w:r>
      <w:r>
        <w:rPr>
          <w:snapToGrid w:val="0"/>
        </w:rPr>
        <w:tab/>
        <w:t>A notice of objection to the granting of an application under section 97A(1) shall be —</w:t>
      </w:r>
    </w:p>
    <w:p>
      <w:pPr>
        <w:pStyle w:val="Indenta"/>
        <w:rPr>
          <w:snapToGrid w:val="0"/>
        </w:rPr>
      </w:pPr>
      <w:r>
        <w:rPr>
          <w:snapToGrid w:val="0"/>
        </w:rPr>
        <w:tab/>
        <w:t>(a)</w:t>
      </w:r>
      <w:r>
        <w:rPr>
          <w:snapToGrid w:val="0"/>
        </w:rPr>
        <w:tab/>
        <w:t>in the form No. 16 in the First Schedule; and</w:t>
      </w:r>
    </w:p>
    <w:p>
      <w:pPr>
        <w:pStyle w:val="Indenta"/>
        <w:rPr>
          <w:snapToGrid w:val="0"/>
        </w:rPr>
      </w:pPr>
      <w:r>
        <w:rPr>
          <w:snapToGrid w:val="0"/>
        </w:rPr>
        <w:tab/>
        <w:t>(b)</w:t>
      </w:r>
      <w:r>
        <w:rPr>
          <w:snapToGrid w:val="0"/>
        </w:rPr>
        <w:tab/>
        <w:t>lodged at the office of the mining registrar within 30 days of the lodging of the application at the office of the mining registrar or within such further time as the warden considers reasonable.</w:t>
      </w:r>
    </w:p>
    <w:p>
      <w:pPr>
        <w:pStyle w:val="Subsection"/>
      </w:pPr>
      <w:r>
        <w:tab/>
        <w:t>(2)</w:t>
      </w:r>
      <w:r>
        <w:tab/>
        <w:t>A person who lodges a notice of objection referred to in subregulation (1) shall serve a copy of the notice on the applicant.</w:t>
      </w:r>
    </w:p>
    <w:p>
      <w:pPr>
        <w:pStyle w:val="Footnotesection"/>
      </w:pPr>
      <w:r>
        <w:tab/>
        <w:t>[Regulation 51B inserted in Gazette 2 Oct 1987 p. 3818; amended in Gazette 24 Dec 1993 p. 6828; 24 Jun 1994 p. 2931; 3 Feb 2006 p. 519-20.]</w:t>
      </w:r>
    </w:p>
    <w:p>
      <w:pPr>
        <w:pStyle w:val="Heading5"/>
        <w:rPr>
          <w:snapToGrid w:val="0"/>
        </w:rPr>
      </w:pPr>
      <w:bookmarkStart w:id="764" w:name="_Toc474633086"/>
      <w:bookmarkStart w:id="765" w:name="_Toc488740235"/>
      <w:bookmarkStart w:id="766" w:name="_Toc8623616"/>
      <w:bookmarkStart w:id="767" w:name="_Toc11229457"/>
      <w:bookmarkStart w:id="768" w:name="_Toc104276615"/>
      <w:bookmarkStart w:id="769" w:name="_Toc161209391"/>
      <w:r>
        <w:rPr>
          <w:rStyle w:val="CharSectno"/>
        </w:rPr>
        <w:t>52</w:t>
      </w:r>
      <w:r>
        <w:rPr>
          <w:snapToGrid w:val="0"/>
        </w:rPr>
        <w:t>.</w:t>
      </w:r>
      <w:r>
        <w:rPr>
          <w:snapToGrid w:val="0"/>
        </w:rPr>
        <w:tab/>
        <w:t>Reduced expenditure where forfeiture plaint lodged</w:t>
      </w:r>
      <w:bookmarkEnd w:id="764"/>
      <w:bookmarkEnd w:id="765"/>
      <w:bookmarkEnd w:id="766"/>
      <w:bookmarkEnd w:id="767"/>
      <w:bookmarkEnd w:id="768"/>
      <w:bookmarkEnd w:id="769"/>
    </w:p>
    <w:p>
      <w:pPr>
        <w:pStyle w:val="Subsection"/>
        <w:rPr>
          <w:snapToGrid w:val="0"/>
        </w:rPr>
      </w:pPr>
      <w:r>
        <w:rPr>
          <w:snapToGrid w:val="0"/>
        </w:rPr>
        <w:tab/>
      </w:r>
      <w:r>
        <w:rPr>
          <w:snapToGrid w:val="0"/>
        </w:rPr>
        <w:tab/>
        <w:t>Notwithstanding regulations 15(1), 21(1) and (1b) and 31(1), where a plaint for forfeiture of a mining tenement is lodged, a pro rata reduction in the annual amount to be expended in respect of the mining tenement applies for each whole month from the date of lodgment to the date of determination of the plaint.</w:t>
      </w:r>
    </w:p>
    <w:p>
      <w:pPr>
        <w:pStyle w:val="Footnotesection"/>
      </w:pPr>
      <w:r>
        <w:tab/>
        <w:t>[Regulation 52 inserted in Gazette 16 Nov 1990 p. 5728; amended in Gazette 3 Feb 2006 p. 592.]</w:t>
      </w:r>
    </w:p>
    <w:p>
      <w:pPr>
        <w:pStyle w:val="Heading5"/>
        <w:rPr>
          <w:snapToGrid w:val="0"/>
        </w:rPr>
      </w:pPr>
      <w:bookmarkStart w:id="770" w:name="_Toc474633087"/>
      <w:bookmarkStart w:id="771" w:name="_Toc488740236"/>
      <w:bookmarkStart w:id="772" w:name="_Toc8623617"/>
      <w:bookmarkStart w:id="773" w:name="_Toc11229458"/>
      <w:bookmarkStart w:id="774" w:name="_Toc104276616"/>
      <w:bookmarkStart w:id="775" w:name="_Toc161209392"/>
      <w:r>
        <w:rPr>
          <w:rStyle w:val="CharSectno"/>
        </w:rPr>
        <w:t>53</w:t>
      </w:r>
      <w:r>
        <w:rPr>
          <w:snapToGrid w:val="0"/>
        </w:rPr>
        <w:t>.</w:t>
      </w:r>
      <w:r>
        <w:rPr>
          <w:snapToGrid w:val="0"/>
        </w:rPr>
        <w:tab/>
        <w:t>Notice to mortgagee</w:t>
      </w:r>
      <w:bookmarkEnd w:id="770"/>
      <w:bookmarkEnd w:id="771"/>
      <w:bookmarkEnd w:id="772"/>
      <w:bookmarkEnd w:id="773"/>
      <w:bookmarkEnd w:id="774"/>
      <w:bookmarkEnd w:id="775"/>
    </w:p>
    <w:p>
      <w:pPr>
        <w:pStyle w:val="Subsection"/>
        <w:rPr>
          <w:snapToGrid w:val="0"/>
        </w:rPr>
      </w:pPr>
      <w:r>
        <w:rPr>
          <w:snapToGrid w:val="0"/>
        </w:rPr>
        <w:tab/>
      </w:r>
      <w:r>
        <w:rPr>
          <w:snapToGrid w:val="0"/>
        </w:rPr>
        <w:tab/>
        <w:t>Where a mining tenement that is liable to forfeiture is encumbered by a mortgage then at the same time as notification is sent to the holder pursuant to regulations 49 and 50 the warden or Minister as the case may be shall cause a copy of the notification to be forwarded to the mortgagee by post.</w:t>
      </w:r>
    </w:p>
    <w:p>
      <w:pPr>
        <w:pStyle w:val="Heading3"/>
      </w:pPr>
      <w:bookmarkStart w:id="776" w:name="_Toc74978900"/>
      <w:bookmarkStart w:id="777" w:name="_Toc74979164"/>
      <w:bookmarkStart w:id="778" w:name="_Toc79976462"/>
      <w:bookmarkStart w:id="779" w:name="_Toc80759733"/>
      <w:bookmarkStart w:id="780" w:name="_Toc80783496"/>
      <w:bookmarkStart w:id="781" w:name="_Toc94931163"/>
      <w:bookmarkStart w:id="782" w:name="_Toc104275286"/>
      <w:bookmarkStart w:id="783" w:name="_Toc104276617"/>
      <w:bookmarkStart w:id="784" w:name="_Toc107198838"/>
      <w:bookmarkStart w:id="785" w:name="_Toc107799289"/>
      <w:bookmarkStart w:id="786" w:name="_Toc127087296"/>
      <w:bookmarkStart w:id="787" w:name="_Toc127183603"/>
      <w:bookmarkStart w:id="788" w:name="_Toc127338024"/>
      <w:bookmarkStart w:id="789" w:name="_Toc128386345"/>
      <w:bookmarkStart w:id="790" w:name="_Toc129150192"/>
      <w:bookmarkStart w:id="791" w:name="_Toc129587474"/>
      <w:bookmarkStart w:id="792" w:name="_Toc131477168"/>
      <w:bookmarkStart w:id="793" w:name="_Toc132106544"/>
      <w:bookmarkStart w:id="794" w:name="_Toc132169077"/>
      <w:bookmarkStart w:id="795" w:name="_Toc132443071"/>
      <w:bookmarkStart w:id="796" w:name="_Toc132523973"/>
      <w:bookmarkStart w:id="797" w:name="_Toc132702842"/>
      <w:bookmarkStart w:id="798" w:name="_Toc139167935"/>
      <w:bookmarkStart w:id="799" w:name="_Toc139433627"/>
      <w:bookmarkStart w:id="800" w:name="_Toc161202941"/>
      <w:bookmarkStart w:id="801" w:name="_Toc161209393"/>
      <w:r>
        <w:rPr>
          <w:rStyle w:val="CharDivNo"/>
        </w:rPr>
        <w:t>Division 7</w:t>
      </w:r>
      <w:r>
        <w:rPr>
          <w:snapToGrid w:val="0"/>
        </w:rPr>
        <w:t> — </w:t>
      </w:r>
      <w:r>
        <w:rPr>
          <w:rStyle w:val="CharDivText"/>
        </w:rPr>
        <w:t>Exemptions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rPr>
          <w:snapToGrid w:val="0"/>
        </w:rPr>
      </w:pPr>
      <w:bookmarkStart w:id="802" w:name="_Toc474633088"/>
      <w:bookmarkStart w:id="803" w:name="_Toc488740237"/>
      <w:bookmarkStart w:id="804" w:name="_Toc8623618"/>
      <w:bookmarkStart w:id="805" w:name="_Toc11229459"/>
      <w:bookmarkStart w:id="806" w:name="_Toc104276618"/>
      <w:bookmarkStart w:id="807" w:name="_Toc161209394"/>
      <w:r>
        <w:rPr>
          <w:rStyle w:val="CharSectno"/>
        </w:rPr>
        <w:t>54</w:t>
      </w:r>
      <w:r>
        <w:rPr>
          <w:snapToGrid w:val="0"/>
        </w:rPr>
        <w:t>.</w:t>
      </w:r>
      <w:r>
        <w:rPr>
          <w:snapToGrid w:val="0"/>
        </w:rPr>
        <w:tab/>
        <w:t>Application for certificate of exemption</w:t>
      </w:r>
      <w:bookmarkEnd w:id="802"/>
      <w:bookmarkEnd w:id="803"/>
      <w:bookmarkEnd w:id="804"/>
      <w:bookmarkEnd w:id="805"/>
      <w:bookmarkEnd w:id="806"/>
      <w:bookmarkEnd w:id="807"/>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w:t>
      </w:r>
    </w:p>
    <w:p>
      <w:pPr>
        <w:pStyle w:val="Heading5"/>
        <w:rPr>
          <w:snapToGrid w:val="0"/>
        </w:rPr>
      </w:pPr>
      <w:bookmarkStart w:id="808" w:name="_Toc474633089"/>
      <w:bookmarkStart w:id="809" w:name="_Toc488740238"/>
      <w:bookmarkStart w:id="810" w:name="_Toc8623619"/>
      <w:bookmarkStart w:id="811" w:name="_Toc11229460"/>
      <w:bookmarkStart w:id="812" w:name="_Toc104276619"/>
      <w:bookmarkStart w:id="813" w:name="_Toc161209395"/>
      <w:r>
        <w:rPr>
          <w:rStyle w:val="CharSectno"/>
        </w:rPr>
        <w:t>55</w:t>
      </w:r>
      <w:r>
        <w:rPr>
          <w:snapToGrid w:val="0"/>
        </w:rPr>
        <w:t>.</w:t>
      </w:r>
      <w:r>
        <w:rPr>
          <w:snapToGrid w:val="0"/>
        </w:rPr>
        <w:tab/>
        <w:t>Objection to application for exemption</w:t>
      </w:r>
      <w:bookmarkEnd w:id="808"/>
      <w:bookmarkEnd w:id="809"/>
      <w:bookmarkEnd w:id="810"/>
      <w:bookmarkEnd w:id="811"/>
      <w:bookmarkEnd w:id="812"/>
      <w:bookmarkEnd w:id="813"/>
    </w:p>
    <w:p>
      <w:pPr>
        <w:pStyle w:val="Subsection"/>
        <w:rPr>
          <w:snapToGrid w:val="0"/>
        </w:rPr>
      </w:pPr>
      <w:r>
        <w:rPr>
          <w:snapToGrid w:val="0"/>
        </w:rPr>
        <w:tab/>
        <w:t>(1)</w:t>
      </w:r>
      <w:r>
        <w:rPr>
          <w:snapToGrid w:val="0"/>
        </w:rPr>
        <w:tab/>
        <w:t>A person may within 21 days of the date of lodgment of an application for a certificate of exemption under section 102, or within such further period as the warden considers reasonable, lodge an objection against that application in the form No. 16 in the First Schedule.</w:t>
      </w:r>
    </w:p>
    <w:p>
      <w:pPr>
        <w:pStyle w:val="Subsection"/>
      </w:pPr>
      <w:r>
        <w:tab/>
        <w:t>(2)</w:t>
      </w:r>
      <w:r>
        <w:tab/>
        <w:t>A person who lodges an objection referred to in subregulation (1) shall serve a copy of the objection on the applicant.</w:t>
      </w:r>
    </w:p>
    <w:p>
      <w:pPr>
        <w:pStyle w:val="Footnotesection"/>
        <w:ind w:left="890" w:hanging="890"/>
      </w:pPr>
      <w:r>
        <w:tab/>
        <w:t>[Regulation 55 inserted in Gazette 13 Oct 1995 p. 4818; amended in Gazette 4 Apr 1997 p. 1778; 3 Feb 2006 p. 520.]</w:t>
      </w:r>
    </w:p>
    <w:p>
      <w:pPr>
        <w:pStyle w:val="Heading5"/>
        <w:rPr>
          <w:snapToGrid w:val="0"/>
        </w:rPr>
      </w:pPr>
      <w:bookmarkStart w:id="814" w:name="_Toc474633090"/>
      <w:bookmarkStart w:id="815" w:name="_Toc488740239"/>
      <w:bookmarkStart w:id="816" w:name="_Toc8623620"/>
      <w:bookmarkStart w:id="817" w:name="_Toc11229461"/>
      <w:bookmarkStart w:id="818" w:name="_Toc104276620"/>
      <w:bookmarkStart w:id="819" w:name="_Toc161209396"/>
      <w:r>
        <w:rPr>
          <w:rStyle w:val="CharSectno"/>
        </w:rPr>
        <w:t>56</w:t>
      </w:r>
      <w:r>
        <w:rPr>
          <w:snapToGrid w:val="0"/>
        </w:rPr>
        <w:t>.</w:t>
      </w:r>
      <w:r>
        <w:rPr>
          <w:snapToGrid w:val="0"/>
        </w:rPr>
        <w:tab/>
        <w:t>Evidence in support of application</w:t>
      </w:r>
      <w:bookmarkEnd w:id="814"/>
      <w:r>
        <w:rPr>
          <w:snapToGrid w:val="0"/>
        </w:rPr>
        <w:t xml:space="preserve"> and objection</w:t>
      </w:r>
      <w:bookmarkEnd w:id="815"/>
      <w:bookmarkEnd w:id="816"/>
      <w:bookmarkEnd w:id="817"/>
      <w:bookmarkEnd w:id="818"/>
      <w:bookmarkEnd w:id="819"/>
    </w:p>
    <w:p>
      <w:pPr>
        <w:pStyle w:val="Subsection"/>
        <w:rPr>
          <w:snapToGrid w:val="0"/>
        </w:rPr>
      </w:pPr>
      <w:r>
        <w:rPr>
          <w:snapToGrid w:val="0"/>
        </w:rPr>
        <w:tab/>
        <w:t>(1)</w:t>
      </w:r>
      <w:r>
        <w:rPr>
          <w:snapToGrid w:val="0"/>
        </w:rPr>
        <w:tab/>
        <w:t>Where any objection against an application for a certificate of exemption under section 102 is lodged within the time allowed, the warden shall receive evidence in open court in support of the application and in support of any objection so lodged.</w:t>
      </w:r>
    </w:p>
    <w:p>
      <w:pPr>
        <w:pStyle w:val="Ednotesubsection"/>
        <w:keepNext/>
      </w:pPr>
      <w:r>
        <w:tab/>
        <w:t>[(2)</w:t>
      </w:r>
      <w:r>
        <w:tab/>
        <w:t>repealed]</w:t>
      </w:r>
    </w:p>
    <w:p>
      <w:pPr>
        <w:pStyle w:val="Footnotesection"/>
        <w:ind w:left="890" w:hanging="890"/>
      </w:pPr>
      <w:r>
        <w:tab/>
        <w:t>[Regulation 56 inserted in Gazette 2 Oct 1987 p. 3818; amended in Gazette 31 May 1991 p. 2698 (corrigendum in Gazette 21 Jun 1991 p. 3057).]</w:t>
      </w:r>
    </w:p>
    <w:p>
      <w:pPr>
        <w:pStyle w:val="Ednotesection"/>
      </w:pPr>
      <w:r>
        <w:t>[</w:t>
      </w:r>
      <w:r>
        <w:rPr>
          <w:b/>
        </w:rPr>
        <w:t>57.</w:t>
      </w:r>
      <w:r>
        <w:tab/>
        <w:t>Repealed in Gazette 2 Oct 1987 p. 3818.]</w:t>
      </w:r>
    </w:p>
    <w:p>
      <w:pPr>
        <w:pStyle w:val="Heading5"/>
        <w:rPr>
          <w:snapToGrid w:val="0"/>
        </w:rPr>
      </w:pPr>
      <w:bookmarkStart w:id="820" w:name="_Toc474633091"/>
      <w:bookmarkStart w:id="821" w:name="_Toc488740240"/>
      <w:bookmarkStart w:id="822" w:name="_Toc8623621"/>
      <w:bookmarkStart w:id="823" w:name="_Toc11229462"/>
      <w:bookmarkStart w:id="824" w:name="_Toc104276621"/>
      <w:bookmarkStart w:id="825" w:name="_Toc161209397"/>
      <w:r>
        <w:rPr>
          <w:rStyle w:val="CharSectno"/>
        </w:rPr>
        <w:t>58</w:t>
      </w:r>
      <w:r>
        <w:rPr>
          <w:snapToGrid w:val="0"/>
        </w:rPr>
        <w:t>.</w:t>
      </w:r>
      <w:r>
        <w:rPr>
          <w:snapToGrid w:val="0"/>
        </w:rPr>
        <w:tab/>
        <w:t>Certificate of exemption</w:t>
      </w:r>
      <w:bookmarkEnd w:id="820"/>
      <w:bookmarkEnd w:id="821"/>
      <w:bookmarkEnd w:id="822"/>
      <w:bookmarkEnd w:id="823"/>
      <w:bookmarkEnd w:id="824"/>
      <w:bookmarkEnd w:id="825"/>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[Regulation 58 amended in Gazette 2 Oct 1987 p. 3819.]</w:t>
      </w:r>
    </w:p>
    <w:p>
      <w:pPr>
        <w:pStyle w:val="Heading5"/>
      </w:pPr>
      <w:bookmarkStart w:id="826" w:name="_Toc161209398"/>
      <w:bookmarkStart w:id="827" w:name="_Toc74978905"/>
      <w:bookmarkStart w:id="828" w:name="_Toc74979169"/>
      <w:bookmarkStart w:id="829" w:name="_Toc79976467"/>
      <w:bookmarkStart w:id="830" w:name="_Toc80759738"/>
      <w:bookmarkStart w:id="831" w:name="_Toc80783501"/>
      <w:bookmarkStart w:id="832" w:name="_Toc94931168"/>
      <w:bookmarkStart w:id="833" w:name="_Toc104275291"/>
      <w:bookmarkStart w:id="834" w:name="_Toc104276622"/>
      <w:bookmarkStart w:id="835" w:name="_Toc107198843"/>
      <w:bookmarkStart w:id="836" w:name="_Toc107799294"/>
      <w:bookmarkStart w:id="837" w:name="_Toc127087301"/>
      <w:r>
        <w:rPr>
          <w:rStyle w:val="CharSectno"/>
        </w:rPr>
        <w:t>58A</w:t>
      </w:r>
      <w:r>
        <w:t>.</w:t>
      </w:r>
      <w:r>
        <w:tab/>
        <w:t>Aggregate exploration expenditure</w:t>
      </w:r>
      <w:bookmarkEnd w:id="826"/>
    </w:p>
    <w:p>
      <w:pPr>
        <w:pStyle w:val="Subsection"/>
      </w:pPr>
      <w:r>
        <w:tab/>
        <w:t>(1)</w:t>
      </w:r>
      <w:r>
        <w:tab/>
        <w:t>In this regulation —</w:t>
      </w:r>
    </w:p>
    <w:p>
      <w:pPr>
        <w:pStyle w:val="Defstart"/>
      </w:pPr>
      <w:r>
        <w:rPr>
          <w:b/>
        </w:rPr>
        <w:tab/>
        <w:t>“</w:t>
      </w:r>
      <w:r>
        <w:rPr>
          <w:rStyle w:val="CharDefText"/>
        </w:rPr>
        <w:t>relevant operations report</w:t>
      </w:r>
      <w:r>
        <w:rPr>
          <w:b/>
        </w:rPr>
        <w: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838" w:name="_Toc127183609"/>
      <w:bookmarkStart w:id="839" w:name="_Toc127338030"/>
      <w:bookmarkStart w:id="840" w:name="_Toc128386351"/>
      <w:bookmarkStart w:id="841" w:name="_Toc129150198"/>
      <w:bookmarkStart w:id="842" w:name="_Toc129587480"/>
      <w:bookmarkStart w:id="843" w:name="_Toc131477174"/>
      <w:bookmarkStart w:id="844" w:name="_Toc132106550"/>
      <w:bookmarkStart w:id="845" w:name="_Toc132169083"/>
      <w:bookmarkStart w:id="846" w:name="_Toc132443077"/>
      <w:bookmarkStart w:id="847" w:name="_Toc132523979"/>
      <w:bookmarkStart w:id="848" w:name="_Toc132702848"/>
      <w:bookmarkStart w:id="849" w:name="_Toc139167941"/>
      <w:bookmarkStart w:id="850" w:name="_Toc139433633"/>
      <w:bookmarkStart w:id="851" w:name="_Toc161202947"/>
      <w:bookmarkStart w:id="852" w:name="_Toc161209399"/>
      <w:r>
        <w:rPr>
          <w:rStyle w:val="CharPartNo"/>
        </w:rPr>
        <w:t>Part V</w:t>
      </w:r>
      <w:r>
        <w:t> — </w:t>
      </w:r>
      <w:r>
        <w:rPr>
          <w:rStyle w:val="CharPartText"/>
        </w:rPr>
        <w:t>General regulations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Heading3"/>
        <w:spacing w:before="220"/>
      </w:pPr>
      <w:bookmarkStart w:id="853" w:name="_Toc74978906"/>
      <w:bookmarkStart w:id="854" w:name="_Toc74979170"/>
      <w:bookmarkStart w:id="855" w:name="_Toc79976468"/>
      <w:bookmarkStart w:id="856" w:name="_Toc80759739"/>
      <w:bookmarkStart w:id="857" w:name="_Toc80783502"/>
      <w:bookmarkStart w:id="858" w:name="_Toc94931169"/>
      <w:bookmarkStart w:id="859" w:name="_Toc104275292"/>
      <w:bookmarkStart w:id="860" w:name="_Toc104276623"/>
      <w:bookmarkStart w:id="861" w:name="_Toc107198844"/>
      <w:bookmarkStart w:id="862" w:name="_Toc107799295"/>
      <w:bookmarkStart w:id="863" w:name="_Toc127087302"/>
      <w:bookmarkStart w:id="864" w:name="_Toc127183610"/>
      <w:bookmarkStart w:id="865" w:name="_Toc127338031"/>
      <w:bookmarkStart w:id="866" w:name="_Toc128386352"/>
      <w:bookmarkStart w:id="867" w:name="_Toc129150199"/>
      <w:bookmarkStart w:id="868" w:name="_Toc129587481"/>
      <w:bookmarkStart w:id="869" w:name="_Toc131477175"/>
      <w:bookmarkStart w:id="870" w:name="_Toc132106551"/>
      <w:bookmarkStart w:id="871" w:name="_Toc132169084"/>
      <w:bookmarkStart w:id="872" w:name="_Toc132443078"/>
      <w:bookmarkStart w:id="873" w:name="_Toc132523980"/>
      <w:bookmarkStart w:id="874" w:name="_Toc132702849"/>
      <w:bookmarkStart w:id="875" w:name="_Toc139167942"/>
      <w:bookmarkStart w:id="876" w:name="_Toc139433634"/>
      <w:bookmarkStart w:id="877" w:name="_Toc161202948"/>
      <w:bookmarkStart w:id="878" w:name="_Toc161209400"/>
      <w:r>
        <w:rPr>
          <w:rStyle w:val="CharDivNo"/>
        </w:rPr>
        <w:t>Division 1</w:t>
      </w:r>
      <w:r>
        <w:rPr>
          <w:snapToGrid w:val="0"/>
        </w:rPr>
        <w:t> — </w:t>
      </w:r>
      <w:r>
        <w:rPr>
          <w:rStyle w:val="CharDivText"/>
        </w:rPr>
        <w:t>Marking out mining tenements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rPr>
          <w:snapToGrid w:val="0"/>
        </w:rPr>
      </w:pPr>
      <w:bookmarkStart w:id="879" w:name="_Toc474633092"/>
      <w:bookmarkStart w:id="880" w:name="_Toc488740241"/>
      <w:bookmarkStart w:id="881" w:name="_Toc8623622"/>
      <w:bookmarkStart w:id="882" w:name="_Toc11229463"/>
      <w:bookmarkStart w:id="883" w:name="_Toc104276624"/>
      <w:bookmarkStart w:id="884" w:name="_Toc161209401"/>
      <w:r>
        <w:rPr>
          <w:rStyle w:val="CharSectno"/>
        </w:rPr>
        <w:t>59</w:t>
      </w:r>
      <w:r>
        <w:rPr>
          <w:snapToGrid w:val="0"/>
        </w:rPr>
        <w:t>.</w:t>
      </w:r>
      <w:r>
        <w:rPr>
          <w:snapToGrid w:val="0"/>
        </w:rPr>
        <w:tab/>
        <w:t>Manner of marking out a tenement</w:t>
      </w:r>
      <w:bookmarkEnd w:id="879"/>
      <w:bookmarkEnd w:id="880"/>
      <w:bookmarkEnd w:id="881"/>
      <w:bookmarkEnd w:id="882"/>
      <w:bookmarkEnd w:id="883"/>
      <w:bookmarkEnd w:id="884"/>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spacing w:before="60"/>
        <w:rPr>
          <w:snapToGrid w:val="0"/>
        </w:rPr>
      </w:pPr>
      <w:r>
        <w:rPr>
          <w:snapToGrid w:val="0"/>
        </w:rPr>
        <w:tab/>
        <w:t>(a)</w:t>
      </w:r>
      <w:r>
        <w:rPr>
          <w:snapToGrid w:val="0"/>
        </w:rPr>
        <w:tab/>
        <w:t>by fixing firmly in the ground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w:t>
      </w:r>
    </w:p>
    <w:p>
      <w:pPr>
        <w:pStyle w:val="Heading5"/>
        <w:rPr>
          <w:snapToGrid w:val="0"/>
        </w:rPr>
      </w:pPr>
      <w:bookmarkStart w:id="885" w:name="_Toc474633093"/>
      <w:bookmarkStart w:id="886" w:name="_Toc488740242"/>
      <w:bookmarkStart w:id="887" w:name="_Toc8623623"/>
      <w:bookmarkStart w:id="888" w:name="_Toc11229464"/>
      <w:bookmarkStart w:id="889" w:name="_Toc104276625"/>
      <w:bookmarkStart w:id="890" w:name="_Toc161209402"/>
      <w:r>
        <w:rPr>
          <w:rStyle w:val="CharSectno"/>
        </w:rPr>
        <w:t>60</w:t>
      </w:r>
      <w:r>
        <w:rPr>
          <w:snapToGrid w:val="0"/>
        </w:rPr>
        <w:t>.</w:t>
      </w:r>
      <w:r>
        <w:rPr>
          <w:snapToGrid w:val="0"/>
        </w:rPr>
        <w:tab/>
        <w:t>Stones used to support posts</w:t>
      </w:r>
      <w:bookmarkEnd w:id="885"/>
      <w:bookmarkEnd w:id="886"/>
      <w:bookmarkEnd w:id="887"/>
      <w:bookmarkEnd w:id="888"/>
      <w:bookmarkEnd w:id="889"/>
      <w:bookmarkEnd w:id="89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891" w:name="_Toc474633094"/>
      <w:bookmarkStart w:id="892" w:name="_Toc488740243"/>
      <w:bookmarkStart w:id="893" w:name="_Toc8623624"/>
      <w:bookmarkStart w:id="894" w:name="_Toc11229465"/>
      <w:bookmarkStart w:id="895" w:name="_Toc104276626"/>
      <w:bookmarkStart w:id="896" w:name="_Toc161209403"/>
      <w:r>
        <w:rPr>
          <w:rStyle w:val="CharSectno"/>
        </w:rPr>
        <w:t>61</w:t>
      </w:r>
      <w:r>
        <w:rPr>
          <w:snapToGrid w:val="0"/>
        </w:rPr>
        <w:t>.</w:t>
      </w:r>
      <w:r>
        <w:rPr>
          <w:snapToGrid w:val="0"/>
        </w:rPr>
        <w:tab/>
        <w:t>Marking out surveyed land</w:t>
      </w:r>
      <w:bookmarkEnd w:id="891"/>
      <w:bookmarkEnd w:id="892"/>
      <w:bookmarkEnd w:id="893"/>
      <w:bookmarkEnd w:id="894"/>
      <w:bookmarkEnd w:id="895"/>
      <w:bookmarkEnd w:id="896"/>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[Regulation 61 amended in Gazette 2 Oct 1987 p. 3819; 2 Jul 1993 p. 3271.]</w:t>
      </w:r>
    </w:p>
    <w:p>
      <w:pPr>
        <w:pStyle w:val="Heading5"/>
        <w:rPr>
          <w:snapToGrid w:val="0"/>
        </w:rPr>
      </w:pPr>
      <w:bookmarkStart w:id="897" w:name="_Toc474633095"/>
      <w:bookmarkStart w:id="898" w:name="_Toc488740244"/>
      <w:bookmarkStart w:id="899" w:name="_Toc8623625"/>
      <w:bookmarkStart w:id="900" w:name="_Toc11229466"/>
      <w:bookmarkStart w:id="901" w:name="_Toc104276627"/>
      <w:bookmarkStart w:id="902" w:name="_Toc161209404"/>
      <w:r>
        <w:rPr>
          <w:rStyle w:val="CharSectno"/>
        </w:rPr>
        <w:t>62</w:t>
      </w:r>
      <w:r>
        <w:rPr>
          <w:snapToGrid w:val="0"/>
        </w:rPr>
        <w:t>.</w:t>
      </w:r>
      <w:r>
        <w:rPr>
          <w:snapToGrid w:val="0"/>
        </w:rPr>
        <w:tab/>
        <w:t>Surplus land may be applied for by others</w:t>
      </w:r>
      <w:bookmarkEnd w:id="897"/>
      <w:bookmarkEnd w:id="898"/>
      <w:bookmarkEnd w:id="899"/>
      <w:bookmarkEnd w:id="900"/>
      <w:bookmarkEnd w:id="901"/>
      <w:bookmarkEnd w:id="902"/>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rPr>
          <w:snapToGrid w:val="0"/>
        </w:rPr>
      </w:pPr>
      <w:bookmarkStart w:id="903" w:name="_Toc474633096"/>
      <w:bookmarkStart w:id="904" w:name="_Toc488740245"/>
      <w:bookmarkStart w:id="905" w:name="_Toc8623626"/>
      <w:bookmarkStart w:id="906" w:name="_Toc11229467"/>
      <w:bookmarkStart w:id="907" w:name="_Toc104276628"/>
      <w:bookmarkStart w:id="908" w:name="_Toc161209405"/>
      <w:r>
        <w:rPr>
          <w:rStyle w:val="CharSectno"/>
        </w:rPr>
        <w:t>63</w:t>
      </w:r>
      <w:r>
        <w:rPr>
          <w:snapToGrid w:val="0"/>
        </w:rPr>
        <w:t>.</w:t>
      </w:r>
      <w:r>
        <w:rPr>
          <w:snapToGrid w:val="0"/>
        </w:rPr>
        <w:tab/>
        <w:t>Land marked out but not applied for</w:t>
      </w:r>
      <w:bookmarkEnd w:id="903"/>
      <w:bookmarkEnd w:id="904"/>
      <w:bookmarkEnd w:id="905"/>
      <w:bookmarkEnd w:id="906"/>
      <w:bookmarkEnd w:id="907"/>
      <w:bookmarkEnd w:id="908"/>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909" w:name="_Toc161209406"/>
      <w:bookmarkStart w:id="910" w:name="_Toc74978912"/>
      <w:bookmarkStart w:id="911" w:name="_Toc74979176"/>
      <w:bookmarkStart w:id="912" w:name="_Toc79976474"/>
      <w:bookmarkStart w:id="913" w:name="_Toc80759745"/>
      <w:bookmarkStart w:id="914" w:name="_Toc80783508"/>
      <w:bookmarkStart w:id="915" w:name="_Toc94931175"/>
      <w:bookmarkStart w:id="916" w:name="_Toc104275298"/>
      <w:bookmarkStart w:id="917" w:name="_Toc104276629"/>
      <w:bookmarkStart w:id="918" w:name="_Toc107198850"/>
      <w:bookmarkStart w:id="919" w:name="_Toc107799301"/>
      <w:bookmarkStart w:id="920" w:name="_Toc127087308"/>
      <w:r>
        <w:rPr>
          <w:rStyle w:val="CharSectno"/>
        </w:rPr>
        <w:t>63A</w:t>
      </w:r>
      <w:r>
        <w:t>.</w:t>
      </w:r>
      <w:r>
        <w:tab/>
        <w:t>Requirement for marking out following grant of reversion licence</w:t>
      </w:r>
      <w:bookmarkEnd w:id="909"/>
    </w:p>
    <w:p>
      <w:pPr>
        <w:pStyle w:val="Subsection"/>
      </w:pPr>
      <w:r>
        <w:tab/>
        <w:t>(1)</w:t>
      </w:r>
      <w:r>
        <w:tab/>
        <w:t xml:space="preserve">If, as a result of a reversion licence application, a mining tenement (the </w:t>
      </w:r>
      <w:r>
        <w:rPr>
          <w:b/>
        </w:rPr>
        <w:t>“</w:t>
      </w:r>
      <w:r>
        <w:rPr>
          <w:rStyle w:val="CharDefText"/>
        </w:rPr>
        <w:t>reversion licence</w:t>
      </w:r>
      <w:r>
        <w:rPr>
          <w:b/>
        </w:rPr>
        <w:t>”</w:t>
      </w:r>
      <w:r>
        <w:t xml:space="preserve">) is granted in respect of part of the land the subject of an application for a mining lease (the </w:t>
      </w:r>
      <w:r>
        <w:rPr>
          <w:b/>
        </w:rPr>
        <w:t>“</w:t>
      </w:r>
      <w:r>
        <w:rPr>
          <w:rStyle w:val="CharDefText"/>
        </w:rPr>
        <w:t>lease application</w:t>
      </w:r>
      <w:r>
        <w:rPr>
          <w:b/>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pPr>
      <w:bookmarkStart w:id="921" w:name="_Toc127183617"/>
      <w:bookmarkStart w:id="922" w:name="_Toc127338038"/>
      <w:bookmarkStart w:id="923" w:name="_Toc128386359"/>
      <w:bookmarkStart w:id="924" w:name="_Toc129150206"/>
      <w:bookmarkStart w:id="925" w:name="_Toc129587488"/>
      <w:bookmarkStart w:id="926" w:name="_Toc131477182"/>
      <w:bookmarkStart w:id="927" w:name="_Toc132106558"/>
      <w:bookmarkStart w:id="928" w:name="_Toc132169091"/>
      <w:bookmarkStart w:id="929" w:name="_Toc132443085"/>
      <w:bookmarkStart w:id="930" w:name="_Toc132523987"/>
      <w:bookmarkStart w:id="931" w:name="_Toc132702856"/>
      <w:bookmarkStart w:id="932" w:name="_Toc139167949"/>
      <w:bookmarkStart w:id="933" w:name="_Toc139433641"/>
      <w:bookmarkStart w:id="934" w:name="_Toc161202955"/>
      <w:bookmarkStart w:id="935" w:name="_Toc161209407"/>
      <w:r>
        <w:rPr>
          <w:rStyle w:val="CharDivNo"/>
        </w:rPr>
        <w:t>Division 2</w:t>
      </w:r>
      <w:r>
        <w:rPr>
          <w:snapToGrid w:val="0"/>
        </w:rPr>
        <w:t> — </w:t>
      </w:r>
      <w:r>
        <w:rPr>
          <w:rStyle w:val="CharDivText"/>
        </w:rPr>
        <w:t>Applications and objections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rPr>
          <w:snapToGrid w:val="0"/>
        </w:rPr>
      </w:pPr>
      <w:bookmarkStart w:id="936" w:name="_Toc474633097"/>
      <w:bookmarkStart w:id="937" w:name="_Toc488740246"/>
      <w:bookmarkStart w:id="938" w:name="_Toc8623627"/>
      <w:bookmarkStart w:id="939" w:name="_Toc11229468"/>
      <w:bookmarkStart w:id="940" w:name="_Toc104276630"/>
      <w:bookmarkStart w:id="941" w:name="_Toc161209408"/>
      <w:r>
        <w:rPr>
          <w:rStyle w:val="CharSectno"/>
        </w:rPr>
        <w:t>64</w:t>
      </w:r>
      <w:r>
        <w:rPr>
          <w:snapToGrid w:val="0"/>
        </w:rPr>
        <w:t>.</w:t>
      </w:r>
      <w:r>
        <w:rPr>
          <w:snapToGrid w:val="0"/>
        </w:rPr>
        <w:tab/>
        <w:t>Application for mining tenement</w:t>
      </w:r>
      <w:bookmarkEnd w:id="936"/>
      <w:bookmarkEnd w:id="937"/>
      <w:bookmarkEnd w:id="938"/>
      <w:bookmarkEnd w:id="939"/>
      <w:bookmarkEnd w:id="940"/>
      <w:bookmarkEnd w:id="941"/>
    </w:p>
    <w:p>
      <w:pPr>
        <w:pStyle w:val="Subsection"/>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rPr>
          <w:snapToGrid w:val="0"/>
        </w:rPr>
      </w:pPr>
      <w:r>
        <w:rPr>
          <w:snapToGrid w:val="0"/>
        </w:rPr>
        <w:tab/>
        <w:t>(1a)</w:t>
      </w:r>
      <w:r>
        <w:rPr>
          <w:snapToGrid w:val="0"/>
        </w:rPr>
        <w:tab/>
        <w:t>For the purposes of section 58(1) an application for an exploration licence, in the form No. 21 of the First Schedule, includes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item 2 of the Second Schedule.</w:t>
      </w:r>
    </w:p>
    <w:p>
      <w:pPr>
        <w:pStyle w:val="Subsection"/>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w:t>
      </w:r>
    </w:p>
    <w:p>
      <w:pPr>
        <w:pStyle w:val="Heading5"/>
        <w:rPr>
          <w:snapToGrid w:val="0"/>
        </w:rPr>
      </w:pPr>
      <w:bookmarkStart w:id="942" w:name="_Toc474633098"/>
      <w:bookmarkStart w:id="943" w:name="_Toc488740247"/>
      <w:bookmarkStart w:id="944" w:name="_Toc8623628"/>
      <w:bookmarkStart w:id="945" w:name="_Toc11229469"/>
      <w:bookmarkStart w:id="946" w:name="_Toc104276631"/>
      <w:bookmarkStart w:id="947" w:name="_Toc161209409"/>
      <w:r>
        <w:rPr>
          <w:rStyle w:val="CharSectno"/>
        </w:rPr>
        <w:t>64A</w:t>
      </w:r>
      <w:r>
        <w:rPr>
          <w:snapToGrid w:val="0"/>
        </w:rPr>
        <w:t>.</w:t>
      </w:r>
      <w:r>
        <w:rPr>
          <w:snapToGrid w:val="0"/>
        </w:rPr>
        <w:tab/>
        <w:t>Notice of application for prospecting licence, exploration licence, retention licence or mining lease</w:t>
      </w:r>
      <w:bookmarkEnd w:id="942"/>
      <w:bookmarkEnd w:id="943"/>
      <w:bookmarkEnd w:id="944"/>
      <w:bookmarkEnd w:id="945"/>
      <w:bookmarkEnd w:id="946"/>
      <w:bookmarkEnd w:id="947"/>
    </w:p>
    <w:p>
      <w:pPr>
        <w:pStyle w:val="Subsection"/>
        <w:rPr>
          <w:snapToGrid w:val="0"/>
        </w:rPr>
      </w:pPr>
      <w:r>
        <w:rPr>
          <w:snapToGrid w:val="0"/>
        </w:rPr>
        <w:tab/>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[Regulation 64A inserted in Gazette 13 Oct 1995 p. 4818.]</w:t>
      </w:r>
    </w:p>
    <w:p>
      <w:pPr>
        <w:pStyle w:val="Heading5"/>
        <w:rPr>
          <w:snapToGrid w:val="0"/>
        </w:rPr>
      </w:pPr>
      <w:bookmarkStart w:id="948" w:name="_Toc474633099"/>
      <w:bookmarkStart w:id="949" w:name="_Toc488740248"/>
      <w:bookmarkStart w:id="950" w:name="_Toc8623629"/>
      <w:bookmarkStart w:id="951" w:name="_Toc11229470"/>
      <w:bookmarkStart w:id="952" w:name="_Toc104276632"/>
      <w:bookmarkStart w:id="953" w:name="_Toc161209410"/>
      <w:r>
        <w:rPr>
          <w:rStyle w:val="CharSectno"/>
        </w:rPr>
        <w:t>64B</w:t>
      </w:r>
      <w:r>
        <w:rPr>
          <w:snapToGrid w:val="0"/>
        </w:rPr>
        <w:t>.</w:t>
      </w:r>
      <w:r>
        <w:rPr>
          <w:snapToGrid w:val="0"/>
        </w:rPr>
        <w:tab/>
        <w:t>Notice of application for mining tenement — pastoral lessee or other leaseholder</w:t>
      </w:r>
      <w:bookmarkEnd w:id="948"/>
      <w:bookmarkEnd w:id="949"/>
      <w:bookmarkEnd w:id="950"/>
      <w:bookmarkEnd w:id="951"/>
      <w:bookmarkEnd w:id="952"/>
      <w:bookmarkEnd w:id="95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[Regulation 64B inserted in Gazette 24 Jun 1994 p. 2931.]</w:t>
      </w:r>
    </w:p>
    <w:p>
      <w:pPr>
        <w:pStyle w:val="Heading5"/>
      </w:pPr>
      <w:bookmarkStart w:id="954" w:name="_Toc104276633"/>
      <w:bookmarkStart w:id="955" w:name="_Toc161209411"/>
      <w:bookmarkStart w:id="956" w:name="_Toc474633100"/>
      <w:bookmarkStart w:id="957" w:name="_Toc488740249"/>
      <w:bookmarkStart w:id="958" w:name="_Toc8623630"/>
      <w:bookmarkStart w:id="959" w:name="_Toc11229471"/>
      <w:r>
        <w:rPr>
          <w:rStyle w:val="CharSectno"/>
        </w:rPr>
        <w:t>64C</w:t>
      </w:r>
      <w:r>
        <w:t>.</w:t>
      </w:r>
      <w:r>
        <w:tab/>
        <w:t>Copy of application for miscellaneous licence</w:t>
      </w:r>
      <w:bookmarkEnd w:id="954"/>
      <w:bookmarkEnd w:id="955"/>
    </w:p>
    <w:p>
      <w:pPr>
        <w:pStyle w:val="Subsection"/>
      </w:pPr>
      <w:r>
        <w:tab/>
      </w:r>
      <w:r>
        <w:tab/>
        <w:t>For the purposes of section 91(9), the prescribed time is 14 days after the lodging of the application concerned.</w:t>
      </w:r>
    </w:p>
    <w:p>
      <w:pPr>
        <w:pStyle w:val="Footnotesection"/>
      </w:pPr>
      <w:r>
        <w:tab/>
        <w:t>[Regulation 64C inserted in Gazette 17 Jan 2003 p. 106.]</w:t>
      </w:r>
    </w:p>
    <w:p>
      <w:pPr>
        <w:pStyle w:val="Heading5"/>
        <w:rPr>
          <w:snapToGrid w:val="0"/>
        </w:rPr>
      </w:pPr>
      <w:bookmarkStart w:id="960" w:name="_Toc104276634"/>
      <w:bookmarkStart w:id="961" w:name="_Toc161209412"/>
      <w:r>
        <w:rPr>
          <w:rStyle w:val="CharSectno"/>
        </w:rPr>
        <w:t>65</w:t>
      </w:r>
      <w:r>
        <w:rPr>
          <w:snapToGrid w:val="0"/>
        </w:rPr>
        <w:t>.</w:t>
      </w:r>
      <w:r>
        <w:rPr>
          <w:snapToGrid w:val="0"/>
        </w:rPr>
        <w:tab/>
        <w:t>Number of shares to be stated on application</w:t>
      </w:r>
      <w:bookmarkEnd w:id="956"/>
      <w:bookmarkEnd w:id="957"/>
      <w:bookmarkEnd w:id="958"/>
      <w:bookmarkEnd w:id="959"/>
      <w:bookmarkEnd w:id="960"/>
      <w:bookmarkEnd w:id="961"/>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962" w:name="_Toc474633101"/>
      <w:bookmarkStart w:id="963" w:name="_Toc488740250"/>
      <w:bookmarkStart w:id="964" w:name="_Toc8623631"/>
      <w:bookmarkStart w:id="965" w:name="_Toc11229472"/>
      <w:bookmarkStart w:id="966" w:name="_Toc104276635"/>
      <w:bookmarkStart w:id="967" w:name="_Toc161209413"/>
      <w:r>
        <w:rPr>
          <w:rStyle w:val="CharSectno"/>
        </w:rPr>
        <w:t>66</w:t>
      </w:r>
      <w:r>
        <w:rPr>
          <w:snapToGrid w:val="0"/>
        </w:rPr>
        <w:t>.</w:t>
      </w:r>
      <w:r>
        <w:rPr>
          <w:snapToGrid w:val="0"/>
        </w:rPr>
        <w:tab/>
        <w:t>Description of boundaries</w:t>
      </w:r>
      <w:bookmarkEnd w:id="962"/>
      <w:bookmarkEnd w:id="963"/>
      <w:bookmarkEnd w:id="964"/>
      <w:bookmarkEnd w:id="965"/>
      <w:bookmarkEnd w:id="966"/>
      <w:bookmarkEnd w:id="967"/>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Repealed in Gazette 4 Apr 1997 p. 1778.]</w:t>
      </w:r>
    </w:p>
    <w:p>
      <w:pPr>
        <w:pStyle w:val="Heading5"/>
        <w:rPr>
          <w:snapToGrid w:val="0"/>
        </w:rPr>
      </w:pPr>
      <w:bookmarkStart w:id="968" w:name="_Toc474633102"/>
      <w:bookmarkStart w:id="969" w:name="_Toc488740251"/>
      <w:bookmarkStart w:id="970" w:name="_Toc8623632"/>
      <w:bookmarkStart w:id="971" w:name="_Toc11229473"/>
      <w:bookmarkStart w:id="972" w:name="_Toc104276636"/>
      <w:bookmarkStart w:id="973" w:name="_Toc161209414"/>
      <w:r>
        <w:rPr>
          <w:rStyle w:val="CharSectno"/>
        </w:rPr>
        <w:t>67</w:t>
      </w:r>
      <w:r>
        <w:rPr>
          <w:snapToGrid w:val="0"/>
        </w:rPr>
        <w:t>.</w:t>
      </w:r>
      <w:r>
        <w:rPr>
          <w:snapToGrid w:val="0"/>
        </w:rPr>
        <w:tab/>
        <w:t>Objection against application</w:t>
      </w:r>
      <w:bookmarkEnd w:id="968"/>
      <w:bookmarkEnd w:id="969"/>
      <w:bookmarkEnd w:id="970"/>
      <w:bookmarkEnd w:id="971"/>
      <w:bookmarkEnd w:id="972"/>
      <w:bookmarkEnd w:id="973"/>
    </w:p>
    <w:p>
      <w:pPr>
        <w:pStyle w:val="Subsection"/>
        <w:spacing w:before="180"/>
        <w:rPr>
          <w:snapToGrid w:val="0"/>
        </w:rPr>
      </w:pPr>
      <w:r>
        <w:rPr>
          <w:snapToGrid w:val="0"/>
        </w:rPr>
        <w:tab/>
        <w:t>(1)</w:t>
      </w:r>
      <w:r>
        <w:rPr>
          <w:snapToGrid w:val="0"/>
        </w:rPr>
        <w:tab/>
        <w: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t>
      </w:r>
    </w:p>
    <w:p>
      <w:pPr>
        <w:pStyle w:val="Subsection"/>
        <w:spacing w:before="180"/>
        <w:rPr>
          <w:snapToGrid w:val="0"/>
        </w:rPr>
      </w:pPr>
      <w:r>
        <w:rPr>
          <w:snapToGrid w:val="0"/>
        </w:rPr>
        <w:tab/>
        <w:t>(2)</w:t>
      </w:r>
      <w:r>
        <w:rPr>
          <w:snapToGrid w:val="0"/>
        </w:rPr>
        <w:tab/>
        <w:t>Notwithstanding subregulation (1), where an application is made for a mining tenement that relates to private land, the period during which a person may lodge an objection is —</w:t>
      </w:r>
    </w:p>
    <w:p>
      <w:pPr>
        <w:pStyle w:val="Indenta"/>
        <w:rPr>
          <w:snapToGrid w:val="0"/>
        </w:rPr>
      </w:pPr>
      <w:r>
        <w:rPr>
          <w:snapToGrid w:val="0"/>
        </w:rPr>
        <w:tab/>
        <w:t>(a)</w:t>
      </w:r>
      <w:r>
        <w:rPr>
          <w:snapToGrid w:val="0"/>
        </w:rPr>
        <w:tab/>
        <w:t>within 21 days of the date on which the person was served with a copy of notice required to be given under section 33(1); or</w:t>
      </w:r>
    </w:p>
    <w:p>
      <w:pPr>
        <w:pStyle w:val="Indenta"/>
        <w:keepNext/>
        <w:rPr>
          <w:snapToGrid w:val="0"/>
        </w:rPr>
      </w:pPr>
      <w:r>
        <w:rPr>
          <w:snapToGrid w:val="0"/>
        </w:rPr>
        <w:tab/>
        <w:t>(b)</w:t>
      </w:r>
      <w:r>
        <w:rPr>
          <w:snapToGrid w:val="0"/>
        </w:rPr>
        <w:tab/>
        <w:t>within 35 days of the date of the application,</w:t>
      </w:r>
    </w:p>
    <w:p>
      <w:pPr>
        <w:pStyle w:val="Subsection"/>
        <w:keepNext/>
        <w:spacing w:before="180"/>
        <w:rPr>
          <w:snapToGrid w:val="0"/>
        </w:rPr>
      </w:pPr>
      <w:r>
        <w:rPr>
          <w:snapToGrid w:val="0"/>
        </w:rPr>
        <w:tab/>
      </w:r>
      <w:r>
        <w:rPr>
          <w:snapToGrid w:val="0"/>
        </w:rPr>
        <w:tab/>
        <w:t>whichever period ends later, or such further period as the warden considers reasonable.</w:t>
      </w:r>
    </w:p>
    <w:p>
      <w:pPr>
        <w:pStyle w:val="Footnotesection"/>
        <w:spacing w:before="140"/>
        <w:ind w:left="890" w:hanging="890"/>
      </w:pPr>
      <w:r>
        <w:tab/>
        <w:t>[Regulation 67 amended in Gazette 31 May 1991 p. 2699; 2 Jul 1993 p. 3272; 24 Dec 1993 p. 6828.]</w:t>
      </w:r>
    </w:p>
    <w:p>
      <w:pPr>
        <w:pStyle w:val="Ednotesection"/>
        <w:spacing w:before="180"/>
        <w:ind w:left="890" w:hanging="890"/>
      </w:pPr>
      <w:r>
        <w:t>[</w:t>
      </w:r>
      <w:r>
        <w:rPr>
          <w:b/>
        </w:rPr>
        <w:t>67A.</w:t>
      </w:r>
      <w:r>
        <w:tab/>
        <w:t>Repealed in Gazette 4 Apr 1997 p. 1778.]</w:t>
      </w:r>
    </w:p>
    <w:p>
      <w:pPr>
        <w:pStyle w:val="Heading5"/>
        <w:rPr>
          <w:snapToGrid w:val="0"/>
        </w:rPr>
      </w:pPr>
      <w:bookmarkStart w:id="974" w:name="_Toc474633103"/>
      <w:bookmarkStart w:id="975" w:name="_Toc488740252"/>
      <w:bookmarkStart w:id="976" w:name="_Toc8623633"/>
      <w:bookmarkStart w:id="977" w:name="_Toc11229474"/>
      <w:bookmarkStart w:id="978" w:name="_Toc104276637"/>
      <w:bookmarkStart w:id="979" w:name="_Toc161209415"/>
      <w:r>
        <w:rPr>
          <w:rStyle w:val="CharSectno"/>
        </w:rPr>
        <w:t>68</w:t>
      </w:r>
      <w:r>
        <w:rPr>
          <w:snapToGrid w:val="0"/>
        </w:rPr>
        <w:t>.</w:t>
      </w:r>
      <w:r>
        <w:rPr>
          <w:snapToGrid w:val="0"/>
        </w:rPr>
        <w:tab/>
        <w:t>Warden may obtain report</w:t>
      </w:r>
      <w:bookmarkEnd w:id="974"/>
      <w:bookmarkEnd w:id="975"/>
      <w:bookmarkEnd w:id="976"/>
      <w:bookmarkEnd w:id="977"/>
      <w:bookmarkEnd w:id="978"/>
      <w:bookmarkEnd w:id="979"/>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980" w:name="_Toc474633104"/>
      <w:bookmarkStart w:id="981" w:name="_Toc488740253"/>
      <w:bookmarkStart w:id="982" w:name="_Toc8623634"/>
      <w:bookmarkStart w:id="983" w:name="_Toc11229475"/>
      <w:bookmarkStart w:id="984" w:name="_Toc104276638"/>
      <w:bookmarkStart w:id="985" w:name="_Toc161209416"/>
      <w:r>
        <w:rPr>
          <w:rStyle w:val="CharSectno"/>
        </w:rPr>
        <w:t>69</w:t>
      </w:r>
      <w:r>
        <w:rPr>
          <w:snapToGrid w:val="0"/>
        </w:rPr>
        <w:t>.</w:t>
      </w:r>
      <w:r>
        <w:rPr>
          <w:snapToGrid w:val="0"/>
        </w:rPr>
        <w:tab/>
        <w:t>Withdrawal of applications</w:t>
      </w:r>
      <w:bookmarkEnd w:id="980"/>
      <w:bookmarkEnd w:id="981"/>
      <w:bookmarkEnd w:id="982"/>
      <w:bookmarkEnd w:id="983"/>
      <w:bookmarkEnd w:id="984"/>
      <w:bookmarkEnd w:id="985"/>
    </w:p>
    <w:p>
      <w:pPr>
        <w:pStyle w:val="Subsection"/>
        <w:spacing w:before="180"/>
        <w:rPr>
          <w:snapToGrid w:val="0"/>
        </w:rPr>
      </w:pPr>
      <w:r>
        <w:rPr>
          <w:snapToGrid w:val="0"/>
        </w:rPr>
        <w:tab/>
      </w:r>
      <w:r>
        <w:rPr>
          <w:snapToGrid w:val="0"/>
        </w:rPr>
        <w:tab/>
        <w:t>An applicant for a mining tenement may, at any time before the granting of the application, apply to withdraw his application by lodging a withdrawal in the form No. 22 in the First Schedule, but if —</w:t>
      </w:r>
    </w:p>
    <w:p>
      <w:pPr>
        <w:pStyle w:val="Indenta"/>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w:t>
      </w:r>
    </w:p>
    <w:p>
      <w:pPr>
        <w:pStyle w:val="Heading5"/>
      </w:pPr>
      <w:bookmarkStart w:id="986" w:name="_Toc8623635"/>
      <w:bookmarkStart w:id="987" w:name="_Toc11229476"/>
      <w:bookmarkStart w:id="988" w:name="_Toc104276639"/>
      <w:bookmarkStart w:id="989" w:name="_Toc161209417"/>
      <w:bookmarkStart w:id="990" w:name="_Toc474633105"/>
      <w:bookmarkStart w:id="991" w:name="_Toc488740254"/>
      <w:r>
        <w:rPr>
          <w:rStyle w:val="CharSectno"/>
        </w:rPr>
        <w:t>69A</w:t>
      </w:r>
      <w:r>
        <w:t>.</w:t>
      </w:r>
      <w:r>
        <w:tab/>
        <w:t>GST to be paid at time of grant of application</w:t>
      </w:r>
      <w:bookmarkEnd w:id="986"/>
      <w:bookmarkEnd w:id="987"/>
      <w:bookmarkEnd w:id="988"/>
      <w:bookmarkEnd w:id="989"/>
    </w:p>
    <w:p>
      <w:pPr>
        <w:pStyle w:val="Subsection"/>
      </w:pPr>
      <w:r>
        <w:tab/>
        <w:t>(1)</w:t>
      </w:r>
      <w:r>
        <w:tab/>
        <w:t>In this regulation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pPr>
      <w:r>
        <w:tab/>
        <w:t>(2)</w:t>
      </w:r>
      <w:r>
        <w:tab/>
        <w:t>A prescribed application shall not be granted unless the applicant pays one eleventh of the annual rent that was prescribed for that tenement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rPr>
          <w:snapToGrid w:val="0"/>
        </w:rPr>
      </w:pPr>
      <w:bookmarkStart w:id="992" w:name="_Toc8623636"/>
      <w:bookmarkStart w:id="993" w:name="_Toc11229477"/>
      <w:bookmarkStart w:id="994" w:name="_Toc104276640"/>
      <w:bookmarkStart w:id="995" w:name="_Toc161209418"/>
      <w:r>
        <w:rPr>
          <w:rStyle w:val="CharSectno"/>
        </w:rPr>
        <w:t>70</w:t>
      </w:r>
      <w:r>
        <w:rPr>
          <w:snapToGrid w:val="0"/>
        </w:rPr>
        <w:t>.</w:t>
      </w:r>
      <w:r>
        <w:rPr>
          <w:snapToGrid w:val="0"/>
        </w:rPr>
        <w:tab/>
        <w:t>Refund of rent on withdrawal or refusal of application</w:t>
      </w:r>
      <w:bookmarkEnd w:id="990"/>
      <w:bookmarkEnd w:id="991"/>
      <w:bookmarkEnd w:id="992"/>
      <w:bookmarkEnd w:id="993"/>
      <w:bookmarkEnd w:id="994"/>
      <w:bookmarkEnd w:id="995"/>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996" w:name="_Toc474633106"/>
      <w:bookmarkStart w:id="997" w:name="_Toc488740255"/>
      <w:bookmarkStart w:id="998" w:name="_Toc8623637"/>
      <w:bookmarkStart w:id="999" w:name="_Toc11229478"/>
      <w:bookmarkStart w:id="1000" w:name="_Toc104276641"/>
      <w:bookmarkStart w:id="1001" w:name="_Toc161209419"/>
      <w:r>
        <w:rPr>
          <w:rStyle w:val="CharSectno"/>
        </w:rPr>
        <w:t>70A</w:t>
      </w:r>
      <w:r>
        <w:rPr>
          <w:snapToGrid w:val="0"/>
        </w:rPr>
        <w:t>.</w:t>
      </w:r>
      <w:r>
        <w:rPr>
          <w:snapToGrid w:val="0"/>
        </w:rPr>
        <w:tab/>
        <w:t>Amalgamation of secondary tenement</w:t>
      </w:r>
      <w:bookmarkEnd w:id="996"/>
      <w:bookmarkEnd w:id="997"/>
      <w:bookmarkEnd w:id="998"/>
      <w:bookmarkEnd w:id="999"/>
      <w:bookmarkEnd w:id="1000"/>
      <w:bookmarkEnd w:id="1001"/>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w:t>
      </w:r>
    </w:p>
    <w:p>
      <w:pPr>
        <w:pStyle w:val="Heading5"/>
        <w:rPr>
          <w:snapToGrid w:val="0"/>
        </w:rPr>
      </w:pPr>
      <w:bookmarkStart w:id="1002" w:name="_Toc474633107"/>
      <w:bookmarkStart w:id="1003" w:name="_Toc488740256"/>
      <w:bookmarkStart w:id="1004" w:name="_Toc8623638"/>
      <w:bookmarkStart w:id="1005" w:name="_Toc11229479"/>
      <w:bookmarkStart w:id="1006" w:name="_Toc104276642"/>
      <w:bookmarkStart w:id="1007" w:name="_Toc161209420"/>
      <w:r>
        <w:rPr>
          <w:rStyle w:val="CharSectno"/>
        </w:rPr>
        <w:t>70B</w:t>
      </w:r>
      <w:r>
        <w:rPr>
          <w:snapToGrid w:val="0"/>
        </w:rPr>
        <w:t>.</w:t>
      </w:r>
      <w:r>
        <w:rPr>
          <w:snapToGrid w:val="0"/>
        </w:rPr>
        <w:tab/>
        <w:t>Agreement as to priority</w:t>
      </w:r>
      <w:bookmarkEnd w:id="1002"/>
      <w:bookmarkEnd w:id="1003"/>
      <w:bookmarkEnd w:id="1004"/>
      <w:bookmarkEnd w:id="1005"/>
      <w:bookmarkEnd w:id="1006"/>
      <w:bookmarkEnd w:id="1007"/>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008" w:name="_Toc474633108"/>
      <w:bookmarkStart w:id="1009" w:name="_Toc488740257"/>
      <w:bookmarkStart w:id="1010" w:name="_Toc8623639"/>
      <w:bookmarkStart w:id="1011" w:name="_Toc11229480"/>
      <w:bookmarkStart w:id="1012" w:name="_Toc104276643"/>
      <w:bookmarkStart w:id="1013" w:name="_Toc161209421"/>
      <w:r>
        <w:rPr>
          <w:rStyle w:val="CharSectno"/>
        </w:rPr>
        <w:t>70C</w:t>
      </w:r>
      <w:r>
        <w:rPr>
          <w:snapToGrid w:val="0"/>
        </w:rPr>
        <w:t>.</w:t>
      </w:r>
      <w:r>
        <w:rPr>
          <w:snapToGrid w:val="0"/>
        </w:rPr>
        <w:tab/>
        <w:t>Refund where licence substituted or lease refused</w:t>
      </w:r>
      <w:bookmarkEnd w:id="1008"/>
      <w:bookmarkEnd w:id="1009"/>
      <w:bookmarkEnd w:id="1010"/>
      <w:bookmarkEnd w:id="1011"/>
      <w:bookmarkEnd w:id="1012"/>
      <w:bookmarkEnd w:id="1013"/>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180"/>
        <w:rPr>
          <w:snapToGrid w:val="0"/>
        </w:rPr>
      </w:pPr>
      <w:bookmarkStart w:id="1014" w:name="_Toc474633109"/>
      <w:bookmarkStart w:id="1015" w:name="_Toc488740258"/>
      <w:bookmarkStart w:id="1016" w:name="_Toc8623640"/>
      <w:bookmarkStart w:id="1017" w:name="_Toc11229481"/>
      <w:bookmarkStart w:id="1018" w:name="_Toc104276644"/>
      <w:bookmarkStart w:id="1019" w:name="_Toc161209422"/>
      <w:r>
        <w:rPr>
          <w:rStyle w:val="CharSectno"/>
        </w:rPr>
        <w:t>70D</w:t>
      </w:r>
      <w:r>
        <w:rPr>
          <w:snapToGrid w:val="0"/>
        </w:rPr>
        <w:t>.</w:t>
      </w:r>
      <w:r>
        <w:rPr>
          <w:snapToGrid w:val="0"/>
        </w:rPr>
        <w:tab/>
        <w:t>Refund when retention licence granted or refused</w:t>
      </w:r>
      <w:bookmarkEnd w:id="1014"/>
      <w:bookmarkEnd w:id="1015"/>
      <w:bookmarkEnd w:id="1016"/>
      <w:bookmarkEnd w:id="1017"/>
      <w:bookmarkEnd w:id="1018"/>
      <w:bookmarkEnd w:id="1019"/>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pPr>
      <w:bookmarkStart w:id="1020" w:name="_Toc104276645"/>
      <w:bookmarkStart w:id="1021" w:name="_Toc161209423"/>
      <w:r>
        <w:rPr>
          <w:rStyle w:val="CharSectno"/>
        </w:rPr>
        <w:t>70E</w:t>
      </w:r>
      <w:r>
        <w:t>.</w:t>
      </w:r>
      <w:r>
        <w:tab/>
        <w:t>Partial refund of application fee in certain circumstances</w:t>
      </w:r>
      <w:bookmarkEnd w:id="1020"/>
      <w:bookmarkEnd w:id="102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022" w:name="_Toc74978929"/>
      <w:bookmarkStart w:id="1023" w:name="_Toc74979193"/>
      <w:bookmarkStart w:id="1024" w:name="_Toc79976491"/>
      <w:bookmarkStart w:id="1025" w:name="_Toc80759762"/>
      <w:bookmarkStart w:id="1026" w:name="_Toc80783525"/>
      <w:bookmarkStart w:id="1027" w:name="_Toc94931192"/>
      <w:bookmarkStart w:id="1028" w:name="_Toc104275315"/>
      <w:bookmarkStart w:id="1029" w:name="_Toc104276646"/>
      <w:bookmarkStart w:id="1030" w:name="_Toc107198867"/>
      <w:bookmarkStart w:id="1031" w:name="_Toc107799318"/>
      <w:bookmarkStart w:id="1032" w:name="_Toc127087325"/>
      <w:bookmarkStart w:id="1033" w:name="_Toc127183634"/>
      <w:bookmarkStart w:id="1034" w:name="_Toc127338055"/>
      <w:bookmarkStart w:id="1035" w:name="_Toc128386376"/>
      <w:bookmarkStart w:id="1036" w:name="_Toc129150223"/>
      <w:bookmarkStart w:id="1037" w:name="_Toc129587505"/>
      <w:bookmarkStart w:id="1038" w:name="_Toc131477199"/>
      <w:bookmarkStart w:id="1039" w:name="_Toc132106575"/>
      <w:bookmarkStart w:id="1040" w:name="_Toc132169108"/>
      <w:bookmarkStart w:id="1041" w:name="_Toc132443102"/>
      <w:bookmarkStart w:id="1042" w:name="_Toc132524004"/>
      <w:bookmarkStart w:id="1043" w:name="_Toc132702873"/>
      <w:bookmarkStart w:id="1044" w:name="_Toc139167966"/>
      <w:bookmarkStart w:id="1045" w:name="_Toc139433658"/>
      <w:bookmarkStart w:id="1046" w:name="_Toc161202972"/>
      <w:bookmarkStart w:id="1047" w:name="_Toc161209424"/>
      <w:r>
        <w:rPr>
          <w:rStyle w:val="CharDivNo"/>
        </w:rPr>
        <w:t>Division 3</w:t>
      </w:r>
      <w:r>
        <w:rPr>
          <w:snapToGrid w:val="0"/>
        </w:rPr>
        <w:t> — </w:t>
      </w:r>
      <w:r>
        <w:rPr>
          <w:rStyle w:val="CharDivText"/>
        </w:rPr>
        <w:t>Boundary marks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rPr>
          <w:snapToGrid w:val="0"/>
        </w:rPr>
      </w:pPr>
      <w:bookmarkStart w:id="1048" w:name="_Toc474633110"/>
      <w:bookmarkStart w:id="1049" w:name="_Toc488740259"/>
      <w:bookmarkStart w:id="1050" w:name="_Toc8623641"/>
      <w:bookmarkStart w:id="1051" w:name="_Toc11229482"/>
      <w:bookmarkStart w:id="1052" w:name="_Toc104276647"/>
      <w:bookmarkStart w:id="1053" w:name="_Toc161209425"/>
      <w:r>
        <w:rPr>
          <w:rStyle w:val="CharSectno"/>
        </w:rPr>
        <w:t>71</w:t>
      </w:r>
      <w:r>
        <w:rPr>
          <w:snapToGrid w:val="0"/>
        </w:rPr>
        <w:t>.</w:t>
      </w:r>
      <w:r>
        <w:rPr>
          <w:snapToGrid w:val="0"/>
        </w:rPr>
        <w:tab/>
        <w:t>Boundary marks to be maintained</w:t>
      </w:r>
      <w:bookmarkEnd w:id="1048"/>
      <w:bookmarkEnd w:id="1049"/>
      <w:bookmarkEnd w:id="1050"/>
      <w:bookmarkEnd w:id="1051"/>
      <w:bookmarkEnd w:id="1052"/>
      <w:bookmarkEnd w:id="1053"/>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054" w:name="_Toc474633111"/>
      <w:bookmarkStart w:id="1055" w:name="_Toc488740260"/>
      <w:bookmarkStart w:id="1056" w:name="_Toc8623642"/>
      <w:bookmarkStart w:id="1057" w:name="_Toc11229483"/>
      <w:bookmarkStart w:id="1058" w:name="_Toc104276648"/>
      <w:bookmarkStart w:id="1059" w:name="_Toc161209426"/>
      <w:r>
        <w:rPr>
          <w:rStyle w:val="CharSectno"/>
        </w:rPr>
        <w:t>72</w:t>
      </w:r>
      <w:r>
        <w:rPr>
          <w:snapToGrid w:val="0"/>
        </w:rPr>
        <w:t>.</w:t>
      </w:r>
      <w:r>
        <w:rPr>
          <w:snapToGrid w:val="0"/>
        </w:rPr>
        <w:tab/>
        <w:t>No liability for mining if boundary marks not maintained</w:t>
      </w:r>
      <w:bookmarkEnd w:id="1054"/>
      <w:bookmarkEnd w:id="1055"/>
      <w:bookmarkEnd w:id="1056"/>
      <w:bookmarkEnd w:id="1057"/>
      <w:bookmarkEnd w:id="1058"/>
      <w:bookmarkEnd w:id="1059"/>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060" w:name="_Toc474633112"/>
      <w:bookmarkStart w:id="1061" w:name="_Toc488740261"/>
      <w:bookmarkStart w:id="1062" w:name="_Toc8623643"/>
      <w:bookmarkStart w:id="1063" w:name="_Toc11229484"/>
      <w:bookmarkStart w:id="1064" w:name="_Toc104276649"/>
      <w:bookmarkStart w:id="1065" w:name="_Toc161209427"/>
      <w:r>
        <w:rPr>
          <w:rStyle w:val="CharSectno"/>
        </w:rPr>
        <w:t>73</w:t>
      </w:r>
      <w:r>
        <w:rPr>
          <w:snapToGrid w:val="0"/>
        </w:rPr>
        <w:t>.</w:t>
      </w:r>
      <w:r>
        <w:rPr>
          <w:snapToGrid w:val="0"/>
        </w:rPr>
        <w:tab/>
        <w:t>Holder to identify boundaries</w:t>
      </w:r>
      <w:bookmarkEnd w:id="1060"/>
      <w:bookmarkEnd w:id="1061"/>
      <w:bookmarkEnd w:id="1062"/>
      <w:bookmarkEnd w:id="1063"/>
      <w:bookmarkEnd w:id="1064"/>
      <w:bookmarkEnd w:id="1065"/>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066" w:name="_Toc474633113"/>
      <w:bookmarkStart w:id="1067" w:name="_Toc488740262"/>
      <w:bookmarkStart w:id="1068" w:name="_Toc8623644"/>
      <w:bookmarkStart w:id="1069" w:name="_Toc11229485"/>
      <w:bookmarkStart w:id="1070" w:name="_Toc104276650"/>
      <w:bookmarkStart w:id="1071" w:name="_Toc161209428"/>
      <w:r>
        <w:rPr>
          <w:rStyle w:val="CharSectno"/>
        </w:rPr>
        <w:t>74</w:t>
      </w:r>
      <w:r>
        <w:rPr>
          <w:snapToGrid w:val="0"/>
        </w:rPr>
        <w:t>.</w:t>
      </w:r>
      <w:r>
        <w:rPr>
          <w:snapToGrid w:val="0"/>
        </w:rPr>
        <w:tab/>
        <w:t>False documents/notices not to be posted</w:t>
      </w:r>
      <w:bookmarkEnd w:id="1066"/>
      <w:bookmarkEnd w:id="1067"/>
      <w:bookmarkEnd w:id="1068"/>
      <w:bookmarkEnd w:id="1069"/>
      <w:bookmarkEnd w:id="1070"/>
      <w:bookmarkEnd w:id="1071"/>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072" w:name="_Toc74978934"/>
      <w:bookmarkStart w:id="1073" w:name="_Toc74979198"/>
      <w:bookmarkStart w:id="1074" w:name="_Toc79976496"/>
      <w:bookmarkStart w:id="1075" w:name="_Toc80759767"/>
      <w:bookmarkStart w:id="1076" w:name="_Toc80783530"/>
      <w:bookmarkStart w:id="1077" w:name="_Toc94931197"/>
      <w:bookmarkStart w:id="1078" w:name="_Toc104275320"/>
      <w:bookmarkStart w:id="1079" w:name="_Toc104276651"/>
      <w:bookmarkStart w:id="1080" w:name="_Toc107198872"/>
      <w:bookmarkStart w:id="1081" w:name="_Toc107799323"/>
      <w:bookmarkStart w:id="1082" w:name="_Toc127087330"/>
      <w:bookmarkStart w:id="1083" w:name="_Toc127183639"/>
      <w:bookmarkStart w:id="1084" w:name="_Toc127338060"/>
      <w:bookmarkStart w:id="1085" w:name="_Toc128386381"/>
      <w:bookmarkStart w:id="1086" w:name="_Toc129150228"/>
      <w:bookmarkStart w:id="1087" w:name="_Toc129587510"/>
      <w:bookmarkStart w:id="1088" w:name="_Toc131477204"/>
      <w:bookmarkStart w:id="1089" w:name="_Toc132106580"/>
      <w:bookmarkStart w:id="1090" w:name="_Toc132169113"/>
      <w:bookmarkStart w:id="1091" w:name="_Toc132443107"/>
      <w:bookmarkStart w:id="1092" w:name="_Toc132524009"/>
      <w:bookmarkStart w:id="1093" w:name="_Toc132702878"/>
      <w:bookmarkStart w:id="1094" w:name="_Toc139167971"/>
      <w:bookmarkStart w:id="1095" w:name="_Toc139433663"/>
      <w:bookmarkStart w:id="1096" w:name="_Toc161202977"/>
      <w:bookmarkStart w:id="1097" w:name="_Toc161209429"/>
      <w:r>
        <w:rPr>
          <w:rStyle w:val="CharDivNo"/>
        </w:rPr>
        <w:t>Division 3A</w:t>
      </w:r>
      <w:r>
        <w:rPr>
          <w:snapToGrid w:val="0"/>
        </w:rPr>
        <w:t> — </w:t>
      </w:r>
      <w:r>
        <w:rPr>
          <w:rStyle w:val="CharDivText"/>
        </w:rPr>
        <w:t>Fossicking</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keepNext/>
        <w:ind w:left="890"/>
        <w:rPr>
          <w:snapToGrid w:val="0"/>
        </w:rPr>
      </w:pPr>
      <w:r>
        <w:rPr>
          <w:snapToGrid w:val="0"/>
        </w:rPr>
        <w:tab/>
        <w:t>[Heading inserted in Gazette 2 Oct 1987 p. 3820.]</w:t>
      </w:r>
    </w:p>
    <w:p>
      <w:pPr>
        <w:pStyle w:val="Heading5"/>
        <w:rPr>
          <w:snapToGrid w:val="0"/>
        </w:rPr>
      </w:pPr>
      <w:bookmarkStart w:id="1098" w:name="_Toc474633114"/>
      <w:bookmarkStart w:id="1099" w:name="_Toc488740263"/>
      <w:bookmarkStart w:id="1100" w:name="_Toc8623645"/>
      <w:bookmarkStart w:id="1101" w:name="_Toc11229486"/>
      <w:bookmarkStart w:id="1102" w:name="_Toc104276652"/>
      <w:bookmarkStart w:id="1103" w:name="_Toc161209430"/>
      <w:r>
        <w:rPr>
          <w:rStyle w:val="CharSectno"/>
        </w:rPr>
        <w:t>74A</w:t>
      </w:r>
      <w:r>
        <w:rPr>
          <w:snapToGrid w:val="0"/>
        </w:rPr>
        <w:t>.</w:t>
      </w:r>
      <w:r>
        <w:rPr>
          <w:snapToGrid w:val="0"/>
        </w:rPr>
        <w:tab/>
        <w:t>Means of fossicking</w:t>
      </w:r>
      <w:bookmarkEnd w:id="1098"/>
      <w:bookmarkEnd w:id="1099"/>
      <w:bookmarkEnd w:id="1100"/>
      <w:bookmarkEnd w:id="1101"/>
      <w:bookmarkEnd w:id="1102"/>
      <w:bookmarkEnd w:id="1103"/>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104" w:name="_Toc74978936"/>
      <w:bookmarkStart w:id="1105" w:name="_Toc74979200"/>
      <w:bookmarkStart w:id="1106" w:name="_Toc79976498"/>
      <w:bookmarkStart w:id="1107" w:name="_Toc80759769"/>
      <w:bookmarkStart w:id="1108" w:name="_Toc80783532"/>
      <w:bookmarkStart w:id="1109" w:name="_Toc94931199"/>
      <w:bookmarkStart w:id="1110" w:name="_Toc104275322"/>
      <w:bookmarkStart w:id="1111" w:name="_Toc104276653"/>
      <w:bookmarkStart w:id="1112" w:name="_Toc107198874"/>
      <w:bookmarkStart w:id="1113" w:name="_Toc107799325"/>
      <w:bookmarkStart w:id="1114" w:name="_Toc127087332"/>
      <w:bookmarkStart w:id="1115" w:name="_Toc127183641"/>
      <w:bookmarkStart w:id="1116" w:name="_Toc127338062"/>
      <w:bookmarkStart w:id="1117" w:name="_Toc128386383"/>
      <w:bookmarkStart w:id="1118" w:name="_Toc129150230"/>
      <w:bookmarkStart w:id="1119" w:name="_Toc129587512"/>
      <w:bookmarkStart w:id="1120" w:name="_Toc131477206"/>
      <w:bookmarkStart w:id="1121" w:name="_Toc132106582"/>
      <w:bookmarkStart w:id="1122" w:name="_Toc132169115"/>
      <w:bookmarkStart w:id="1123" w:name="_Toc132443109"/>
      <w:bookmarkStart w:id="1124" w:name="_Toc132524011"/>
      <w:bookmarkStart w:id="1125" w:name="_Toc132702880"/>
      <w:bookmarkStart w:id="1126" w:name="_Toc139167973"/>
      <w:bookmarkStart w:id="1127" w:name="_Toc139433665"/>
      <w:bookmarkStart w:id="1128" w:name="_Toc161202979"/>
      <w:bookmarkStart w:id="1129" w:name="_Toc161209431"/>
      <w:r>
        <w:rPr>
          <w:rStyle w:val="CharDivNo"/>
        </w:rPr>
        <w:t>Division 4</w:t>
      </w:r>
      <w:r>
        <w:rPr>
          <w:snapToGrid w:val="0"/>
        </w:rPr>
        <w:t> — </w:t>
      </w:r>
      <w:r>
        <w:rPr>
          <w:rStyle w:val="CharDivText"/>
        </w:rPr>
        <w:t>Transfers, caveats, mortgages</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rPr>
          <w:snapToGrid w:val="0"/>
        </w:rPr>
      </w:pPr>
      <w:bookmarkStart w:id="1130" w:name="_Toc474633115"/>
      <w:bookmarkStart w:id="1131" w:name="_Toc488740264"/>
      <w:bookmarkStart w:id="1132" w:name="_Toc8623646"/>
      <w:bookmarkStart w:id="1133" w:name="_Toc11229487"/>
      <w:bookmarkStart w:id="1134" w:name="_Toc104276654"/>
      <w:bookmarkStart w:id="1135" w:name="_Toc161209432"/>
      <w:r>
        <w:rPr>
          <w:rStyle w:val="CharSectno"/>
        </w:rPr>
        <w:t>75</w:t>
      </w:r>
      <w:r>
        <w:rPr>
          <w:snapToGrid w:val="0"/>
        </w:rPr>
        <w:t>.</w:t>
      </w:r>
      <w:r>
        <w:rPr>
          <w:snapToGrid w:val="0"/>
        </w:rPr>
        <w:tab/>
        <w:t>Transfer of tenement</w:t>
      </w:r>
      <w:bookmarkEnd w:id="1130"/>
      <w:bookmarkEnd w:id="1131"/>
      <w:bookmarkEnd w:id="1132"/>
      <w:bookmarkEnd w:id="1133"/>
      <w:bookmarkEnd w:id="1134"/>
      <w:bookmarkEnd w:id="1135"/>
    </w:p>
    <w:p>
      <w:pPr>
        <w:pStyle w:val="Subsection"/>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[Regulation 75 amended in Gazette 31 May 1991 p. 2699; 24 Jun 1994 p. 2933.]</w:t>
      </w:r>
    </w:p>
    <w:p>
      <w:pPr>
        <w:pStyle w:val="Heading5"/>
      </w:pPr>
      <w:bookmarkStart w:id="1136" w:name="_Toc161209433"/>
      <w:bookmarkStart w:id="1137" w:name="_Toc474633117"/>
      <w:bookmarkStart w:id="1138" w:name="_Toc488740266"/>
      <w:bookmarkStart w:id="1139" w:name="_Toc8623648"/>
      <w:bookmarkStart w:id="1140" w:name="_Toc11229489"/>
      <w:bookmarkStart w:id="1141" w:name="_Toc104276656"/>
      <w:r>
        <w:rPr>
          <w:rStyle w:val="CharSectno"/>
        </w:rPr>
        <w:t>76</w:t>
      </w:r>
      <w:r>
        <w:t>.</w:t>
      </w:r>
      <w:r>
        <w:tab/>
        <w:t>Lodgment of caveats</w:t>
      </w:r>
      <w:bookmarkEnd w:id="1136"/>
    </w:p>
    <w:p>
      <w:pPr>
        <w:pStyle w:val="Subsection"/>
      </w:pPr>
      <w:r>
        <w:tab/>
        <w:t>(1)</w:t>
      </w:r>
      <w:r>
        <w:tab/>
        <w:t>For the purposes of section 122A a caveat shall be —</w:t>
      </w:r>
    </w:p>
    <w:p>
      <w:pPr>
        <w:pStyle w:val="Indenta"/>
      </w:pPr>
      <w:r>
        <w:tab/>
        <w:t>(a)</w:t>
      </w:r>
      <w:r>
        <w:tab/>
        <w:t>in the form No. 24 in the First Schedule;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pPr>
      <w:r>
        <w:tab/>
        <w:t>[Regulation 76 inserted in Gazette 3 Feb 2006 p. 520.]</w:t>
      </w:r>
    </w:p>
    <w:p>
      <w:pPr>
        <w:pStyle w:val="Heading5"/>
        <w:spacing w:before="180"/>
        <w:rPr>
          <w:snapToGrid w:val="0"/>
        </w:rPr>
      </w:pPr>
      <w:bookmarkStart w:id="1142" w:name="_Toc161209434"/>
      <w:r>
        <w:rPr>
          <w:rStyle w:val="CharSectno"/>
        </w:rPr>
        <w:t>76A</w:t>
      </w:r>
      <w:r>
        <w:rPr>
          <w:snapToGrid w:val="0"/>
        </w:rPr>
        <w:t>.</w:t>
      </w:r>
      <w:r>
        <w:rPr>
          <w:snapToGrid w:val="0"/>
        </w:rPr>
        <w:tab/>
        <w:t>Withdrawal of caveats</w:t>
      </w:r>
      <w:bookmarkEnd w:id="1137"/>
      <w:bookmarkEnd w:id="1138"/>
      <w:bookmarkEnd w:id="1139"/>
      <w:bookmarkEnd w:id="1140"/>
      <w:bookmarkEnd w:id="1141"/>
      <w:bookmarkEnd w:id="1142"/>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[Regulation 76A inserted in Gazette 31 Jul 1992 p. 3776.]</w:t>
      </w:r>
    </w:p>
    <w:p>
      <w:pPr>
        <w:pStyle w:val="Heading5"/>
        <w:spacing w:before="180"/>
        <w:rPr>
          <w:snapToGrid w:val="0"/>
        </w:rPr>
      </w:pPr>
      <w:bookmarkStart w:id="1143" w:name="_Toc474633118"/>
      <w:bookmarkStart w:id="1144" w:name="_Toc488740267"/>
      <w:bookmarkStart w:id="1145" w:name="_Toc8623649"/>
      <w:bookmarkStart w:id="1146" w:name="_Toc11229490"/>
      <w:bookmarkStart w:id="1147" w:name="_Toc104276657"/>
      <w:bookmarkStart w:id="1148" w:name="_Toc161209435"/>
      <w:r>
        <w:rPr>
          <w:rStyle w:val="CharSectno"/>
        </w:rPr>
        <w:t>76B</w:t>
      </w:r>
      <w:r>
        <w:rPr>
          <w:snapToGrid w:val="0"/>
        </w:rPr>
        <w:t>.</w:t>
      </w:r>
      <w:r>
        <w:rPr>
          <w:snapToGrid w:val="0"/>
        </w:rPr>
        <w:tab/>
        <w:t>Notification of registration of surrender</w:t>
      </w:r>
      <w:bookmarkEnd w:id="1143"/>
      <w:bookmarkEnd w:id="1144"/>
      <w:bookmarkEnd w:id="1145"/>
      <w:bookmarkEnd w:id="1146"/>
      <w:bookmarkEnd w:id="1147"/>
      <w:bookmarkEnd w:id="1148"/>
    </w:p>
    <w:p>
      <w:pPr>
        <w:pStyle w:val="Subsection"/>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1149" w:name="_Toc161209436"/>
      <w:bookmarkStart w:id="1150" w:name="_Toc474633120"/>
      <w:bookmarkStart w:id="1151" w:name="_Toc488740269"/>
      <w:bookmarkStart w:id="1152" w:name="_Toc8623651"/>
      <w:bookmarkStart w:id="1153" w:name="_Toc11229492"/>
      <w:bookmarkStart w:id="1154" w:name="_Toc104276659"/>
      <w:r>
        <w:rPr>
          <w:rStyle w:val="CharSectno"/>
        </w:rPr>
        <w:t>77</w:t>
      </w:r>
      <w:r>
        <w:t>.</w:t>
      </w:r>
      <w:r>
        <w:tab/>
        <w:t>Mortgage</w:t>
      </w:r>
      <w:bookmarkEnd w:id="1149"/>
    </w:p>
    <w:p>
      <w:pPr>
        <w:pStyle w:val="Subsection"/>
      </w:pPr>
      <w:r>
        <w:tab/>
      </w:r>
      <w:r>
        <w:tab/>
        <w:t>A mortgage shall be —</w:t>
      </w:r>
    </w:p>
    <w:p>
      <w:pPr>
        <w:pStyle w:val="Indenta"/>
      </w:pPr>
      <w:r>
        <w:tab/>
        <w:t>(a)</w:t>
      </w:r>
      <w:r>
        <w:tab/>
        <w:t>lodged in the form No. 25 in the First Schedule; and</w:t>
      </w:r>
    </w:p>
    <w:p>
      <w:pPr>
        <w:pStyle w:val="Indenta"/>
      </w:pPr>
      <w:r>
        <w:tab/>
        <w:t>(b)</w:t>
      </w:r>
      <w:r>
        <w:tab/>
        <w:t>accompanied by the prescribed fee.</w:t>
      </w:r>
    </w:p>
    <w:p>
      <w:pPr>
        <w:pStyle w:val="Footnotesection"/>
      </w:pPr>
      <w:r>
        <w:tab/>
        <w:t>[Regulation 77 inserted in Gazette 3 Feb 2006 p. 521.]</w:t>
      </w:r>
    </w:p>
    <w:p>
      <w:pPr>
        <w:pStyle w:val="Ednotesection"/>
      </w:pPr>
      <w:bookmarkStart w:id="1155" w:name="_Toc474633121"/>
      <w:bookmarkStart w:id="1156" w:name="_Toc488740270"/>
      <w:bookmarkStart w:id="1157" w:name="_Toc8623652"/>
      <w:bookmarkStart w:id="1158" w:name="_Toc11229493"/>
      <w:bookmarkStart w:id="1159" w:name="_Toc104276660"/>
      <w:bookmarkEnd w:id="1150"/>
      <w:bookmarkEnd w:id="1151"/>
      <w:bookmarkEnd w:id="1152"/>
      <w:bookmarkEnd w:id="1153"/>
      <w:bookmarkEnd w:id="1154"/>
      <w:r>
        <w:t>[</w:t>
      </w:r>
      <w:r>
        <w:rPr>
          <w:b/>
        </w:rPr>
        <w:t>78.</w:t>
      </w:r>
      <w:r>
        <w:tab/>
        <w:t>Repealed in Gazette 3 Feb 2006 p. 521.]</w:t>
      </w:r>
    </w:p>
    <w:p>
      <w:pPr>
        <w:pStyle w:val="Heading5"/>
        <w:spacing w:before="180"/>
        <w:rPr>
          <w:snapToGrid w:val="0"/>
        </w:rPr>
      </w:pPr>
      <w:bookmarkStart w:id="1160" w:name="_Toc161209437"/>
      <w:r>
        <w:rPr>
          <w:rStyle w:val="CharSectno"/>
        </w:rPr>
        <w:t>79</w:t>
      </w:r>
      <w:r>
        <w:rPr>
          <w:snapToGrid w:val="0"/>
        </w:rPr>
        <w:t>.</w:t>
      </w:r>
      <w:r>
        <w:rPr>
          <w:snapToGrid w:val="0"/>
        </w:rPr>
        <w:tab/>
        <w:t>Covenants included in mortgage</w:t>
      </w:r>
      <w:bookmarkEnd w:id="1155"/>
      <w:bookmarkEnd w:id="1156"/>
      <w:bookmarkEnd w:id="1157"/>
      <w:bookmarkEnd w:id="1158"/>
      <w:bookmarkEnd w:id="1159"/>
      <w:bookmarkEnd w:id="1160"/>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1161" w:name="_Toc474633122"/>
      <w:bookmarkStart w:id="1162" w:name="_Toc488740271"/>
      <w:bookmarkStart w:id="1163" w:name="_Toc8623653"/>
      <w:bookmarkStart w:id="1164" w:name="_Toc11229494"/>
      <w:bookmarkStart w:id="1165" w:name="_Toc104276661"/>
      <w:bookmarkStart w:id="1166" w:name="_Toc161209438"/>
      <w:r>
        <w:rPr>
          <w:rStyle w:val="CharSectno"/>
        </w:rPr>
        <w:t>80</w:t>
      </w:r>
      <w:r>
        <w:rPr>
          <w:snapToGrid w:val="0"/>
        </w:rPr>
        <w:t>.</w:t>
      </w:r>
      <w:r>
        <w:rPr>
          <w:snapToGrid w:val="0"/>
        </w:rPr>
        <w:tab/>
        <w:t>Mortgagee’s expenses may be added to security</w:t>
      </w:r>
      <w:bookmarkEnd w:id="1161"/>
      <w:bookmarkEnd w:id="1162"/>
      <w:bookmarkEnd w:id="1163"/>
      <w:bookmarkEnd w:id="1164"/>
      <w:bookmarkEnd w:id="1165"/>
      <w:bookmarkEnd w:id="1166"/>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167" w:name="_Toc474633123"/>
      <w:bookmarkStart w:id="1168" w:name="_Toc488740272"/>
      <w:bookmarkStart w:id="1169" w:name="_Toc8623654"/>
      <w:bookmarkStart w:id="1170" w:name="_Toc11229495"/>
      <w:bookmarkStart w:id="1171" w:name="_Toc104276662"/>
      <w:bookmarkStart w:id="1172" w:name="_Toc161209439"/>
      <w:r>
        <w:rPr>
          <w:rStyle w:val="CharSectno"/>
        </w:rPr>
        <w:t>81</w:t>
      </w:r>
      <w:r>
        <w:rPr>
          <w:snapToGrid w:val="0"/>
        </w:rPr>
        <w:t>.</w:t>
      </w:r>
      <w:r>
        <w:rPr>
          <w:snapToGrid w:val="0"/>
        </w:rPr>
        <w:tab/>
        <w:t>Transfer under powers contained in mortgage</w:t>
      </w:r>
      <w:bookmarkEnd w:id="1167"/>
      <w:bookmarkEnd w:id="1168"/>
      <w:bookmarkEnd w:id="1169"/>
      <w:bookmarkEnd w:id="1170"/>
      <w:bookmarkEnd w:id="1171"/>
      <w:bookmarkEnd w:id="1172"/>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1173" w:name="_Toc474633124"/>
      <w:bookmarkStart w:id="1174" w:name="_Toc488740273"/>
      <w:bookmarkStart w:id="1175" w:name="_Toc8623655"/>
      <w:bookmarkStart w:id="1176" w:name="_Toc11229496"/>
      <w:bookmarkStart w:id="1177" w:name="_Toc104276663"/>
      <w:bookmarkStart w:id="1178" w:name="_Toc161209440"/>
      <w:r>
        <w:rPr>
          <w:rStyle w:val="CharSectno"/>
        </w:rPr>
        <w:t>82</w:t>
      </w:r>
      <w:r>
        <w:rPr>
          <w:snapToGrid w:val="0"/>
        </w:rPr>
        <w:t>.</w:t>
      </w:r>
      <w:r>
        <w:rPr>
          <w:snapToGrid w:val="0"/>
        </w:rPr>
        <w:tab/>
        <w:t>Redemption of mortgage</w:t>
      </w:r>
      <w:bookmarkEnd w:id="1173"/>
      <w:bookmarkEnd w:id="1174"/>
      <w:bookmarkEnd w:id="1175"/>
      <w:bookmarkEnd w:id="1176"/>
      <w:bookmarkEnd w:id="1177"/>
      <w:bookmarkEnd w:id="1178"/>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1179" w:name="_Toc474633125"/>
      <w:bookmarkStart w:id="1180" w:name="_Toc488740274"/>
      <w:bookmarkStart w:id="1181" w:name="_Toc8623656"/>
      <w:bookmarkStart w:id="1182" w:name="_Toc11229497"/>
      <w:bookmarkStart w:id="1183" w:name="_Toc104276664"/>
      <w:bookmarkStart w:id="1184" w:name="_Toc161209441"/>
      <w:r>
        <w:rPr>
          <w:rStyle w:val="CharSectno"/>
        </w:rPr>
        <w:t>83</w:t>
      </w:r>
      <w:r>
        <w:rPr>
          <w:snapToGrid w:val="0"/>
        </w:rPr>
        <w:t>.</w:t>
      </w:r>
      <w:r>
        <w:rPr>
          <w:snapToGrid w:val="0"/>
        </w:rPr>
        <w:tab/>
        <w:t>Discharge of mortgage</w:t>
      </w:r>
      <w:bookmarkEnd w:id="1179"/>
      <w:bookmarkEnd w:id="1180"/>
      <w:bookmarkEnd w:id="1181"/>
      <w:bookmarkEnd w:id="1182"/>
      <w:bookmarkEnd w:id="1183"/>
      <w:bookmarkEnd w:id="1184"/>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[Regulation 83 amended in Gazette 31 Jul 1992 p. 3776.]</w:t>
      </w:r>
    </w:p>
    <w:p>
      <w:pPr>
        <w:pStyle w:val="Heading5"/>
        <w:rPr>
          <w:snapToGrid w:val="0"/>
        </w:rPr>
      </w:pPr>
      <w:bookmarkStart w:id="1185" w:name="_Toc474633126"/>
      <w:bookmarkStart w:id="1186" w:name="_Toc488740275"/>
      <w:bookmarkStart w:id="1187" w:name="_Toc8623657"/>
      <w:bookmarkStart w:id="1188" w:name="_Toc11229498"/>
      <w:bookmarkStart w:id="1189" w:name="_Toc104276665"/>
      <w:bookmarkStart w:id="1190" w:name="_Toc161209442"/>
      <w:r>
        <w:rPr>
          <w:rStyle w:val="CharSectno"/>
        </w:rPr>
        <w:t>84</w:t>
      </w:r>
      <w:r>
        <w:rPr>
          <w:snapToGrid w:val="0"/>
        </w:rPr>
        <w:t>.</w:t>
      </w:r>
      <w:r>
        <w:rPr>
          <w:snapToGrid w:val="0"/>
        </w:rPr>
        <w:tab/>
        <w:t>Transfer of mortgage</w:t>
      </w:r>
      <w:bookmarkEnd w:id="1185"/>
      <w:bookmarkEnd w:id="1186"/>
      <w:bookmarkEnd w:id="1187"/>
      <w:bookmarkEnd w:id="1188"/>
      <w:bookmarkEnd w:id="1189"/>
      <w:bookmarkEnd w:id="1190"/>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1191" w:name="_Toc127338074"/>
      <w:bookmarkStart w:id="1192" w:name="_Toc128386395"/>
      <w:bookmarkStart w:id="1193" w:name="_Toc129150242"/>
      <w:bookmarkStart w:id="1194" w:name="_Toc129587524"/>
      <w:bookmarkStart w:id="1195" w:name="_Toc131477218"/>
      <w:bookmarkStart w:id="1196" w:name="_Toc132106594"/>
      <w:bookmarkStart w:id="1197" w:name="_Toc132169127"/>
      <w:bookmarkStart w:id="1198" w:name="_Toc132443121"/>
      <w:bookmarkStart w:id="1199" w:name="_Toc132524023"/>
      <w:bookmarkStart w:id="1200" w:name="_Toc132702892"/>
      <w:bookmarkStart w:id="1201" w:name="_Toc139167985"/>
      <w:bookmarkStart w:id="1202" w:name="_Toc139433677"/>
      <w:bookmarkStart w:id="1203" w:name="_Toc161202991"/>
      <w:bookmarkStart w:id="1204" w:name="_Toc161209443"/>
      <w:bookmarkStart w:id="1205" w:name="_Toc74978949"/>
      <w:bookmarkStart w:id="1206" w:name="_Toc74979213"/>
      <w:bookmarkStart w:id="1207" w:name="_Toc79976511"/>
      <w:bookmarkStart w:id="1208" w:name="_Toc80759782"/>
      <w:bookmarkStart w:id="1209" w:name="_Toc80783545"/>
      <w:bookmarkStart w:id="1210" w:name="_Toc94931212"/>
      <w:bookmarkStart w:id="1211" w:name="_Toc104275335"/>
      <w:bookmarkStart w:id="1212" w:name="_Toc104276666"/>
      <w:bookmarkStart w:id="1213" w:name="_Toc107198887"/>
      <w:bookmarkStart w:id="1214" w:name="_Toc107799338"/>
      <w:bookmarkStart w:id="1215" w:name="_Toc127087345"/>
      <w:bookmarkStart w:id="1216" w:name="_Toc127183654"/>
      <w:r>
        <w:rPr>
          <w:rStyle w:val="CharDivNo"/>
        </w:rPr>
        <w:t>Division 4A</w:t>
      </w:r>
      <w:r>
        <w:t> — </w:t>
      </w:r>
      <w:r>
        <w:rPr>
          <w:rStyle w:val="CharDivText"/>
        </w:rPr>
        <w:t>Lodgment of instruments and the register</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Footnoteheading"/>
      </w:pPr>
      <w:r>
        <w:tab/>
        <w:t>[Heading inserted in Gazette 3 Feb 2006 p. 521.]</w:t>
      </w:r>
    </w:p>
    <w:p>
      <w:pPr>
        <w:pStyle w:val="Heading5"/>
      </w:pPr>
      <w:bookmarkStart w:id="1217" w:name="_Toc161209444"/>
      <w:r>
        <w:rPr>
          <w:rStyle w:val="CharSectno"/>
        </w:rPr>
        <w:t>84A</w:t>
      </w:r>
      <w:r>
        <w:t>.</w:t>
      </w:r>
      <w:r>
        <w:tab/>
        <w:t>Lodgment of instruments</w:t>
      </w:r>
      <w:bookmarkEnd w:id="1217"/>
    </w:p>
    <w:p>
      <w:pPr>
        <w:pStyle w:val="Subsection"/>
      </w:pPr>
      <w:r>
        <w:tab/>
      </w:r>
      <w:r>
        <w:tab/>
        <w:t>An instrument to which section 103C applies shall be —</w:t>
      </w:r>
    </w:p>
    <w:p>
      <w:pPr>
        <w:pStyle w:val="Indenta"/>
      </w:pPr>
      <w:r>
        <w:tab/>
        <w:t>(a)</w:t>
      </w:r>
      <w:r>
        <w:tab/>
        <w:t>lodged for registration at the office of the mining registrar or at the Department at Perth; and</w:t>
      </w:r>
    </w:p>
    <w:p>
      <w:pPr>
        <w:pStyle w:val="Indenta"/>
      </w:pPr>
      <w:r>
        <w:tab/>
        <w:t>(b)</w:t>
      </w:r>
      <w:r>
        <w:tab/>
        <w:t>accompanied by the prescribed fee.</w:t>
      </w:r>
    </w:p>
    <w:p>
      <w:pPr>
        <w:pStyle w:val="Footnotesection"/>
      </w:pPr>
      <w:r>
        <w:tab/>
        <w:t>[Regulation 84A inserted in Gazette 3 Feb 2006 p. 521.]</w:t>
      </w:r>
    </w:p>
    <w:p>
      <w:pPr>
        <w:pStyle w:val="Heading5"/>
      </w:pPr>
      <w:bookmarkStart w:id="1218" w:name="_Toc161209445"/>
      <w:r>
        <w:rPr>
          <w:rStyle w:val="CharSectno"/>
        </w:rPr>
        <w:t>84B</w:t>
      </w:r>
      <w:r>
        <w:t>.</w:t>
      </w:r>
      <w:r>
        <w:tab/>
        <w:t>Provisional lodgment</w:t>
      </w:r>
      <w:bookmarkEnd w:id="1218"/>
    </w:p>
    <w:p>
      <w:pPr>
        <w:pStyle w:val="Subsection"/>
      </w:pPr>
      <w:r>
        <w:tab/>
        <w:t>(1)</w:t>
      </w:r>
      <w:r>
        <w:tab/>
        <w:t>In this regulation —</w:t>
      </w:r>
    </w:p>
    <w:p>
      <w:pPr>
        <w:pStyle w:val="Defstart"/>
      </w:pPr>
      <w:r>
        <w:rPr>
          <w:b/>
        </w:rPr>
        <w:tab/>
        <w:t>“</w:t>
      </w:r>
      <w:r>
        <w:rPr>
          <w:rStyle w:val="CharDefText"/>
        </w:rPr>
        <w:t>allowed period</w:t>
      </w:r>
      <w:r>
        <w:rPr>
          <w:b/>
        </w:rPr>
        <w:t>”</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1219" w:name="_Toc161209446"/>
      <w:r>
        <w:rPr>
          <w:rStyle w:val="CharSectno"/>
        </w:rPr>
        <w:t>84C</w:t>
      </w:r>
      <w:r>
        <w:t>.</w:t>
      </w:r>
      <w:r>
        <w:tab/>
        <w:t>Content of register</w:t>
      </w:r>
      <w:bookmarkEnd w:id="1219"/>
    </w:p>
    <w:p>
      <w:pPr>
        <w:pStyle w:val="Subsection"/>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w:t>
      </w:r>
    </w:p>
    <w:p>
      <w:pPr>
        <w:pStyle w:val="Indenti"/>
      </w:pPr>
      <w:r>
        <w:tab/>
        <w:t>(ii)</w:t>
      </w:r>
      <w:r>
        <w:tab/>
        <w:t>moneys expended or deemed to be expended in mining on or in connection with mining on the tenement;</w:t>
      </w:r>
    </w:p>
    <w:p>
      <w:pPr>
        <w:pStyle w:val="Indenti"/>
      </w:pPr>
      <w:r>
        <w:tab/>
        <w:t>(iii)</w:t>
      </w:r>
      <w:r>
        <w:tab/>
        <w:t>particulars of exemptions;</w:t>
      </w:r>
    </w:p>
    <w:p>
      <w:pPr>
        <w:pStyle w:val="Indenti"/>
      </w:pPr>
      <w:r>
        <w:tab/>
        <w:t>(iv)</w:t>
      </w:r>
      <w:r>
        <w:tab/>
        <w:t>particulars of dealings and other instruments affecting the tenement that are required to be entered in the register under the Act;</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1220" w:name="_Toc161209447"/>
      <w:r>
        <w:rPr>
          <w:rStyle w:val="CharSectno"/>
        </w:rPr>
        <w:t>84D</w:t>
      </w:r>
      <w:r>
        <w:t>.</w:t>
      </w:r>
      <w:r>
        <w:tab/>
        <w:t>Fees for copies of entries, dealings, etc.</w:t>
      </w:r>
      <w:bookmarkEnd w:id="1220"/>
    </w:p>
    <w:p>
      <w:pPr>
        <w:pStyle w:val="Subsection"/>
      </w:pPr>
      <w:r>
        <w:tab/>
      </w:r>
      <w:r>
        <w:tab/>
        <w:t>For the purposes of section 103F(4) the fees set out in item 3 of the Second Schedule are prescribed.</w:t>
      </w:r>
    </w:p>
    <w:p>
      <w:pPr>
        <w:pStyle w:val="Footnotesection"/>
      </w:pPr>
      <w:r>
        <w:tab/>
        <w:t>[Regulation 84D inserted in Gazette 3 Feb 2006 p. 523.]</w:t>
      </w:r>
    </w:p>
    <w:p>
      <w:pPr>
        <w:pStyle w:val="Heading5"/>
      </w:pPr>
      <w:bookmarkStart w:id="1221" w:name="_Toc161209448"/>
      <w:r>
        <w:rPr>
          <w:rStyle w:val="CharSectno"/>
        </w:rPr>
        <w:t>84E</w:t>
      </w:r>
      <w:r>
        <w:t>.</w:t>
      </w:r>
      <w:r>
        <w:tab/>
        <w:t>Amendment of register</w:t>
      </w:r>
      <w:bookmarkEnd w:id="1221"/>
    </w:p>
    <w:p>
      <w:pPr>
        <w:pStyle w:val="Subsection"/>
      </w:pPr>
      <w:r>
        <w:tab/>
      </w:r>
      <w:r>
        <w:tab/>
        <w:t>An application to amend particulars in the register shall be —</w:t>
      </w:r>
    </w:p>
    <w:p>
      <w:pPr>
        <w:pStyle w:val="Indenta"/>
      </w:pPr>
      <w:r>
        <w:tab/>
        <w:t>(a)</w:t>
      </w:r>
      <w:r>
        <w:tab/>
        <w:t>made in the form No. 30 in the First Schedule; and</w:t>
      </w:r>
    </w:p>
    <w:p>
      <w:pPr>
        <w:pStyle w:val="Indenta"/>
      </w:pPr>
      <w:r>
        <w:tab/>
        <w:t>(b)</w:t>
      </w:r>
      <w:r>
        <w:tab/>
        <w:t>lodged at the office of the mining registrar or the Department at Perth.</w:t>
      </w:r>
    </w:p>
    <w:p>
      <w:pPr>
        <w:pStyle w:val="Footnotesection"/>
      </w:pPr>
      <w:r>
        <w:tab/>
        <w:t>[Regulation 84E inserted in Gazette 3 Feb 2006 p. 523.]</w:t>
      </w:r>
    </w:p>
    <w:p>
      <w:pPr>
        <w:pStyle w:val="Heading5"/>
      </w:pPr>
      <w:bookmarkStart w:id="1222" w:name="_Toc161209449"/>
      <w:r>
        <w:rPr>
          <w:rStyle w:val="CharSectno"/>
        </w:rPr>
        <w:t>84F</w:t>
      </w:r>
      <w:r>
        <w:t>.</w:t>
      </w:r>
      <w:r>
        <w:tab/>
        <w:t>Inclusion of information in register despite late lodgment of report</w:t>
      </w:r>
      <w:bookmarkEnd w:id="1222"/>
    </w:p>
    <w:p>
      <w:pPr>
        <w:pStyle w:val="Subsection"/>
      </w:pPr>
      <w:r>
        <w:tab/>
        <w:t>(1)</w:t>
      </w:r>
      <w:r>
        <w:tab/>
        <w:t>In this regulation —</w:t>
      </w:r>
    </w:p>
    <w:p>
      <w:pPr>
        <w:pStyle w:val="Defstart"/>
      </w:pPr>
      <w:r>
        <w:rPr>
          <w:b/>
        </w:rPr>
        <w:tab/>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pPr>
      <w:r>
        <w:tab/>
        <w:t>[Regulation 84F inserted in Gazette 3 Feb 2006 p. 523.]</w:t>
      </w:r>
    </w:p>
    <w:p>
      <w:pPr>
        <w:pStyle w:val="Heading3"/>
      </w:pPr>
      <w:bookmarkStart w:id="1223" w:name="_Toc127338081"/>
      <w:bookmarkStart w:id="1224" w:name="_Toc128386402"/>
      <w:bookmarkStart w:id="1225" w:name="_Toc129150249"/>
      <w:bookmarkStart w:id="1226" w:name="_Toc129587531"/>
      <w:bookmarkStart w:id="1227" w:name="_Toc131477225"/>
      <w:bookmarkStart w:id="1228" w:name="_Toc132106601"/>
      <w:bookmarkStart w:id="1229" w:name="_Toc132169134"/>
      <w:bookmarkStart w:id="1230" w:name="_Toc132443128"/>
      <w:bookmarkStart w:id="1231" w:name="_Toc132524030"/>
      <w:bookmarkStart w:id="1232" w:name="_Toc132702899"/>
      <w:bookmarkStart w:id="1233" w:name="_Toc139167992"/>
      <w:bookmarkStart w:id="1234" w:name="_Toc139433684"/>
      <w:bookmarkStart w:id="1235" w:name="_Toc161202998"/>
      <w:bookmarkStart w:id="1236" w:name="_Toc161209450"/>
      <w:r>
        <w:rPr>
          <w:rStyle w:val="CharDivNo"/>
        </w:rPr>
        <w:t>Division 5</w:t>
      </w:r>
      <w:r>
        <w:rPr>
          <w:snapToGrid w:val="0"/>
        </w:rPr>
        <w:t> — </w:t>
      </w:r>
      <w:r>
        <w:rPr>
          <w:rStyle w:val="CharDivText"/>
        </w:rPr>
        <w:t>Production and royalties</w:t>
      </w:r>
      <w:bookmarkEnd w:id="1205"/>
      <w:bookmarkEnd w:id="1206"/>
      <w:bookmarkEnd w:id="1207"/>
      <w:bookmarkEnd w:id="1208"/>
      <w:bookmarkEnd w:id="1209"/>
      <w:bookmarkEnd w:id="1210"/>
      <w:bookmarkEnd w:id="1211"/>
      <w:bookmarkEnd w:id="1212"/>
      <w:bookmarkEnd w:id="1213"/>
      <w:bookmarkEnd w:id="1214"/>
      <w:bookmarkEnd w:id="1215"/>
      <w:bookmarkEnd w:id="1216"/>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Toc486150003"/>
      <w:bookmarkStart w:id="1238" w:name="_Toc488740276"/>
      <w:bookmarkStart w:id="1239" w:name="_Toc8623658"/>
      <w:bookmarkStart w:id="1240" w:name="_Toc11229499"/>
      <w:bookmarkStart w:id="1241" w:name="_Toc104276667"/>
      <w:bookmarkStart w:id="1242" w:name="_Toc161209451"/>
      <w:bookmarkStart w:id="1243" w:name="_Toc474633128"/>
      <w:r>
        <w:rPr>
          <w:rStyle w:val="CharSectno"/>
        </w:rPr>
        <w:t>85</w:t>
      </w:r>
      <w:r>
        <w:t>.</w:t>
      </w:r>
      <w:r>
        <w:tab/>
        <w:t>Terms used in this Division</w:t>
      </w:r>
      <w:bookmarkEnd w:id="1237"/>
      <w:bookmarkEnd w:id="1238"/>
      <w:bookmarkEnd w:id="1239"/>
      <w:bookmarkEnd w:id="1240"/>
      <w:bookmarkEnd w:id="1241"/>
      <w:bookmarkEnd w:id="1242"/>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in relation to a mineral, means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1244" w:name="_Toc486150004"/>
      <w:bookmarkStart w:id="1245" w:name="_Toc488740277"/>
      <w:bookmarkStart w:id="1246" w:name="_Toc8623659"/>
      <w:bookmarkStart w:id="1247" w:name="_Toc11229500"/>
      <w:bookmarkStart w:id="1248" w:name="_Toc104276668"/>
      <w:bookmarkStart w:id="1249" w:name="_Toc161209452"/>
      <w:r>
        <w:rPr>
          <w:rStyle w:val="CharSectno"/>
        </w:rPr>
        <w:t>85AA</w:t>
      </w:r>
      <w:r>
        <w:t>.</w:t>
      </w:r>
      <w:r>
        <w:tab/>
        <w:t>Effect of GST etc. on royalties</w:t>
      </w:r>
      <w:bookmarkEnd w:id="1244"/>
      <w:bookmarkEnd w:id="1245"/>
      <w:bookmarkEnd w:id="1246"/>
      <w:bookmarkEnd w:id="1247"/>
      <w:bookmarkEnd w:id="1248"/>
      <w:bookmarkEnd w:id="1249"/>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1250" w:name="_Toc8623660"/>
      <w:bookmarkStart w:id="1251" w:name="_Toc11229501"/>
      <w:bookmarkStart w:id="1252" w:name="_Toc104276669"/>
      <w:bookmarkStart w:id="1253" w:name="_Toc161209453"/>
      <w:bookmarkStart w:id="1254" w:name="_Toc488740278"/>
      <w:r>
        <w:rPr>
          <w:rStyle w:val="CharSectno"/>
        </w:rPr>
        <w:t>85AB</w:t>
      </w:r>
      <w:r>
        <w:t>.</w:t>
      </w:r>
      <w:r>
        <w:tab/>
        <w:t>Conversion to Australian currency</w:t>
      </w:r>
      <w:bookmarkEnd w:id="1250"/>
      <w:bookmarkEnd w:id="1251"/>
      <w:bookmarkEnd w:id="1252"/>
      <w:bookmarkEnd w:id="1253"/>
    </w:p>
    <w:p>
      <w:pPr>
        <w:pStyle w:val="Subsection"/>
        <w:keepNext/>
      </w:pPr>
      <w:r>
        <w:tab/>
        <w:t>(1)</w:t>
      </w:r>
      <w:r>
        <w:tab/>
        <w:t>In this regulation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Where, for the purposes of the definition of “gold spot price”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1255" w:name="_Toc104276670"/>
      <w:bookmarkStart w:id="1256" w:name="_Toc161209454"/>
      <w:bookmarkStart w:id="1257" w:name="_Toc474633129"/>
      <w:bookmarkStart w:id="1258" w:name="_Toc488740279"/>
      <w:bookmarkStart w:id="1259" w:name="_Toc8623662"/>
      <w:bookmarkStart w:id="1260" w:name="_Toc11229503"/>
      <w:bookmarkEnd w:id="1243"/>
      <w:bookmarkEnd w:id="1254"/>
      <w:r>
        <w:rPr>
          <w:rStyle w:val="CharSectno"/>
        </w:rPr>
        <w:t>85A</w:t>
      </w:r>
      <w:r>
        <w:t>.</w:t>
      </w:r>
      <w:r>
        <w:tab/>
        <w:t>Quarterly production reports</w:t>
      </w:r>
      <w:bookmarkEnd w:id="1255"/>
      <w:bookmarkEnd w:id="1256"/>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1261" w:name="_Toc104276671"/>
      <w:bookmarkStart w:id="1262" w:name="_Toc161209455"/>
      <w:r>
        <w:rPr>
          <w:rStyle w:val="CharSectno"/>
        </w:rPr>
        <w:t>85B</w:t>
      </w:r>
      <w:r>
        <w:rPr>
          <w:snapToGrid w:val="0"/>
        </w:rPr>
        <w:t>.</w:t>
      </w:r>
      <w:r>
        <w:rPr>
          <w:snapToGrid w:val="0"/>
        </w:rPr>
        <w:tab/>
        <w:t>Royalty return</w:t>
      </w:r>
      <w:bookmarkEnd w:id="1257"/>
      <w:bookmarkEnd w:id="1258"/>
      <w:bookmarkEnd w:id="1259"/>
      <w:bookmarkEnd w:id="1260"/>
      <w:bookmarkEnd w:id="1261"/>
      <w:bookmarkEnd w:id="1262"/>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1263" w:name="_Toc474633130"/>
      <w:bookmarkStart w:id="1264" w:name="_Toc488740280"/>
      <w:bookmarkStart w:id="1265" w:name="_Toc8623663"/>
      <w:bookmarkStart w:id="1266" w:name="_Toc11229504"/>
      <w:bookmarkStart w:id="1267" w:name="_Toc104276672"/>
      <w:bookmarkStart w:id="1268" w:name="_Toc161209456"/>
      <w:r>
        <w:rPr>
          <w:rStyle w:val="CharSectno"/>
        </w:rPr>
        <w:t>86</w:t>
      </w:r>
      <w:r>
        <w:rPr>
          <w:snapToGrid w:val="0"/>
        </w:rPr>
        <w:t>.</w:t>
      </w:r>
      <w:r>
        <w:rPr>
          <w:snapToGrid w:val="0"/>
        </w:rPr>
        <w:tab/>
        <w:t>Rates of royalty</w:t>
      </w:r>
      <w:bookmarkEnd w:id="1263"/>
      <w:bookmarkEnd w:id="1264"/>
      <w:bookmarkEnd w:id="1265"/>
      <w:bookmarkEnd w:id="1266"/>
      <w:bookmarkEnd w:id="1267"/>
      <w:bookmarkEnd w:id="1268"/>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outlineLvl w:val="0"/>
      </w:pPr>
      <w:r>
        <w:rPr>
          <w:b/>
        </w:rPr>
        <w:tab/>
        <w:t>“</w:t>
      </w:r>
      <w:r>
        <w:rPr>
          <w:rStyle w:val="CharDefText"/>
        </w:rPr>
        <w:t>Amount A</w:t>
      </w:r>
      <w:r>
        <w:rPr>
          <w:b/>
        </w:rPr>
        <w:t>”</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Defstart"/>
        <w:outlineLvl w:val="0"/>
      </w:pPr>
      <w:r>
        <w:rPr>
          <w:b/>
        </w:rPr>
        <w:tab/>
        <w:t>“</w:t>
      </w:r>
      <w:r>
        <w:rPr>
          <w:rStyle w:val="CharDefText"/>
        </w:rPr>
        <w:t>Amount B</w:t>
      </w:r>
      <w:r>
        <w:rPr>
          <w:b/>
        </w:rPr>
        <w:t>”</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rPr>
        <w:t>“</w:t>
      </w:r>
      <w:r>
        <w:rPr>
          <w:rStyle w:val="CharDefText"/>
        </w:rPr>
        <w:t>relevant period</w:t>
      </w:r>
      <w:r>
        <w:rPr>
          <w:b/>
        </w:rPr>
        <w:t>”</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9" o:title=""/>
          </v:shape>
          <o:OLEObject Type="Embed" ProgID="Equation.3" ShapeID="_x0000_i1025" DrawAspect="Content" ObjectID="_1644290935" r:id="rId20"/>
        </w:object>
      </w:r>
    </w:p>
    <w:p>
      <w:pPr>
        <w:pStyle w:val="Subsection"/>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rPr>
        <w:t>“</w:t>
      </w:r>
      <w:r>
        <w:rPr>
          <w:rStyle w:val="CharDefText"/>
        </w:rPr>
        <w:t>existing amount</w:t>
      </w:r>
      <w:r>
        <w:rPr>
          <w:b/>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4" w:hanging="120"/>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64"/>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24"/>
                <w:sz w:val="16"/>
              </w:rPr>
              <w:object w:dxaOrig="2880" w:dyaOrig="620">
                <v:shape id="_x0000_i1026" type="#_x0000_t75" style="width:2in;height:30.75pt" o:ole="" fillcolor="window">
                  <v:imagedata r:id="rId21" o:title=""/>
                </v:shape>
                <o:OLEObject Type="Embed" ProgID="Equation.3" ShapeID="_x0000_i1026" DrawAspect="Content" ObjectID="_1644290936" r:id="rId22"/>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Where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99.75pt;height:23.25pt" o:ole="" fillcolor="window">
                  <v:imagedata r:id="rId23" o:title=""/>
                </v:shape>
                <o:OLEObject Type="Embed" ProgID="Equation.3" ShapeID="_x0000_i1027" DrawAspect="Content" ObjectID="_1644290937"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Where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68" w:hanging="125"/>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spacing w:before="0"/>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64"/>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0.75pt" o:ole="" fillcolor="window">
                  <v:imagedata r:id="rId25" o:title=""/>
                </v:shape>
                <o:OLEObject Type="Embed" ProgID="Equation.3" ShapeID="_x0000_i1028" DrawAspect="Content" ObjectID="_1644290938" r:id="rId26"/>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The rate is —</w:t>
            </w:r>
          </w:p>
          <w:p>
            <w:pPr>
              <w:pStyle w:val="Table"/>
              <w:tabs>
                <w:tab w:val="left" w:pos="280"/>
                <w:tab w:val="left" w:pos="699"/>
              </w:tabs>
              <w:spacing w:before="0" w:line="160" w:lineRule="atLeast"/>
              <w:ind w:left="714" w:hanging="714"/>
              <w:rPr>
                <w:sz w:val="16"/>
              </w:rPr>
            </w:pPr>
            <w:r>
              <w:rPr>
                <w:sz w:val="16"/>
              </w:rPr>
              <w:tab/>
              <w:t>(a)</w:t>
            </w:r>
            <w:r>
              <w:rPr>
                <w:sz w:val="16"/>
              </w:rPr>
              <w:tab/>
              <w:t>in the period beginning on 1 January 2003 and ending on 30 June 2003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in the period beginning on 1 July 2003 and ending on 30 June 2004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on or after 1 July 2004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The rate is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7; 13 Dec 2002 p. 5805; 20 Aug 2004 p. 3619-21; 28 Jan 2005 p. 360; 7 Feb 2006 p. 622-3; 4 Apr 2006 p. 1409.]</w:t>
      </w:r>
    </w:p>
    <w:p>
      <w:pPr>
        <w:pStyle w:val="Heading5"/>
        <w:rPr>
          <w:snapToGrid w:val="0"/>
        </w:rPr>
      </w:pPr>
      <w:bookmarkStart w:id="1269" w:name="_Toc474633131"/>
      <w:bookmarkStart w:id="1270" w:name="_Toc488740281"/>
      <w:bookmarkStart w:id="1271" w:name="_Toc8623664"/>
      <w:bookmarkStart w:id="1272" w:name="_Toc11229505"/>
      <w:bookmarkStart w:id="1273" w:name="_Toc104276673"/>
      <w:bookmarkStart w:id="1274" w:name="_Toc161209457"/>
      <w:r>
        <w:rPr>
          <w:rStyle w:val="CharSectno"/>
        </w:rPr>
        <w:t>86AA</w:t>
      </w:r>
      <w:r>
        <w:rPr>
          <w:snapToGrid w:val="0"/>
        </w:rPr>
        <w:t>.</w:t>
      </w:r>
      <w:r>
        <w:rPr>
          <w:snapToGrid w:val="0"/>
        </w:rPr>
        <w:tab/>
        <w:t>Rates of royalty in respect of gold</w:t>
      </w:r>
      <w:bookmarkEnd w:id="1269"/>
      <w:bookmarkEnd w:id="1270"/>
      <w:bookmarkEnd w:id="1271"/>
      <w:bookmarkEnd w:id="1272"/>
      <w:bookmarkEnd w:id="1273"/>
      <w:bookmarkEnd w:id="1274"/>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1275" w:name="_Toc486150009"/>
      <w:bookmarkStart w:id="1276" w:name="_Toc488740282"/>
      <w:bookmarkStart w:id="1277" w:name="_Toc8623665"/>
      <w:bookmarkStart w:id="1278" w:name="_Toc11229506"/>
      <w:bookmarkStart w:id="1279" w:name="_Toc104276674"/>
      <w:bookmarkStart w:id="1280" w:name="_Toc161209458"/>
      <w:bookmarkStart w:id="1281" w:name="_Toc474633132"/>
      <w:r>
        <w:rPr>
          <w:rStyle w:val="CharSectno"/>
        </w:rPr>
        <w:t>86AB</w:t>
      </w:r>
      <w:r>
        <w:t>.</w:t>
      </w:r>
      <w:r>
        <w:tab/>
        <w:t>Optional royalty rate for cobalt sold as a nickel by</w:t>
      </w:r>
      <w:r>
        <w:noBreakHyphen/>
        <w:t>product</w:t>
      </w:r>
      <w:bookmarkEnd w:id="1275"/>
      <w:bookmarkEnd w:id="1276"/>
      <w:bookmarkEnd w:id="1277"/>
      <w:bookmarkEnd w:id="1278"/>
      <w:bookmarkEnd w:id="1279"/>
      <w:bookmarkEnd w:id="1280"/>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1282" w:name="_Toc161209459"/>
      <w:bookmarkStart w:id="1283" w:name="_Toc8623666"/>
      <w:bookmarkStart w:id="1284" w:name="_Toc11229507"/>
      <w:bookmarkStart w:id="1285" w:name="_Toc104276675"/>
      <w:bookmarkStart w:id="1286" w:name="_Toc474633133"/>
      <w:bookmarkStart w:id="1287" w:name="_Toc488740284"/>
      <w:bookmarkEnd w:id="1281"/>
      <w:r>
        <w:rPr>
          <w:rStyle w:val="CharSectno"/>
        </w:rPr>
        <w:t>86AC</w:t>
      </w:r>
      <w:r>
        <w:t>.</w:t>
      </w:r>
      <w:r>
        <w:tab/>
        <w:t>Rates of royalty for ilmenite feedstock</w:t>
      </w:r>
      <w:bookmarkEnd w:id="1282"/>
    </w:p>
    <w:p>
      <w:pPr>
        <w:pStyle w:val="Subsection"/>
      </w:pPr>
      <w:r>
        <w:tab/>
        <w:t>(1)</w:t>
      </w:r>
      <w:r>
        <w:tab/>
        <w:t>In this regulation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1288" w:name="_Toc161209460"/>
      <w:r>
        <w:rPr>
          <w:rStyle w:val="CharSectno"/>
        </w:rPr>
        <w:t>86A</w:t>
      </w:r>
      <w:r>
        <w:t>.</w:t>
      </w:r>
      <w:r>
        <w:tab/>
        <w:t>Payment of royalties</w:t>
      </w:r>
      <w:bookmarkEnd w:id="1283"/>
      <w:bookmarkEnd w:id="1284"/>
      <w:bookmarkEnd w:id="1285"/>
      <w:bookmarkEnd w:id="1288"/>
    </w:p>
    <w:p>
      <w:pPr>
        <w:pStyle w:val="Subsection"/>
      </w:pPr>
      <w:r>
        <w:tab/>
        <w:t>(1)</w:t>
      </w:r>
      <w:r>
        <w:tab/>
        <w:t>Royalties for a mineral shall be paid to the Department at Perth.</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1289" w:name="_Toc8623667"/>
      <w:bookmarkStart w:id="1290" w:name="_Toc11229508"/>
      <w:bookmarkStart w:id="1291" w:name="_Toc104276676"/>
      <w:bookmarkStart w:id="1292" w:name="_Toc161209461"/>
      <w:r>
        <w:rPr>
          <w:rStyle w:val="CharSectno"/>
        </w:rPr>
        <w:t>86B</w:t>
      </w:r>
      <w:r>
        <w:rPr>
          <w:snapToGrid w:val="0"/>
        </w:rPr>
        <w:t>.</w:t>
      </w:r>
      <w:r>
        <w:rPr>
          <w:snapToGrid w:val="0"/>
        </w:rPr>
        <w:tab/>
        <w:t>Tenement within Carnarvon Irrigation District</w:t>
      </w:r>
      <w:bookmarkEnd w:id="1286"/>
      <w:bookmarkEnd w:id="1287"/>
      <w:bookmarkEnd w:id="1289"/>
      <w:bookmarkEnd w:id="1290"/>
      <w:bookmarkEnd w:id="1291"/>
      <w:bookmarkEnd w:id="1292"/>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Repealed in Gazette 3 Oct 1997 p. 5533.]</w:t>
      </w:r>
    </w:p>
    <w:p>
      <w:pPr>
        <w:pStyle w:val="Heading5"/>
        <w:rPr>
          <w:snapToGrid w:val="0"/>
        </w:rPr>
      </w:pPr>
      <w:bookmarkStart w:id="1293" w:name="_Toc474633134"/>
      <w:bookmarkStart w:id="1294" w:name="_Toc488740285"/>
      <w:bookmarkStart w:id="1295" w:name="_Toc8623668"/>
      <w:bookmarkStart w:id="1296" w:name="_Toc11229509"/>
      <w:bookmarkStart w:id="1297" w:name="_Toc104276677"/>
      <w:bookmarkStart w:id="1298" w:name="_Toc161209462"/>
      <w:r>
        <w:rPr>
          <w:rStyle w:val="CharSectno"/>
        </w:rPr>
        <w:t>86D</w:t>
      </w:r>
      <w:r>
        <w:rPr>
          <w:snapToGrid w:val="0"/>
        </w:rPr>
        <w:t>.</w:t>
      </w:r>
      <w:r>
        <w:rPr>
          <w:snapToGrid w:val="0"/>
        </w:rPr>
        <w:tab/>
        <w:t>Exemption in respect of certain clay, gravel, limestone, rock or sand</w:t>
      </w:r>
      <w:bookmarkEnd w:id="1293"/>
      <w:bookmarkEnd w:id="1294"/>
      <w:bookmarkEnd w:id="1295"/>
      <w:bookmarkEnd w:id="1296"/>
      <w:bookmarkEnd w:id="1297"/>
      <w:bookmarkEnd w:id="1298"/>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1299" w:name="_Toc474633135"/>
      <w:bookmarkStart w:id="1300" w:name="_Toc488740286"/>
      <w:bookmarkStart w:id="1301" w:name="_Toc8623669"/>
      <w:bookmarkStart w:id="1302" w:name="_Toc11229510"/>
      <w:bookmarkStart w:id="1303" w:name="_Toc104276678"/>
      <w:bookmarkStart w:id="1304" w:name="_Toc161209463"/>
      <w:r>
        <w:rPr>
          <w:rStyle w:val="CharSectno"/>
        </w:rPr>
        <w:t>86E</w:t>
      </w:r>
      <w:r>
        <w:rPr>
          <w:snapToGrid w:val="0"/>
        </w:rPr>
        <w:t>.</w:t>
      </w:r>
      <w:r>
        <w:rPr>
          <w:snapToGrid w:val="0"/>
        </w:rPr>
        <w:tab/>
        <w:t>Exemption in respect of rock for the Eyre Highway</w:t>
      </w:r>
      <w:bookmarkEnd w:id="1299"/>
      <w:bookmarkEnd w:id="1300"/>
      <w:bookmarkEnd w:id="1301"/>
      <w:bookmarkEnd w:id="1302"/>
      <w:bookmarkEnd w:id="1303"/>
      <w:bookmarkEnd w:id="1304"/>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Heading5"/>
      </w:pPr>
      <w:bookmarkStart w:id="1305" w:name="_Toc486150014"/>
      <w:bookmarkStart w:id="1306" w:name="_Toc488740287"/>
      <w:bookmarkStart w:id="1307" w:name="_Toc8623670"/>
      <w:bookmarkStart w:id="1308" w:name="_Toc11229511"/>
      <w:bookmarkStart w:id="1309" w:name="_Toc104276679"/>
      <w:bookmarkStart w:id="1310" w:name="_Toc161209464"/>
      <w:bookmarkStart w:id="1311" w:name="_Toc474633137"/>
      <w:r>
        <w:rPr>
          <w:rStyle w:val="CharSectno"/>
        </w:rPr>
        <w:t>86F</w:t>
      </w:r>
      <w:r>
        <w:t>.</w:t>
      </w:r>
      <w:r>
        <w:tab/>
        <w:t>Royalty relief</w:t>
      </w:r>
      <w:bookmarkEnd w:id="1305"/>
      <w:bookmarkEnd w:id="1306"/>
      <w:bookmarkEnd w:id="1307"/>
      <w:bookmarkEnd w:id="1308"/>
      <w:bookmarkEnd w:id="1309"/>
      <w:bookmarkEnd w:id="1310"/>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under regulation 86, for any mineral produced or obtained while the determination is expressed to apply;</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pPr>
      <w:r>
        <w:tab/>
      </w:r>
      <w:r>
        <w:tab/>
        <w:t>is to be on the basis of a portion only, as specified in the determination, of the royalty base.</w:t>
      </w:r>
    </w:p>
    <w:p>
      <w:pPr>
        <w:pStyle w:val="Subsection"/>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312" w:name="_Toc488740288"/>
      <w:bookmarkStart w:id="1313" w:name="_Toc8623671"/>
      <w:bookmarkStart w:id="1314" w:name="_Toc11229512"/>
      <w:bookmarkStart w:id="1315" w:name="_Toc104276680"/>
      <w:bookmarkStart w:id="1316" w:name="_Toc161209465"/>
      <w:r>
        <w:rPr>
          <w:rStyle w:val="CharSectno"/>
        </w:rPr>
        <w:t>87</w:t>
      </w:r>
      <w:r>
        <w:rPr>
          <w:snapToGrid w:val="0"/>
        </w:rPr>
        <w:t>.</w:t>
      </w:r>
      <w:r>
        <w:rPr>
          <w:snapToGrid w:val="0"/>
        </w:rPr>
        <w:tab/>
        <w:t>Minister may determine value of mineral for the purpose of calculating royalties</w:t>
      </w:r>
      <w:bookmarkEnd w:id="1311"/>
      <w:bookmarkEnd w:id="1312"/>
      <w:bookmarkEnd w:id="1313"/>
      <w:bookmarkEnd w:id="1314"/>
      <w:bookmarkEnd w:id="1315"/>
      <w:bookmarkEnd w:id="1316"/>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1317" w:name="_Toc474633138"/>
      <w:bookmarkStart w:id="1318" w:name="_Toc488740289"/>
      <w:bookmarkStart w:id="1319" w:name="_Toc8623672"/>
      <w:bookmarkStart w:id="1320" w:name="_Toc11229513"/>
      <w:bookmarkStart w:id="1321" w:name="_Toc104276681"/>
      <w:bookmarkStart w:id="1322" w:name="_Toc161209466"/>
      <w:r>
        <w:rPr>
          <w:rStyle w:val="CharSectno"/>
        </w:rPr>
        <w:t>87A</w:t>
      </w:r>
      <w:r>
        <w:rPr>
          <w:snapToGrid w:val="0"/>
        </w:rPr>
        <w:t>.</w:t>
      </w:r>
      <w:r>
        <w:rPr>
          <w:snapToGrid w:val="0"/>
        </w:rPr>
        <w:tab/>
        <w:t>Notice of determination and assessment under regulation 87</w:t>
      </w:r>
      <w:bookmarkEnd w:id="1317"/>
      <w:bookmarkEnd w:id="1318"/>
      <w:bookmarkEnd w:id="1319"/>
      <w:bookmarkEnd w:id="1320"/>
      <w:bookmarkEnd w:id="1321"/>
      <w:bookmarkEnd w:id="1322"/>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1323" w:name="_Toc474633139"/>
      <w:bookmarkStart w:id="1324" w:name="_Toc488740290"/>
      <w:bookmarkStart w:id="1325" w:name="_Toc8623673"/>
      <w:bookmarkStart w:id="1326" w:name="_Toc11229514"/>
      <w:bookmarkStart w:id="1327" w:name="_Toc104276682"/>
      <w:bookmarkStart w:id="1328" w:name="_Toc161209467"/>
      <w:r>
        <w:rPr>
          <w:rStyle w:val="CharSectno"/>
        </w:rPr>
        <w:t>87B</w:t>
      </w:r>
      <w:r>
        <w:rPr>
          <w:snapToGrid w:val="0"/>
        </w:rPr>
        <w:t>.</w:t>
      </w:r>
      <w:r>
        <w:rPr>
          <w:snapToGrid w:val="0"/>
        </w:rPr>
        <w:tab/>
        <w:t>Records</w:t>
      </w:r>
      <w:bookmarkEnd w:id="1323"/>
      <w:bookmarkEnd w:id="1324"/>
      <w:bookmarkEnd w:id="1325"/>
      <w:bookmarkEnd w:id="1326"/>
      <w:bookmarkEnd w:id="1327"/>
      <w:bookmarkEnd w:id="1328"/>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50"/>
        <w:rPr>
          <w:snapToGrid w:val="0"/>
        </w:rPr>
      </w:pPr>
      <w:r>
        <w:rPr>
          <w:snapToGrid w:val="0"/>
        </w:rPr>
        <w:tab/>
        <w:t>(a)</w:t>
      </w:r>
      <w:r>
        <w:rPr>
          <w:snapToGrid w:val="0"/>
        </w:rPr>
        <w:tab/>
        <w:t>to give a true and complete indication of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Repealed in Gazette 31 May 1991 p. 2699.]</w:t>
      </w:r>
    </w:p>
    <w:p>
      <w:pPr>
        <w:pStyle w:val="Heading5"/>
        <w:rPr>
          <w:snapToGrid w:val="0"/>
        </w:rPr>
      </w:pPr>
      <w:bookmarkStart w:id="1329" w:name="_Toc474633140"/>
      <w:bookmarkStart w:id="1330" w:name="_Toc488740291"/>
      <w:bookmarkStart w:id="1331" w:name="_Toc8623674"/>
      <w:bookmarkStart w:id="1332" w:name="_Toc11229515"/>
      <w:bookmarkStart w:id="1333" w:name="_Toc104276683"/>
      <w:bookmarkStart w:id="1334" w:name="_Toc161209468"/>
      <w:r>
        <w:rPr>
          <w:rStyle w:val="CharSectno"/>
        </w:rPr>
        <w:t>89</w:t>
      </w:r>
      <w:r>
        <w:rPr>
          <w:snapToGrid w:val="0"/>
        </w:rPr>
        <w:t>.</w:t>
      </w:r>
      <w:r>
        <w:rPr>
          <w:snapToGrid w:val="0"/>
        </w:rPr>
        <w:tab/>
        <w:t>Recovery of royalty</w:t>
      </w:r>
      <w:bookmarkEnd w:id="1329"/>
      <w:bookmarkEnd w:id="1330"/>
      <w:bookmarkEnd w:id="1331"/>
      <w:bookmarkEnd w:id="1332"/>
      <w:bookmarkEnd w:id="1333"/>
      <w:bookmarkEnd w:id="1334"/>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335" w:name="_Toc74978967"/>
      <w:bookmarkStart w:id="1336" w:name="_Toc74979231"/>
      <w:bookmarkStart w:id="1337" w:name="_Toc79976529"/>
      <w:bookmarkStart w:id="1338" w:name="_Toc80759800"/>
      <w:bookmarkStart w:id="1339" w:name="_Toc80783563"/>
      <w:bookmarkStart w:id="1340" w:name="_Toc94931230"/>
      <w:bookmarkStart w:id="1341" w:name="_Toc104275353"/>
      <w:bookmarkStart w:id="1342" w:name="_Toc104276684"/>
      <w:bookmarkStart w:id="1343" w:name="_Toc107198905"/>
      <w:bookmarkStart w:id="1344" w:name="_Toc107799357"/>
      <w:bookmarkStart w:id="1345" w:name="_Toc127087364"/>
      <w:bookmarkStart w:id="1346" w:name="_Toc127183673"/>
      <w:bookmarkStart w:id="1347" w:name="_Toc127338100"/>
      <w:bookmarkStart w:id="1348" w:name="_Toc128386421"/>
      <w:bookmarkStart w:id="1349" w:name="_Toc129150268"/>
      <w:bookmarkStart w:id="1350" w:name="_Toc129587550"/>
      <w:bookmarkStart w:id="1351" w:name="_Toc131477244"/>
      <w:bookmarkStart w:id="1352" w:name="_Toc132106620"/>
      <w:bookmarkStart w:id="1353" w:name="_Toc132169153"/>
      <w:bookmarkStart w:id="1354" w:name="_Toc132443147"/>
      <w:bookmarkStart w:id="1355" w:name="_Toc132524049"/>
      <w:bookmarkStart w:id="1356" w:name="_Toc132702918"/>
      <w:bookmarkStart w:id="1357" w:name="_Toc139168011"/>
      <w:bookmarkStart w:id="1358" w:name="_Toc139433703"/>
      <w:bookmarkStart w:id="1359" w:name="_Toc161203017"/>
      <w:bookmarkStart w:id="1360" w:name="_Toc161209469"/>
      <w:r>
        <w:rPr>
          <w:rStyle w:val="CharDivNo"/>
        </w:rPr>
        <w:t>Division 5A</w:t>
      </w:r>
      <w:r>
        <w:t> — </w:t>
      </w:r>
      <w:r>
        <w:rPr>
          <w:rStyle w:val="CharDivText"/>
        </w:rPr>
        <w:t>Prescribed Australian datum</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Footnoteheading"/>
        <w:ind w:left="890"/>
      </w:pPr>
      <w:r>
        <w:tab/>
        <w:t>[Heading inserted in Gazette 15 Dec 2000 p. 7219.]</w:t>
      </w:r>
    </w:p>
    <w:p>
      <w:pPr>
        <w:pStyle w:val="Heading5"/>
      </w:pPr>
      <w:bookmarkStart w:id="1361" w:name="_Toc8623675"/>
      <w:bookmarkStart w:id="1362" w:name="_Toc11229516"/>
      <w:bookmarkStart w:id="1363" w:name="_Toc104276685"/>
      <w:bookmarkStart w:id="1364" w:name="_Toc161209470"/>
      <w:r>
        <w:rPr>
          <w:rStyle w:val="CharSectno"/>
        </w:rPr>
        <w:t>89A</w:t>
      </w:r>
      <w:r>
        <w:t>.</w:t>
      </w:r>
      <w:r>
        <w:tab/>
        <w:t>Geocentric Datum of Australia — section 9B</w:t>
      </w:r>
      <w:bookmarkEnd w:id="1361"/>
      <w:bookmarkEnd w:id="1362"/>
      <w:bookmarkEnd w:id="1363"/>
      <w:bookmarkEnd w:id="1364"/>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pPr>
      <w:bookmarkStart w:id="1365" w:name="_Toc74978969"/>
      <w:bookmarkStart w:id="1366" w:name="_Toc74979233"/>
      <w:bookmarkStart w:id="1367" w:name="_Toc79976531"/>
      <w:bookmarkStart w:id="1368" w:name="_Toc80759802"/>
      <w:bookmarkStart w:id="1369" w:name="_Toc80783565"/>
      <w:bookmarkStart w:id="1370" w:name="_Toc94931232"/>
      <w:bookmarkStart w:id="1371" w:name="_Toc104275355"/>
      <w:bookmarkStart w:id="1372" w:name="_Toc104276686"/>
      <w:bookmarkStart w:id="1373" w:name="_Toc107198907"/>
      <w:bookmarkStart w:id="1374" w:name="_Toc107799359"/>
      <w:bookmarkStart w:id="1375" w:name="_Toc127087366"/>
      <w:bookmarkStart w:id="1376" w:name="_Toc127183675"/>
      <w:bookmarkStart w:id="1377" w:name="_Toc127338102"/>
      <w:bookmarkStart w:id="1378" w:name="_Toc128386423"/>
      <w:bookmarkStart w:id="1379" w:name="_Toc129150270"/>
      <w:bookmarkStart w:id="1380" w:name="_Toc129587552"/>
      <w:bookmarkStart w:id="1381" w:name="_Toc131477246"/>
      <w:bookmarkStart w:id="1382" w:name="_Toc132106622"/>
      <w:bookmarkStart w:id="1383" w:name="_Toc132169155"/>
      <w:bookmarkStart w:id="1384" w:name="_Toc132443149"/>
      <w:bookmarkStart w:id="1385" w:name="_Toc132524051"/>
      <w:bookmarkStart w:id="1386" w:name="_Toc132702920"/>
      <w:bookmarkStart w:id="1387" w:name="_Toc139168013"/>
      <w:bookmarkStart w:id="1388" w:name="_Toc139433705"/>
      <w:bookmarkStart w:id="1389" w:name="_Toc161203019"/>
      <w:bookmarkStart w:id="1390" w:name="_Toc161209471"/>
      <w:r>
        <w:rPr>
          <w:rStyle w:val="CharDivNo"/>
        </w:rPr>
        <w:t>Division 6</w:t>
      </w:r>
      <w:r>
        <w:rPr>
          <w:snapToGrid w:val="0"/>
        </w:rPr>
        <w:t> — </w:t>
      </w:r>
      <w:r>
        <w:rPr>
          <w:rStyle w:val="CharDivText"/>
        </w:rPr>
        <w:t>Miscellaneous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pPr>
      <w:bookmarkStart w:id="1391" w:name="_Toc104276687"/>
      <w:bookmarkStart w:id="1392" w:name="_Toc161209472"/>
      <w:bookmarkStart w:id="1393" w:name="_Toc474633141"/>
      <w:bookmarkStart w:id="1394" w:name="_Toc488740292"/>
      <w:bookmarkStart w:id="1395" w:name="_Toc8623676"/>
      <w:bookmarkStart w:id="1396" w:name="_Toc11229517"/>
      <w:r>
        <w:rPr>
          <w:rStyle w:val="CharSectno"/>
        </w:rPr>
        <w:t>89B</w:t>
      </w:r>
      <w:r>
        <w:t>.</w:t>
      </w:r>
      <w:r>
        <w:tab/>
        <w:t>Prescribed office — section 8(1)</w:t>
      </w:r>
      <w:bookmarkEnd w:id="1391"/>
      <w:bookmarkEnd w:id="1392"/>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397" w:name="_Toc161209473"/>
      <w:bookmarkStart w:id="1398" w:name="_Toc104276688"/>
      <w:r>
        <w:rPr>
          <w:rStyle w:val="CharSectno"/>
        </w:rPr>
        <w:t>89C</w:t>
      </w:r>
      <w:r>
        <w:t>.</w:t>
      </w:r>
      <w:r>
        <w:tab/>
        <w:t>Identified mineral resource — section 8(1)</w:t>
      </w:r>
      <w:bookmarkEnd w:id="1397"/>
    </w:p>
    <w:p>
      <w:pPr>
        <w:pStyle w:val="Subsection"/>
      </w:pPr>
      <w:r>
        <w:tab/>
        <w:t>(1)</w:t>
      </w:r>
      <w:r>
        <w:tab/>
        <w:t>In this regulation —</w:t>
      </w:r>
    </w:p>
    <w:p>
      <w:pPr>
        <w:pStyle w:val="Defstart"/>
      </w:pPr>
      <w:r>
        <w:rPr>
          <w:b/>
        </w:rPr>
        <w:tab/>
        <w:t>“</w:t>
      </w:r>
      <w:r>
        <w:rPr>
          <w:rStyle w:val="CharDefText"/>
        </w:rPr>
        <w:t>JORC Code</w:t>
      </w:r>
      <w:r>
        <w:rPr>
          <w:b/>
        </w:rPr>
        <w:t>”</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For the purposes of the definition of “identified mineral resource”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399" w:name="_Toc161209474"/>
      <w:r>
        <w:rPr>
          <w:rStyle w:val="CharSectno"/>
        </w:rPr>
        <w:t>90</w:t>
      </w:r>
      <w:r>
        <w:rPr>
          <w:snapToGrid w:val="0"/>
        </w:rPr>
        <w:t>.</w:t>
      </w:r>
      <w:r>
        <w:rPr>
          <w:snapToGrid w:val="0"/>
        </w:rPr>
        <w:tab/>
        <w:t>Forms to be completed in accordance with directions</w:t>
      </w:r>
      <w:bookmarkEnd w:id="1393"/>
      <w:bookmarkEnd w:id="1394"/>
      <w:bookmarkEnd w:id="1395"/>
      <w:bookmarkEnd w:id="1396"/>
      <w:bookmarkEnd w:id="1398"/>
      <w:bookmarkEnd w:id="1399"/>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400" w:name="_Toc161209475"/>
      <w:bookmarkStart w:id="1401" w:name="_Toc474633142"/>
      <w:bookmarkStart w:id="1402" w:name="_Toc488740293"/>
      <w:bookmarkStart w:id="1403" w:name="_Toc8623677"/>
      <w:bookmarkStart w:id="1404" w:name="_Toc11229518"/>
      <w:bookmarkStart w:id="1405" w:name="_Toc104276689"/>
      <w:r>
        <w:rPr>
          <w:rStyle w:val="CharSectno"/>
        </w:rPr>
        <w:t>90A.</w:t>
      </w:r>
      <w:r>
        <w:rPr>
          <w:rStyle w:val="CharSectno"/>
        </w:rPr>
        <w:tab/>
      </w:r>
      <w:r>
        <w:rPr>
          <w:snapToGrid w:val="0"/>
        </w:rPr>
        <w:t>Prescribed procedure for certain applications</w:t>
      </w:r>
      <w:bookmarkEnd w:id="1400"/>
    </w:p>
    <w:p>
      <w:pPr>
        <w:pStyle w:val="Subsection"/>
        <w:rPr>
          <w:snapToGrid w:val="0"/>
        </w:rPr>
      </w:pPr>
      <w:r>
        <w:rPr>
          <w:snapToGrid w:val="0"/>
        </w:rPr>
        <w:tab/>
        <w:t>(1)</w:t>
      </w:r>
      <w:r>
        <w:rPr>
          <w:snapToGrid w:val="0"/>
        </w:rPr>
        <w:tab/>
        <w:t>This regulation applies to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spacing w:before="180"/>
        <w:rPr>
          <w:snapToGrid w:val="0"/>
        </w:rPr>
      </w:pPr>
      <w:bookmarkStart w:id="1406" w:name="_Toc161209476"/>
      <w:r>
        <w:rPr>
          <w:rStyle w:val="CharSectno"/>
        </w:rPr>
        <w:t>91</w:t>
      </w:r>
      <w:r>
        <w:rPr>
          <w:snapToGrid w:val="0"/>
        </w:rPr>
        <w:t>.</w:t>
      </w:r>
      <w:r>
        <w:rPr>
          <w:snapToGrid w:val="0"/>
        </w:rPr>
        <w:tab/>
        <w:t>Appeal to Minister</w:t>
      </w:r>
      <w:bookmarkEnd w:id="1401"/>
      <w:bookmarkEnd w:id="1402"/>
      <w:bookmarkEnd w:id="1403"/>
      <w:bookmarkEnd w:id="1404"/>
      <w:bookmarkEnd w:id="1405"/>
      <w:bookmarkEnd w:id="1406"/>
    </w:p>
    <w:p>
      <w:pPr>
        <w:pStyle w:val="Subsection"/>
        <w:spacing w:before="12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spacing w:before="120"/>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w:t>
      </w:r>
    </w:p>
    <w:p>
      <w:pPr>
        <w:pStyle w:val="Heading5"/>
        <w:spacing w:before="180"/>
        <w:rPr>
          <w:snapToGrid w:val="0"/>
        </w:rPr>
      </w:pPr>
      <w:bookmarkStart w:id="1407" w:name="_Toc474633143"/>
      <w:bookmarkStart w:id="1408" w:name="_Toc488740294"/>
      <w:bookmarkStart w:id="1409" w:name="_Toc8623678"/>
      <w:bookmarkStart w:id="1410" w:name="_Toc11229519"/>
      <w:bookmarkStart w:id="1411" w:name="_Toc104276690"/>
      <w:bookmarkStart w:id="1412" w:name="_Toc161209477"/>
      <w:r>
        <w:rPr>
          <w:rStyle w:val="CharSectno"/>
        </w:rPr>
        <w:t>92</w:t>
      </w:r>
      <w:r>
        <w:rPr>
          <w:snapToGrid w:val="0"/>
        </w:rPr>
        <w:t>.</w:t>
      </w:r>
      <w:r>
        <w:rPr>
          <w:snapToGrid w:val="0"/>
        </w:rPr>
        <w:tab/>
        <w:t>Shape of tenement</w:t>
      </w:r>
      <w:bookmarkEnd w:id="1407"/>
      <w:bookmarkEnd w:id="1408"/>
      <w:bookmarkEnd w:id="1409"/>
      <w:bookmarkEnd w:id="1410"/>
      <w:bookmarkEnd w:id="1411"/>
      <w:bookmarkEnd w:id="1412"/>
    </w:p>
    <w:p>
      <w:pPr>
        <w:pStyle w:val="Subsection"/>
        <w:spacing w:before="12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pPr>
      <w:r>
        <w:t>[</w:t>
      </w:r>
      <w:r>
        <w:rPr>
          <w:b/>
        </w:rPr>
        <w:t>93.</w:t>
      </w:r>
      <w:r>
        <w:tab/>
        <w:t>Repealed in Gazette 2 Feb 2001 p. 713.]</w:t>
      </w:r>
    </w:p>
    <w:p>
      <w:pPr>
        <w:pStyle w:val="Ednotesection"/>
      </w:pPr>
      <w:r>
        <w:t>[</w:t>
      </w:r>
      <w:r>
        <w:rPr>
          <w:b/>
        </w:rPr>
        <w:t>94, 94A.</w:t>
      </w:r>
      <w:r>
        <w:tab/>
        <w:t>Repealed in Gazette 24 Jun 1994 p. 2933.]</w:t>
      </w:r>
    </w:p>
    <w:p>
      <w:pPr>
        <w:pStyle w:val="Heading5"/>
        <w:rPr>
          <w:snapToGrid w:val="0"/>
        </w:rPr>
      </w:pPr>
      <w:bookmarkStart w:id="1413" w:name="_Toc474633145"/>
      <w:bookmarkStart w:id="1414" w:name="_Toc488740296"/>
      <w:bookmarkStart w:id="1415" w:name="_Toc8623679"/>
      <w:bookmarkStart w:id="1416" w:name="_Toc11229520"/>
      <w:bookmarkStart w:id="1417" w:name="_Toc104276691"/>
      <w:bookmarkStart w:id="1418" w:name="_Toc161209478"/>
      <w:r>
        <w:rPr>
          <w:rStyle w:val="CharSectno"/>
        </w:rPr>
        <w:t>95</w:t>
      </w:r>
      <w:r>
        <w:rPr>
          <w:snapToGrid w:val="0"/>
        </w:rPr>
        <w:t>.</w:t>
      </w:r>
      <w:r>
        <w:rPr>
          <w:snapToGrid w:val="0"/>
        </w:rPr>
        <w:tab/>
        <w:t>Tenements within more than one mineral field or district</w:t>
      </w:r>
      <w:bookmarkEnd w:id="1413"/>
      <w:bookmarkEnd w:id="1414"/>
      <w:bookmarkEnd w:id="1415"/>
      <w:bookmarkEnd w:id="1416"/>
      <w:bookmarkEnd w:id="1417"/>
      <w:bookmarkEnd w:id="1418"/>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w:t>
      </w:r>
    </w:p>
    <w:p>
      <w:pPr>
        <w:pStyle w:val="Heading5"/>
      </w:pPr>
      <w:bookmarkStart w:id="1419" w:name="_Toc161209479"/>
      <w:bookmarkStart w:id="1420" w:name="_Toc474633146"/>
      <w:bookmarkStart w:id="1421" w:name="_Toc488740297"/>
      <w:bookmarkStart w:id="1422" w:name="_Toc8623680"/>
      <w:bookmarkStart w:id="1423" w:name="_Toc11229521"/>
      <w:bookmarkStart w:id="1424" w:name="_Toc104276692"/>
      <w:r>
        <w:rPr>
          <w:rStyle w:val="CharSectno"/>
        </w:rPr>
        <w:t>95A</w:t>
      </w:r>
      <w:r>
        <w:t>.</w:t>
      </w:r>
      <w:r>
        <w:tab/>
        <w:t>Mining statistics</w:t>
      </w:r>
      <w:bookmarkEnd w:id="141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425" w:name="_Toc161209480"/>
      <w:r>
        <w:rPr>
          <w:rStyle w:val="CharSectno"/>
        </w:rPr>
        <w:t>96</w:t>
      </w:r>
      <w:r>
        <w:rPr>
          <w:snapToGrid w:val="0"/>
        </w:rPr>
        <w:t>.</w:t>
      </w:r>
      <w:r>
        <w:rPr>
          <w:snapToGrid w:val="0"/>
        </w:rPr>
        <w:tab/>
        <w:t>Release of mining information</w:t>
      </w:r>
      <w:bookmarkEnd w:id="1420"/>
      <w:bookmarkEnd w:id="1421"/>
      <w:bookmarkEnd w:id="1422"/>
      <w:bookmarkEnd w:id="1423"/>
      <w:bookmarkEnd w:id="1424"/>
      <w:bookmarkEnd w:id="1425"/>
    </w:p>
    <w:p>
      <w:pPr>
        <w:pStyle w:val="Subsection"/>
        <w:keepNext/>
        <w:keepLines/>
        <w:spacing w:before="120"/>
        <w:rPr>
          <w:snapToGrid w:val="0"/>
        </w:rPr>
      </w:pPr>
      <w:r>
        <w:rPr>
          <w:snapToGrid w:val="0"/>
        </w:rPr>
        <w:tab/>
        <w:t>(1)</w:t>
      </w:r>
      <w:r>
        <w:rPr>
          <w:snapToGrid w:val="0"/>
        </w:rPr>
        <w:tab/>
        <w:t>In this regulation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w:t>
      </w:r>
    </w:p>
    <w:p>
      <w:pPr>
        <w:pStyle w:val="Defpara"/>
      </w:pPr>
      <w:r>
        <w:tab/>
        <w:t>(a)</w:t>
      </w:r>
      <w:r>
        <w:tab/>
        <w:t>information contained in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w:t>
      </w:r>
    </w:p>
    <w:p>
      <w:pPr>
        <w:pStyle w:val="Heading5"/>
        <w:rPr>
          <w:snapToGrid w:val="0"/>
        </w:rPr>
      </w:pPr>
      <w:bookmarkStart w:id="1426" w:name="_Toc474633147"/>
      <w:bookmarkStart w:id="1427" w:name="_Toc488740298"/>
      <w:bookmarkStart w:id="1428" w:name="_Toc8623681"/>
      <w:bookmarkStart w:id="1429" w:name="_Toc11229522"/>
      <w:bookmarkStart w:id="1430" w:name="_Toc104276693"/>
      <w:bookmarkStart w:id="1431" w:name="_Toc161209481"/>
      <w:r>
        <w:rPr>
          <w:rStyle w:val="CharSectno"/>
        </w:rPr>
        <w:t>96A</w:t>
      </w:r>
      <w:r>
        <w:rPr>
          <w:snapToGrid w:val="0"/>
        </w:rPr>
        <w:t>.</w:t>
      </w:r>
      <w:r>
        <w:rPr>
          <w:snapToGrid w:val="0"/>
        </w:rPr>
        <w:tab/>
        <w:t>Authorisation for release of information in mineral exploration reports</w:t>
      </w:r>
      <w:bookmarkEnd w:id="1426"/>
      <w:bookmarkEnd w:id="1427"/>
      <w:bookmarkEnd w:id="1428"/>
      <w:bookmarkEnd w:id="1429"/>
      <w:bookmarkEnd w:id="1430"/>
      <w:bookmarkEnd w:id="1431"/>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1432" w:name="_Toc474633148"/>
      <w:bookmarkStart w:id="1433" w:name="_Toc488740299"/>
      <w:bookmarkStart w:id="1434" w:name="_Toc8623682"/>
      <w:bookmarkStart w:id="1435" w:name="_Toc11229523"/>
      <w:bookmarkStart w:id="1436" w:name="_Toc104276694"/>
      <w:bookmarkStart w:id="1437" w:name="_Toc161209482"/>
      <w:r>
        <w:rPr>
          <w:rStyle w:val="CharSectno"/>
        </w:rPr>
        <w:t>96B</w:t>
      </w:r>
      <w:r>
        <w:rPr>
          <w:snapToGrid w:val="0"/>
        </w:rPr>
        <w:t>.</w:t>
      </w:r>
      <w:r>
        <w:rPr>
          <w:snapToGrid w:val="0"/>
        </w:rPr>
        <w:tab/>
        <w:t>Publication of guidelines — mineral exploration reports</w:t>
      </w:r>
      <w:bookmarkEnd w:id="1432"/>
      <w:bookmarkEnd w:id="1433"/>
      <w:bookmarkEnd w:id="1434"/>
      <w:bookmarkEnd w:id="1435"/>
      <w:bookmarkEnd w:id="1436"/>
      <w:bookmarkEnd w:id="1437"/>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1438" w:name="_Toc474633149"/>
      <w:bookmarkStart w:id="1439" w:name="_Toc488740300"/>
      <w:bookmarkStart w:id="1440" w:name="_Toc8623683"/>
      <w:bookmarkStart w:id="1441" w:name="_Toc11229524"/>
      <w:bookmarkStart w:id="1442" w:name="_Toc104276695"/>
      <w:bookmarkStart w:id="1443" w:name="_Toc161209483"/>
      <w:r>
        <w:rPr>
          <w:rStyle w:val="CharSectno"/>
        </w:rPr>
        <w:t>96C</w:t>
      </w:r>
      <w:r>
        <w:t>.</w:t>
      </w:r>
      <w:r>
        <w:tab/>
        <w:t>Specific expenditure provisions</w:t>
      </w:r>
      <w:bookmarkEnd w:id="1438"/>
      <w:bookmarkEnd w:id="1439"/>
      <w:bookmarkEnd w:id="1440"/>
      <w:bookmarkEnd w:id="1441"/>
      <w:bookmarkEnd w:id="1442"/>
      <w:bookmarkEnd w:id="1443"/>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keepNext/>
        <w:keepLines/>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444" w:name="_Toc161209484"/>
      <w:bookmarkStart w:id="1445" w:name="_Toc474633150"/>
      <w:bookmarkStart w:id="1446" w:name="_Toc488740301"/>
      <w:bookmarkStart w:id="1447" w:name="_Toc8623684"/>
      <w:bookmarkStart w:id="1448" w:name="_Toc11229525"/>
      <w:bookmarkStart w:id="1449" w:name="_Toc104276696"/>
      <w:r>
        <w:rPr>
          <w:rStyle w:val="CharSectno"/>
        </w:rPr>
        <w:t>96D</w:t>
      </w:r>
      <w:r>
        <w:t>.</w:t>
      </w:r>
      <w:r>
        <w:tab/>
        <w:t>Drill cores</w:t>
      </w:r>
      <w:bookmarkEnd w:id="1444"/>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450" w:name="_Toc161209485"/>
      <w:r>
        <w:rPr>
          <w:rStyle w:val="CharSectno"/>
        </w:rPr>
        <w:t>97</w:t>
      </w:r>
      <w:r>
        <w:rPr>
          <w:snapToGrid w:val="0"/>
        </w:rPr>
        <w:t>.</w:t>
      </w:r>
      <w:r>
        <w:rPr>
          <w:snapToGrid w:val="0"/>
        </w:rPr>
        <w:tab/>
        <w:t>No mining that obstructs public thoroughfares, etc.</w:t>
      </w:r>
      <w:bookmarkEnd w:id="1445"/>
      <w:bookmarkEnd w:id="1446"/>
      <w:bookmarkEnd w:id="1447"/>
      <w:bookmarkEnd w:id="1448"/>
      <w:bookmarkEnd w:id="1449"/>
      <w:bookmarkEnd w:id="1450"/>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451" w:name="_Toc474633151"/>
      <w:bookmarkStart w:id="1452" w:name="_Toc488740302"/>
      <w:bookmarkStart w:id="1453" w:name="_Toc8623685"/>
      <w:bookmarkStart w:id="1454" w:name="_Toc11229526"/>
      <w:bookmarkStart w:id="1455" w:name="_Toc104276697"/>
      <w:bookmarkStart w:id="1456" w:name="_Toc161209486"/>
      <w:r>
        <w:rPr>
          <w:rStyle w:val="CharSectno"/>
        </w:rPr>
        <w:t>98</w:t>
      </w:r>
      <w:r>
        <w:rPr>
          <w:snapToGrid w:val="0"/>
        </w:rPr>
        <w:t>.</w:t>
      </w:r>
      <w:r>
        <w:rPr>
          <w:snapToGrid w:val="0"/>
        </w:rPr>
        <w:tab/>
        <w:t>Control of detritus, dirt, etc.</w:t>
      </w:r>
      <w:bookmarkEnd w:id="1451"/>
      <w:bookmarkEnd w:id="1452"/>
      <w:bookmarkEnd w:id="1453"/>
      <w:bookmarkEnd w:id="1454"/>
      <w:bookmarkEnd w:id="1455"/>
      <w:bookmarkEnd w:id="1456"/>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457" w:name="_Toc474633152"/>
      <w:bookmarkStart w:id="1458" w:name="_Toc488740303"/>
      <w:bookmarkStart w:id="1459" w:name="_Toc8623686"/>
      <w:bookmarkStart w:id="1460" w:name="_Toc11229527"/>
      <w:bookmarkStart w:id="1461" w:name="_Toc104276698"/>
      <w:bookmarkStart w:id="1462" w:name="_Toc161209487"/>
      <w:r>
        <w:rPr>
          <w:rStyle w:val="CharSectno"/>
        </w:rPr>
        <w:t>99</w:t>
      </w:r>
      <w:r>
        <w:rPr>
          <w:snapToGrid w:val="0"/>
        </w:rPr>
        <w:t>.</w:t>
      </w:r>
      <w:r>
        <w:rPr>
          <w:snapToGrid w:val="0"/>
        </w:rPr>
        <w:tab/>
        <w:t>Decency and sanitation</w:t>
      </w:r>
      <w:bookmarkEnd w:id="1457"/>
      <w:bookmarkEnd w:id="1458"/>
      <w:bookmarkEnd w:id="1459"/>
      <w:bookmarkEnd w:id="1460"/>
      <w:bookmarkEnd w:id="1461"/>
      <w:bookmarkEnd w:id="1462"/>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463" w:name="_Toc474633153"/>
      <w:bookmarkStart w:id="1464" w:name="_Toc488740304"/>
      <w:bookmarkStart w:id="1465" w:name="_Toc8623687"/>
      <w:bookmarkStart w:id="1466" w:name="_Toc11229528"/>
      <w:bookmarkStart w:id="1467" w:name="_Toc104276699"/>
      <w:bookmarkStart w:id="1468" w:name="_Toc161209488"/>
      <w:r>
        <w:rPr>
          <w:rStyle w:val="CharSectno"/>
        </w:rPr>
        <w:t>100</w:t>
      </w:r>
      <w:r>
        <w:rPr>
          <w:snapToGrid w:val="0"/>
        </w:rPr>
        <w:t>.</w:t>
      </w:r>
      <w:r>
        <w:rPr>
          <w:snapToGrid w:val="0"/>
        </w:rPr>
        <w:tab/>
        <w:t>Removal of fences, timbers, etc.</w:t>
      </w:r>
      <w:bookmarkEnd w:id="1463"/>
      <w:bookmarkEnd w:id="1464"/>
      <w:bookmarkEnd w:id="1465"/>
      <w:bookmarkEnd w:id="1466"/>
      <w:bookmarkEnd w:id="1467"/>
      <w:bookmarkEnd w:id="1468"/>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469" w:name="_Toc161209489"/>
      <w:bookmarkStart w:id="1470" w:name="_Toc104276701"/>
      <w:bookmarkStart w:id="1471" w:name="_Toc474633155"/>
      <w:bookmarkStart w:id="1472" w:name="_Toc488740306"/>
      <w:bookmarkStart w:id="1473" w:name="_Toc8623689"/>
      <w:bookmarkStart w:id="1474" w:name="_Toc11229530"/>
      <w:r>
        <w:rPr>
          <w:rStyle w:val="CharSectno"/>
        </w:rPr>
        <w:t>101</w:t>
      </w:r>
      <w:r>
        <w:t>.</w:t>
      </w:r>
      <w:r>
        <w:tab/>
        <w:t>Manner of camping — section 20(2)(e)</w:t>
      </w:r>
      <w:bookmarkEnd w:id="1469"/>
    </w:p>
    <w:p>
      <w:pPr>
        <w:pStyle w:val="Subsection"/>
      </w:pPr>
      <w:r>
        <w:tab/>
      </w:r>
      <w:r>
        <w:tab/>
        <w:t>For the purposes of section 20(2)(e) the holder of a Miner’s Right may camp on Crown land in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475" w:name="_Toc161209490"/>
      <w:r>
        <w:rPr>
          <w:rStyle w:val="CharSectno"/>
        </w:rPr>
        <w:t>101A</w:t>
      </w:r>
      <w:r>
        <w:t>.</w:t>
      </w:r>
      <w:r>
        <w:tab/>
        <w:t>Notice before mining under certain Crown land or private land</w:t>
      </w:r>
      <w:bookmarkEnd w:id="1470"/>
      <w:bookmarkEnd w:id="1475"/>
    </w:p>
    <w:p>
      <w:pPr>
        <w:pStyle w:val="Subsection"/>
      </w:pPr>
      <w:r>
        <w:tab/>
        <w:t>(1)</w:t>
      </w:r>
      <w:r>
        <w:tab/>
        <w:t>In this regulation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476" w:name="_Toc104276702"/>
      <w:bookmarkStart w:id="1477" w:name="_Toc161209491"/>
      <w:r>
        <w:rPr>
          <w:rStyle w:val="CharSectno"/>
        </w:rPr>
        <w:t>102</w:t>
      </w:r>
      <w:r>
        <w:rPr>
          <w:snapToGrid w:val="0"/>
        </w:rPr>
        <w:t>.</w:t>
      </w:r>
      <w:r>
        <w:rPr>
          <w:snapToGrid w:val="0"/>
        </w:rPr>
        <w:tab/>
        <w:t>Devolution on death, etc.</w:t>
      </w:r>
      <w:bookmarkEnd w:id="1471"/>
      <w:bookmarkEnd w:id="1472"/>
      <w:bookmarkEnd w:id="1473"/>
      <w:bookmarkEnd w:id="1474"/>
      <w:bookmarkEnd w:id="1476"/>
      <w:bookmarkEnd w:id="1477"/>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Ednotesection"/>
      </w:pPr>
      <w:bookmarkStart w:id="1478" w:name="_Toc474633157"/>
      <w:bookmarkStart w:id="1479" w:name="_Toc488740308"/>
      <w:bookmarkStart w:id="1480" w:name="_Toc8623691"/>
      <w:bookmarkStart w:id="1481" w:name="_Toc11229532"/>
      <w:bookmarkStart w:id="1482" w:name="_Toc104276704"/>
      <w:r>
        <w:t>[</w:t>
      </w:r>
      <w:r>
        <w:rPr>
          <w:b/>
        </w:rPr>
        <w:t>103.</w:t>
      </w:r>
      <w:r>
        <w:tab/>
        <w:t>Repealed in Gazette 3 Feb 2006 p. 524.]</w:t>
      </w:r>
    </w:p>
    <w:p>
      <w:pPr>
        <w:pStyle w:val="Heading5"/>
        <w:rPr>
          <w:snapToGrid w:val="0"/>
        </w:rPr>
      </w:pPr>
      <w:bookmarkStart w:id="1483" w:name="_Toc161209492"/>
      <w:r>
        <w:rPr>
          <w:rStyle w:val="CharSectno"/>
        </w:rPr>
        <w:t>104</w:t>
      </w:r>
      <w:r>
        <w:rPr>
          <w:snapToGrid w:val="0"/>
        </w:rPr>
        <w:t>.</w:t>
      </w:r>
      <w:r>
        <w:rPr>
          <w:snapToGrid w:val="0"/>
        </w:rPr>
        <w:tab/>
        <w:t>Time for any act may be extended</w:t>
      </w:r>
      <w:bookmarkEnd w:id="1478"/>
      <w:bookmarkEnd w:id="1479"/>
      <w:bookmarkEnd w:id="1480"/>
      <w:bookmarkEnd w:id="1481"/>
      <w:bookmarkEnd w:id="1482"/>
      <w:bookmarkEnd w:id="1483"/>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484" w:name="_Toc474633158"/>
      <w:bookmarkStart w:id="1485" w:name="_Toc488740309"/>
      <w:bookmarkStart w:id="1486" w:name="_Toc8623692"/>
      <w:bookmarkStart w:id="1487" w:name="_Toc11229533"/>
      <w:bookmarkStart w:id="1488" w:name="_Toc104276705"/>
      <w:bookmarkStart w:id="1489" w:name="_Toc161209493"/>
      <w:r>
        <w:rPr>
          <w:rStyle w:val="CharSectno"/>
        </w:rPr>
        <w:t>105</w:t>
      </w:r>
      <w:r>
        <w:rPr>
          <w:snapToGrid w:val="0"/>
        </w:rPr>
        <w:t>.</w:t>
      </w:r>
      <w:r>
        <w:rPr>
          <w:snapToGrid w:val="0"/>
        </w:rPr>
        <w:tab/>
        <w:t>Application for copy document</w:t>
      </w:r>
      <w:bookmarkEnd w:id="1484"/>
      <w:bookmarkEnd w:id="1485"/>
      <w:bookmarkEnd w:id="1486"/>
      <w:bookmarkEnd w:id="1487"/>
      <w:bookmarkEnd w:id="1488"/>
      <w:bookmarkEnd w:id="1489"/>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Ednotesection"/>
      </w:pPr>
      <w:bookmarkStart w:id="1490" w:name="_Toc474633162"/>
      <w:bookmarkStart w:id="1491" w:name="_Toc488740313"/>
      <w:bookmarkStart w:id="1492" w:name="_Toc8623696"/>
      <w:bookmarkStart w:id="1493" w:name="_Toc11229537"/>
      <w:bookmarkStart w:id="1494" w:name="_Toc104276710"/>
      <w:r>
        <w:t>[</w:t>
      </w:r>
      <w:r>
        <w:rPr>
          <w:b/>
        </w:rPr>
        <w:t>106-107AA.</w:t>
      </w:r>
      <w:r>
        <w:tab/>
        <w:t>Repealed in Gazette 3 Feb 2006 p. 524.]</w:t>
      </w:r>
    </w:p>
    <w:p>
      <w:pPr>
        <w:pStyle w:val="Heading5"/>
        <w:rPr>
          <w:snapToGrid w:val="0"/>
        </w:rPr>
      </w:pPr>
      <w:bookmarkStart w:id="1495" w:name="_Toc161209494"/>
      <w:r>
        <w:rPr>
          <w:rStyle w:val="CharSectno"/>
        </w:rPr>
        <w:t>108</w:t>
      </w:r>
      <w:r>
        <w:rPr>
          <w:snapToGrid w:val="0"/>
        </w:rPr>
        <w:t>.</w:t>
      </w:r>
      <w:r>
        <w:rPr>
          <w:snapToGrid w:val="0"/>
        </w:rPr>
        <w:tab/>
        <w:t>Appointment of attorney</w:t>
      </w:r>
      <w:bookmarkEnd w:id="1490"/>
      <w:bookmarkEnd w:id="1491"/>
      <w:bookmarkEnd w:id="1492"/>
      <w:bookmarkEnd w:id="1493"/>
      <w:bookmarkEnd w:id="1494"/>
      <w:bookmarkEnd w:id="1495"/>
    </w:p>
    <w:p>
      <w:pPr>
        <w:pStyle w:val="Subsection"/>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rPr>
          <w:snapToGrid w:val="0"/>
        </w:rPr>
      </w:pPr>
      <w:bookmarkStart w:id="1496" w:name="_Toc474633163"/>
      <w:bookmarkStart w:id="1497" w:name="_Toc488740314"/>
      <w:bookmarkStart w:id="1498" w:name="_Toc8623697"/>
      <w:bookmarkStart w:id="1499" w:name="_Toc11229538"/>
      <w:bookmarkStart w:id="1500" w:name="_Toc104276711"/>
      <w:bookmarkStart w:id="1501" w:name="_Toc161209495"/>
      <w:r>
        <w:rPr>
          <w:rStyle w:val="CharSectno"/>
        </w:rPr>
        <w:t>109</w:t>
      </w:r>
      <w:r>
        <w:rPr>
          <w:snapToGrid w:val="0"/>
        </w:rPr>
        <w:t>.</w:t>
      </w:r>
      <w:r>
        <w:rPr>
          <w:snapToGrid w:val="0"/>
        </w:rPr>
        <w:tab/>
        <w:t>Fees and rents</w:t>
      </w:r>
      <w:bookmarkEnd w:id="1496"/>
      <w:bookmarkEnd w:id="1497"/>
      <w:bookmarkEnd w:id="1498"/>
      <w:bookmarkEnd w:id="1499"/>
      <w:bookmarkEnd w:id="1500"/>
      <w:bookmarkEnd w:id="150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rPr>
          <w:snapToGrid w:val="0"/>
        </w:rPr>
      </w:pPr>
      <w:r>
        <w:rPr>
          <w:snapToGrid w:val="0"/>
        </w:rPr>
        <w:tab/>
        <w:t>(2)</w:t>
      </w:r>
      <w:r>
        <w:rPr>
          <w:snapToGrid w:val="0"/>
        </w:rPr>
        <w:tab/>
        <w:t xml:space="preserve">The bailiff </w:t>
      </w:r>
      <w:r>
        <w:t>fees</w:t>
      </w:r>
      <w:r>
        <w:rPr>
          <w:snapToGrid w:val="0"/>
        </w:rPr>
        <w:t xml:space="preserve"> set out in Part II of the Appendix to the </w:t>
      </w:r>
      <w:r>
        <w:rPr>
          <w:i/>
          <w:snapToGrid w:val="0"/>
        </w:rPr>
        <w:t>Local Court Rules 1961 </w:t>
      </w:r>
      <w:r>
        <w:rPr>
          <w:snapToGrid w:val="0"/>
          <w:vertAlign w:val="superscript"/>
        </w:rPr>
        <w:t>3</w:t>
      </w:r>
      <w:r>
        <w:rPr>
          <w:snapToGrid w:val="0"/>
        </w:rPr>
        <w:t xml:space="preserve"> are, so far as they are applicable, prescribed as the bailiff fees payable in relation to proceedings under the Act.</w:t>
      </w:r>
    </w:p>
    <w:p>
      <w:pPr>
        <w:pStyle w:val="Subsection"/>
      </w:pPr>
      <w:r>
        <w:tab/>
        <w:t>(3)</w:t>
      </w:r>
      <w:r>
        <w:tab/>
        <w:t>For the purposes of the Act, the prescribed rent, including GST, for a mining tenement for a year is that set out in item 1 of the Second Schedule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w:t>
      </w:r>
    </w:p>
    <w:p>
      <w:pPr>
        <w:pStyle w:val="Heading5"/>
      </w:pPr>
      <w:bookmarkStart w:id="1502" w:name="_Toc8623698"/>
      <w:bookmarkStart w:id="1503" w:name="_Toc11229539"/>
      <w:bookmarkStart w:id="1504" w:name="_Toc104276712"/>
      <w:bookmarkStart w:id="1505" w:name="_Toc161209496"/>
      <w:bookmarkStart w:id="1506" w:name="_Toc474633165"/>
      <w:bookmarkStart w:id="1507" w:name="_Toc488740316"/>
      <w:r>
        <w:rPr>
          <w:rStyle w:val="CharSectno"/>
        </w:rPr>
        <w:t>109A</w:t>
      </w:r>
      <w:r>
        <w:t>.</w:t>
      </w:r>
      <w:r>
        <w:tab/>
        <w:t>GST to be paid on certain applications</w:t>
      </w:r>
      <w:bookmarkEnd w:id="1502"/>
      <w:bookmarkEnd w:id="1503"/>
      <w:bookmarkEnd w:id="1504"/>
      <w:bookmarkEnd w:id="1505"/>
    </w:p>
    <w:p>
      <w:pPr>
        <w:pStyle w:val="Subsection"/>
      </w:pPr>
      <w:r>
        <w:tab/>
        <w:t>(1)</w:t>
      </w:r>
      <w:r>
        <w:tab/>
        <w:t>This regulation applies to an application for a mining tenement if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pPr>
      <w:r>
        <w:tab/>
        <w:t>(2)</w:t>
      </w:r>
      <w:r>
        <w:tab/>
        <w:t>An application to which this regulation applies shall not be granted unless the applicant pays an amount that is 10% of the rent that was paid at the time the application was made.</w:t>
      </w:r>
    </w:p>
    <w:p>
      <w:pPr>
        <w:pStyle w:val="Subsection"/>
      </w:pPr>
      <w:r>
        <w:tab/>
        <w:t>(3)</w:t>
      </w:r>
      <w:r>
        <w:tab/>
        <w:t>Written notice requiring the payment of the amount referred to in subregulation (2) within 30 days of the date of the issue of the notice may be given to the applicant.</w:t>
      </w:r>
    </w:p>
    <w:p>
      <w:pPr>
        <w:pStyle w:val="Subsection"/>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Ednotesection"/>
      </w:pPr>
      <w:bookmarkStart w:id="1508" w:name="_Toc474633166"/>
      <w:bookmarkStart w:id="1509" w:name="_Toc488740317"/>
      <w:bookmarkStart w:id="1510" w:name="_Toc8623700"/>
      <w:bookmarkStart w:id="1511" w:name="_Toc11229541"/>
      <w:bookmarkStart w:id="1512" w:name="_Toc104276714"/>
      <w:bookmarkEnd w:id="1506"/>
      <w:bookmarkEnd w:id="1507"/>
      <w:r>
        <w:t>[</w:t>
      </w:r>
      <w:r>
        <w:rPr>
          <w:b/>
        </w:rPr>
        <w:t>110.</w:t>
      </w:r>
      <w:r>
        <w:tab/>
        <w:t>Repealed in Gazette 3 Feb 2006 p. 524.]</w:t>
      </w:r>
    </w:p>
    <w:p>
      <w:pPr>
        <w:pStyle w:val="Heading5"/>
        <w:rPr>
          <w:snapToGrid w:val="0"/>
        </w:rPr>
      </w:pPr>
      <w:bookmarkStart w:id="1513" w:name="_Toc161209497"/>
      <w:r>
        <w:rPr>
          <w:rStyle w:val="CharSectno"/>
        </w:rPr>
        <w:t>111</w:t>
      </w:r>
      <w:r>
        <w:rPr>
          <w:snapToGrid w:val="0"/>
        </w:rPr>
        <w:t>.</w:t>
      </w:r>
      <w:r>
        <w:rPr>
          <w:snapToGrid w:val="0"/>
        </w:rPr>
        <w:tab/>
        <w:t>Service of notices</w:t>
      </w:r>
      <w:bookmarkEnd w:id="1508"/>
      <w:bookmarkEnd w:id="1509"/>
      <w:bookmarkEnd w:id="1510"/>
      <w:bookmarkEnd w:id="1511"/>
      <w:bookmarkEnd w:id="1512"/>
      <w:bookmarkEnd w:id="1513"/>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p>
    <w:p>
      <w:pPr>
        <w:pStyle w:val="Indenta"/>
        <w:spacing w:before="60"/>
        <w:rPr>
          <w:snapToGrid w:val="0"/>
        </w:rPr>
      </w:pPr>
      <w:r>
        <w:rPr>
          <w:snapToGrid w:val="0"/>
        </w:rPr>
        <w:tab/>
        <w:t>(c)</w:t>
      </w:r>
      <w:r>
        <w:rPr>
          <w:snapToGrid w:val="0"/>
        </w:rPr>
        <w:tab/>
        <w:t>by forwarding it by post in a certified or prepaid registered letter addressed to such person at his last known place of abode or business;</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Where in any case the practice and procedure for service of notices is not sufficiently defined in this regulation, the practice and procedure of Local Courts shall be adopted as far as possible.</w:t>
      </w:r>
    </w:p>
    <w:p>
      <w:pPr>
        <w:pStyle w:val="Heading5"/>
      </w:pPr>
      <w:bookmarkStart w:id="1514" w:name="_Toc161209498"/>
      <w:bookmarkStart w:id="1515" w:name="_Toc474633168"/>
      <w:bookmarkStart w:id="1516" w:name="_Toc488740319"/>
      <w:bookmarkStart w:id="1517" w:name="_Toc8623702"/>
      <w:bookmarkStart w:id="1518" w:name="_Toc11229543"/>
      <w:bookmarkStart w:id="1519" w:name="_Toc104276716"/>
      <w:r>
        <w:rPr>
          <w:rStyle w:val="CharSectno"/>
        </w:rPr>
        <w:t>112</w:t>
      </w:r>
      <w:r>
        <w:t>.</w:t>
      </w:r>
      <w:r>
        <w:tab/>
        <w:t>Securities</w:t>
      </w:r>
      <w:bookmarkEnd w:id="1514"/>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520" w:name="_Toc161209499"/>
      <w:r>
        <w:rPr>
          <w:rStyle w:val="CharSectno"/>
        </w:rPr>
        <w:t>112A</w:t>
      </w:r>
      <w:r>
        <w:rPr>
          <w:snapToGrid w:val="0"/>
        </w:rPr>
        <w:t>.</w:t>
      </w:r>
      <w:r>
        <w:rPr>
          <w:snapToGrid w:val="0"/>
        </w:rPr>
        <w:tab/>
        <w:t>Discharge of security</w:t>
      </w:r>
      <w:bookmarkEnd w:id="1515"/>
      <w:bookmarkEnd w:id="1516"/>
      <w:bookmarkEnd w:id="1517"/>
      <w:bookmarkEnd w:id="1518"/>
      <w:bookmarkEnd w:id="1519"/>
      <w:bookmarkEnd w:id="1520"/>
    </w:p>
    <w:p>
      <w:pPr>
        <w:pStyle w:val="Subsection"/>
        <w:spacing w:before="140"/>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spacing w:before="180"/>
        <w:rPr>
          <w:snapToGrid w:val="0"/>
        </w:rPr>
      </w:pPr>
      <w:bookmarkStart w:id="1521" w:name="_Toc474633169"/>
      <w:bookmarkStart w:id="1522" w:name="_Toc488740320"/>
      <w:bookmarkStart w:id="1523" w:name="_Toc8623703"/>
      <w:bookmarkStart w:id="1524" w:name="_Toc11229544"/>
      <w:bookmarkStart w:id="1525" w:name="_Toc104276717"/>
      <w:bookmarkStart w:id="1526" w:name="_Toc161209500"/>
      <w:r>
        <w:rPr>
          <w:rStyle w:val="CharSectno"/>
        </w:rPr>
        <w:t>113</w:t>
      </w:r>
      <w:r>
        <w:rPr>
          <w:snapToGrid w:val="0"/>
        </w:rPr>
        <w:t>.</w:t>
      </w:r>
      <w:r>
        <w:rPr>
          <w:snapToGrid w:val="0"/>
        </w:rPr>
        <w:tab/>
        <w:t>Employees not to use information</w:t>
      </w:r>
      <w:bookmarkEnd w:id="1521"/>
      <w:bookmarkEnd w:id="1522"/>
      <w:bookmarkEnd w:id="1523"/>
      <w:bookmarkEnd w:id="1524"/>
      <w:bookmarkEnd w:id="1525"/>
      <w:bookmarkEnd w:id="1526"/>
    </w:p>
    <w:p>
      <w:pPr>
        <w:pStyle w:val="Subsection"/>
        <w:spacing w:before="12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spacing w:before="180"/>
      </w:pPr>
      <w:bookmarkStart w:id="1527" w:name="_Toc474633170"/>
      <w:bookmarkStart w:id="1528" w:name="_Toc488740321"/>
      <w:bookmarkStart w:id="1529" w:name="_Toc8623704"/>
      <w:bookmarkStart w:id="1530" w:name="_Toc11229545"/>
      <w:bookmarkStart w:id="1531" w:name="_Toc104276718"/>
      <w:bookmarkStart w:id="1532" w:name="_Toc161209501"/>
      <w:r>
        <w:rPr>
          <w:rStyle w:val="CharSectno"/>
        </w:rPr>
        <w:t>113A</w:t>
      </w:r>
      <w:r>
        <w:t>.</w:t>
      </w:r>
      <w:r>
        <w:tab/>
        <w:t>General power for wardens to administer oaths</w:t>
      </w:r>
      <w:bookmarkEnd w:id="1527"/>
      <w:bookmarkEnd w:id="1528"/>
      <w:bookmarkEnd w:id="1529"/>
      <w:bookmarkEnd w:id="1530"/>
      <w:bookmarkEnd w:id="1531"/>
      <w:bookmarkEnd w:id="1532"/>
    </w:p>
    <w:p>
      <w:pPr>
        <w:pStyle w:val="Subsection"/>
        <w:spacing w:before="120"/>
      </w:pPr>
      <w:r>
        <w:tab/>
      </w:r>
      <w:r>
        <w:tab/>
        <w:t xml:space="preserve">In addition to the powers set out in section 138 of the Act </w:t>
      </w:r>
      <w:r>
        <w:rPr>
          <w:i/>
        </w:rPr>
        <w:t>(permitting a warden, etc., to administer an oath in relation to “proceedings in a warden’s court”)</w:t>
      </w:r>
      <w:r>
        <w:t>, a warden, the mining registrar or other person acting as the clerk of the warden’s court may also administer an oath for the purposes of taking evidence in proceedings that are not “proceedings in a warden’s court”.</w:t>
      </w:r>
    </w:p>
    <w:p>
      <w:pPr>
        <w:pStyle w:val="Footnotesection"/>
      </w:pPr>
      <w:r>
        <w:tab/>
        <w:t>[Regulation 113A inserted in Gazette 21 Jan 2000 p. 344</w:t>
      </w:r>
      <w:r>
        <w:noBreakHyphen/>
        <w:t>5.]</w:t>
      </w:r>
    </w:p>
    <w:p>
      <w:pPr>
        <w:pStyle w:val="Heading5"/>
        <w:spacing w:before="180"/>
        <w:rPr>
          <w:snapToGrid w:val="0"/>
        </w:rPr>
      </w:pPr>
      <w:bookmarkStart w:id="1533" w:name="_Toc474633171"/>
      <w:bookmarkStart w:id="1534" w:name="_Toc488740322"/>
      <w:bookmarkStart w:id="1535" w:name="_Toc8623705"/>
      <w:bookmarkStart w:id="1536" w:name="_Toc11229546"/>
      <w:bookmarkStart w:id="1537" w:name="_Toc104276719"/>
      <w:bookmarkStart w:id="1538" w:name="_Toc161209502"/>
      <w:r>
        <w:rPr>
          <w:rStyle w:val="CharSectno"/>
        </w:rPr>
        <w:t>114</w:t>
      </w:r>
      <w:r>
        <w:rPr>
          <w:snapToGrid w:val="0"/>
        </w:rPr>
        <w:t>.</w:t>
      </w:r>
      <w:r>
        <w:rPr>
          <w:snapToGrid w:val="0"/>
        </w:rPr>
        <w:tab/>
        <w:t>Warden’s order not to be disobeyed</w:t>
      </w:r>
      <w:bookmarkEnd w:id="1533"/>
      <w:bookmarkEnd w:id="1534"/>
      <w:bookmarkEnd w:id="1535"/>
      <w:bookmarkEnd w:id="1536"/>
      <w:bookmarkEnd w:id="1537"/>
      <w:bookmarkEnd w:id="1538"/>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1539" w:name="_Toc474633172"/>
      <w:bookmarkStart w:id="1540" w:name="_Toc488740323"/>
      <w:bookmarkStart w:id="1541" w:name="_Toc8623706"/>
      <w:bookmarkStart w:id="1542" w:name="_Toc11229547"/>
      <w:bookmarkStart w:id="1543" w:name="_Toc104276720"/>
      <w:bookmarkStart w:id="1544" w:name="_Toc161209503"/>
      <w:r>
        <w:rPr>
          <w:rStyle w:val="CharSectno"/>
        </w:rPr>
        <w:t>115</w:t>
      </w:r>
      <w:r>
        <w:rPr>
          <w:snapToGrid w:val="0"/>
        </w:rPr>
        <w:t>.</w:t>
      </w:r>
      <w:r>
        <w:rPr>
          <w:snapToGrid w:val="0"/>
        </w:rPr>
        <w:tab/>
        <w:t>General penalty</w:t>
      </w:r>
      <w:bookmarkEnd w:id="1539"/>
      <w:bookmarkEnd w:id="1540"/>
      <w:bookmarkEnd w:id="1541"/>
      <w:bookmarkEnd w:id="1542"/>
      <w:bookmarkEnd w:id="1543"/>
      <w:bookmarkEnd w:id="1544"/>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1545" w:name="_Toc74979004"/>
      <w:bookmarkStart w:id="1546" w:name="_Toc74979268"/>
      <w:bookmarkStart w:id="1547" w:name="_Toc79976566"/>
      <w:bookmarkStart w:id="1548" w:name="_Toc80759837"/>
      <w:bookmarkStart w:id="1549" w:name="_Toc80783600"/>
      <w:bookmarkStart w:id="1550" w:name="_Toc94931267"/>
      <w:bookmarkStart w:id="1551" w:name="_Toc104275390"/>
      <w:bookmarkStart w:id="1552" w:name="_Toc104276721"/>
      <w:bookmarkStart w:id="1553" w:name="_Toc107198942"/>
      <w:bookmarkStart w:id="1554" w:name="_Toc107799394"/>
      <w:bookmarkStart w:id="1555" w:name="_Toc127087401"/>
      <w:bookmarkStart w:id="1556" w:name="_Toc127183714"/>
      <w:bookmarkStart w:id="1557" w:name="_Toc127338135"/>
      <w:bookmarkStart w:id="1558" w:name="_Toc128386456"/>
      <w:bookmarkStart w:id="1559" w:name="_Toc129150303"/>
      <w:bookmarkStart w:id="1560" w:name="_Toc129587585"/>
      <w:bookmarkStart w:id="1561" w:name="_Toc131477279"/>
      <w:bookmarkStart w:id="1562" w:name="_Toc132106655"/>
      <w:bookmarkStart w:id="1563" w:name="_Toc132169188"/>
      <w:bookmarkStart w:id="1564" w:name="_Toc132443182"/>
      <w:bookmarkStart w:id="1565" w:name="_Toc132524084"/>
      <w:bookmarkStart w:id="1566" w:name="_Toc132702953"/>
      <w:bookmarkStart w:id="1567" w:name="_Toc139168046"/>
      <w:bookmarkStart w:id="1568" w:name="_Toc139433738"/>
      <w:bookmarkStart w:id="1569" w:name="_Toc161203052"/>
      <w:bookmarkStart w:id="1570" w:name="_Toc161209504"/>
      <w:r>
        <w:rPr>
          <w:rStyle w:val="CharPartNo"/>
        </w:rPr>
        <w:t>Part VI</w:t>
      </w:r>
      <w:r>
        <w:rPr>
          <w:rStyle w:val="CharDivNo"/>
        </w:rPr>
        <w:t> </w:t>
      </w:r>
      <w:r>
        <w:t>—</w:t>
      </w:r>
      <w:r>
        <w:rPr>
          <w:rStyle w:val="CharDivText"/>
        </w:rPr>
        <w:t> </w:t>
      </w:r>
      <w:r>
        <w:rPr>
          <w:rStyle w:val="CharPartText"/>
        </w:rPr>
        <w:t>Surveys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Footnoteheading"/>
        <w:ind w:left="890"/>
        <w:rPr>
          <w:snapToGrid w:val="0"/>
        </w:rPr>
      </w:pPr>
      <w:r>
        <w:rPr>
          <w:snapToGrid w:val="0"/>
        </w:rPr>
        <w:tab/>
        <w:t>[Heading inserted in Gazette 30 May 1986 p. 1840.]</w:t>
      </w:r>
    </w:p>
    <w:p>
      <w:pPr>
        <w:pStyle w:val="Heading5"/>
        <w:rPr>
          <w:snapToGrid w:val="0"/>
        </w:rPr>
      </w:pPr>
      <w:bookmarkStart w:id="1571" w:name="_Toc161209505"/>
      <w:bookmarkStart w:id="1572" w:name="_Toc474633173"/>
      <w:bookmarkStart w:id="1573" w:name="_Toc488740324"/>
      <w:bookmarkStart w:id="1574" w:name="_Toc8623707"/>
      <w:bookmarkStart w:id="1575" w:name="_Toc11229548"/>
      <w:bookmarkStart w:id="1576" w:name="_Toc104276722"/>
      <w:r>
        <w:rPr>
          <w:rStyle w:val="CharSectno"/>
        </w:rPr>
        <w:t>116</w:t>
      </w:r>
      <w:r>
        <w:rPr>
          <w:snapToGrid w:val="0"/>
        </w:rPr>
        <w:t>.</w:t>
      </w:r>
      <w:r>
        <w:rPr>
          <w:snapToGrid w:val="0"/>
        </w:rPr>
        <w:tab/>
        <w:t>Terms used in this Part</w:t>
      </w:r>
      <w:bookmarkEnd w:id="1571"/>
      <w:r>
        <w:rPr>
          <w:snapToGrid w:val="0"/>
        </w:rPr>
        <w:t xml:space="preserve"> </w:t>
      </w:r>
      <w:bookmarkEnd w:id="1572"/>
      <w:bookmarkEnd w:id="1573"/>
      <w:bookmarkEnd w:id="1574"/>
      <w:bookmarkEnd w:id="1575"/>
      <w:bookmarkEnd w:id="1576"/>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[Regulation 116 inserted in Gazette 30 May 1986 p. 1840; amended in Gazette 13 Oct 1995 p. 4821.]</w:t>
      </w:r>
    </w:p>
    <w:p>
      <w:pPr>
        <w:pStyle w:val="Heading5"/>
        <w:rPr>
          <w:snapToGrid w:val="0"/>
        </w:rPr>
      </w:pPr>
      <w:bookmarkStart w:id="1577" w:name="_Toc474633174"/>
      <w:bookmarkStart w:id="1578" w:name="_Toc488740325"/>
      <w:bookmarkStart w:id="1579" w:name="_Toc8623708"/>
      <w:bookmarkStart w:id="1580" w:name="_Toc11229549"/>
      <w:bookmarkStart w:id="1581" w:name="_Toc104276723"/>
      <w:bookmarkStart w:id="1582" w:name="_Toc161209506"/>
      <w:r>
        <w:rPr>
          <w:rStyle w:val="CharSectno"/>
        </w:rPr>
        <w:t>117</w:t>
      </w:r>
      <w:r>
        <w:rPr>
          <w:snapToGrid w:val="0"/>
        </w:rPr>
        <w:t>.</w:t>
      </w:r>
      <w:r>
        <w:rPr>
          <w:snapToGrid w:val="0"/>
        </w:rPr>
        <w:tab/>
        <w:t>Approved surveyors</w:t>
      </w:r>
      <w:bookmarkEnd w:id="1577"/>
      <w:bookmarkEnd w:id="1578"/>
      <w:bookmarkEnd w:id="1579"/>
      <w:bookmarkEnd w:id="1580"/>
      <w:bookmarkEnd w:id="1581"/>
      <w:bookmarkEnd w:id="1582"/>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1583" w:name="_Toc474633175"/>
      <w:bookmarkStart w:id="1584" w:name="_Toc488740326"/>
      <w:bookmarkStart w:id="1585" w:name="_Toc8623709"/>
      <w:bookmarkStart w:id="1586" w:name="_Toc11229550"/>
      <w:bookmarkStart w:id="1587" w:name="_Toc104276724"/>
      <w:bookmarkStart w:id="1588" w:name="_Toc161209507"/>
      <w:r>
        <w:rPr>
          <w:rStyle w:val="CharSectno"/>
        </w:rPr>
        <w:t>118</w:t>
      </w:r>
      <w:r>
        <w:rPr>
          <w:snapToGrid w:val="0"/>
        </w:rPr>
        <w:t>.</w:t>
      </w:r>
      <w:r>
        <w:rPr>
          <w:snapToGrid w:val="0"/>
        </w:rPr>
        <w:tab/>
        <w:t>Initiation of mining surveys</w:t>
      </w:r>
      <w:bookmarkEnd w:id="1583"/>
      <w:bookmarkEnd w:id="1584"/>
      <w:bookmarkEnd w:id="1585"/>
      <w:bookmarkEnd w:id="1586"/>
      <w:bookmarkEnd w:id="1587"/>
      <w:bookmarkEnd w:id="158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w:t>
      </w:r>
    </w:p>
    <w:p>
      <w:pPr>
        <w:pStyle w:val="Indenta"/>
        <w:rPr>
          <w:snapToGrid w:val="0"/>
        </w:rPr>
      </w:pPr>
      <w:r>
        <w:rPr>
          <w:snapToGrid w:val="0"/>
        </w:rPr>
        <w:tab/>
        <w:t>(b)</w:t>
      </w:r>
      <w:r>
        <w:rPr>
          <w:snapToGrid w:val="0"/>
        </w:rPr>
        <w:tab/>
        <w:t>subject to section 80 of the Act, after the lodging of an application for a mining lease;</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when a mining survey is requested by the Minister or a warden 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w:t>
      </w:r>
    </w:p>
    <w:p>
      <w:pPr>
        <w:pStyle w:val="Heading5"/>
        <w:rPr>
          <w:snapToGrid w:val="0"/>
        </w:rPr>
      </w:pPr>
      <w:bookmarkStart w:id="1589" w:name="_Toc474633176"/>
      <w:bookmarkStart w:id="1590" w:name="_Toc488740327"/>
      <w:bookmarkStart w:id="1591" w:name="_Toc8623710"/>
      <w:bookmarkStart w:id="1592" w:name="_Toc11229551"/>
      <w:bookmarkStart w:id="1593" w:name="_Toc104276725"/>
      <w:bookmarkStart w:id="1594" w:name="_Toc161209508"/>
      <w:r>
        <w:rPr>
          <w:rStyle w:val="CharSectno"/>
        </w:rPr>
        <w:t>118A</w:t>
      </w:r>
      <w:r>
        <w:rPr>
          <w:snapToGrid w:val="0"/>
        </w:rPr>
        <w:t>.</w:t>
      </w:r>
      <w:r>
        <w:rPr>
          <w:snapToGrid w:val="0"/>
        </w:rPr>
        <w:tab/>
        <w:t>Notice of proposed mining surveys</w:t>
      </w:r>
      <w:bookmarkEnd w:id="1589"/>
      <w:bookmarkEnd w:id="1590"/>
      <w:bookmarkEnd w:id="1591"/>
      <w:bookmarkEnd w:id="1592"/>
      <w:bookmarkEnd w:id="1593"/>
      <w:bookmarkEnd w:id="1594"/>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1595" w:name="_Toc474633177"/>
      <w:bookmarkStart w:id="1596" w:name="_Toc488740328"/>
      <w:bookmarkStart w:id="1597" w:name="_Toc8623711"/>
      <w:bookmarkStart w:id="1598" w:name="_Toc11229552"/>
      <w:bookmarkStart w:id="1599" w:name="_Toc104276726"/>
      <w:bookmarkStart w:id="1600" w:name="_Toc161209509"/>
      <w:r>
        <w:rPr>
          <w:rStyle w:val="CharSectno"/>
        </w:rPr>
        <w:t>118B</w:t>
      </w:r>
      <w:r>
        <w:rPr>
          <w:snapToGrid w:val="0"/>
        </w:rPr>
        <w:t>.</w:t>
      </w:r>
      <w:r>
        <w:rPr>
          <w:snapToGrid w:val="0"/>
        </w:rPr>
        <w:tab/>
        <w:t>When mining surveys are to be carried out</w:t>
      </w:r>
      <w:bookmarkEnd w:id="1595"/>
      <w:bookmarkEnd w:id="1596"/>
      <w:bookmarkEnd w:id="1597"/>
      <w:bookmarkEnd w:id="1598"/>
      <w:bookmarkEnd w:id="1599"/>
      <w:bookmarkEnd w:id="160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1601" w:name="_Toc474633178"/>
      <w:bookmarkStart w:id="1602" w:name="_Toc488740329"/>
      <w:bookmarkStart w:id="1603" w:name="_Toc8623712"/>
      <w:bookmarkStart w:id="1604" w:name="_Toc11229553"/>
      <w:bookmarkStart w:id="1605" w:name="_Toc104276727"/>
      <w:bookmarkStart w:id="1606" w:name="_Toc161209510"/>
      <w:r>
        <w:rPr>
          <w:rStyle w:val="CharSectno"/>
        </w:rPr>
        <w:t>118C</w:t>
      </w:r>
      <w:r>
        <w:rPr>
          <w:snapToGrid w:val="0"/>
        </w:rPr>
        <w:t>.</w:t>
      </w:r>
      <w:r>
        <w:rPr>
          <w:snapToGrid w:val="0"/>
        </w:rPr>
        <w:tab/>
        <w:t>Refund of certain survey fees</w:t>
      </w:r>
      <w:bookmarkEnd w:id="1601"/>
      <w:bookmarkEnd w:id="1602"/>
      <w:bookmarkEnd w:id="1603"/>
      <w:bookmarkEnd w:id="1604"/>
      <w:bookmarkEnd w:id="1605"/>
      <w:bookmarkEnd w:id="1606"/>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4</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1607" w:name="_Toc474633179"/>
      <w:bookmarkStart w:id="1608" w:name="_Toc488740330"/>
      <w:bookmarkStart w:id="1609" w:name="_Toc8623713"/>
      <w:bookmarkStart w:id="1610" w:name="_Toc11229554"/>
      <w:bookmarkStart w:id="1611" w:name="_Toc104276728"/>
      <w:bookmarkStart w:id="1612" w:name="_Toc161209511"/>
      <w:r>
        <w:rPr>
          <w:rStyle w:val="CharSectno"/>
        </w:rPr>
        <w:t>119</w:t>
      </w:r>
      <w:r>
        <w:rPr>
          <w:snapToGrid w:val="0"/>
        </w:rPr>
        <w:t>.</w:t>
      </w:r>
      <w:r>
        <w:rPr>
          <w:snapToGrid w:val="0"/>
        </w:rPr>
        <w:tab/>
        <w:t>Boundary marks to be pointed out</w:t>
      </w:r>
      <w:bookmarkEnd w:id="1607"/>
      <w:bookmarkEnd w:id="1608"/>
      <w:bookmarkEnd w:id="1609"/>
      <w:bookmarkEnd w:id="1610"/>
      <w:bookmarkEnd w:id="1611"/>
      <w:bookmarkEnd w:id="1612"/>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[Regulation 119 inserted in Gazette 30 May 1986 p. 1840; amended in Gazette 21 Jun 1991 p. 3056.]</w:t>
      </w:r>
    </w:p>
    <w:p>
      <w:pPr>
        <w:pStyle w:val="Heading5"/>
        <w:rPr>
          <w:snapToGrid w:val="0"/>
        </w:rPr>
      </w:pPr>
      <w:bookmarkStart w:id="1613" w:name="_Toc474633180"/>
      <w:bookmarkStart w:id="1614" w:name="_Toc488740331"/>
      <w:bookmarkStart w:id="1615" w:name="_Toc8623714"/>
      <w:bookmarkStart w:id="1616" w:name="_Toc11229555"/>
      <w:bookmarkStart w:id="1617" w:name="_Toc104276729"/>
      <w:bookmarkStart w:id="1618" w:name="_Toc161209512"/>
      <w:r>
        <w:rPr>
          <w:rStyle w:val="CharSectno"/>
        </w:rPr>
        <w:t>120</w:t>
      </w:r>
      <w:r>
        <w:rPr>
          <w:snapToGrid w:val="0"/>
        </w:rPr>
        <w:t>.</w:t>
      </w:r>
      <w:r>
        <w:rPr>
          <w:snapToGrid w:val="0"/>
        </w:rPr>
        <w:tab/>
        <w:t>Adjustment of boundaries</w:t>
      </w:r>
      <w:bookmarkEnd w:id="1613"/>
      <w:bookmarkEnd w:id="1614"/>
      <w:bookmarkEnd w:id="1615"/>
      <w:bookmarkEnd w:id="1616"/>
      <w:bookmarkEnd w:id="1617"/>
      <w:bookmarkEnd w:id="1618"/>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spacing w:before="60"/>
        <w:rPr>
          <w:snapToGrid w:val="0"/>
        </w:rPr>
      </w:pPr>
      <w:r>
        <w:rPr>
          <w:snapToGrid w:val="0"/>
        </w:rPr>
        <w:tab/>
        <w:t>(a)</w:t>
      </w:r>
      <w:r>
        <w:rPr>
          <w:snapToGrid w:val="0"/>
        </w:rPr>
        <w:tab/>
        <w:t>a tenement other than an exploration licence so as to conform with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[Regulation 120 inserted in Gazette 30 May 1986 p. 1840; amended in Gazette 21 Jun 1991 p. 3057.]</w:t>
      </w:r>
    </w:p>
    <w:p>
      <w:pPr>
        <w:pStyle w:val="Heading5"/>
        <w:rPr>
          <w:snapToGrid w:val="0"/>
        </w:rPr>
      </w:pPr>
      <w:bookmarkStart w:id="1619" w:name="_Toc474633181"/>
      <w:bookmarkStart w:id="1620" w:name="_Toc488740332"/>
      <w:bookmarkStart w:id="1621" w:name="_Toc8623715"/>
      <w:bookmarkStart w:id="1622" w:name="_Toc11229556"/>
      <w:bookmarkStart w:id="1623" w:name="_Toc104276730"/>
      <w:bookmarkStart w:id="1624" w:name="_Toc161209513"/>
      <w:r>
        <w:rPr>
          <w:rStyle w:val="CharSectno"/>
        </w:rPr>
        <w:t>120A</w:t>
      </w:r>
      <w:r>
        <w:rPr>
          <w:snapToGrid w:val="0"/>
        </w:rPr>
        <w:t>.</w:t>
      </w:r>
      <w:r>
        <w:rPr>
          <w:snapToGrid w:val="0"/>
        </w:rPr>
        <w:tab/>
        <w:t>Disputes and objections in mining survey</w:t>
      </w:r>
      <w:bookmarkEnd w:id="1619"/>
      <w:bookmarkEnd w:id="1620"/>
      <w:bookmarkEnd w:id="1621"/>
      <w:bookmarkEnd w:id="1622"/>
      <w:bookmarkEnd w:id="1623"/>
      <w:bookmarkEnd w:id="1624"/>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Subject to section 135 of the Act, a dispute or objection referred or lodged under this regulation shall be heard by the warden’s court.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1; amended in Gazette 16 Nov 1990 p. 5729; 21 Jun 1991 p. 3057; 24 Dec 1993 p. 6829.]</w:t>
      </w:r>
    </w:p>
    <w:p>
      <w:pPr>
        <w:pStyle w:val="Heading5"/>
        <w:rPr>
          <w:snapToGrid w:val="0"/>
        </w:rPr>
      </w:pPr>
      <w:bookmarkStart w:id="1625" w:name="_Toc474633182"/>
      <w:bookmarkStart w:id="1626" w:name="_Toc488740333"/>
      <w:bookmarkStart w:id="1627" w:name="_Toc8623716"/>
      <w:bookmarkStart w:id="1628" w:name="_Toc11229557"/>
      <w:bookmarkStart w:id="1629" w:name="_Toc104276731"/>
      <w:bookmarkStart w:id="1630" w:name="_Toc161209514"/>
      <w:r>
        <w:rPr>
          <w:rStyle w:val="CharSectno"/>
        </w:rPr>
        <w:t>120B</w:t>
      </w:r>
      <w:r>
        <w:rPr>
          <w:snapToGrid w:val="0"/>
        </w:rPr>
        <w:t>.</w:t>
      </w:r>
      <w:r>
        <w:rPr>
          <w:snapToGrid w:val="0"/>
        </w:rPr>
        <w:tab/>
        <w:t>Cost of travelling</w:t>
      </w:r>
      <w:bookmarkEnd w:id="1625"/>
      <w:bookmarkEnd w:id="1626"/>
      <w:bookmarkEnd w:id="1627"/>
      <w:bookmarkEnd w:id="1628"/>
      <w:bookmarkEnd w:id="1629"/>
      <w:bookmarkEnd w:id="1630"/>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[Regulation 120B inserted in Gazette 30 May 1986 p. 1841.]</w:t>
      </w:r>
    </w:p>
    <w:p>
      <w:pPr>
        <w:pStyle w:val="Heading5"/>
        <w:rPr>
          <w:snapToGrid w:val="0"/>
        </w:rPr>
      </w:pPr>
      <w:bookmarkStart w:id="1631" w:name="_Toc474633183"/>
      <w:bookmarkStart w:id="1632" w:name="_Toc488740334"/>
      <w:bookmarkStart w:id="1633" w:name="_Toc8623717"/>
      <w:bookmarkStart w:id="1634" w:name="_Toc11229558"/>
      <w:bookmarkStart w:id="1635" w:name="_Toc104276732"/>
      <w:bookmarkStart w:id="1636" w:name="_Toc161209515"/>
      <w:r>
        <w:rPr>
          <w:rStyle w:val="CharSectno"/>
        </w:rPr>
        <w:t>120C</w:t>
      </w:r>
      <w:r>
        <w:rPr>
          <w:snapToGrid w:val="0"/>
        </w:rPr>
        <w:t>.</w:t>
      </w:r>
      <w:r>
        <w:rPr>
          <w:snapToGrid w:val="0"/>
        </w:rPr>
        <w:tab/>
        <w:t>Correction of errors or omissions</w:t>
      </w:r>
      <w:bookmarkEnd w:id="1631"/>
      <w:bookmarkEnd w:id="1632"/>
      <w:bookmarkEnd w:id="1633"/>
      <w:bookmarkEnd w:id="1634"/>
      <w:bookmarkEnd w:id="1635"/>
      <w:bookmarkEnd w:id="1636"/>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1637" w:name="_Toc474633184"/>
      <w:bookmarkStart w:id="1638" w:name="_Toc488740335"/>
      <w:bookmarkStart w:id="1639" w:name="_Toc8623718"/>
      <w:bookmarkStart w:id="1640" w:name="_Toc11229559"/>
      <w:bookmarkStart w:id="1641" w:name="_Toc104276733"/>
      <w:bookmarkStart w:id="1642" w:name="_Toc161209516"/>
      <w:r>
        <w:rPr>
          <w:rStyle w:val="CharSectno"/>
        </w:rPr>
        <w:t>120D</w:t>
      </w:r>
      <w:r>
        <w:rPr>
          <w:snapToGrid w:val="0"/>
        </w:rPr>
        <w:t>.</w:t>
      </w:r>
      <w:r>
        <w:rPr>
          <w:snapToGrid w:val="0"/>
        </w:rPr>
        <w:tab/>
        <w:t>Cost of check surveys and of correction of errors to be met by approved surveyors</w:t>
      </w:r>
      <w:bookmarkEnd w:id="1637"/>
      <w:bookmarkEnd w:id="1638"/>
      <w:bookmarkEnd w:id="1639"/>
      <w:bookmarkEnd w:id="1640"/>
      <w:bookmarkEnd w:id="1641"/>
      <w:bookmarkEnd w:id="1642"/>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1643" w:name="_Toc474633185"/>
      <w:bookmarkStart w:id="1644" w:name="_Toc488740336"/>
      <w:bookmarkStart w:id="1645" w:name="_Toc8623719"/>
      <w:bookmarkStart w:id="1646" w:name="_Toc11229560"/>
      <w:bookmarkStart w:id="1647" w:name="_Toc104276734"/>
      <w:bookmarkStart w:id="1648" w:name="_Toc161209517"/>
      <w:r>
        <w:rPr>
          <w:rStyle w:val="CharSectno"/>
        </w:rPr>
        <w:t>120E</w:t>
      </w:r>
      <w:r>
        <w:rPr>
          <w:snapToGrid w:val="0"/>
        </w:rPr>
        <w:t>.</w:t>
      </w:r>
      <w:r>
        <w:rPr>
          <w:snapToGrid w:val="0"/>
        </w:rPr>
        <w:tab/>
        <w:t>Report of surveyed tenements to be prepared</w:t>
      </w:r>
      <w:bookmarkEnd w:id="1643"/>
      <w:bookmarkEnd w:id="1644"/>
      <w:bookmarkEnd w:id="1645"/>
      <w:bookmarkEnd w:id="1646"/>
      <w:bookmarkEnd w:id="1647"/>
      <w:bookmarkEnd w:id="1648"/>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[Regulation 120E inserted in Gazette 5 Jul 1991 p. 3359.]</w:t>
      </w:r>
    </w:p>
    <w:p>
      <w:pPr>
        <w:pStyle w:val="Heading2"/>
      </w:pPr>
      <w:bookmarkStart w:id="1649" w:name="_Toc74979018"/>
      <w:bookmarkStart w:id="1650" w:name="_Toc74979282"/>
      <w:bookmarkStart w:id="1651" w:name="_Toc79976580"/>
      <w:bookmarkStart w:id="1652" w:name="_Toc80759851"/>
      <w:bookmarkStart w:id="1653" w:name="_Toc80783614"/>
      <w:bookmarkStart w:id="1654" w:name="_Toc94931281"/>
      <w:bookmarkStart w:id="1655" w:name="_Toc104275404"/>
      <w:bookmarkStart w:id="1656" w:name="_Toc104276735"/>
      <w:bookmarkStart w:id="1657" w:name="_Toc107198956"/>
      <w:bookmarkStart w:id="1658" w:name="_Toc107799408"/>
      <w:bookmarkStart w:id="1659" w:name="_Toc127087415"/>
      <w:bookmarkStart w:id="1660" w:name="_Toc127183728"/>
      <w:bookmarkStart w:id="1661" w:name="_Toc127338149"/>
      <w:bookmarkStart w:id="1662" w:name="_Toc128386470"/>
      <w:bookmarkStart w:id="1663" w:name="_Toc129150317"/>
      <w:bookmarkStart w:id="1664" w:name="_Toc129587599"/>
      <w:bookmarkStart w:id="1665" w:name="_Toc131477293"/>
      <w:bookmarkStart w:id="1666" w:name="_Toc132106669"/>
      <w:bookmarkStart w:id="1667" w:name="_Toc132169202"/>
      <w:bookmarkStart w:id="1668" w:name="_Toc132443196"/>
      <w:bookmarkStart w:id="1669" w:name="_Toc132524098"/>
      <w:bookmarkStart w:id="1670" w:name="_Toc132702967"/>
      <w:bookmarkStart w:id="1671" w:name="_Toc139168060"/>
      <w:bookmarkStart w:id="1672" w:name="_Toc139433752"/>
      <w:bookmarkStart w:id="1673" w:name="_Toc161203066"/>
      <w:bookmarkStart w:id="1674" w:name="_Toc161209518"/>
      <w:r>
        <w:rPr>
          <w:rStyle w:val="CharPartNo"/>
        </w:rPr>
        <w:t>Part VIA</w:t>
      </w:r>
      <w:r>
        <w:t> — </w:t>
      </w:r>
      <w:r>
        <w:rPr>
          <w:rStyle w:val="CharPartText"/>
        </w:rPr>
        <w:t>Inspectors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Footnoteheading"/>
        <w:ind w:left="890"/>
        <w:rPr>
          <w:snapToGrid w:val="0"/>
        </w:rPr>
      </w:pPr>
      <w:r>
        <w:rPr>
          <w:snapToGrid w:val="0"/>
        </w:rPr>
        <w:tab/>
        <w:t>[Heading inserted in Gazette 24 Jun 1994 p. 2934.]</w:t>
      </w:r>
    </w:p>
    <w:p>
      <w:pPr>
        <w:pStyle w:val="Heading3"/>
      </w:pPr>
      <w:bookmarkStart w:id="1675" w:name="_Toc74979019"/>
      <w:bookmarkStart w:id="1676" w:name="_Toc74979283"/>
      <w:bookmarkStart w:id="1677" w:name="_Toc79976581"/>
      <w:bookmarkStart w:id="1678" w:name="_Toc80759852"/>
      <w:bookmarkStart w:id="1679" w:name="_Toc80783615"/>
      <w:bookmarkStart w:id="1680" w:name="_Toc94931282"/>
      <w:bookmarkStart w:id="1681" w:name="_Toc104275405"/>
      <w:bookmarkStart w:id="1682" w:name="_Toc104276736"/>
      <w:bookmarkStart w:id="1683" w:name="_Toc107198957"/>
      <w:bookmarkStart w:id="1684" w:name="_Toc107799409"/>
      <w:bookmarkStart w:id="1685" w:name="_Toc127087416"/>
      <w:bookmarkStart w:id="1686" w:name="_Toc127183729"/>
      <w:bookmarkStart w:id="1687" w:name="_Toc127338150"/>
      <w:bookmarkStart w:id="1688" w:name="_Toc128386471"/>
      <w:bookmarkStart w:id="1689" w:name="_Toc129150318"/>
      <w:bookmarkStart w:id="1690" w:name="_Toc129587600"/>
      <w:bookmarkStart w:id="1691" w:name="_Toc131477294"/>
      <w:bookmarkStart w:id="1692" w:name="_Toc132106670"/>
      <w:bookmarkStart w:id="1693" w:name="_Toc132169203"/>
      <w:bookmarkStart w:id="1694" w:name="_Toc132443197"/>
      <w:bookmarkStart w:id="1695" w:name="_Toc132524099"/>
      <w:bookmarkStart w:id="1696" w:name="_Toc132702968"/>
      <w:bookmarkStart w:id="1697" w:name="_Toc139168061"/>
      <w:bookmarkStart w:id="1698" w:name="_Toc139433753"/>
      <w:bookmarkStart w:id="1699" w:name="_Toc161203067"/>
      <w:bookmarkStart w:id="1700" w:name="_Toc161209519"/>
      <w:r>
        <w:rPr>
          <w:rStyle w:val="CharDivNo"/>
        </w:rPr>
        <w:t>Division 1</w:t>
      </w:r>
      <w:r>
        <w:rPr>
          <w:snapToGrid w:val="0"/>
        </w:rPr>
        <w:t> — </w:t>
      </w:r>
      <w:r>
        <w:rPr>
          <w:rStyle w:val="CharDivText"/>
        </w:rPr>
        <w:t>Inspectors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Footnoteheading"/>
        <w:ind w:left="890"/>
        <w:rPr>
          <w:snapToGrid w:val="0"/>
        </w:rPr>
      </w:pPr>
      <w:r>
        <w:rPr>
          <w:snapToGrid w:val="0"/>
        </w:rPr>
        <w:tab/>
        <w:t>[Heading inserted in Gazette 24 Jun 1994 p. 2934.]</w:t>
      </w:r>
    </w:p>
    <w:p>
      <w:pPr>
        <w:pStyle w:val="Heading5"/>
        <w:rPr>
          <w:snapToGrid w:val="0"/>
        </w:rPr>
      </w:pPr>
      <w:bookmarkStart w:id="1701" w:name="_Toc474633186"/>
      <w:bookmarkStart w:id="1702" w:name="_Toc488740337"/>
      <w:bookmarkStart w:id="1703" w:name="_Toc8623720"/>
      <w:bookmarkStart w:id="1704" w:name="_Toc11229561"/>
      <w:bookmarkStart w:id="1705" w:name="_Toc104276737"/>
      <w:bookmarkStart w:id="1706" w:name="_Toc161209520"/>
      <w:r>
        <w:rPr>
          <w:rStyle w:val="CharSectno"/>
        </w:rPr>
        <w:t>120F</w:t>
      </w:r>
      <w:r>
        <w:rPr>
          <w:snapToGrid w:val="0"/>
        </w:rPr>
        <w:t>.</w:t>
      </w:r>
      <w:r>
        <w:rPr>
          <w:snapToGrid w:val="0"/>
        </w:rPr>
        <w:tab/>
        <w:t>Assignment of inspectors for environmental purpose</w:t>
      </w:r>
      <w:bookmarkEnd w:id="1701"/>
      <w:bookmarkEnd w:id="1702"/>
      <w:bookmarkEnd w:id="1703"/>
      <w:bookmarkEnd w:id="1704"/>
      <w:bookmarkEnd w:id="1705"/>
      <w:bookmarkEnd w:id="1706"/>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1707" w:name="_Toc474633187"/>
      <w:bookmarkStart w:id="1708" w:name="_Toc488740338"/>
      <w:bookmarkStart w:id="1709" w:name="_Toc8623721"/>
      <w:bookmarkStart w:id="1710" w:name="_Toc11229562"/>
      <w:bookmarkStart w:id="1711" w:name="_Toc104276738"/>
      <w:bookmarkStart w:id="1712" w:name="_Toc161209521"/>
      <w:r>
        <w:rPr>
          <w:rStyle w:val="CharSectno"/>
        </w:rPr>
        <w:t>120G</w:t>
      </w:r>
      <w:r>
        <w:rPr>
          <w:snapToGrid w:val="0"/>
        </w:rPr>
        <w:t>.</w:t>
      </w:r>
      <w:r>
        <w:rPr>
          <w:snapToGrid w:val="0"/>
        </w:rPr>
        <w:tab/>
        <w:t>Inspectors may enter mining tenement or mine</w:t>
      </w:r>
      <w:bookmarkEnd w:id="1707"/>
      <w:bookmarkEnd w:id="1708"/>
      <w:bookmarkEnd w:id="1709"/>
      <w:bookmarkEnd w:id="1710"/>
      <w:bookmarkEnd w:id="1711"/>
      <w:bookmarkEnd w:id="1712"/>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1713" w:name="_Toc74979022"/>
      <w:bookmarkStart w:id="1714" w:name="_Toc74979286"/>
      <w:bookmarkStart w:id="1715" w:name="_Toc79976584"/>
      <w:bookmarkStart w:id="1716" w:name="_Toc80759855"/>
      <w:bookmarkStart w:id="1717" w:name="_Toc80783618"/>
      <w:bookmarkStart w:id="1718" w:name="_Toc94931285"/>
      <w:bookmarkStart w:id="1719" w:name="_Toc104275408"/>
      <w:bookmarkStart w:id="1720" w:name="_Toc104276739"/>
      <w:bookmarkStart w:id="1721" w:name="_Toc107198960"/>
      <w:bookmarkStart w:id="1722" w:name="_Toc107799412"/>
      <w:bookmarkStart w:id="1723" w:name="_Toc127087419"/>
      <w:bookmarkStart w:id="1724" w:name="_Toc127183732"/>
      <w:bookmarkStart w:id="1725" w:name="_Toc127338153"/>
      <w:bookmarkStart w:id="1726" w:name="_Toc128386474"/>
      <w:bookmarkStart w:id="1727" w:name="_Toc129150321"/>
      <w:bookmarkStart w:id="1728" w:name="_Toc129587603"/>
      <w:bookmarkStart w:id="1729" w:name="_Toc131477297"/>
      <w:bookmarkStart w:id="1730" w:name="_Toc132106673"/>
      <w:bookmarkStart w:id="1731" w:name="_Toc132169206"/>
      <w:bookmarkStart w:id="1732" w:name="_Toc132443200"/>
      <w:bookmarkStart w:id="1733" w:name="_Toc132524102"/>
      <w:bookmarkStart w:id="1734" w:name="_Toc132702971"/>
      <w:bookmarkStart w:id="1735" w:name="_Toc139168064"/>
      <w:bookmarkStart w:id="1736" w:name="_Toc139433756"/>
      <w:bookmarkStart w:id="1737" w:name="_Toc161203070"/>
      <w:bookmarkStart w:id="1738" w:name="_Toc161209522"/>
      <w:r>
        <w:rPr>
          <w:rStyle w:val="CharDivNo"/>
        </w:rPr>
        <w:t>Division 2</w:t>
      </w:r>
      <w:r>
        <w:rPr>
          <w:snapToGrid w:val="0"/>
        </w:rPr>
        <w:t> — </w:t>
      </w:r>
      <w:r>
        <w:rPr>
          <w:rStyle w:val="CharDivText"/>
        </w:rPr>
        <w:t>Directions to modify mining operations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Footnoteheading"/>
        <w:ind w:left="890"/>
        <w:rPr>
          <w:snapToGrid w:val="0"/>
        </w:rPr>
      </w:pPr>
      <w:r>
        <w:rPr>
          <w:snapToGrid w:val="0"/>
        </w:rPr>
        <w:tab/>
        <w:t>[Heading inserted in Gazette 24 Jun 1994 p. 2935.]</w:t>
      </w:r>
    </w:p>
    <w:p>
      <w:pPr>
        <w:pStyle w:val="Heading5"/>
        <w:rPr>
          <w:snapToGrid w:val="0"/>
        </w:rPr>
      </w:pPr>
      <w:bookmarkStart w:id="1739" w:name="_Toc474633188"/>
      <w:bookmarkStart w:id="1740" w:name="_Toc488740339"/>
      <w:bookmarkStart w:id="1741" w:name="_Toc8623722"/>
      <w:bookmarkStart w:id="1742" w:name="_Toc11229563"/>
      <w:bookmarkStart w:id="1743" w:name="_Toc104276740"/>
      <w:bookmarkStart w:id="1744" w:name="_Toc161209523"/>
      <w:r>
        <w:rPr>
          <w:rStyle w:val="CharSectno"/>
        </w:rPr>
        <w:t>120H</w:t>
      </w:r>
      <w:r>
        <w:rPr>
          <w:snapToGrid w:val="0"/>
        </w:rPr>
        <w:t>.</w:t>
      </w:r>
      <w:r>
        <w:rPr>
          <w:snapToGrid w:val="0"/>
        </w:rPr>
        <w:tab/>
        <w:t>Inspectors may issue directions</w:t>
      </w:r>
      <w:bookmarkEnd w:id="1739"/>
      <w:bookmarkEnd w:id="1740"/>
      <w:bookmarkEnd w:id="1741"/>
      <w:bookmarkEnd w:id="1742"/>
      <w:bookmarkEnd w:id="1743"/>
      <w:bookmarkEnd w:id="174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1745" w:name="_Toc474633189"/>
      <w:bookmarkStart w:id="1746" w:name="_Toc488740340"/>
      <w:bookmarkStart w:id="1747" w:name="_Toc8623723"/>
      <w:bookmarkStart w:id="1748" w:name="_Toc11229564"/>
      <w:bookmarkStart w:id="1749" w:name="_Toc104276741"/>
      <w:bookmarkStart w:id="1750" w:name="_Toc161209524"/>
      <w:r>
        <w:rPr>
          <w:rStyle w:val="CharSectno"/>
        </w:rPr>
        <w:t>120I</w:t>
      </w:r>
      <w:r>
        <w:rPr>
          <w:snapToGrid w:val="0"/>
        </w:rPr>
        <w:t>.</w:t>
      </w:r>
      <w:r>
        <w:rPr>
          <w:snapToGrid w:val="0"/>
        </w:rPr>
        <w:tab/>
        <w:t>Directions</w:t>
      </w:r>
      <w:bookmarkEnd w:id="1745"/>
      <w:bookmarkEnd w:id="1746"/>
      <w:bookmarkEnd w:id="1747"/>
      <w:bookmarkEnd w:id="1748"/>
      <w:bookmarkEnd w:id="1749"/>
      <w:bookmarkEnd w:id="1750"/>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1751" w:name="_Toc474633190"/>
      <w:bookmarkStart w:id="1752" w:name="_Toc488740341"/>
      <w:bookmarkStart w:id="1753" w:name="_Toc8623724"/>
      <w:bookmarkStart w:id="1754" w:name="_Toc11229565"/>
      <w:bookmarkStart w:id="1755" w:name="_Toc104276742"/>
      <w:bookmarkStart w:id="1756" w:name="_Toc161209525"/>
      <w:r>
        <w:rPr>
          <w:rStyle w:val="CharSectno"/>
        </w:rPr>
        <w:t>120J</w:t>
      </w:r>
      <w:r>
        <w:rPr>
          <w:snapToGrid w:val="0"/>
        </w:rPr>
        <w:t>.</w:t>
      </w:r>
      <w:r>
        <w:rPr>
          <w:snapToGrid w:val="0"/>
        </w:rPr>
        <w:tab/>
        <w:t>Review of direction</w:t>
      </w:r>
      <w:bookmarkEnd w:id="1751"/>
      <w:bookmarkEnd w:id="1752"/>
      <w:bookmarkEnd w:id="1753"/>
      <w:bookmarkEnd w:id="1754"/>
      <w:bookmarkEnd w:id="1755"/>
      <w:bookmarkEnd w:id="175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1757" w:name="_Toc474633191"/>
      <w:bookmarkStart w:id="1758" w:name="_Toc488740342"/>
      <w:bookmarkStart w:id="1759" w:name="_Toc8623725"/>
      <w:bookmarkStart w:id="1760" w:name="_Toc11229566"/>
      <w:bookmarkStart w:id="1761" w:name="_Toc104276743"/>
      <w:bookmarkStart w:id="1762" w:name="_Toc161209526"/>
      <w:r>
        <w:rPr>
          <w:rStyle w:val="CharSectno"/>
        </w:rPr>
        <w:t>120K</w:t>
      </w:r>
      <w:r>
        <w:rPr>
          <w:snapToGrid w:val="0"/>
        </w:rPr>
        <w:t>.</w:t>
      </w:r>
      <w:r>
        <w:rPr>
          <w:snapToGrid w:val="0"/>
        </w:rPr>
        <w:tab/>
        <w:t>Compliance with directions</w:t>
      </w:r>
      <w:bookmarkEnd w:id="1757"/>
      <w:bookmarkEnd w:id="1758"/>
      <w:bookmarkEnd w:id="1759"/>
      <w:bookmarkEnd w:id="1760"/>
      <w:bookmarkEnd w:id="1761"/>
      <w:bookmarkEnd w:id="1762"/>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1763" w:name="_Toc74979027"/>
      <w:bookmarkStart w:id="1764" w:name="_Toc74979291"/>
      <w:bookmarkStart w:id="1765" w:name="_Toc79976589"/>
      <w:bookmarkStart w:id="1766" w:name="_Toc80759860"/>
      <w:bookmarkStart w:id="1767" w:name="_Toc80783623"/>
      <w:bookmarkStart w:id="1768" w:name="_Toc94931290"/>
      <w:bookmarkStart w:id="1769" w:name="_Toc104275413"/>
      <w:bookmarkStart w:id="1770" w:name="_Toc104276744"/>
      <w:bookmarkStart w:id="1771" w:name="_Toc107198965"/>
      <w:bookmarkStart w:id="1772" w:name="_Toc107799417"/>
      <w:bookmarkStart w:id="1773" w:name="_Toc127087424"/>
      <w:bookmarkStart w:id="1774" w:name="_Toc127183737"/>
      <w:bookmarkStart w:id="1775" w:name="_Toc127338158"/>
      <w:bookmarkStart w:id="1776" w:name="_Toc128386479"/>
      <w:bookmarkStart w:id="1777" w:name="_Toc129150326"/>
      <w:bookmarkStart w:id="1778" w:name="_Toc129587608"/>
      <w:bookmarkStart w:id="1779" w:name="_Toc131477302"/>
      <w:bookmarkStart w:id="1780" w:name="_Toc132106678"/>
      <w:bookmarkStart w:id="1781" w:name="_Toc132169211"/>
      <w:bookmarkStart w:id="1782" w:name="_Toc132443205"/>
      <w:bookmarkStart w:id="1783" w:name="_Toc132524107"/>
      <w:bookmarkStart w:id="1784" w:name="_Toc132702976"/>
      <w:bookmarkStart w:id="1785" w:name="_Toc139168069"/>
      <w:bookmarkStart w:id="1786" w:name="_Toc139433761"/>
      <w:bookmarkStart w:id="1787" w:name="_Toc161203075"/>
      <w:bookmarkStart w:id="1788" w:name="_Toc161209527"/>
      <w:r>
        <w:rPr>
          <w:rStyle w:val="CharDivNo"/>
        </w:rPr>
        <w:t>Division 3</w:t>
      </w:r>
      <w:r>
        <w:rPr>
          <w:snapToGrid w:val="0"/>
        </w:rPr>
        <w:t> — </w:t>
      </w:r>
      <w:r>
        <w:rPr>
          <w:rStyle w:val="CharDivText"/>
        </w:rPr>
        <w:t>Stop Work Orders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Footnoteheading"/>
        <w:ind w:left="890"/>
        <w:rPr>
          <w:snapToGrid w:val="0"/>
        </w:rPr>
      </w:pPr>
      <w:r>
        <w:rPr>
          <w:snapToGrid w:val="0"/>
        </w:rPr>
        <w:tab/>
        <w:t>[Heading inserted in Gazette 24 Jun 1994 p. 2936.]</w:t>
      </w:r>
    </w:p>
    <w:p>
      <w:pPr>
        <w:pStyle w:val="Heading5"/>
        <w:rPr>
          <w:snapToGrid w:val="0"/>
        </w:rPr>
      </w:pPr>
      <w:bookmarkStart w:id="1789" w:name="_Toc474633192"/>
      <w:bookmarkStart w:id="1790" w:name="_Toc488740343"/>
      <w:bookmarkStart w:id="1791" w:name="_Toc8623726"/>
      <w:bookmarkStart w:id="1792" w:name="_Toc11229567"/>
      <w:bookmarkStart w:id="1793" w:name="_Toc104276745"/>
      <w:bookmarkStart w:id="1794" w:name="_Toc161209528"/>
      <w:r>
        <w:rPr>
          <w:rStyle w:val="CharSectno"/>
        </w:rPr>
        <w:t>120L</w:t>
      </w:r>
      <w:r>
        <w:rPr>
          <w:snapToGrid w:val="0"/>
        </w:rPr>
        <w:t>.</w:t>
      </w:r>
      <w:r>
        <w:rPr>
          <w:snapToGrid w:val="0"/>
        </w:rPr>
        <w:tab/>
        <w:t>Inspectors may issue Stop Work Orders</w:t>
      </w:r>
      <w:bookmarkEnd w:id="1789"/>
      <w:bookmarkEnd w:id="1790"/>
      <w:bookmarkEnd w:id="1791"/>
      <w:bookmarkEnd w:id="1792"/>
      <w:bookmarkEnd w:id="1793"/>
      <w:bookmarkEnd w:id="1794"/>
    </w:p>
    <w:p>
      <w:pPr>
        <w:pStyle w:val="Subsection"/>
        <w:rPr>
          <w:snapToGrid w:val="0"/>
        </w:rPr>
      </w:pPr>
      <w:r>
        <w:rPr>
          <w:snapToGrid w:val="0"/>
        </w:rPr>
        <w:tab/>
        <w:t>(1)</w:t>
      </w:r>
      <w:r>
        <w:rPr>
          <w:snapToGrid w:val="0"/>
        </w:rPr>
        <w:tab/>
        <w:t>If an inspector or a senior inspector is of the opinion that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1795" w:name="_Toc474633193"/>
      <w:bookmarkStart w:id="1796" w:name="_Toc488740344"/>
      <w:bookmarkStart w:id="1797" w:name="_Toc8623727"/>
      <w:bookmarkStart w:id="1798" w:name="_Toc11229568"/>
      <w:bookmarkStart w:id="1799" w:name="_Toc104276746"/>
      <w:bookmarkStart w:id="1800" w:name="_Toc161209529"/>
      <w:r>
        <w:rPr>
          <w:rStyle w:val="CharSectno"/>
        </w:rPr>
        <w:t>120M</w:t>
      </w:r>
      <w:r>
        <w:rPr>
          <w:snapToGrid w:val="0"/>
        </w:rPr>
        <w:t>.</w:t>
      </w:r>
      <w:r>
        <w:rPr>
          <w:snapToGrid w:val="0"/>
        </w:rPr>
        <w:tab/>
        <w:t>Stop Work Orders</w:t>
      </w:r>
      <w:bookmarkEnd w:id="1795"/>
      <w:bookmarkEnd w:id="1796"/>
      <w:bookmarkEnd w:id="1797"/>
      <w:bookmarkEnd w:id="1798"/>
      <w:bookmarkEnd w:id="1799"/>
      <w:bookmarkEnd w:id="1800"/>
    </w:p>
    <w:p>
      <w:pPr>
        <w:pStyle w:val="Subsection"/>
        <w:rPr>
          <w:snapToGrid w:val="0"/>
        </w:rPr>
      </w:pPr>
      <w:r>
        <w:rPr>
          <w:snapToGrid w:val="0"/>
        </w:rPr>
        <w:tab/>
      </w:r>
      <w:r>
        <w:rPr>
          <w:snapToGrid w:val="0"/>
        </w:rPr>
        <w:tab/>
        <w:t>A Stop Work Order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[Regulation 120M inserted in Gazette 24 Jun 1994 p. 2937.]</w:t>
      </w:r>
    </w:p>
    <w:p>
      <w:pPr>
        <w:pStyle w:val="Heading5"/>
        <w:rPr>
          <w:snapToGrid w:val="0"/>
        </w:rPr>
      </w:pPr>
      <w:bookmarkStart w:id="1801" w:name="_Toc474633194"/>
      <w:bookmarkStart w:id="1802" w:name="_Toc488740345"/>
      <w:bookmarkStart w:id="1803" w:name="_Toc8623728"/>
      <w:bookmarkStart w:id="1804" w:name="_Toc11229569"/>
      <w:bookmarkStart w:id="1805" w:name="_Toc104276747"/>
      <w:bookmarkStart w:id="1806" w:name="_Toc161209530"/>
      <w:r>
        <w:rPr>
          <w:rStyle w:val="CharSectno"/>
        </w:rPr>
        <w:t>120N</w:t>
      </w:r>
      <w:r>
        <w:rPr>
          <w:snapToGrid w:val="0"/>
        </w:rPr>
        <w:t>.</w:t>
      </w:r>
      <w:r>
        <w:rPr>
          <w:snapToGrid w:val="0"/>
        </w:rPr>
        <w:tab/>
        <w:t>Review of a Stop Work Order</w:t>
      </w:r>
      <w:bookmarkEnd w:id="1801"/>
      <w:bookmarkEnd w:id="1802"/>
      <w:bookmarkEnd w:id="1803"/>
      <w:bookmarkEnd w:id="1804"/>
      <w:bookmarkEnd w:id="1805"/>
      <w:bookmarkEnd w:id="180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1807" w:name="_Toc474633195"/>
      <w:bookmarkStart w:id="1808" w:name="_Toc488740346"/>
      <w:bookmarkStart w:id="1809" w:name="_Toc8623729"/>
      <w:bookmarkStart w:id="1810" w:name="_Toc11229570"/>
      <w:bookmarkStart w:id="1811" w:name="_Toc104276748"/>
      <w:bookmarkStart w:id="1812" w:name="_Toc161209531"/>
      <w:r>
        <w:rPr>
          <w:rStyle w:val="CharSectno"/>
        </w:rPr>
        <w:t>120O</w:t>
      </w:r>
      <w:r>
        <w:rPr>
          <w:snapToGrid w:val="0"/>
        </w:rPr>
        <w:t>.</w:t>
      </w:r>
      <w:r>
        <w:rPr>
          <w:snapToGrid w:val="0"/>
        </w:rPr>
        <w:tab/>
        <w:t>Compliance with Stop Work Orders</w:t>
      </w:r>
      <w:bookmarkEnd w:id="1807"/>
      <w:bookmarkEnd w:id="1808"/>
      <w:bookmarkEnd w:id="1809"/>
      <w:bookmarkEnd w:id="1810"/>
      <w:bookmarkEnd w:id="1811"/>
      <w:bookmarkEnd w:id="181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1813" w:name="_Toc74979032"/>
      <w:bookmarkStart w:id="1814" w:name="_Toc74979296"/>
      <w:bookmarkStart w:id="1815" w:name="_Toc79976594"/>
      <w:bookmarkStart w:id="1816" w:name="_Toc80759865"/>
      <w:bookmarkStart w:id="1817" w:name="_Toc80783628"/>
      <w:bookmarkStart w:id="1818" w:name="_Toc94931295"/>
      <w:bookmarkStart w:id="1819" w:name="_Toc104275418"/>
      <w:bookmarkStart w:id="1820" w:name="_Toc104276749"/>
      <w:bookmarkStart w:id="1821" w:name="_Toc107198970"/>
      <w:bookmarkStart w:id="1822" w:name="_Toc107799422"/>
      <w:bookmarkStart w:id="1823" w:name="_Toc127087429"/>
      <w:bookmarkStart w:id="1824" w:name="_Toc127183742"/>
      <w:bookmarkStart w:id="1825" w:name="_Toc127338163"/>
      <w:bookmarkStart w:id="1826" w:name="_Toc128386484"/>
      <w:bookmarkStart w:id="1827" w:name="_Toc129150331"/>
      <w:bookmarkStart w:id="1828" w:name="_Toc129587613"/>
      <w:bookmarkStart w:id="1829" w:name="_Toc131477307"/>
      <w:bookmarkStart w:id="1830" w:name="_Toc132106683"/>
      <w:bookmarkStart w:id="1831" w:name="_Toc132169216"/>
      <w:bookmarkStart w:id="1832" w:name="_Toc132443210"/>
      <w:bookmarkStart w:id="1833" w:name="_Toc132524112"/>
      <w:bookmarkStart w:id="1834" w:name="_Toc132702981"/>
      <w:bookmarkStart w:id="1835" w:name="_Toc139168074"/>
      <w:bookmarkStart w:id="1836" w:name="_Toc139433766"/>
      <w:bookmarkStart w:id="1837" w:name="_Toc161203080"/>
      <w:bookmarkStart w:id="1838" w:name="_Toc161209532"/>
      <w:r>
        <w:rPr>
          <w:rStyle w:val="CharPartNo"/>
        </w:rPr>
        <w:t>Part VIB</w:t>
      </w:r>
      <w:r>
        <w:rPr>
          <w:rStyle w:val="CharDivNo"/>
        </w:rPr>
        <w:t> </w:t>
      </w:r>
      <w:r>
        <w:t>—</w:t>
      </w:r>
      <w:r>
        <w:rPr>
          <w:rStyle w:val="CharDivText"/>
        </w:rPr>
        <w:t> </w:t>
      </w:r>
      <w:r>
        <w:rPr>
          <w:rStyle w:val="CharPartText"/>
        </w:rPr>
        <w:t>Aerial photography</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Footnoteheading"/>
        <w:ind w:left="890"/>
      </w:pPr>
      <w:r>
        <w:tab/>
        <w:t>[Heading inserted in Gazette 13 Oct 1995 p. 4821.]</w:t>
      </w:r>
    </w:p>
    <w:p>
      <w:pPr>
        <w:pStyle w:val="Heading5"/>
        <w:rPr>
          <w:snapToGrid w:val="0"/>
        </w:rPr>
      </w:pPr>
      <w:bookmarkStart w:id="1839" w:name="_Toc474633196"/>
      <w:bookmarkStart w:id="1840" w:name="_Toc488740347"/>
      <w:bookmarkStart w:id="1841" w:name="_Toc8623730"/>
      <w:bookmarkStart w:id="1842" w:name="_Toc11229571"/>
      <w:bookmarkStart w:id="1843" w:name="_Toc104276750"/>
      <w:bookmarkStart w:id="1844" w:name="_Toc161209533"/>
      <w:r>
        <w:rPr>
          <w:rStyle w:val="CharSectno"/>
        </w:rPr>
        <w:t>120P</w:t>
      </w:r>
      <w:r>
        <w:rPr>
          <w:snapToGrid w:val="0"/>
        </w:rPr>
        <w:t>.</w:t>
      </w:r>
      <w:r>
        <w:rPr>
          <w:snapToGrid w:val="0"/>
        </w:rPr>
        <w:tab/>
      </w:r>
      <w:bookmarkEnd w:id="1839"/>
      <w:bookmarkEnd w:id="1840"/>
      <w:bookmarkEnd w:id="1841"/>
      <w:bookmarkEnd w:id="1842"/>
      <w:bookmarkEnd w:id="1843"/>
      <w:r>
        <w:rPr>
          <w:snapToGrid w:val="0"/>
        </w:rPr>
        <w:t>Terms used in this Part</w:t>
      </w:r>
      <w:bookmarkEnd w:id="1844"/>
    </w:p>
    <w:p>
      <w:pPr>
        <w:pStyle w:val="Subsection"/>
        <w:rPr>
          <w:snapToGrid w:val="0"/>
        </w:rPr>
      </w:pPr>
      <w:r>
        <w:rPr>
          <w:snapToGrid w:val="0"/>
        </w:rPr>
        <w:tab/>
      </w:r>
      <w:r>
        <w:rPr>
          <w:snapToGrid w:val="0"/>
        </w:rPr>
        <w:tab/>
        <w:t>In this Part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1845" w:name="_Toc474633197"/>
      <w:bookmarkStart w:id="1846" w:name="_Toc488740348"/>
      <w:bookmarkStart w:id="1847" w:name="_Toc8623731"/>
      <w:bookmarkStart w:id="1848" w:name="_Toc11229572"/>
      <w:bookmarkStart w:id="1849" w:name="_Toc104276751"/>
      <w:bookmarkStart w:id="1850" w:name="_Toc161209534"/>
      <w:r>
        <w:rPr>
          <w:rStyle w:val="CharSectno"/>
        </w:rPr>
        <w:t>120Q</w:t>
      </w:r>
      <w:r>
        <w:rPr>
          <w:snapToGrid w:val="0"/>
        </w:rPr>
        <w:t>.</w:t>
      </w:r>
      <w:r>
        <w:rPr>
          <w:snapToGrid w:val="0"/>
        </w:rPr>
        <w:tab/>
        <w:t>Information to be provided as to aerial photography</w:t>
      </w:r>
      <w:bookmarkEnd w:id="1845"/>
      <w:bookmarkEnd w:id="1846"/>
      <w:bookmarkEnd w:id="1847"/>
      <w:bookmarkEnd w:id="1848"/>
      <w:bookmarkEnd w:id="1849"/>
      <w:bookmarkEnd w:id="1850"/>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1851" w:name="_Toc474633198"/>
      <w:bookmarkStart w:id="1852" w:name="_Toc488740349"/>
      <w:bookmarkStart w:id="1853" w:name="_Toc8623732"/>
      <w:bookmarkStart w:id="1854" w:name="_Toc11229573"/>
      <w:bookmarkStart w:id="1855" w:name="_Toc104276752"/>
      <w:bookmarkStart w:id="1856" w:name="_Toc161209535"/>
      <w:r>
        <w:rPr>
          <w:rStyle w:val="CharSectno"/>
        </w:rPr>
        <w:t>120R</w:t>
      </w:r>
      <w:r>
        <w:rPr>
          <w:snapToGrid w:val="0"/>
        </w:rPr>
        <w:t>.</w:t>
      </w:r>
      <w:r>
        <w:rPr>
          <w:snapToGrid w:val="0"/>
        </w:rPr>
        <w:tab/>
        <w:t>Register</w:t>
      </w:r>
      <w:bookmarkEnd w:id="1851"/>
      <w:bookmarkEnd w:id="1852"/>
      <w:bookmarkEnd w:id="1853"/>
      <w:bookmarkEnd w:id="1854"/>
      <w:bookmarkEnd w:id="1855"/>
      <w:bookmarkEnd w:id="1856"/>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1857" w:name="_Toc474633199"/>
      <w:bookmarkStart w:id="1858" w:name="_Toc488740350"/>
      <w:bookmarkStart w:id="1859" w:name="_Toc8623733"/>
      <w:bookmarkStart w:id="1860" w:name="_Toc11229574"/>
      <w:bookmarkStart w:id="1861" w:name="_Toc104276753"/>
      <w:bookmarkStart w:id="1862" w:name="_Toc161209536"/>
      <w:r>
        <w:rPr>
          <w:rStyle w:val="CharSectno"/>
        </w:rPr>
        <w:t>120S</w:t>
      </w:r>
      <w:r>
        <w:rPr>
          <w:snapToGrid w:val="0"/>
        </w:rPr>
        <w:t>.</w:t>
      </w:r>
      <w:r>
        <w:rPr>
          <w:snapToGrid w:val="0"/>
        </w:rPr>
        <w:tab/>
        <w:t>Confidentiality of information</w:t>
      </w:r>
      <w:bookmarkEnd w:id="1857"/>
      <w:bookmarkEnd w:id="1858"/>
      <w:bookmarkEnd w:id="1859"/>
      <w:bookmarkEnd w:id="1860"/>
      <w:bookmarkEnd w:id="1861"/>
      <w:bookmarkEnd w:id="1862"/>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1863" w:name="_Toc74979037"/>
      <w:bookmarkStart w:id="1864" w:name="_Toc74979301"/>
      <w:bookmarkStart w:id="1865" w:name="_Toc79976599"/>
      <w:bookmarkStart w:id="1866" w:name="_Toc80759870"/>
      <w:bookmarkStart w:id="1867" w:name="_Toc80783633"/>
      <w:bookmarkStart w:id="1868" w:name="_Toc94931300"/>
      <w:bookmarkStart w:id="1869" w:name="_Toc104275423"/>
      <w:bookmarkStart w:id="1870" w:name="_Toc104276754"/>
      <w:bookmarkStart w:id="1871" w:name="_Toc107198975"/>
      <w:bookmarkStart w:id="1872" w:name="_Toc107799427"/>
      <w:bookmarkStart w:id="1873" w:name="_Toc127087434"/>
      <w:bookmarkStart w:id="1874" w:name="_Toc127183747"/>
      <w:bookmarkStart w:id="1875" w:name="_Toc127338168"/>
      <w:bookmarkStart w:id="1876" w:name="_Toc128386489"/>
      <w:bookmarkStart w:id="1877" w:name="_Toc129150336"/>
      <w:bookmarkStart w:id="1878" w:name="_Toc129587618"/>
      <w:bookmarkStart w:id="1879" w:name="_Toc131477312"/>
      <w:bookmarkStart w:id="1880" w:name="_Toc132106688"/>
      <w:bookmarkStart w:id="1881" w:name="_Toc132169221"/>
      <w:bookmarkStart w:id="1882" w:name="_Toc132443215"/>
      <w:bookmarkStart w:id="1883" w:name="_Toc132524117"/>
      <w:bookmarkStart w:id="1884" w:name="_Toc132702986"/>
      <w:bookmarkStart w:id="1885" w:name="_Toc139168079"/>
      <w:bookmarkStart w:id="1886" w:name="_Toc139433771"/>
      <w:bookmarkStart w:id="1887" w:name="_Toc161203085"/>
      <w:bookmarkStart w:id="1888" w:name="_Toc161209537"/>
      <w:r>
        <w:rPr>
          <w:rStyle w:val="CharPartNo"/>
        </w:rPr>
        <w:t>Part VII</w:t>
      </w:r>
      <w:r>
        <w:rPr>
          <w:rStyle w:val="CharDivNo"/>
        </w:rPr>
        <w:t> </w:t>
      </w:r>
      <w:r>
        <w:t>—</w:t>
      </w:r>
      <w:r>
        <w:rPr>
          <w:rStyle w:val="CharDivText"/>
        </w:rPr>
        <w:t> </w:t>
      </w:r>
      <w:r>
        <w:rPr>
          <w:rStyle w:val="CharPartText"/>
        </w:rPr>
        <w:t>Legal proceedings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5"/>
        <w:rPr>
          <w:snapToGrid w:val="0"/>
        </w:rPr>
      </w:pPr>
      <w:bookmarkStart w:id="1889" w:name="_Toc474633200"/>
      <w:bookmarkStart w:id="1890" w:name="_Toc488740351"/>
      <w:bookmarkStart w:id="1891" w:name="_Toc8623734"/>
      <w:bookmarkStart w:id="1892" w:name="_Toc11229575"/>
      <w:bookmarkStart w:id="1893" w:name="_Toc104276755"/>
      <w:bookmarkStart w:id="1894" w:name="_Toc161209538"/>
      <w:r>
        <w:rPr>
          <w:rStyle w:val="CharSectno"/>
        </w:rPr>
        <w:t>121</w:t>
      </w:r>
      <w:r>
        <w:rPr>
          <w:snapToGrid w:val="0"/>
        </w:rPr>
        <w:t>.</w:t>
      </w:r>
      <w:r>
        <w:rPr>
          <w:snapToGrid w:val="0"/>
        </w:rPr>
        <w:tab/>
        <w:t>Proceedings</w:t>
      </w:r>
      <w:bookmarkEnd w:id="1889"/>
      <w:bookmarkEnd w:id="1890"/>
      <w:bookmarkEnd w:id="1891"/>
      <w:bookmarkEnd w:id="1892"/>
      <w:bookmarkEnd w:id="1893"/>
      <w:bookmarkEnd w:id="1894"/>
    </w:p>
    <w:p>
      <w:pPr>
        <w:pStyle w:val="Subsection"/>
        <w:spacing w:before="12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20"/>
        <w:rPr>
          <w:snapToGrid w:val="0"/>
        </w:rPr>
      </w:pPr>
      <w:r>
        <w:rPr>
          <w:snapToGrid w:val="0"/>
        </w:rPr>
        <w:tab/>
        <w:t>(2)</w:t>
      </w:r>
      <w:r>
        <w:rPr>
          <w:snapToGrid w:val="0"/>
        </w:rPr>
        <w:tab/>
        <w:t>Fees payable in respect of such proceedings are respectively set out in the Second Schedule.</w:t>
      </w:r>
    </w:p>
    <w:p>
      <w:pPr>
        <w:pStyle w:val="Heading5"/>
        <w:rPr>
          <w:snapToGrid w:val="0"/>
        </w:rPr>
      </w:pPr>
      <w:bookmarkStart w:id="1895" w:name="_Toc474633201"/>
      <w:bookmarkStart w:id="1896" w:name="_Toc488740352"/>
      <w:bookmarkStart w:id="1897" w:name="_Toc8623735"/>
      <w:bookmarkStart w:id="1898" w:name="_Toc11229576"/>
      <w:bookmarkStart w:id="1899" w:name="_Toc104276756"/>
      <w:bookmarkStart w:id="1900" w:name="_Toc161209539"/>
      <w:r>
        <w:rPr>
          <w:rStyle w:val="CharSectno"/>
        </w:rPr>
        <w:t>122</w:t>
      </w:r>
      <w:r>
        <w:rPr>
          <w:snapToGrid w:val="0"/>
        </w:rPr>
        <w:t>.</w:t>
      </w:r>
      <w:r>
        <w:rPr>
          <w:snapToGrid w:val="0"/>
        </w:rPr>
        <w:tab/>
        <w:t>Lodgment, withdrawal of plaint</w:t>
      </w:r>
      <w:bookmarkEnd w:id="1895"/>
      <w:bookmarkEnd w:id="1896"/>
      <w:bookmarkEnd w:id="1897"/>
      <w:bookmarkEnd w:id="1898"/>
      <w:bookmarkEnd w:id="1899"/>
      <w:bookmarkEnd w:id="1900"/>
    </w:p>
    <w:p>
      <w:pPr>
        <w:pStyle w:val="Subsection"/>
        <w:spacing w:before="120"/>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spacing w:before="120"/>
        <w:rPr>
          <w:snapToGrid w:val="0"/>
        </w:rPr>
      </w:pPr>
      <w:r>
        <w:rPr>
          <w:snapToGrid w:val="0"/>
        </w:rPr>
        <w:tab/>
        <w:t>(2)</w:t>
      </w:r>
      <w:r>
        <w:rPr>
          <w:snapToGrid w:val="0"/>
        </w:rPr>
        <w:tab/>
        <w:t>A plaint shall not be withdrawn or proceedings stayed after a summons has been served without the written consent of the defendant or by leave of the warden.</w:t>
      </w:r>
    </w:p>
    <w:p>
      <w:pPr>
        <w:pStyle w:val="Heading5"/>
        <w:rPr>
          <w:snapToGrid w:val="0"/>
        </w:rPr>
      </w:pPr>
      <w:bookmarkStart w:id="1901" w:name="_Toc474633202"/>
      <w:bookmarkStart w:id="1902" w:name="_Toc488740353"/>
      <w:bookmarkStart w:id="1903" w:name="_Toc8623736"/>
      <w:bookmarkStart w:id="1904" w:name="_Toc11229577"/>
      <w:bookmarkStart w:id="1905" w:name="_Toc104276757"/>
      <w:bookmarkStart w:id="1906" w:name="_Toc161209540"/>
      <w:r>
        <w:rPr>
          <w:rStyle w:val="CharSectno"/>
        </w:rPr>
        <w:t>123</w:t>
      </w:r>
      <w:r>
        <w:rPr>
          <w:snapToGrid w:val="0"/>
        </w:rPr>
        <w:t>.</w:t>
      </w:r>
      <w:r>
        <w:rPr>
          <w:snapToGrid w:val="0"/>
        </w:rPr>
        <w:tab/>
        <w:t>Issue of summons</w:t>
      </w:r>
      <w:bookmarkEnd w:id="1901"/>
      <w:bookmarkEnd w:id="1902"/>
      <w:bookmarkEnd w:id="1903"/>
      <w:bookmarkEnd w:id="1904"/>
      <w:bookmarkEnd w:id="1905"/>
      <w:bookmarkEnd w:id="1906"/>
    </w:p>
    <w:p>
      <w:pPr>
        <w:pStyle w:val="Subsection"/>
        <w:spacing w:before="120"/>
        <w:rPr>
          <w:snapToGrid w:val="0"/>
        </w:rPr>
      </w:pPr>
      <w:r>
        <w:rPr>
          <w:snapToGrid w:val="0"/>
        </w:rPr>
        <w:tab/>
      </w:r>
      <w:r>
        <w:rPr>
          <w:snapToGrid w:val="0"/>
        </w:rPr>
        <w:tab/>
        <w:t>On receipt of a plaint, the mining registrar shall —</w:t>
      </w:r>
    </w:p>
    <w:p>
      <w:pPr>
        <w:pStyle w:val="Indenta"/>
        <w:rPr>
          <w:snapToGrid w:val="0"/>
        </w:rPr>
      </w:pPr>
      <w:r>
        <w:rPr>
          <w:snapToGrid w:val="0"/>
        </w:rPr>
        <w:tab/>
        <w:t>(a)</w:t>
      </w:r>
      <w:r>
        <w:rPr>
          <w:snapToGrid w:val="0"/>
        </w:rPr>
        <w:tab/>
        <w:t>fix a date and time for hearing in the warden’s court being not less than </w:t>
      </w:r>
      <w:r>
        <w:t>45</w:t>
      </w:r>
      <w:r>
        <w:rPr>
          <w:snapToGrid w:val="0"/>
        </w:rPr>
        <w:t> days from the date of lodgment, unless all parties to the action consent to an earlier hearing date;</w:t>
      </w:r>
    </w:p>
    <w:p>
      <w:pPr>
        <w:pStyle w:val="Indenta"/>
        <w:rPr>
          <w:snapToGrid w:val="0"/>
        </w:rPr>
      </w:pPr>
      <w:r>
        <w:rPr>
          <w:snapToGrid w:val="0"/>
        </w:rPr>
        <w:tab/>
        <w:t>(b)</w:t>
      </w:r>
      <w:r>
        <w:rPr>
          <w:snapToGrid w:val="0"/>
        </w:rPr>
        <w:tab/>
        <w:t>advise the plaintiff of the hearing date; and</w:t>
      </w:r>
    </w:p>
    <w:p>
      <w:pPr>
        <w:pStyle w:val="Indenta"/>
        <w:rPr>
          <w:snapToGrid w:val="0"/>
        </w:rPr>
      </w:pPr>
      <w:r>
        <w:rPr>
          <w:snapToGrid w:val="0"/>
        </w:rPr>
        <w:tab/>
        <w:t>(c)</w:t>
      </w:r>
      <w:r>
        <w:rPr>
          <w:snapToGrid w:val="0"/>
        </w:rPr>
        <w:tab/>
        <w:t>issue a summons in the form No. 34 in the First Schedule in duplicate addressed to each defendant and forward it for service to —</w:t>
      </w:r>
    </w:p>
    <w:p>
      <w:pPr>
        <w:pStyle w:val="Indenti"/>
        <w:rPr>
          <w:snapToGrid w:val="0"/>
        </w:rPr>
      </w:pPr>
      <w:r>
        <w:rPr>
          <w:snapToGrid w:val="0"/>
        </w:rPr>
        <w:tab/>
        <w:t>(i)</w:t>
      </w:r>
      <w:r>
        <w:rPr>
          <w:snapToGrid w:val="0"/>
        </w:rPr>
        <w:tab/>
        <w:t>the plaintiff;</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Footnotesection"/>
      </w:pPr>
      <w:r>
        <w:tab/>
        <w:t>[Regulation 123 amended in Gazette 17 Jan 2003 p. 114.]</w:t>
      </w:r>
    </w:p>
    <w:p>
      <w:pPr>
        <w:pStyle w:val="Heading5"/>
        <w:rPr>
          <w:snapToGrid w:val="0"/>
        </w:rPr>
      </w:pPr>
      <w:bookmarkStart w:id="1907" w:name="_Toc474633203"/>
      <w:bookmarkStart w:id="1908" w:name="_Toc488740354"/>
      <w:bookmarkStart w:id="1909" w:name="_Toc8623737"/>
      <w:bookmarkStart w:id="1910" w:name="_Toc11229578"/>
      <w:bookmarkStart w:id="1911" w:name="_Toc104276758"/>
      <w:bookmarkStart w:id="1912" w:name="_Toc161209541"/>
      <w:r>
        <w:rPr>
          <w:rStyle w:val="CharSectno"/>
        </w:rPr>
        <w:t>124</w:t>
      </w:r>
      <w:r>
        <w:rPr>
          <w:snapToGrid w:val="0"/>
        </w:rPr>
        <w:t>.</w:t>
      </w:r>
      <w:r>
        <w:rPr>
          <w:snapToGrid w:val="0"/>
        </w:rPr>
        <w:tab/>
        <w:t>Affidavit of service</w:t>
      </w:r>
      <w:bookmarkEnd w:id="1907"/>
      <w:bookmarkEnd w:id="1908"/>
      <w:bookmarkEnd w:id="1909"/>
      <w:bookmarkEnd w:id="1910"/>
      <w:bookmarkEnd w:id="1911"/>
      <w:bookmarkEnd w:id="1912"/>
    </w:p>
    <w:p>
      <w:pPr>
        <w:pStyle w:val="Subsection"/>
        <w:spacing w:before="120"/>
        <w:rPr>
          <w:snapToGrid w:val="0"/>
        </w:rPr>
      </w:pPr>
      <w:r>
        <w:rPr>
          <w:snapToGrid w:val="0"/>
        </w:rPr>
        <w:tab/>
      </w:r>
      <w:r>
        <w:rPr>
          <w:snapToGrid w:val="0"/>
        </w:rPr>
        <w:tab/>
        <w:t>The person to whom the summonses are delivered shall serve them without delay, and thereupon shall make an affidavit of service, in the form No. 35 in the First Schedule and deliver it to the mining registrar.</w:t>
      </w:r>
    </w:p>
    <w:p>
      <w:pPr>
        <w:pStyle w:val="Heading5"/>
        <w:rPr>
          <w:snapToGrid w:val="0"/>
        </w:rPr>
      </w:pPr>
      <w:bookmarkStart w:id="1913" w:name="_Toc474633204"/>
      <w:bookmarkStart w:id="1914" w:name="_Toc488740355"/>
      <w:bookmarkStart w:id="1915" w:name="_Toc8623738"/>
      <w:bookmarkStart w:id="1916" w:name="_Toc11229579"/>
      <w:bookmarkStart w:id="1917" w:name="_Toc104276759"/>
      <w:bookmarkStart w:id="1918" w:name="_Toc161209542"/>
      <w:r>
        <w:rPr>
          <w:rStyle w:val="CharSectno"/>
        </w:rPr>
        <w:t>125</w:t>
      </w:r>
      <w:r>
        <w:rPr>
          <w:snapToGrid w:val="0"/>
        </w:rPr>
        <w:t>.</w:t>
      </w:r>
      <w:r>
        <w:rPr>
          <w:snapToGrid w:val="0"/>
        </w:rPr>
        <w:tab/>
        <w:t>Time for service</w:t>
      </w:r>
      <w:bookmarkEnd w:id="1913"/>
      <w:bookmarkEnd w:id="1914"/>
      <w:bookmarkEnd w:id="1915"/>
      <w:bookmarkEnd w:id="1916"/>
      <w:bookmarkEnd w:id="1917"/>
      <w:bookmarkEnd w:id="1918"/>
    </w:p>
    <w:p>
      <w:pPr>
        <w:pStyle w:val="Subsection"/>
        <w:spacing w:before="120"/>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spacing w:before="120"/>
        <w:rPr>
          <w:snapToGrid w:val="0"/>
        </w:rPr>
      </w:pPr>
      <w:r>
        <w:rPr>
          <w:snapToGrid w:val="0"/>
        </w:rPr>
        <w:tab/>
        <w:t>(2)</w:t>
      </w:r>
      <w:r>
        <w:rPr>
          <w:snapToGrid w:val="0"/>
        </w:rPr>
        <w:tab/>
        <w:t>Where a summons has not been served within the prescribed time, the warden or mining registrar may, on giving notice to the plaintiff, extend the date of hearing and issue an amended summons.</w:t>
      </w:r>
    </w:p>
    <w:p>
      <w:pPr>
        <w:pStyle w:val="Footnotesection"/>
      </w:pPr>
      <w:r>
        <w:tab/>
        <w:t>[Regulation 125 amended in Gazette 17 Jan 2003 p. 114.]</w:t>
      </w:r>
    </w:p>
    <w:p>
      <w:pPr>
        <w:pStyle w:val="Heading5"/>
        <w:rPr>
          <w:snapToGrid w:val="0"/>
        </w:rPr>
      </w:pPr>
      <w:bookmarkStart w:id="1919" w:name="_Toc474633205"/>
      <w:bookmarkStart w:id="1920" w:name="_Toc488740356"/>
      <w:bookmarkStart w:id="1921" w:name="_Toc8623739"/>
      <w:bookmarkStart w:id="1922" w:name="_Toc11229580"/>
      <w:bookmarkStart w:id="1923" w:name="_Toc104276760"/>
      <w:bookmarkStart w:id="1924" w:name="_Toc161209543"/>
      <w:r>
        <w:rPr>
          <w:rStyle w:val="CharSectno"/>
        </w:rPr>
        <w:t>126</w:t>
      </w:r>
      <w:r>
        <w:rPr>
          <w:snapToGrid w:val="0"/>
        </w:rPr>
        <w:t>.</w:t>
      </w:r>
      <w:r>
        <w:rPr>
          <w:snapToGrid w:val="0"/>
        </w:rPr>
        <w:tab/>
        <w:t>Notice of defence</w:t>
      </w:r>
      <w:bookmarkEnd w:id="1919"/>
      <w:bookmarkEnd w:id="1920"/>
      <w:bookmarkEnd w:id="1921"/>
      <w:bookmarkEnd w:id="1922"/>
      <w:bookmarkEnd w:id="1923"/>
      <w:bookmarkEnd w:id="1924"/>
    </w:p>
    <w:p>
      <w:pPr>
        <w:pStyle w:val="Subsection"/>
        <w:spacing w:before="120"/>
        <w:rPr>
          <w:snapToGrid w:val="0"/>
        </w:rPr>
      </w:pPr>
      <w:r>
        <w:rPr>
          <w:snapToGrid w:val="0"/>
        </w:rPr>
        <w:tab/>
      </w:r>
      <w:r>
        <w:rPr>
          <w:snapToGrid w:val="0"/>
        </w:rPr>
        <w:tab/>
        <w:t xml:space="preserve">When the defendant intends to dispute the claim he shall lodge at the office of the mining registrar not less than </w:t>
      </w:r>
      <w:r>
        <w:t>21</w:t>
      </w:r>
      <w:r>
        <w:rPr>
          <w:snapToGrid w:val="0"/>
        </w:rPr>
        <w:t> days before the date fixed for the hearing or at any subsequent time prior to the hearing as the warden may allow a notice of defence in the form No. 36 in the First Schedule with the prescribed fee, and the mining registrar shall forward a copy of the notice to the plaintiff.</w:t>
      </w:r>
    </w:p>
    <w:p>
      <w:pPr>
        <w:pStyle w:val="Footnotesection"/>
      </w:pPr>
      <w:r>
        <w:tab/>
        <w:t>[Regulation 126 amended in Gazette 24 Jun 1994 p. 2938; 11 Jun 1999 p. 2545; 17 Jan 2003 p. 114.]</w:t>
      </w:r>
    </w:p>
    <w:p>
      <w:pPr>
        <w:pStyle w:val="Heading5"/>
        <w:rPr>
          <w:snapToGrid w:val="0"/>
        </w:rPr>
      </w:pPr>
      <w:bookmarkStart w:id="1925" w:name="_Toc474633206"/>
      <w:bookmarkStart w:id="1926" w:name="_Toc488740357"/>
      <w:bookmarkStart w:id="1927" w:name="_Toc8623740"/>
      <w:bookmarkStart w:id="1928" w:name="_Toc11229581"/>
      <w:bookmarkStart w:id="1929" w:name="_Toc104276761"/>
      <w:bookmarkStart w:id="1930" w:name="_Toc161209544"/>
      <w:r>
        <w:rPr>
          <w:rStyle w:val="CharSectno"/>
        </w:rPr>
        <w:t>127</w:t>
      </w:r>
      <w:r>
        <w:rPr>
          <w:snapToGrid w:val="0"/>
        </w:rPr>
        <w:t>.</w:t>
      </w:r>
      <w:r>
        <w:rPr>
          <w:snapToGrid w:val="0"/>
        </w:rPr>
        <w:tab/>
        <w:t>Subpoena of witness</w:t>
      </w:r>
      <w:bookmarkEnd w:id="1925"/>
      <w:bookmarkEnd w:id="1926"/>
      <w:bookmarkEnd w:id="1927"/>
      <w:bookmarkEnd w:id="1928"/>
      <w:bookmarkEnd w:id="1929"/>
      <w:bookmarkEnd w:id="1930"/>
    </w:p>
    <w:p>
      <w:pPr>
        <w:pStyle w:val="Subsection"/>
        <w:spacing w:before="120"/>
        <w:rPr>
          <w:snapToGrid w:val="0"/>
        </w:rPr>
      </w:pPr>
      <w:r>
        <w:rPr>
          <w:snapToGrid w:val="0"/>
        </w:rPr>
        <w:tab/>
        <w:t>(1)</w:t>
      </w:r>
      <w:r>
        <w:rPr>
          <w:snapToGrid w:val="0"/>
        </w:rPr>
        <w:tab/>
        <w:t>Each party may procure the attendance of witnesses by means of a subpoena in the form No. 37 in the First Schedule.</w:t>
      </w:r>
    </w:p>
    <w:p>
      <w:pPr>
        <w:pStyle w:val="Subsection"/>
        <w:spacing w:before="120"/>
        <w:rPr>
          <w:snapToGrid w:val="0"/>
        </w:rPr>
      </w:pPr>
      <w:r>
        <w:rPr>
          <w:snapToGrid w:val="0"/>
        </w:rPr>
        <w:tab/>
        <w:t>(2)</w:t>
      </w:r>
      <w:r>
        <w:rPr>
          <w:snapToGrid w:val="0"/>
        </w:rPr>
        <w:tab/>
        <w:t xml:space="preserve">A witness who attends in answer to a subpoena shall be entitled to the allowances prescribed in the </w:t>
      </w:r>
      <w:r>
        <w:rPr>
          <w:i/>
          <w:snapToGrid w:val="0"/>
        </w:rPr>
        <w:t>Local Court Rules 1961 </w:t>
      </w:r>
      <w:r>
        <w:rPr>
          <w:snapToGrid w:val="0"/>
          <w:vertAlign w:val="superscript"/>
        </w:rPr>
        <w:t>3</w:t>
      </w:r>
      <w:r>
        <w:rPr>
          <w:snapToGrid w:val="0"/>
        </w:rPr>
        <w:t>.</w:t>
      </w:r>
    </w:p>
    <w:p>
      <w:pPr>
        <w:pStyle w:val="Subsection"/>
        <w:spacing w:before="120"/>
        <w:rPr>
          <w:snapToGrid w:val="0"/>
        </w:rPr>
      </w:pPr>
      <w:r>
        <w:rPr>
          <w:snapToGrid w:val="0"/>
        </w:rPr>
        <w:tab/>
        <w:t>(3)</w:t>
      </w:r>
      <w:r>
        <w:rPr>
          <w:snapToGrid w:val="0"/>
        </w:rPr>
        <w:tab/>
        <w:t>A witness is not required to attend unless at the time of the service of the subpoena a reasonable sum as conduct money is tendered to him.</w:t>
      </w:r>
    </w:p>
    <w:p>
      <w:pPr>
        <w:pStyle w:val="Heading5"/>
        <w:rPr>
          <w:snapToGrid w:val="0"/>
        </w:rPr>
      </w:pPr>
      <w:bookmarkStart w:id="1931" w:name="_Toc474633207"/>
      <w:bookmarkStart w:id="1932" w:name="_Toc488740358"/>
      <w:bookmarkStart w:id="1933" w:name="_Toc8623741"/>
      <w:bookmarkStart w:id="1934" w:name="_Toc11229582"/>
      <w:bookmarkStart w:id="1935" w:name="_Toc104276762"/>
      <w:bookmarkStart w:id="1936" w:name="_Toc161209545"/>
      <w:r>
        <w:rPr>
          <w:rStyle w:val="CharSectno"/>
        </w:rPr>
        <w:t>127A</w:t>
      </w:r>
      <w:r>
        <w:rPr>
          <w:snapToGrid w:val="0"/>
        </w:rPr>
        <w:t>.</w:t>
      </w:r>
      <w:r>
        <w:rPr>
          <w:snapToGrid w:val="0"/>
        </w:rPr>
        <w:tab/>
        <w:t>Persons before whom affidavit may be sworn</w:t>
      </w:r>
      <w:bookmarkEnd w:id="1931"/>
      <w:bookmarkEnd w:id="1932"/>
      <w:bookmarkEnd w:id="1933"/>
      <w:bookmarkEnd w:id="1934"/>
      <w:bookmarkEnd w:id="1935"/>
      <w:bookmarkEnd w:id="1936"/>
    </w:p>
    <w:p>
      <w:pPr>
        <w:pStyle w:val="Subsection"/>
        <w:rPr>
          <w:snapToGrid w:val="0"/>
        </w:rPr>
      </w:pPr>
      <w:r>
        <w:rPr>
          <w:snapToGrid w:val="0"/>
        </w:rPr>
        <w:tab/>
      </w:r>
      <w:r>
        <w:rPr>
          <w:snapToGrid w:val="0"/>
        </w:rPr>
        <w:tab/>
        <w:t>For the purposes of section 144(e) of the Act, the offices of —</w:t>
      </w:r>
    </w:p>
    <w:p>
      <w:pPr>
        <w:pStyle w:val="Indenta"/>
      </w:pPr>
      <w:r>
        <w:tab/>
        <w:t>(a)</w:t>
      </w:r>
      <w:r>
        <w:tab/>
        <w:t>Director;</w:t>
      </w:r>
    </w:p>
    <w:p>
      <w:pPr>
        <w:pStyle w:val="Indenta"/>
      </w:pPr>
      <w:r>
        <w:tab/>
        <w:t>(b)</w:t>
      </w:r>
      <w:r>
        <w:tab/>
        <w:t>General Manager;</w:t>
      </w:r>
    </w:p>
    <w:p>
      <w:pPr>
        <w:pStyle w:val="Indenta"/>
      </w:pPr>
      <w:r>
        <w:tab/>
        <w:t>(c)</w:t>
      </w:r>
      <w:r>
        <w:tab/>
        <w:t>Manager; and</w:t>
      </w:r>
    </w:p>
    <w:p>
      <w:pPr>
        <w:pStyle w:val="Indenta"/>
        <w:rPr>
          <w:snapToGrid w:val="0"/>
        </w:rPr>
      </w:pPr>
      <w:r>
        <w:tab/>
        <w:t>(d)</w:t>
      </w:r>
      <w:r>
        <w:tab/>
        <w:t>Co</w:t>
      </w:r>
      <w:r>
        <w:noBreakHyphen/>
        <w:t>ordinator,</w:t>
      </w:r>
    </w:p>
    <w:p>
      <w:pPr>
        <w:pStyle w:val="Subsection"/>
        <w:rPr>
          <w:snapToGrid w:val="0"/>
        </w:rPr>
      </w:pPr>
      <w:r>
        <w:rPr>
          <w:snapToGrid w:val="0"/>
        </w:rPr>
        <w:tab/>
      </w:r>
      <w:r>
        <w:rPr>
          <w:snapToGrid w:val="0"/>
        </w:rP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127A inserted in Gazette 24 Jun 1994 p. 2938; amended in Gazette 13 Oct 1995 p. 4822; 4 Apr 1997 p. 1779; 21 Jan 2000 p. 345.]</w:t>
      </w:r>
    </w:p>
    <w:p>
      <w:pPr>
        <w:pStyle w:val="Heading5"/>
        <w:rPr>
          <w:snapToGrid w:val="0"/>
        </w:rPr>
      </w:pPr>
      <w:bookmarkStart w:id="1937" w:name="_Toc474633208"/>
      <w:bookmarkStart w:id="1938" w:name="_Toc488740359"/>
      <w:bookmarkStart w:id="1939" w:name="_Toc8623742"/>
      <w:bookmarkStart w:id="1940" w:name="_Toc11229583"/>
      <w:bookmarkStart w:id="1941" w:name="_Toc104276763"/>
      <w:bookmarkStart w:id="1942" w:name="_Toc161209546"/>
      <w:r>
        <w:rPr>
          <w:rStyle w:val="CharSectno"/>
        </w:rPr>
        <w:t>128</w:t>
      </w:r>
      <w:r>
        <w:rPr>
          <w:snapToGrid w:val="0"/>
        </w:rPr>
        <w:t>.</w:t>
      </w:r>
      <w:r>
        <w:rPr>
          <w:snapToGrid w:val="0"/>
        </w:rPr>
        <w:tab/>
        <w:t>Costs</w:t>
      </w:r>
      <w:bookmarkEnd w:id="1937"/>
      <w:bookmarkEnd w:id="1938"/>
      <w:bookmarkEnd w:id="1939"/>
      <w:bookmarkEnd w:id="1940"/>
      <w:bookmarkEnd w:id="1941"/>
      <w:bookmarkEnd w:id="1942"/>
    </w:p>
    <w:p>
      <w:pPr>
        <w:pStyle w:val="Subsection"/>
        <w:rPr>
          <w:snapToGrid w:val="0"/>
        </w:rPr>
      </w:pPr>
      <w:r>
        <w:rPr>
          <w:snapToGrid w:val="0"/>
        </w:rPr>
        <w:tab/>
        <w:t>(1)</w:t>
      </w:r>
      <w:r>
        <w:rPr>
          <w:snapToGrid w:val="0"/>
        </w:rPr>
        <w:tab/>
        <w:t xml:space="preserve">Where the warden’s court orders costs to be paid by any party, those costs shall be in accordance with the costs allowed under the </w:t>
      </w:r>
      <w:r>
        <w:rPr>
          <w:i/>
          <w:snapToGrid w:val="0"/>
        </w:rPr>
        <w:t>Local Court Rules 1961</w:t>
      </w:r>
      <w:r>
        <w:rPr>
          <w:snapToGrid w:val="0"/>
        </w:rPr>
        <w:t xml:space="preserve"> </w:t>
      </w:r>
      <w:r>
        <w:rPr>
          <w:snapToGrid w:val="0"/>
          <w:vertAlign w:val="superscript"/>
        </w:rPr>
        <w:t>3</w:t>
      </w:r>
      <w:r>
        <w:rPr>
          <w:snapToGrid w:val="0"/>
        </w:rPr>
        <w:t>.</w:t>
      </w:r>
    </w:p>
    <w:p>
      <w:pPr>
        <w:pStyle w:val="Subsection"/>
        <w:rPr>
          <w:snapToGrid w:val="0"/>
        </w:rPr>
      </w:pPr>
      <w:r>
        <w:rPr>
          <w:snapToGrid w:val="0"/>
        </w:rPr>
        <w:tab/>
        <w:t>(2)</w:t>
      </w:r>
      <w:r>
        <w:rPr>
          <w:snapToGrid w:val="0"/>
        </w:rPr>
        <w:tab/>
        <w:t>Where there is no money demanded, the warden’s court shall determine under which scale the costs are to be awarded.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allowance under the </w:t>
      </w:r>
      <w:r>
        <w:rPr>
          <w:i/>
          <w:snapToGrid w:val="0"/>
        </w:rPr>
        <w:t>Local Court Rules 1961</w:t>
      </w:r>
      <w:r>
        <w:rPr>
          <w:snapToGrid w:val="0"/>
        </w:rPr>
        <w:t xml:space="preserve"> </w:t>
      </w:r>
      <w:r>
        <w:rPr>
          <w:snapToGrid w:val="0"/>
          <w:vertAlign w:val="superscript"/>
        </w:rPr>
        <w:t>3</w:t>
      </w:r>
      <w:r>
        <w:rPr>
          <w:snapToGrid w:val="0"/>
        </w:rPr>
        <w:t xml:space="preserve"> is inadequate in that regard, the warden may, upon application at the trial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Heading5"/>
        <w:rPr>
          <w:snapToGrid w:val="0"/>
        </w:rPr>
      </w:pPr>
      <w:bookmarkStart w:id="1943" w:name="_Toc474633209"/>
      <w:bookmarkStart w:id="1944" w:name="_Toc488740360"/>
      <w:bookmarkStart w:id="1945" w:name="_Toc8623743"/>
      <w:bookmarkStart w:id="1946" w:name="_Toc11229584"/>
      <w:bookmarkStart w:id="1947" w:name="_Toc104276764"/>
      <w:bookmarkStart w:id="1948" w:name="_Toc161209547"/>
      <w:r>
        <w:rPr>
          <w:rStyle w:val="CharSectno"/>
        </w:rPr>
        <w:t>129</w:t>
      </w:r>
      <w:r>
        <w:rPr>
          <w:snapToGrid w:val="0"/>
        </w:rPr>
        <w:t>.</w:t>
      </w:r>
      <w:r>
        <w:rPr>
          <w:snapToGrid w:val="0"/>
        </w:rPr>
        <w:tab/>
        <w:t>Copy of judgment</w:t>
      </w:r>
      <w:bookmarkEnd w:id="1943"/>
      <w:bookmarkEnd w:id="1944"/>
      <w:bookmarkEnd w:id="1945"/>
      <w:bookmarkEnd w:id="1946"/>
      <w:bookmarkEnd w:id="1947"/>
      <w:bookmarkEnd w:id="1948"/>
    </w:p>
    <w:p>
      <w:pPr>
        <w:pStyle w:val="Subsection"/>
        <w:rPr>
          <w:snapToGrid w:val="0"/>
        </w:rPr>
      </w:pPr>
      <w:r>
        <w:rPr>
          <w:snapToGrid w:val="0"/>
        </w:rPr>
        <w:tab/>
        <w:t>(1)</w:t>
      </w:r>
      <w:r>
        <w:rPr>
          <w:snapToGrid w:val="0"/>
        </w:rPr>
        <w:tab/>
        <w:t>When the decision of any plaint has been delivered by the warden’s court, a judgment in the form No. 38 in the First Schedule may be signed by the warden or mining registrar and filed 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snapToGrid w:val="0"/>
        </w:rPr>
      </w:pPr>
      <w:bookmarkStart w:id="1949" w:name="_Toc474633210"/>
      <w:bookmarkStart w:id="1950" w:name="_Toc488740361"/>
      <w:bookmarkStart w:id="1951" w:name="_Toc8623744"/>
      <w:bookmarkStart w:id="1952" w:name="_Toc11229585"/>
      <w:bookmarkStart w:id="1953" w:name="_Toc104276765"/>
      <w:bookmarkStart w:id="1954" w:name="_Toc161209548"/>
      <w:r>
        <w:rPr>
          <w:rStyle w:val="CharSectno"/>
        </w:rPr>
        <w:t>130</w:t>
      </w:r>
      <w:r>
        <w:rPr>
          <w:snapToGrid w:val="0"/>
        </w:rPr>
        <w:t>.</w:t>
      </w:r>
      <w:r>
        <w:rPr>
          <w:snapToGrid w:val="0"/>
        </w:rPr>
        <w:tab/>
        <w:t>Warrant of execution</w:t>
      </w:r>
      <w:bookmarkEnd w:id="1949"/>
      <w:bookmarkEnd w:id="1950"/>
      <w:bookmarkEnd w:id="1951"/>
      <w:bookmarkEnd w:id="1952"/>
      <w:bookmarkEnd w:id="1953"/>
      <w:bookmarkEnd w:id="1954"/>
    </w:p>
    <w:p>
      <w:pPr>
        <w:pStyle w:val="Subsection"/>
        <w:rPr>
          <w:snapToGrid w:val="0"/>
        </w:rPr>
      </w:pPr>
      <w:r>
        <w:rPr>
          <w:snapToGrid w:val="0"/>
        </w:rPr>
        <w:tab/>
        <w:t>(1)</w:t>
      </w:r>
      <w:r>
        <w:rPr>
          <w:snapToGrid w:val="0"/>
        </w:rPr>
        <w:tab/>
        <w: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t>
      </w:r>
    </w:p>
    <w:p>
      <w:pPr>
        <w:pStyle w:val="Subsection"/>
        <w:rPr>
          <w:snapToGrid w:val="0"/>
        </w:rPr>
      </w:pPr>
      <w:r>
        <w:rPr>
          <w:snapToGrid w:val="0"/>
        </w:rPr>
        <w:tab/>
        <w:t>(2)</w:t>
      </w:r>
      <w:r>
        <w:rPr>
          <w:snapToGrid w:val="0"/>
        </w:rPr>
        <w:tab/>
        <w:t>The warrant shall be in the form No. 39 in the First Schedule.</w:t>
      </w:r>
    </w:p>
    <w:p>
      <w:pPr>
        <w:pStyle w:val="Subsection"/>
        <w:rPr>
          <w:snapToGrid w:val="0"/>
        </w:rPr>
      </w:pPr>
      <w:r>
        <w:rPr>
          <w:snapToGrid w:val="0"/>
        </w:rPr>
        <w:tab/>
        <w:t>(3)</w:t>
      </w:r>
      <w:r>
        <w:rPr>
          <w:snapToGrid w:val="0"/>
        </w:rPr>
        <w:tab/>
        <w:t>The warrant may remain in force for a period of 12 calendar months.</w:t>
      </w:r>
    </w:p>
    <w:p>
      <w:pPr>
        <w:pStyle w:val="Subsection"/>
        <w:rPr>
          <w:snapToGrid w:val="0"/>
        </w:rPr>
      </w:pPr>
      <w:r>
        <w:rPr>
          <w:snapToGrid w:val="0"/>
        </w:rPr>
        <w:tab/>
        <w:t>(4)</w:t>
      </w:r>
      <w:r>
        <w:rPr>
          <w:snapToGrid w:val="0"/>
        </w:rPr>
        <w:tab/>
        <w:t>Application for renewal of the warrant shall be made to the warden or mining registrar in writing, supported by a statutory declaration as to default having been made in payment of the sum awarded, or any portion thereof.</w:t>
      </w:r>
    </w:p>
    <w:p>
      <w:pPr>
        <w:pStyle w:val="Heading5"/>
        <w:rPr>
          <w:snapToGrid w:val="0"/>
        </w:rPr>
      </w:pPr>
      <w:bookmarkStart w:id="1955" w:name="_Toc474633211"/>
      <w:bookmarkStart w:id="1956" w:name="_Toc488740362"/>
      <w:bookmarkStart w:id="1957" w:name="_Toc8623745"/>
      <w:bookmarkStart w:id="1958" w:name="_Toc11229586"/>
      <w:bookmarkStart w:id="1959" w:name="_Toc104276766"/>
      <w:bookmarkStart w:id="1960" w:name="_Toc161209549"/>
      <w:r>
        <w:rPr>
          <w:rStyle w:val="CharSectno"/>
        </w:rPr>
        <w:t>131</w:t>
      </w:r>
      <w:r>
        <w:rPr>
          <w:snapToGrid w:val="0"/>
        </w:rPr>
        <w:t>.</w:t>
      </w:r>
      <w:r>
        <w:rPr>
          <w:snapToGrid w:val="0"/>
        </w:rPr>
        <w:tab/>
        <w:t>Warrant for recovery of possession</w:t>
      </w:r>
      <w:bookmarkEnd w:id="1955"/>
      <w:bookmarkEnd w:id="1956"/>
      <w:bookmarkEnd w:id="1957"/>
      <w:bookmarkEnd w:id="1958"/>
      <w:bookmarkEnd w:id="1959"/>
      <w:bookmarkEnd w:id="1960"/>
    </w:p>
    <w:p>
      <w:pPr>
        <w:pStyle w:val="Subsection"/>
        <w:rPr>
          <w:snapToGrid w:val="0"/>
        </w:rPr>
      </w:pPr>
      <w:r>
        <w:rPr>
          <w:snapToGrid w:val="0"/>
        </w:rPr>
        <w:tab/>
      </w:r>
      <w:r>
        <w:rPr>
          <w:snapToGrid w:val="0"/>
        </w:rPr>
        <w:tab/>
        <w:t>A warrant for recovery of possession pursuant to section 141 of the Act shall be in the form No. 40 in the First Schedule.</w:t>
      </w:r>
    </w:p>
    <w:p>
      <w:pPr>
        <w:pStyle w:val="Heading5"/>
        <w:rPr>
          <w:snapToGrid w:val="0"/>
        </w:rPr>
      </w:pPr>
      <w:bookmarkStart w:id="1961" w:name="_Toc474633212"/>
      <w:bookmarkStart w:id="1962" w:name="_Toc488740363"/>
      <w:bookmarkStart w:id="1963" w:name="_Toc8623746"/>
      <w:bookmarkStart w:id="1964" w:name="_Toc11229587"/>
      <w:bookmarkStart w:id="1965" w:name="_Toc104276767"/>
      <w:bookmarkStart w:id="1966" w:name="_Toc161209550"/>
      <w:r>
        <w:rPr>
          <w:rStyle w:val="CharSectno"/>
        </w:rPr>
        <w:t>132</w:t>
      </w:r>
      <w:r>
        <w:rPr>
          <w:snapToGrid w:val="0"/>
        </w:rPr>
        <w:t>.</w:t>
      </w:r>
      <w:r>
        <w:rPr>
          <w:snapToGrid w:val="0"/>
        </w:rPr>
        <w:tab/>
        <w:t>Notice of seizure</w:t>
      </w:r>
      <w:bookmarkEnd w:id="1961"/>
      <w:bookmarkEnd w:id="1962"/>
      <w:bookmarkEnd w:id="1963"/>
      <w:bookmarkEnd w:id="1964"/>
      <w:bookmarkEnd w:id="1965"/>
      <w:bookmarkEnd w:id="1966"/>
    </w:p>
    <w:p>
      <w:pPr>
        <w:pStyle w:val="Subsection"/>
        <w:rPr>
          <w:snapToGrid w:val="0"/>
        </w:rPr>
      </w:pPr>
      <w:r>
        <w:rPr>
          <w:snapToGrid w:val="0"/>
        </w:rPr>
        <w:tab/>
      </w:r>
      <w:r>
        <w:rPr>
          <w:snapToGrid w:val="0"/>
        </w:rPr>
        <w:tab/>
        <w: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t>
      </w:r>
    </w:p>
    <w:p>
      <w:pPr>
        <w:pStyle w:val="Heading5"/>
        <w:rPr>
          <w:snapToGrid w:val="0"/>
        </w:rPr>
      </w:pPr>
      <w:bookmarkStart w:id="1967" w:name="_Toc474633213"/>
      <w:bookmarkStart w:id="1968" w:name="_Toc488740364"/>
      <w:bookmarkStart w:id="1969" w:name="_Toc8623747"/>
      <w:bookmarkStart w:id="1970" w:name="_Toc11229588"/>
      <w:bookmarkStart w:id="1971" w:name="_Toc104276768"/>
      <w:bookmarkStart w:id="1972" w:name="_Toc161209551"/>
      <w:r>
        <w:rPr>
          <w:rStyle w:val="CharSectno"/>
        </w:rPr>
        <w:t>133</w:t>
      </w:r>
      <w:r>
        <w:rPr>
          <w:snapToGrid w:val="0"/>
        </w:rPr>
        <w:t>.</w:t>
      </w:r>
      <w:r>
        <w:rPr>
          <w:snapToGrid w:val="0"/>
        </w:rPr>
        <w:tab/>
        <w:t>Sale under warrant of execution</w:t>
      </w:r>
      <w:bookmarkEnd w:id="1967"/>
      <w:bookmarkEnd w:id="1968"/>
      <w:bookmarkEnd w:id="1969"/>
      <w:bookmarkEnd w:id="1970"/>
      <w:bookmarkEnd w:id="1971"/>
      <w:bookmarkEnd w:id="1972"/>
    </w:p>
    <w:p>
      <w:pPr>
        <w:pStyle w:val="Subsection"/>
        <w:rPr>
          <w:snapToGrid w:val="0"/>
        </w:rPr>
      </w:pPr>
      <w:r>
        <w:rPr>
          <w:snapToGrid w:val="0"/>
        </w:rPr>
        <w:tab/>
        <w:t>(1)</w:t>
      </w:r>
      <w:r>
        <w:rPr>
          <w:snapToGrid w:val="0"/>
        </w:rPr>
        <w:tab/>
        <w:t>Notice of sale and of the intended place and day of sale under a warrant of execution issued out of the warden’s court shall be given at least 7 days before the day of sale by —</w:t>
      </w:r>
    </w:p>
    <w:p>
      <w:pPr>
        <w:pStyle w:val="Indenta"/>
        <w:rPr>
          <w:snapToGrid w:val="0"/>
        </w:rPr>
      </w:pPr>
      <w:r>
        <w:rPr>
          <w:snapToGrid w:val="0"/>
        </w:rPr>
        <w:tab/>
        <w:t>(a)</w:t>
      </w:r>
      <w:r>
        <w:rPr>
          <w:snapToGrid w:val="0"/>
        </w:rPr>
        <w:tab/>
        <w:t>affixing a notice conspicuously at or near the place where the sale is to take place;</w:t>
      </w:r>
    </w:p>
    <w:p>
      <w:pPr>
        <w:pStyle w:val="Indenta"/>
        <w:rPr>
          <w:snapToGrid w:val="0"/>
        </w:rPr>
      </w:pPr>
      <w:r>
        <w:rPr>
          <w:snapToGrid w:val="0"/>
        </w:rPr>
        <w:tab/>
        <w:t>(b)</w:t>
      </w:r>
      <w:r>
        <w:rPr>
          <w:snapToGrid w:val="0"/>
        </w:rPr>
        <w:tab/>
        <w:t>posting a copy of the notice on the notice board at the office of the mining registrar; and</w:t>
      </w:r>
    </w:p>
    <w:p>
      <w:pPr>
        <w:pStyle w:val="Indenta"/>
        <w:rPr>
          <w:snapToGrid w:val="0"/>
        </w:rPr>
      </w:pPr>
      <w:r>
        <w:rPr>
          <w:snapToGrid w:val="0"/>
        </w:rPr>
        <w:tab/>
        <w:t>(c)</w:t>
      </w:r>
      <w:r>
        <w:rPr>
          <w:snapToGrid w:val="0"/>
        </w:rPr>
        <w:tab/>
        <w:t>advertising particulars of the sale in a newspaper circulating in the district wherein the warden’s court is situated.</w:t>
      </w:r>
    </w:p>
    <w:p>
      <w:pPr>
        <w:pStyle w:val="Subsection"/>
        <w:rPr>
          <w:snapToGrid w:val="0"/>
        </w:rPr>
      </w:pPr>
      <w:r>
        <w:rPr>
          <w:snapToGrid w:val="0"/>
        </w:rPr>
        <w:tab/>
        <w:t>(2)</w:t>
      </w:r>
      <w:r>
        <w:rPr>
          <w:snapToGrid w:val="0"/>
        </w:rPr>
        <w:tab/>
        <w:t>The sale shall be conducted publicly and everything shall be sold for ready money to the highest bidder.</w:t>
      </w:r>
    </w:p>
    <w:p>
      <w:pPr>
        <w:pStyle w:val="Heading5"/>
        <w:rPr>
          <w:snapToGrid w:val="0"/>
        </w:rPr>
      </w:pPr>
      <w:bookmarkStart w:id="1973" w:name="_Toc474633214"/>
      <w:bookmarkStart w:id="1974" w:name="_Toc488740365"/>
      <w:bookmarkStart w:id="1975" w:name="_Toc8623748"/>
      <w:bookmarkStart w:id="1976" w:name="_Toc11229589"/>
      <w:bookmarkStart w:id="1977" w:name="_Toc104276769"/>
      <w:bookmarkStart w:id="1978" w:name="_Toc161209552"/>
      <w:r>
        <w:rPr>
          <w:rStyle w:val="CharSectno"/>
        </w:rPr>
        <w:t>134</w:t>
      </w:r>
      <w:r>
        <w:rPr>
          <w:snapToGrid w:val="0"/>
        </w:rPr>
        <w:t>.</w:t>
      </w:r>
      <w:r>
        <w:rPr>
          <w:snapToGrid w:val="0"/>
        </w:rPr>
        <w:tab/>
        <w:t>Transfer upon sale</w:t>
      </w:r>
      <w:bookmarkEnd w:id="1973"/>
      <w:bookmarkEnd w:id="1974"/>
      <w:bookmarkEnd w:id="1975"/>
      <w:bookmarkEnd w:id="1976"/>
      <w:bookmarkEnd w:id="1977"/>
      <w:bookmarkEnd w:id="1978"/>
    </w:p>
    <w:p>
      <w:pPr>
        <w:pStyle w:val="Subsection"/>
        <w:rPr>
          <w:snapToGrid w:val="0"/>
        </w:rPr>
      </w:pPr>
      <w:r>
        <w:rPr>
          <w:snapToGrid w:val="0"/>
        </w:rPr>
        <w:tab/>
      </w:r>
      <w:r>
        <w:rPr>
          <w:snapToGrid w:val="0"/>
        </w:rPr>
        <w:tab/>
        <w:t>Upon sale under a warrant of execution the officer executing such warrant shall sign a transfer in the form No. 23 in the First Schedule to the purchaser of the mining tenement or interest therein sold under the warrant.</w:t>
      </w:r>
    </w:p>
    <w:p>
      <w:pPr>
        <w:pStyle w:val="Heading5"/>
        <w:rPr>
          <w:snapToGrid w:val="0"/>
        </w:rPr>
      </w:pPr>
      <w:bookmarkStart w:id="1979" w:name="_Toc474633215"/>
      <w:bookmarkStart w:id="1980" w:name="_Toc488740366"/>
      <w:bookmarkStart w:id="1981" w:name="_Toc8623749"/>
      <w:bookmarkStart w:id="1982" w:name="_Toc11229590"/>
      <w:bookmarkStart w:id="1983" w:name="_Toc104276770"/>
      <w:bookmarkStart w:id="1984" w:name="_Toc161209553"/>
      <w:r>
        <w:rPr>
          <w:rStyle w:val="CharSectno"/>
        </w:rPr>
        <w:t>135</w:t>
      </w:r>
      <w:r>
        <w:rPr>
          <w:snapToGrid w:val="0"/>
        </w:rPr>
        <w:t>.</w:t>
      </w:r>
      <w:r>
        <w:rPr>
          <w:snapToGrid w:val="0"/>
        </w:rPr>
        <w:tab/>
        <w:t>Appeal to Supreme Court</w:t>
      </w:r>
      <w:bookmarkEnd w:id="1979"/>
      <w:bookmarkEnd w:id="1980"/>
      <w:bookmarkEnd w:id="1981"/>
      <w:bookmarkEnd w:id="1982"/>
      <w:bookmarkEnd w:id="1983"/>
      <w:bookmarkEnd w:id="1984"/>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1985" w:name="_Toc474633216"/>
      <w:bookmarkStart w:id="1986" w:name="_Toc488740367"/>
      <w:bookmarkStart w:id="1987" w:name="_Toc8623750"/>
      <w:bookmarkStart w:id="1988" w:name="_Toc11229591"/>
      <w:bookmarkStart w:id="1989" w:name="_Toc104276771"/>
      <w:bookmarkStart w:id="1990" w:name="_Toc161209554"/>
      <w:r>
        <w:rPr>
          <w:rStyle w:val="CharSectno"/>
        </w:rPr>
        <w:t>136</w:t>
      </w:r>
      <w:r>
        <w:rPr>
          <w:snapToGrid w:val="0"/>
        </w:rPr>
        <w:t>.</w:t>
      </w:r>
      <w:r>
        <w:rPr>
          <w:snapToGrid w:val="0"/>
        </w:rPr>
        <w:tab/>
        <w:t>Injunction</w:t>
      </w:r>
      <w:bookmarkEnd w:id="1985"/>
      <w:bookmarkEnd w:id="1986"/>
      <w:bookmarkEnd w:id="1987"/>
      <w:bookmarkEnd w:id="1988"/>
      <w:bookmarkEnd w:id="1989"/>
      <w:bookmarkEnd w:id="1990"/>
    </w:p>
    <w:p>
      <w:pPr>
        <w:pStyle w:val="Subsection"/>
        <w:rPr>
          <w:snapToGrid w:val="0"/>
        </w:rPr>
      </w:pPr>
      <w:r>
        <w:rPr>
          <w:snapToGrid w:val="0"/>
        </w:rPr>
        <w:tab/>
      </w:r>
      <w:r>
        <w:rPr>
          <w:snapToGrid w:val="0"/>
        </w:rPr>
        <w:tab/>
        <w:t>An order of the warden’s court for an injunction shall be in the form No. 43 in the First Schedule.</w:t>
      </w:r>
    </w:p>
    <w:p>
      <w:pPr>
        <w:rPr>
          <w:rStyle w:val="CharDivText"/>
        </w:rPr>
        <w:sectPr>
          <w:headerReference w:type="even" r:id="rId27"/>
          <w:headerReference w:type="default" r:id="rId28"/>
          <w:footerReference w:type="even" r:id="rId29"/>
          <w:footerReference w:type="default" r:id="rId30"/>
          <w:footerReference w:type="first" r:id="rId31"/>
          <w:pgSz w:w="11906" w:h="16838" w:code="9"/>
          <w:pgMar w:top="2381" w:right="2409" w:bottom="3543" w:left="2409" w:header="720" w:footer="3380" w:gutter="0"/>
          <w:pgNumType w:start="1"/>
          <w:cols w:space="720"/>
          <w:noEndnote/>
          <w:titlePg/>
          <w:docGrid w:linePitch="326"/>
        </w:sectPr>
      </w:pPr>
      <w:bookmarkStart w:id="1991" w:name="_Toc104276772"/>
      <w:bookmarkStart w:id="1992" w:name="_Toc129150354"/>
      <w:bookmarkStart w:id="1993" w:name="_Toc129587636"/>
      <w:bookmarkStart w:id="1994" w:name="_Toc131477330"/>
    </w:p>
    <w:p>
      <w:pPr>
        <w:pStyle w:val="yScheduleHeading"/>
      </w:pPr>
      <w:bookmarkStart w:id="1995" w:name="_Toc132106706"/>
      <w:bookmarkStart w:id="1996" w:name="_Toc132169239"/>
      <w:bookmarkStart w:id="1997" w:name="_Toc132443233"/>
      <w:bookmarkStart w:id="1998" w:name="_Toc132524135"/>
      <w:bookmarkStart w:id="1999" w:name="_Toc132703004"/>
      <w:bookmarkStart w:id="2000" w:name="_Toc139168097"/>
      <w:bookmarkStart w:id="2001" w:name="_Toc139433789"/>
      <w:bookmarkStart w:id="2002" w:name="_Toc161203103"/>
      <w:bookmarkStart w:id="2003" w:name="_Toc161209555"/>
      <w:r>
        <w:rPr>
          <w:rStyle w:val="CharSchNo"/>
        </w:rPr>
        <w:t>First Schedule</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yHeading2"/>
      </w:pPr>
      <w:bookmarkStart w:id="2004" w:name="_Toc131477331"/>
      <w:bookmarkStart w:id="2005" w:name="_Toc132106707"/>
      <w:bookmarkStart w:id="2006" w:name="_Toc132169240"/>
      <w:bookmarkStart w:id="2007" w:name="_Toc132443234"/>
      <w:bookmarkStart w:id="2008" w:name="_Toc132524136"/>
      <w:bookmarkStart w:id="2009" w:name="_Toc132703005"/>
      <w:bookmarkStart w:id="2010" w:name="_Toc139168098"/>
      <w:bookmarkStart w:id="2011" w:name="_Toc139433790"/>
      <w:bookmarkStart w:id="2012" w:name="_Toc161203104"/>
      <w:bookmarkStart w:id="2013" w:name="_Toc161209556"/>
      <w:r>
        <w:t>Schedule of Forms</w:t>
      </w:r>
      <w:bookmarkEnd w:id="2004"/>
      <w:bookmarkEnd w:id="2005"/>
      <w:bookmarkEnd w:id="2006"/>
      <w:bookmarkEnd w:id="2007"/>
      <w:bookmarkEnd w:id="2008"/>
      <w:bookmarkEnd w:id="2009"/>
      <w:bookmarkEnd w:id="2010"/>
      <w:bookmarkEnd w:id="2011"/>
      <w:bookmarkEnd w:id="2012"/>
      <w:bookmarkEnd w:id="2013"/>
      <w:r>
        <w:rPr>
          <w:rStyle w:val="CharSClsNo"/>
        </w:rPr>
        <w:t xml:space="preserve"> </w:t>
      </w:r>
    </w:p>
    <w:p>
      <w:pPr>
        <w:pStyle w:val="yTable"/>
        <w:ind w:left="567" w:hanging="567"/>
        <w:outlineLvl w:val="0"/>
        <w:rPr>
          <w:b/>
          <w:snapToGrid w:val="0"/>
        </w:rPr>
      </w:pPr>
      <w:r>
        <w:rPr>
          <w:b/>
          <w:snapToGrid w:val="0"/>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keepNext/>
        <w:spacing w:after="60"/>
        <w:ind w:left="567" w:hanging="567"/>
        <w:outlineLvl w:val="0"/>
        <w:rPr>
          <w:b/>
          <w:snapToGrid w:val="0"/>
        </w:rPr>
      </w:pPr>
      <w:r>
        <w:rPr>
          <w:b/>
          <w:snapToGrid w:val="0"/>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 xml:space="preserve">36. </w:t>
      </w:r>
      <w:r>
        <w:rPr>
          <w:snapToGrid w:val="0"/>
        </w:rPr>
        <w:tab/>
        <w:t>Notice of Defence.</w:t>
      </w:r>
    </w:p>
    <w:p>
      <w:pPr>
        <w:pStyle w:val="yTable"/>
        <w:spacing w:before="0"/>
        <w:ind w:left="709" w:hanging="709"/>
        <w:rPr>
          <w:snapToGrid w:val="0"/>
        </w:rPr>
      </w:pPr>
      <w:r>
        <w:rPr>
          <w:snapToGrid w:val="0"/>
        </w:rPr>
        <w:t xml:space="preserve">37. </w:t>
      </w:r>
      <w:r>
        <w:rPr>
          <w:snapToGrid w:val="0"/>
        </w:rPr>
        <w:tab/>
        <w:t>Subpoena for Witness.</w:t>
      </w:r>
    </w:p>
    <w:p>
      <w:pPr>
        <w:pStyle w:val="yTable"/>
        <w:spacing w:before="0"/>
        <w:ind w:left="709" w:hanging="709"/>
        <w:rPr>
          <w:snapToGrid w:val="0"/>
        </w:rPr>
      </w:pPr>
      <w:r>
        <w:rPr>
          <w:snapToGrid w:val="0"/>
        </w:rPr>
        <w:t xml:space="preserve">38. </w:t>
      </w:r>
      <w:r>
        <w:rPr>
          <w:snapToGrid w:val="0"/>
        </w:rPr>
        <w:tab/>
        <w:t>Judgment/Order of Warden’s Court.</w:t>
      </w:r>
    </w:p>
    <w:p>
      <w:pPr>
        <w:pStyle w:val="yTable"/>
        <w:spacing w:before="0"/>
        <w:ind w:left="709" w:hanging="709"/>
        <w:rPr>
          <w:snapToGrid w:val="0"/>
        </w:rPr>
      </w:pPr>
      <w:r>
        <w:rPr>
          <w:snapToGrid w:val="0"/>
        </w:rPr>
        <w:t xml:space="preserve">39. </w:t>
      </w:r>
      <w:r>
        <w:rPr>
          <w:snapToGrid w:val="0"/>
        </w:rPr>
        <w:tab/>
        <w:t>Warrant of Execution.</w:t>
      </w:r>
    </w:p>
    <w:p>
      <w:pPr>
        <w:pStyle w:val="yTable"/>
        <w:spacing w:before="0"/>
        <w:ind w:left="709" w:hanging="709"/>
        <w:rPr>
          <w:snapToGrid w:val="0"/>
        </w:rPr>
      </w:pPr>
      <w:r>
        <w:rPr>
          <w:snapToGrid w:val="0"/>
        </w:rPr>
        <w:t xml:space="preserve">40. </w:t>
      </w:r>
      <w:r>
        <w:rPr>
          <w:snapToGrid w:val="0"/>
        </w:rPr>
        <w:tab/>
        <w:t>Warrant for Recovery of Possession.</w:t>
      </w:r>
    </w:p>
    <w:p>
      <w:pPr>
        <w:pStyle w:val="yTable"/>
        <w:spacing w:before="0"/>
        <w:ind w:left="709" w:hanging="709"/>
        <w:rPr>
          <w:snapToGrid w:val="0"/>
        </w:rPr>
      </w:pPr>
      <w:r>
        <w:rPr>
          <w:snapToGrid w:val="0"/>
        </w:rPr>
        <w:t xml:space="preserve">41. </w:t>
      </w:r>
      <w:r>
        <w:rPr>
          <w:snapToGrid w:val="0"/>
        </w:rPr>
        <w:tab/>
        <w:t>Notice of Seizure.</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Footnotesection"/>
      </w:pPr>
      <w:r>
        <w:tab/>
        <w:t>[Schedule of Forms amended in Gazette 2 Oct 1987 p. 3821; 4 Apr 1997 p. 1780; 3 Oct 1997 p. 5533.]</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r>
            <w:r>
              <w:rPr>
                <w:sz w:val="16"/>
              </w:rPr>
              <w:tab/>
            </w:r>
            <w:r>
              <w:rPr>
                <w:sz w:val="16"/>
              </w:rPr>
              <w:tab/>
              <w:t>to ascertain your rights and obligations under that section. Information in respect of those</w:t>
            </w:r>
          </w:p>
          <w:p>
            <w:pPr>
              <w:tabs>
                <w:tab w:val="left" w:pos="1701"/>
              </w:tabs>
              <w:ind w:left="113" w:right="113"/>
              <w:rPr>
                <w:sz w:val="16"/>
              </w:rPr>
            </w:pPr>
            <w:r>
              <w:rPr>
                <w:sz w:val="16"/>
              </w:rPr>
              <w:tab/>
            </w:r>
            <w:r>
              <w:rPr>
                <w:sz w:val="16"/>
              </w:rPr>
              <w:tab/>
            </w:r>
            <w:r>
              <w:rPr>
                <w:sz w:val="16"/>
              </w:rPr>
              <w:tab/>
              <w:t>rights and obligations may be obtained from any office of the Department of Mines</w:t>
            </w:r>
            <w:r>
              <w:rPr>
                <w:sz w:val="16"/>
                <w:vertAlign w:val="superscript"/>
              </w:rPr>
              <w:t> 5</w:t>
            </w:r>
            <w:r>
              <w:rPr>
                <w:sz w:val="16"/>
              </w:rPr>
              <w:t>.</w:t>
            </w:r>
          </w:p>
          <w:p>
            <w:pPr>
              <w:pStyle w:val="yFootnotesection"/>
            </w:pPr>
            <w:r>
              <w:tab/>
              <w:t>[Form 1 inserted in Gazette 2 Oct 1987 p. 3822.]</w:t>
            </w:r>
          </w:p>
          <w:p>
            <w:pPr>
              <w:tabs>
                <w:tab w:val="left" w:pos="1701"/>
              </w:tabs>
              <w:ind w:left="113" w:right="113"/>
              <w:rPr>
                <w:lang w:val="en-US"/>
              </w:rPr>
            </w:pP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w:t>
      </w:r>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pPr>
      <w:r>
        <w:tab/>
        <w:t>[Form 3 amended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spacing w:val="-2"/>
                <w:sz w:val="18"/>
              </w:rPr>
              <w:tab/>
            </w:r>
            <w:r>
              <w:rPr>
                <w:i/>
                <w:spacing w:val="-2"/>
                <w:sz w:val="18"/>
              </w:rPr>
              <w:t>Mining Act 1978</w:t>
            </w:r>
          </w:p>
          <w:p>
            <w:pPr>
              <w:pStyle w:val="yTable"/>
              <w:tabs>
                <w:tab w:val="left" w:pos="1014"/>
              </w:tabs>
              <w:spacing w:before="0" w:line="180" w:lineRule="atLeast"/>
              <w:rPr>
                <w:spacing w:val="-2"/>
                <w:sz w:val="18"/>
              </w:rPr>
            </w:pPr>
            <w:r>
              <w:rPr>
                <w:spacing w:val="-2"/>
                <w:sz w:val="18"/>
              </w:rPr>
              <w:tab/>
              <w:t>(Sec. 123(3)(a),</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State whether pastoral lease, Crown grant or other designation</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pPr>
      <w:r>
        <w:tab/>
        <w:t>[Form 3A inserted in Gazette 2 Oct 1987 p. 3823.]</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keepNext/>
        <w:pageBreakBefore/>
        <w:spacing w:before="0"/>
        <w:jc w:val="right"/>
        <w:outlineLvl w:val="0"/>
        <w:rPr>
          <w:i/>
          <w:sz w:val="18"/>
        </w:rPr>
      </w:pPr>
      <w:r>
        <w:rPr>
          <w:i/>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spacing w:before="0"/>
        <w:outlineLvl w:val="0"/>
        <w:rPr>
          <w:b/>
          <w:sz w:val="13"/>
          <w:u w:val="single"/>
        </w:rPr>
      </w:pPr>
      <w:r>
        <w:rPr>
          <w:b/>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5</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5"/>
        <w:outlineLvl w:val="0"/>
        <w:rPr>
          <w:b/>
          <w:sz w:val="13"/>
        </w:rPr>
      </w:pPr>
      <w:r>
        <w:rPr>
          <w:b/>
          <w:sz w:val="13"/>
        </w:rPr>
        <w:t>Feasibility study activities:</w:t>
      </w:r>
    </w:p>
    <w:p>
      <w:pPr>
        <w:pStyle w:val="yTable"/>
        <w:tabs>
          <w:tab w:val="left" w:pos="426"/>
        </w:tabs>
        <w:spacing w:before="36"/>
        <w:ind w:left="425"/>
        <w:outlineLvl w:val="0"/>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6</w:t>
      </w:r>
      <w:r>
        <w:rPr>
          <w:sz w:val="13"/>
        </w:rPr>
        <w:t xml:space="preserve"> as soon as practicable, where the cost of conducting it is claimed for expenditure purposes. Evidence of lodgment of the survey must be provided to the Department of Minerals and Energy</w:t>
      </w:r>
      <w:r>
        <w:rPr>
          <w:sz w:val="13"/>
          <w:vertAlign w:val="superscript"/>
        </w:rPr>
        <w:t> 5</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ind w:left="425" w:hanging="425"/>
        <w:outlineLvl w:val="0"/>
        <w:rPr>
          <w:b/>
          <w:sz w:val="13"/>
        </w:rPr>
      </w:pPr>
      <w:r>
        <w:rPr>
          <w:b/>
          <w:sz w:val="13"/>
        </w:rPr>
        <w:t>NON</w:t>
      </w:r>
      <w:r>
        <w:rPr>
          <w:b/>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acquisition costs of tenements and associated expenses;</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outlineLvl w:val="0"/>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outlineLvl w:val="0"/>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outlineLvl w:val="0"/>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4"/>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4"/>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40"/>
      </w:pPr>
      <w:r>
        <w:tab/>
        <w:t>[Form 5 inserted in Gazette 11 Jun 1999 p. 2546</w:t>
      </w:r>
      <w:r>
        <w:noBreakHyphen/>
        <w:t>51.]</w:t>
      </w:r>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rPr>
          <w:spacing w:val="-2"/>
        </w:rPr>
      </w:pPr>
      <w:r>
        <w:tab/>
        <w:t>[Form 6 inserted in Gazette 31 May 1991 p. 2700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w:t>
      </w:r>
    </w:p>
    <w:p>
      <w:pPr>
        <w:pStyle w:val="yTable"/>
        <w:pageBreakBefore/>
        <w:tabs>
          <w:tab w:val="left" w:pos="1985"/>
        </w:tabs>
        <w:spacing w:before="40"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1985"/>
        </w:tabs>
        <w:spacing w:before="0" w:line="180" w:lineRule="atLeast"/>
        <w:rPr>
          <w:snapToGrid w:val="0"/>
          <w:sz w:val="18"/>
        </w:rPr>
      </w:pPr>
      <w:r>
        <w:rPr>
          <w:snapToGrid w:val="0"/>
          <w:sz w:val="18"/>
        </w:rPr>
        <w:tab/>
        <w:t>(Sec. 116 Reg. 26)</w:t>
      </w:r>
    </w:p>
    <w:p>
      <w:pPr>
        <w:pStyle w:val="yTable"/>
        <w:spacing w:before="40" w:line="180" w:lineRule="atLeast"/>
        <w:rPr>
          <w:snapToGrid w:val="0"/>
          <w:sz w:val="18"/>
        </w:rPr>
      </w:pPr>
      <w:r>
        <w:rPr>
          <w:b/>
          <w:snapToGrid w:val="0"/>
          <w:sz w:val="18"/>
        </w:rPr>
        <w:t>MINING LEASE</w:t>
      </w:r>
      <w:r>
        <w:rPr>
          <w:snapToGrid w:val="0"/>
          <w:sz w:val="18"/>
        </w:rPr>
        <w:t xml:space="preserve"> No.</w:t>
      </w:r>
    </w:p>
    <w:p>
      <w:pPr>
        <w:pStyle w:val="yTable"/>
        <w:spacing w:before="30"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before="30"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30"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30"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30" w:line="180" w:lineRule="atLeast"/>
        <w:ind w:left="425" w:hanging="425"/>
        <w:rPr>
          <w:snapToGrid w:val="0"/>
          <w:sz w:val="18"/>
        </w:rPr>
      </w:pPr>
      <w:r>
        <w:rPr>
          <w:snapToGrid w:val="0"/>
          <w:sz w:val="18"/>
        </w:rPr>
        <w:t xml:space="preserve">4.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before="30"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30"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30"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30"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30"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p>
    <w:p>
      <w:pPr>
        <w:pStyle w:val="yTable"/>
        <w:spacing w:before="30"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line="180" w:lineRule="atLeast"/>
        <w:jc w:val="center"/>
        <w:outlineLvl w:val="0"/>
        <w:rPr>
          <w:b/>
          <w:snapToGrid w:val="0"/>
          <w:sz w:val="18"/>
        </w:rPr>
      </w:pPr>
      <w:r>
        <w:rPr>
          <w:b/>
          <w:snapToGrid w:val="0"/>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line="180" w:lineRule="atLeast"/>
        <w:jc w:val="center"/>
        <w:outlineLvl w:val="0"/>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20" w:line="180" w:lineRule="atLeast"/>
        <w:jc w:val="center"/>
        <w:outlineLvl w:val="0"/>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line="180" w:lineRule="atLeast"/>
        <w:jc w:val="center"/>
        <w:outlineLvl w:val="0"/>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line="180" w:lineRule="atLeast"/>
        <w:jc w:val="center"/>
        <w:outlineLvl w:val="0"/>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line="180" w:lineRule="atLeast"/>
        <w:jc w:val="center"/>
        <w:outlineLvl w:val="0"/>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line="180" w:lineRule="atLeast"/>
        <w:jc w:val="center"/>
        <w:outlineLvl w:val="0"/>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outlineLvl w:val="0"/>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outlineLvl w:val="0"/>
        <w:rPr>
          <w:spacing w:val="-2"/>
          <w:sz w:val="18"/>
        </w:rPr>
      </w:pPr>
      <w:r>
        <w:rPr>
          <w:spacing w:val="-2"/>
          <w:sz w:val="18"/>
        </w:rPr>
        <w:t>MINISTER</w:t>
      </w:r>
    </w:p>
    <w:p>
      <w:pPr>
        <w:pStyle w:val="yFootnotesection"/>
        <w:rPr>
          <w:spacing w:val="-2"/>
        </w:rPr>
      </w:pPr>
      <w:r>
        <w:tab/>
        <w:t>[Form 8 amended in Gazette 2 Oct 1987 p. 3828; 3 Feb 2006 p. 524 and 602.]</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r>
              <w:rPr>
                <w:spacing w:val="-2"/>
                <w:sz w:val="20"/>
              </w:rPr>
              <w:t xml:space="preserve">WESTERN AUSTRALIA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tabs>
          <w:tab w:val="left" w:pos="2410"/>
        </w:tabs>
        <w:spacing w:before="180" w:line="180" w:lineRule="atLeast"/>
        <w:outlineLvl w:val="0"/>
        <w:rPr>
          <w:snapToGrid w:val="0"/>
          <w:sz w:val="18"/>
        </w:rPr>
      </w:pPr>
      <w:r>
        <w:rPr>
          <w:b/>
          <w:snapToGrid w:val="0"/>
          <w:sz w:val="18"/>
        </w:rPr>
        <w:t>GENERAL PURPOSE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60" w:line="180" w:lineRule="atLeast"/>
        <w:jc w:val="center"/>
        <w:outlineLvl w:val="0"/>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60" w:line="180" w:lineRule="atLeast"/>
        <w:jc w:val="center"/>
        <w:outlineLvl w:val="0"/>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60" w:line="180" w:lineRule="atLeast"/>
        <w:jc w:val="center"/>
        <w:outlineLvl w:val="0"/>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5</w:t>
      </w:r>
      <w:r>
        <w:rPr>
          <w:snapToGrid w:val="0"/>
          <w:sz w:val="18"/>
        </w:rPr>
        <w:t>, Perth.</w:t>
      </w:r>
    </w:p>
    <w:p>
      <w:pPr>
        <w:pStyle w:val="yTable"/>
        <w:spacing w:before="160" w:line="180" w:lineRule="atLeast"/>
        <w:jc w:val="center"/>
        <w:outlineLvl w:val="0"/>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60" w:line="180" w:lineRule="atLeast"/>
        <w:jc w:val="center"/>
        <w:outlineLvl w:val="0"/>
        <w:rPr>
          <w:b/>
          <w:snapToGrid w:val="0"/>
          <w:sz w:val="18"/>
        </w:rPr>
      </w:pPr>
      <w:r>
        <w:rPr>
          <w:b/>
          <w:snapToGrid w:val="0"/>
          <w:sz w:val="18"/>
        </w:rPr>
        <w:t>FIFTH SCHEDULE</w:t>
      </w:r>
    </w:p>
    <w:p>
      <w:pPr>
        <w:pStyle w:val="yTable"/>
        <w:spacing w:line="180" w:lineRule="atLeast"/>
        <w:outlineLvl w:val="0"/>
        <w:rPr>
          <w:snapToGrid w:val="0"/>
          <w:sz w:val="18"/>
        </w:rPr>
      </w:pPr>
      <w:r>
        <w:rPr>
          <w:snapToGrid w:val="0"/>
          <w:sz w:val="18"/>
        </w:rPr>
        <w:t>The term of the lease is</w:t>
      </w:r>
    </w:p>
    <w:p>
      <w:pPr>
        <w:pStyle w:val="yTable"/>
        <w:spacing w:before="160" w:line="180" w:lineRule="atLeast"/>
        <w:jc w:val="center"/>
        <w:outlineLvl w:val="0"/>
        <w:rPr>
          <w:b/>
          <w:snapToGrid w:val="0"/>
          <w:sz w:val="18"/>
        </w:rPr>
      </w:pPr>
      <w:r>
        <w:rPr>
          <w:b/>
          <w:snapToGrid w:val="0"/>
          <w:sz w:val="18"/>
        </w:rPr>
        <w:t>SIXTH SCHEDULE</w:t>
      </w:r>
    </w:p>
    <w:p>
      <w:pPr>
        <w:pStyle w:val="yTable"/>
        <w:spacing w:line="180" w:lineRule="atLeast"/>
        <w:rPr>
          <w:snapToGrid w:val="0"/>
          <w:sz w:val="18"/>
        </w:rPr>
      </w:pPr>
      <w:r>
        <w:rPr>
          <w:snapToGrid w:val="0"/>
          <w:sz w:val="18"/>
        </w:rPr>
        <w:t>Date of commencement of the lease.</w:t>
      </w:r>
    </w:p>
    <w:p>
      <w:pPr>
        <w:pStyle w:val="yTable"/>
        <w:spacing w:before="160" w:line="180" w:lineRule="atLeast"/>
        <w:jc w:val="center"/>
        <w:outlineLvl w:val="0"/>
        <w:rPr>
          <w:b/>
          <w:snapToGrid w:val="0"/>
          <w:sz w:val="18"/>
        </w:rPr>
      </w:pPr>
      <w:r>
        <w:rPr>
          <w:b/>
          <w:snapToGrid w:val="0"/>
          <w:sz w:val="18"/>
        </w:rPr>
        <w:t>SIXTH SCHEDULE</w:t>
      </w:r>
    </w:p>
    <w:p>
      <w:pPr>
        <w:pStyle w:val="yTable"/>
        <w:spacing w:line="180" w:lineRule="atLeast"/>
        <w:outlineLvl w:val="0"/>
        <w:rPr>
          <w:snapToGrid w:val="0"/>
          <w:sz w:val="18"/>
        </w:rPr>
      </w:pPr>
      <w:r>
        <w:rPr>
          <w:snapToGrid w:val="0"/>
          <w:sz w:val="18"/>
        </w:rPr>
        <w:t>Any further endorsements/conditions or stipulations</w:t>
      </w:r>
    </w:p>
    <w:p>
      <w:pPr>
        <w:pStyle w:val="yTable"/>
        <w:spacing w:before="160" w:line="180" w:lineRule="atLeast"/>
        <w:jc w:val="center"/>
        <w:outlineLvl w:val="0"/>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outlineLvl w:val="0"/>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outlineLvl w:val="0"/>
        <w:rPr>
          <w:spacing w:val="-2"/>
          <w:sz w:val="18"/>
        </w:rPr>
      </w:pPr>
      <w:r>
        <w:rPr>
          <w:spacing w:val="-2"/>
          <w:sz w:val="18"/>
        </w:rPr>
        <w:tab/>
        <w:t>MINISTER</w:t>
      </w:r>
    </w:p>
    <w:p>
      <w:pPr>
        <w:pStyle w:val="yFootnotesection"/>
        <w:rPr>
          <w:spacing w:val="-2"/>
          <w:sz w:val="18"/>
        </w:rPr>
      </w:pPr>
      <w:r>
        <w:tab/>
        <w:t>[Form 10 amended in Gazette 2 Oct 1987 p. 3830 and 3837; 3 Feb 2006 p. 524.]</w:t>
      </w: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outlineLvl w:val="0"/>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outlineLvl w:val="0"/>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outlineLvl w:val="0"/>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rPr>
          <w:spacing w:val="-2"/>
        </w:rPr>
      </w:pPr>
      <w:r>
        <w:tab/>
        <w:t>[Form 11 inserted in Gazette 2 Oct 1987 p. 3830</w:t>
      </w:r>
      <w:r>
        <w:noBreakHyphen/>
        <w:t>1.]</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r>
              <w:rPr>
                <w:spacing w:val="-2"/>
                <w:sz w:val="18"/>
              </w:rPr>
              <w:tab/>
            </w:r>
          </w:p>
          <w:p>
            <w:pPr>
              <w:pStyle w:val="yTable"/>
              <w:tabs>
                <w:tab w:val="left" w:pos="496"/>
                <w:tab w:val="left" w:leader="dot" w:pos="2006"/>
                <w:tab w:val="left" w:pos="3273"/>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r>
          </w:p>
          <w:p>
            <w:pPr>
              <w:pStyle w:val="yTable"/>
              <w:tabs>
                <w:tab w:val="left" w:pos="496"/>
                <w:tab w:val="left" w:leader="dot" w:pos="2006"/>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r>
              <w:rPr>
                <w:spacing w:val="-2"/>
                <w:sz w:val="18"/>
              </w:rPr>
              <w:tab/>
              <w:t>...................................</w:t>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t>...................................</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rPr>
          <w:spacing w:val="-2"/>
        </w:rPr>
      </w:pPr>
      <w:r>
        <w:tab/>
        <w:t>[Form 12 amended in Gazette 2 Oct 1987 p. 3831.]</w:t>
      </w: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rPr>
          <w:spacing w:val="-2"/>
        </w:rPr>
      </w:pPr>
      <w:r>
        <w:tab/>
        <w:t>[Form 14 inserted in Gazette 31 May 1991 p. 2701</w:t>
      </w:r>
      <w:r>
        <w:noBreakHyphen/>
        <w:t>2.]</w:t>
      </w: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outlineLvl w:val="0"/>
        <w:rPr>
          <w:b/>
          <w:snapToGrid w:val="0"/>
          <w:sz w:val="18"/>
        </w:rPr>
      </w:pPr>
      <w:r>
        <w:rPr>
          <w:b/>
          <w:snapToGrid w:val="0"/>
          <w:sz w:val="18"/>
        </w:rPr>
        <w:tab/>
        <w:t>APPLICATION FOR FORFEITURE</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outlineLvl w:val="0"/>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outlineLvl w:val="0"/>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outlineLvl w:val="0"/>
        <w:rPr>
          <w:spacing w:val="-2"/>
          <w:sz w:val="18"/>
        </w:rPr>
      </w:pPr>
      <w:r>
        <w:rPr>
          <w:spacing w:val="-2"/>
          <w:sz w:val="18"/>
        </w:rPr>
        <w:t>Warden</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2225"/>
        <w:gridCol w:w="64"/>
        <w:gridCol w:w="2552"/>
        <w:gridCol w:w="1801"/>
        <w:gridCol w:w="54"/>
      </w:tblGrid>
      <w:tr>
        <w:tc>
          <w:tcPr>
            <w:tcW w:w="2651" w:type="dxa"/>
            <w:gridSpan w:val="2"/>
          </w:tcPr>
          <w:p>
            <w:pPr>
              <w:pStyle w:val="yTable"/>
              <w:pageBreakBefore/>
              <w:spacing w:line="180" w:lineRule="atLeast"/>
              <w:ind w:left="-119"/>
              <w:rPr>
                <w:spacing w:val="-2"/>
                <w:sz w:val="18"/>
              </w:rPr>
            </w:pPr>
            <w:r>
              <w:rPr>
                <w:spacing w:val="-2"/>
                <w:sz w:val="18"/>
              </w:rPr>
              <w:t>Form 16</w:t>
            </w:r>
          </w:p>
        </w:tc>
        <w:tc>
          <w:tcPr>
            <w:tcW w:w="4471" w:type="dxa"/>
            <w:gridSpan w:val="4"/>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(Secs. 42, 59, 70D, 75, 97A Regs. 49, 51B, 55, 67, 120A)</w:t>
            </w:r>
          </w:p>
        </w:tc>
      </w:tr>
      <w:tr>
        <w:tc>
          <w:tcPr>
            <w:tcW w:w="2651" w:type="dxa"/>
            <w:gridSpan w:val="2"/>
          </w:tcPr>
          <w:p>
            <w:pPr>
              <w:pStyle w:val="yTable"/>
              <w:spacing w:line="180" w:lineRule="atLeast"/>
              <w:ind w:left="-120"/>
              <w:rPr>
                <w:spacing w:val="-2"/>
                <w:sz w:val="18"/>
              </w:rPr>
            </w:pPr>
          </w:p>
        </w:tc>
        <w:tc>
          <w:tcPr>
            <w:tcW w:w="4471" w:type="dxa"/>
            <w:gridSpan w:val="4"/>
          </w:tcPr>
          <w:p>
            <w:pPr>
              <w:pStyle w:val="yTable"/>
              <w:spacing w:before="120" w:after="60" w:line="180" w:lineRule="atLeast"/>
              <w:rPr>
                <w:spacing w:val="-2"/>
                <w:sz w:val="18"/>
              </w:rPr>
            </w:pPr>
            <w:r>
              <w:rPr>
                <w:b/>
                <w:spacing w:val="-3"/>
              </w:rPr>
              <w:t>OBJECTION</w:t>
            </w:r>
            <w:r>
              <w:rPr>
                <w:spacing w:val="-2"/>
                <w:sz w:val="18"/>
              </w:rPr>
              <w:tab/>
            </w:r>
            <w:r>
              <w:rPr>
                <w:spacing w:val="-2"/>
                <w:sz w:val="18"/>
              </w:rPr>
              <w:tab/>
              <w:t>No.</w:t>
            </w:r>
          </w:p>
          <w:p>
            <w:pPr>
              <w:pStyle w:val="yTable"/>
              <w:spacing w:line="180" w:lineRule="atLeast"/>
              <w:rPr>
                <w:spacing w:val="-2"/>
                <w:sz w:val="18"/>
              </w:rPr>
            </w:pPr>
            <w:r>
              <w:rPr>
                <w:spacing w:val="-2"/>
                <w:sz w:val="18"/>
              </w:rPr>
              <w:t>To:  The Warden</w:t>
            </w:r>
          </w:p>
        </w:tc>
      </w:tr>
      <w:tr>
        <w:tc>
          <w:tcPr>
            <w:tcW w:w="2651" w:type="dxa"/>
            <w:gridSpan w:val="2"/>
          </w:tcPr>
          <w:p>
            <w:pPr>
              <w:pStyle w:val="yTable"/>
              <w:spacing w:line="180" w:lineRule="atLeast"/>
              <w:ind w:left="306" w:hanging="426"/>
              <w:rPr>
                <w:spacing w:val="-2"/>
                <w:sz w:val="18"/>
              </w:rPr>
            </w:pPr>
            <w:r>
              <w:rPr>
                <w:spacing w:val="-2"/>
                <w:sz w:val="18"/>
              </w:rPr>
              <w:t>(a)</w:t>
            </w:r>
            <w:r>
              <w:rPr>
                <w:spacing w:val="-2"/>
                <w:sz w:val="18"/>
              </w:rPr>
              <w:tab/>
              <w:t>Mineral Field</w:t>
            </w:r>
          </w:p>
          <w:p>
            <w:pPr>
              <w:pStyle w:val="yTable"/>
              <w:spacing w:line="180" w:lineRule="atLeast"/>
              <w:ind w:left="306" w:hanging="426"/>
              <w:rPr>
                <w:spacing w:val="-2"/>
                <w:sz w:val="18"/>
              </w:rPr>
            </w:pPr>
          </w:p>
        </w:tc>
        <w:tc>
          <w:tcPr>
            <w:tcW w:w="4471" w:type="dxa"/>
            <w:gridSpan w:val="4"/>
          </w:tcPr>
          <w:p>
            <w:pPr>
              <w:pStyle w:val="yTable"/>
              <w:tabs>
                <w:tab w:val="left" w:pos="262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c>
          <w:tcPr>
            <w:tcW w:w="2651" w:type="dxa"/>
            <w:gridSpan w:val="2"/>
          </w:tcPr>
          <w:p>
            <w:pPr>
              <w:pStyle w:val="yTable"/>
              <w:spacing w:line="180" w:lineRule="atLeast"/>
              <w:ind w:left="306" w:hanging="426"/>
              <w:rPr>
                <w:spacing w:val="-2"/>
                <w:sz w:val="18"/>
              </w:rPr>
            </w:pPr>
            <w:r>
              <w:rPr>
                <w:spacing w:val="-2"/>
                <w:sz w:val="18"/>
              </w:rPr>
              <w:t>(b)</w:t>
            </w:r>
            <w:r>
              <w:rPr>
                <w:spacing w:val="-2"/>
                <w:sz w:val="18"/>
              </w:rPr>
              <w:tab/>
              <w:t>Insert particulars of the matter objected to and mining tenement affected</w:t>
            </w:r>
          </w:p>
        </w:tc>
        <w:tc>
          <w:tcPr>
            <w:tcW w:w="4471" w:type="dxa"/>
            <w:gridSpan w:val="4"/>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line="180" w:lineRule="atLeast"/>
              <w:rPr>
                <w:spacing w:val="-2"/>
                <w:sz w:val="18"/>
              </w:rPr>
            </w:pPr>
            <w:r>
              <w:rPr>
                <w:spacing w:val="-2"/>
                <w:sz w:val="18"/>
              </w:rPr>
              <w:t>for the following reasons </w:t>
            </w:r>
            <w:r>
              <w:rPr>
                <w:snapToGrid w:val="0"/>
                <w:sz w:val="18"/>
              </w:rPr>
              <w:t>—</w:t>
            </w:r>
            <w:r>
              <w:rPr>
                <w:spacing w:val="-2"/>
                <w:sz w:val="18"/>
              </w:rPr>
              <w:t> </w:t>
            </w:r>
          </w:p>
        </w:tc>
      </w:tr>
      <w:tr>
        <w:tc>
          <w:tcPr>
            <w:tcW w:w="2651" w:type="dxa"/>
            <w:gridSpan w:val="2"/>
          </w:tcPr>
          <w:p>
            <w:pPr>
              <w:pStyle w:val="yTable"/>
              <w:spacing w:line="180" w:lineRule="atLeast"/>
              <w:ind w:left="306" w:hanging="426"/>
              <w:rPr>
                <w:spacing w:val="-2"/>
                <w:sz w:val="18"/>
              </w:rPr>
            </w:pPr>
            <w:r>
              <w:rPr>
                <w:spacing w:val="-2"/>
                <w:sz w:val="18"/>
              </w:rPr>
              <w:t>(c)</w:t>
            </w:r>
            <w:r>
              <w:rPr>
                <w:spacing w:val="-2"/>
                <w:sz w:val="18"/>
              </w:rPr>
              <w:tab/>
              <w:t>Set out grounds for objection</w:t>
            </w:r>
          </w:p>
          <w:p>
            <w:pPr>
              <w:pStyle w:val="yTable"/>
              <w:spacing w:line="180" w:lineRule="atLeast"/>
              <w:ind w:left="306" w:hanging="426"/>
              <w:rPr>
                <w:spacing w:val="-2"/>
                <w:sz w:val="18"/>
              </w:rPr>
            </w:pPr>
          </w:p>
        </w:tc>
        <w:tc>
          <w:tcPr>
            <w:tcW w:w="4471" w:type="dxa"/>
            <w:gridSpan w:val="4"/>
          </w:tcPr>
          <w:p>
            <w:pPr>
              <w:pStyle w:val="yTable"/>
              <w:spacing w:line="180" w:lineRule="atLeast"/>
              <w:rPr>
                <w:spacing w:val="-2"/>
                <w:sz w:val="18"/>
              </w:rPr>
            </w:pPr>
            <w:r>
              <w:rPr>
                <w:spacing w:val="-2"/>
                <w:sz w:val="18"/>
              </w:rPr>
              <w:t>(c)</w:t>
            </w:r>
          </w:p>
          <w:p>
            <w:pPr>
              <w:pStyle w:val="yTable"/>
              <w:spacing w:line="180" w:lineRule="atLeast"/>
              <w:rPr>
                <w:spacing w:val="-2"/>
                <w:sz w:val="18"/>
              </w:rPr>
            </w:pPr>
            <w:r>
              <w:rPr>
                <w:spacing w:val="-2"/>
                <w:sz w:val="18"/>
              </w:rPr>
              <w:t>And pending the hearing of this objection, require you to</w:t>
            </w:r>
          </w:p>
        </w:tc>
      </w:tr>
      <w:tr>
        <w:tc>
          <w:tcPr>
            <w:tcW w:w="2651" w:type="dxa"/>
            <w:gridSpan w:val="2"/>
          </w:tcPr>
          <w:p>
            <w:pPr>
              <w:pStyle w:val="yTable"/>
              <w:spacing w:line="180" w:lineRule="atLeast"/>
              <w:ind w:left="306" w:hanging="426"/>
              <w:rPr>
                <w:spacing w:val="-2"/>
                <w:sz w:val="18"/>
              </w:rPr>
            </w:pPr>
            <w:r>
              <w:rPr>
                <w:spacing w:val="-2"/>
                <w:sz w:val="18"/>
              </w:rPr>
              <w:t>(d)</w:t>
            </w:r>
            <w:r>
              <w:rPr>
                <w:spacing w:val="-2"/>
                <w:sz w:val="18"/>
              </w:rPr>
              <w:tab/>
              <w:t>“Withhold your recommendation” OR as the case may be</w:t>
            </w:r>
          </w:p>
        </w:tc>
        <w:tc>
          <w:tcPr>
            <w:tcW w:w="4471" w:type="dxa"/>
            <w:gridSpan w:val="4"/>
          </w:tcPr>
          <w:p>
            <w:pPr>
              <w:pStyle w:val="yTable"/>
              <w:spacing w:line="180" w:lineRule="atLeast"/>
              <w:rPr>
                <w:spacing w:val="-2"/>
                <w:sz w:val="18"/>
              </w:rPr>
            </w:pPr>
            <w:r>
              <w:rPr>
                <w:spacing w:val="-2"/>
                <w:sz w:val="18"/>
              </w:rPr>
              <w:t>(d)</w:t>
            </w:r>
          </w:p>
        </w:tc>
      </w:tr>
      <w:tr>
        <w:tc>
          <w:tcPr>
            <w:tcW w:w="2651" w:type="dxa"/>
            <w:gridSpan w:val="2"/>
          </w:tcPr>
          <w:p>
            <w:pPr>
              <w:pStyle w:val="yTable"/>
              <w:spacing w:line="180" w:lineRule="atLeast"/>
              <w:ind w:left="306" w:hanging="426"/>
              <w:rPr>
                <w:spacing w:val="-2"/>
                <w:sz w:val="18"/>
              </w:rPr>
            </w:pPr>
            <w:r>
              <w:rPr>
                <w:spacing w:val="-2"/>
                <w:sz w:val="18"/>
              </w:rPr>
              <w:t>(e)</w:t>
            </w:r>
            <w:r>
              <w:rPr>
                <w:spacing w:val="-2"/>
                <w:sz w:val="18"/>
              </w:rPr>
              <w:tab/>
              <w:t>Full name and address of objector</w:t>
            </w:r>
          </w:p>
        </w:tc>
        <w:tc>
          <w:tcPr>
            <w:tcW w:w="4471" w:type="dxa"/>
            <w:gridSpan w:val="4"/>
          </w:tcPr>
          <w:p>
            <w:pPr>
              <w:pStyle w:val="yTable"/>
              <w:spacing w:line="180" w:lineRule="atLeast"/>
              <w:rPr>
                <w:spacing w:val="-2"/>
                <w:sz w:val="18"/>
              </w:rPr>
            </w:pPr>
            <w:r>
              <w:rPr>
                <w:spacing w:val="-2"/>
                <w:sz w:val="18"/>
              </w:rPr>
              <w:t>(e)</w:t>
            </w:r>
          </w:p>
          <w:p>
            <w:pPr>
              <w:pStyle w:val="yTable"/>
              <w:spacing w:line="180" w:lineRule="atLeast"/>
              <w:rPr>
                <w:spacing w:val="-2"/>
                <w:sz w:val="18"/>
              </w:rPr>
            </w:pPr>
          </w:p>
        </w:tc>
      </w:tr>
      <w:tr>
        <w:tc>
          <w:tcPr>
            <w:tcW w:w="2651" w:type="dxa"/>
            <w:gridSpan w:val="2"/>
          </w:tcPr>
          <w:p>
            <w:pPr>
              <w:pStyle w:val="yTable"/>
              <w:spacing w:line="180" w:lineRule="atLeast"/>
              <w:ind w:left="306" w:hanging="426"/>
              <w:rPr>
                <w:spacing w:val="-2"/>
                <w:sz w:val="18"/>
              </w:rPr>
            </w:pPr>
            <w:r>
              <w:rPr>
                <w:sz w:val="18"/>
              </w:rPr>
              <w:t>(f)</w:t>
            </w:r>
            <w:r>
              <w:rPr>
                <w:sz w:val="18"/>
              </w:rPr>
              <w:tab/>
              <w:t>Insert date on which copy of application for mining tenement received (See Note 1)</w:t>
            </w:r>
          </w:p>
        </w:tc>
        <w:tc>
          <w:tcPr>
            <w:tcW w:w="4471" w:type="dxa"/>
            <w:gridSpan w:val="4"/>
          </w:tcPr>
          <w:p>
            <w:pPr>
              <w:pStyle w:val="yTable"/>
              <w:spacing w:line="180" w:lineRule="atLeast"/>
              <w:rPr>
                <w:spacing w:val="-2"/>
                <w:sz w:val="18"/>
              </w:rPr>
            </w:pPr>
            <w:r>
              <w:rPr>
                <w:sz w:val="18"/>
              </w:rPr>
              <w:t>(f)</w:t>
            </w:r>
          </w:p>
        </w:tc>
      </w:tr>
      <w:tr>
        <w:tc>
          <w:tcPr>
            <w:tcW w:w="2651" w:type="dxa"/>
            <w:gridSpan w:val="2"/>
          </w:tcPr>
          <w:p>
            <w:pPr>
              <w:pStyle w:val="yTable"/>
              <w:spacing w:line="180" w:lineRule="atLeast"/>
              <w:ind w:left="306" w:hanging="426"/>
              <w:rPr>
                <w:spacing w:val="-2"/>
                <w:sz w:val="18"/>
              </w:rPr>
            </w:pPr>
          </w:p>
          <w:p>
            <w:pPr>
              <w:pStyle w:val="yTable"/>
              <w:spacing w:after="40" w:line="180" w:lineRule="atLeast"/>
              <w:ind w:left="306" w:hanging="425"/>
              <w:rPr>
                <w:spacing w:val="-2"/>
                <w:sz w:val="18"/>
              </w:rPr>
            </w:pPr>
            <w:r>
              <w:rPr>
                <w:spacing w:val="-2"/>
                <w:sz w:val="18"/>
              </w:rPr>
              <w:t>(g)</w:t>
            </w:r>
            <w:r>
              <w:rPr>
                <w:spacing w:val="-2"/>
                <w:sz w:val="18"/>
              </w:rPr>
              <w:tab/>
              <w:t>Signature of objector or agent</w:t>
            </w:r>
          </w:p>
        </w:tc>
        <w:tc>
          <w:tcPr>
            <w:tcW w:w="4471" w:type="dxa"/>
            <w:gridSpan w:val="4"/>
          </w:tcPr>
          <w:p>
            <w:pPr>
              <w:pStyle w:val="yTable"/>
              <w:spacing w:before="20" w:line="180" w:lineRule="atLeast"/>
              <w:rPr>
                <w:spacing w:val="-2"/>
                <w:sz w:val="18"/>
              </w:rPr>
            </w:pPr>
            <w:r>
              <w:rPr>
                <w:spacing w:val="-2"/>
                <w:sz w:val="18"/>
              </w:rPr>
              <w:t>DATED this               day of                      20</w:t>
            </w:r>
          </w:p>
          <w:p>
            <w:pPr>
              <w:pStyle w:val="yTable"/>
              <w:tabs>
                <w:tab w:val="left" w:leader="dot" w:pos="2268"/>
              </w:tabs>
              <w:spacing w:line="180" w:lineRule="atLeast"/>
              <w:rPr>
                <w:spacing w:val="-2"/>
                <w:sz w:val="18"/>
              </w:rPr>
            </w:pPr>
            <w:r>
              <w:rPr>
                <w:spacing w:val="-2"/>
                <w:sz w:val="18"/>
              </w:rPr>
              <w:t>(g)     ........................................................................................</w:t>
            </w:r>
          </w:p>
        </w:tc>
      </w:tr>
      <w:tr>
        <w:trPr>
          <w:gridAfter w:val="1"/>
          <w:wAfter w:w="54" w:type="dxa"/>
        </w:trPr>
        <w:tc>
          <w:tcPr>
            <w:tcW w:w="426" w:type="dxa"/>
            <w:tcBorders>
              <w:top w:val="double" w:sz="7" w:space="0" w:color="auto"/>
              <w:left w:val="single" w:sz="7" w:space="0" w:color="auto"/>
            </w:tcBorders>
          </w:tcPr>
          <w:p>
            <w:pPr>
              <w:pStyle w:val="yTable"/>
              <w:spacing w:line="180" w:lineRule="atLeast"/>
              <w:jc w:val="center"/>
              <w:rPr>
                <w:spacing w:val="-2"/>
                <w:sz w:val="18"/>
              </w:rPr>
            </w:pPr>
          </w:p>
        </w:tc>
        <w:tc>
          <w:tcPr>
            <w:tcW w:w="6642" w:type="dxa"/>
            <w:gridSpan w:val="4"/>
            <w:tcBorders>
              <w:top w:val="double" w:sz="7" w:space="0" w:color="auto"/>
              <w:left w:val="single" w:sz="7" w:space="0" w:color="auto"/>
              <w:right w:val="single" w:sz="7" w:space="0" w:color="auto"/>
            </w:tcBorders>
          </w:tcPr>
          <w:p>
            <w:pPr>
              <w:pStyle w:val="yTable"/>
              <w:tabs>
                <w:tab w:val="left" w:pos="5691"/>
              </w:tabs>
              <w:spacing w:line="180" w:lineRule="atLeast"/>
              <w:rPr>
                <w:spacing w:val="-2"/>
                <w:sz w:val="18"/>
              </w:rPr>
            </w:pPr>
            <w:r>
              <w:rPr>
                <w:spacing w:val="-2"/>
                <w:sz w:val="18"/>
              </w:rPr>
              <w:t xml:space="preserve">This objection will be heard in the Warden’s Court at </w:t>
            </w:r>
            <w:r>
              <w:rPr>
                <w:spacing w:val="-2"/>
                <w:sz w:val="18"/>
              </w:rPr>
              <w:tab/>
              <w:t>at</w:t>
            </w:r>
          </w:p>
          <w:p>
            <w:pPr>
              <w:pStyle w:val="yTable"/>
              <w:spacing w:before="0" w:line="180" w:lineRule="atLeast"/>
              <w:rPr>
                <w:spacing w:val="-2"/>
                <w:sz w:val="18"/>
              </w:rPr>
            </w:pPr>
            <w:r>
              <w:rPr>
                <w:spacing w:val="-2"/>
                <w:sz w:val="18"/>
              </w:rPr>
              <w:t xml:space="preserve">the hour of                       .m. on the             day of          </w:t>
            </w:r>
            <w:r>
              <w:rPr>
                <w:spacing w:val="-2"/>
                <w:sz w:val="18"/>
              </w:rPr>
              <w:tab/>
              <w:t xml:space="preserve">      20</w:t>
            </w:r>
          </w:p>
        </w:tc>
      </w:tr>
      <w:tr>
        <w:trPr>
          <w:gridAfter w:val="1"/>
          <w:wAfter w:w="54" w:type="dxa"/>
        </w:trPr>
        <w:tc>
          <w:tcPr>
            <w:tcW w:w="426" w:type="dxa"/>
            <w:tcBorders>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2289" w:type="dxa"/>
            <w:gridSpan w:val="2"/>
            <w:tcBorders>
              <w:top w:val="double" w:sz="7" w:space="0" w:color="auto"/>
              <w:left w:val="single" w:sz="7" w:space="0" w:color="auto"/>
              <w:bottom w:val="single" w:sz="7" w:space="0" w:color="auto"/>
            </w:tcBorders>
          </w:tcPr>
          <w:p>
            <w:pPr>
              <w:pStyle w:val="yTable"/>
              <w:spacing w:line="180" w:lineRule="atLeast"/>
              <w:rPr>
                <w:spacing w:val="-2"/>
                <w:sz w:val="18"/>
              </w:rPr>
            </w:pPr>
          </w:p>
        </w:tc>
        <w:tc>
          <w:tcPr>
            <w:tcW w:w="2552" w:type="dxa"/>
            <w:tcBorders>
              <w:top w:val="doub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2290"/>
              </w:tabs>
              <w:spacing w:before="0" w:line="180" w:lineRule="atLeast"/>
              <w:rPr>
                <w:spacing w:val="-2"/>
                <w:sz w:val="18"/>
              </w:rPr>
            </w:pPr>
            <w:r>
              <w:rPr>
                <w:spacing w:val="-2"/>
                <w:sz w:val="18"/>
              </w:rPr>
              <w:t>Received at ............................ m.</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on ................................................</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p>
            <w:pPr>
              <w:pStyle w:val="yTable"/>
              <w:spacing w:line="180" w:lineRule="atLeast"/>
              <w:rPr>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900" w:hanging="900"/>
      </w:pPr>
      <w:r>
        <w:rPr>
          <w:sz w:val="18"/>
        </w:rPr>
        <w:t>Note 1:</w:t>
      </w:r>
      <w:r>
        <w:rPr>
          <w:sz w:val="18"/>
        </w:rPr>
        <w:tab/>
        <w:t>To be completed if the objection is in respect of an application for a mining tenement that relates to private land.</w:t>
      </w:r>
    </w:p>
    <w:p>
      <w:pPr>
        <w:pStyle w:val="yFootnotesection"/>
      </w:pPr>
      <w:r>
        <w:tab/>
        <w:t>[Form 16 amended in Gazette 12 Nov 1982 p. 4491; 2 Oct 1987 p. 3831; 24 Dec 1993 p. 6829; 24 Jun 1994 p. 2939; 3 Feb 2006 p. 524.]</w:t>
      </w:r>
    </w:p>
    <w:p>
      <w:pPr>
        <w:pStyle w:val="yEdnotesection"/>
        <w:spacing w:before="120"/>
        <w:outlineLvl w:val="9"/>
      </w:pPr>
      <w:r>
        <w:tab/>
        <w:t>[Form 16A deleted in Gazette 4 Apr 1997 p. 1780.]</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rPr>
          <w:spacing w:val="-2"/>
        </w:rPr>
      </w:pPr>
      <w:r>
        <w:tab/>
        <w:t>[Form 17 inserted in Gazette 2 Oct 1987 p. 3831</w:t>
      </w:r>
      <w:r>
        <w:noBreakHyphen/>
        <w:t>2; amended in Gazette 4 Apr 1997 p. 1780.]</w:t>
      </w: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w:t>
      </w:r>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rPr>
          <w:spacing w:val="-2"/>
        </w:rPr>
      </w:pPr>
      <w:r>
        <w:tab/>
        <w:t>[Form 19 inserted in Gazette 17 Jan 2003 p. 108</w:t>
      </w:r>
      <w:r>
        <w:noBreakHyphen/>
        <w:t>9.]</w:t>
      </w: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rPr>
          <w:spacing w:val="-2"/>
        </w:rPr>
      </w:pPr>
      <w:r>
        <w:tab/>
        <w:t>[Form 20 amended in Gazette 2 Oct 1987 p. 3833.]</w:t>
      </w: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Full Name</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outlineLvl w:val="0"/>
        <w:rPr>
          <w:b/>
          <w:snapToGrid w:val="0"/>
          <w:sz w:val="18"/>
        </w:rPr>
      </w:pPr>
      <w:r>
        <w:rPr>
          <w:b/>
          <w:snapToGrid w:val="0"/>
          <w:sz w:val="18"/>
        </w:rPr>
        <w:t>NOTES</w:t>
      </w:r>
    </w:p>
    <w:p>
      <w:pPr>
        <w:pStyle w:val="yTable"/>
        <w:tabs>
          <w:tab w:val="left" w:pos="851"/>
        </w:tabs>
        <w:spacing w:line="180" w:lineRule="atLeast"/>
        <w:outlineLvl w:val="0"/>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outlineLvl w:val="0"/>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rPr>
          <w:spacing w:val="-2"/>
        </w:rPr>
      </w:pPr>
      <w:r>
        <w:tab/>
        <w:t>[Form 21 inserted in Gazette 24 Jun 1994 p. 2940</w:t>
      </w:r>
      <w:r>
        <w:noBreakHyphen/>
        <w:t>2; amended in Gazette 13 Oct 1995 p. 4823; 4 Apr 1997 p. 1780.]</w:t>
      </w:r>
    </w:p>
    <w:p>
      <w:pPr>
        <w:pStyle w:val="yEdnotesection"/>
        <w:outlineLvl w:val="9"/>
      </w:pPr>
      <w:r>
        <w:tab/>
        <w:t>[Form 21A deleted in Gazette 31 May 1991 p. 2705.]</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pageBreakBefore/>
              <w:spacing w:line="180" w:lineRule="atLeast"/>
              <w:ind w:left="-119"/>
              <w:rPr>
                <w:sz w:val="18"/>
              </w:rPr>
            </w:pPr>
            <w:r>
              <w:rPr>
                <w:sz w:val="18"/>
              </w:rPr>
              <w:t>Form 22</w:t>
            </w:r>
          </w:p>
        </w:tc>
        <w:tc>
          <w:tcPr>
            <w:tcW w:w="501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22 amended in Gazette 2 Oct 1987 p. 3835.]</w:t>
      </w:r>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pageBreakBefor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 &amp; 134)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23"/>
        <w:gridCol w:w="2715"/>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of Industry and Resources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rPr>
          <w:sz w:val="18"/>
        </w:rPr>
      </w:pPr>
      <w:r>
        <w:tab/>
        <w:t>[Form 23 inserted in Gazette 3 Feb 2006 p. 524-5.]</w:t>
      </w:r>
    </w:p>
    <w:tbl>
      <w:tblPr>
        <w:tblW w:w="0" w:type="auto"/>
        <w:tblInd w:w="262" w:type="dxa"/>
        <w:tblLayout w:type="fixed"/>
        <w:tblCellMar>
          <w:left w:w="120" w:type="dxa"/>
          <w:right w:w="120" w:type="dxa"/>
        </w:tblCellMar>
        <w:tblLook w:val="0000" w:firstRow="0" w:lastRow="0" w:firstColumn="0" w:lastColumn="0" w:noHBand="0" w:noVBand="0"/>
      </w:tblPr>
      <w:tblGrid>
        <w:gridCol w:w="1936"/>
        <w:gridCol w:w="5010"/>
      </w:tblGrid>
      <w:tr>
        <w:tc>
          <w:tcPr>
            <w:tcW w:w="1936" w:type="dxa"/>
          </w:tcPr>
          <w:p>
            <w:pPr>
              <w:pStyle w:val="yTable"/>
              <w:pageBreakBefore/>
              <w:spacing w:line="180" w:lineRule="atLeast"/>
              <w:ind w:left="-119"/>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36"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1936"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36" w:type="dxa"/>
          </w:tcPr>
          <w:p>
            <w:pPr>
              <w:pStyle w:val="yTable"/>
              <w:spacing w:before="0" w:line="160" w:lineRule="atLeast"/>
              <w:ind w:left="306" w:hanging="426"/>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before="0" w:line="160" w:lineRule="atLeast"/>
              <w:ind w:left="306" w:hanging="425"/>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36"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36" w:type="dxa"/>
          </w:tcPr>
          <w:p>
            <w:pPr>
              <w:pStyle w:val="yTable"/>
              <w:spacing w:before="0" w:line="160" w:lineRule="atLeast"/>
              <w:ind w:left="-120"/>
              <w:rPr>
                <w:sz w:val="16"/>
              </w:rPr>
            </w:pPr>
          </w:p>
        </w:tc>
        <w:tc>
          <w:tcPr>
            <w:tcW w:w="5010"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36" w:type="dxa"/>
          </w:tcPr>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514"/>
        <w:gridCol w:w="2824"/>
        <w:gridCol w:w="2286"/>
      </w:tblGrid>
      <w:tr>
        <w:tc>
          <w:tcPr>
            <w:tcW w:w="322"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rPr>
          <w:sz w:val="18"/>
        </w:rPr>
      </w:pPr>
      <w:r>
        <w:tab/>
        <w:t>[Form 24 inserted in Gazette 3 Feb 2006 p. 525-6.]</w:t>
      </w:r>
    </w:p>
    <w:tbl>
      <w:tblPr>
        <w:tblW w:w="0" w:type="auto"/>
        <w:tblInd w:w="262" w:type="dxa"/>
        <w:tblLayout w:type="fixed"/>
        <w:tblCellMar>
          <w:left w:w="120" w:type="dxa"/>
          <w:right w:w="120" w:type="dxa"/>
        </w:tblCellMar>
        <w:tblLook w:val="0000" w:firstRow="0" w:lastRow="0" w:firstColumn="0" w:lastColumn="0" w:noHBand="0" w:noVBand="0"/>
      </w:tblPr>
      <w:tblGrid>
        <w:gridCol w:w="1985"/>
        <w:gridCol w:w="4961"/>
      </w:tblGrid>
      <w:tr>
        <w:tc>
          <w:tcPr>
            <w:tcW w:w="1985" w:type="dxa"/>
          </w:tcPr>
          <w:p>
            <w:pPr>
              <w:pStyle w:val="yTable"/>
              <w:pageBreakBefore/>
              <w:spacing w:line="180" w:lineRule="atLeast"/>
              <w:ind w:left="-119"/>
              <w:rPr>
                <w:sz w:val="18"/>
              </w:rPr>
            </w:pPr>
            <w:r>
              <w:rPr>
                <w:sz w:val="18"/>
              </w:rPr>
              <w:t>Form 24A</w:t>
            </w:r>
          </w:p>
        </w:tc>
        <w:tc>
          <w:tcPr>
            <w:tcW w:w="4961"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85" w:type="dxa"/>
          </w:tcPr>
          <w:p>
            <w:pPr>
              <w:pStyle w:val="yTable"/>
              <w:spacing w:line="180" w:lineRule="atLeast"/>
              <w:ind w:left="-120"/>
              <w:rPr>
                <w:sz w:val="18"/>
              </w:rPr>
            </w:pPr>
          </w:p>
        </w:tc>
        <w:tc>
          <w:tcPr>
            <w:tcW w:w="4961" w:type="dxa"/>
          </w:tcPr>
          <w:p>
            <w:pPr>
              <w:pStyle w:val="yTable"/>
              <w:spacing w:before="120" w:after="60" w:line="180" w:lineRule="atLeast"/>
              <w:rPr>
                <w:sz w:val="18"/>
              </w:rPr>
            </w:pPr>
            <w:r>
              <w:rPr>
                <w:b/>
              </w:rPr>
              <w:t>WITHDRAWAL OF CAVEAT</w:t>
            </w:r>
            <w:r>
              <w:rPr>
                <w:sz w:val="18"/>
              </w:rPr>
              <w:tab/>
              <w:t xml:space="preserve">No.(s)          </w:t>
            </w:r>
          </w:p>
        </w:tc>
      </w:tr>
      <w:tr>
        <w:tc>
          <w:tcPr>
            <w:tcW w:w="1985" w:type="dxa"/>
          </w:tcPr>
          <w:p>
            <w:pPr>
              <w:pStyle w:val="yTable"/>
              <w:spacing w:line="180" w:lineRule="atLeast"/>
              <w:ind w:left="306" w:hanging="426"/>
              <w:rPr>
                <w:sz w:val="18"/>
              </w:rPr>
            </w:pPr>
            <w:r>
              <w:rPr>
                <w:sz w:val="18"/>
              </w:rPr>
              <w:t>(a)</w:t>
            </w:r>
            <w:r>
              <w:rPr>
                <w:sz w:val="18"/>
              </w:rPr>
              <w:tab/>
              <w:t>Full name &amp; Address of Caveator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after="60" w:line="180" w:lineRule="atLeast"/>
              <w:rPr>
                <w:sz w:val="18"/>
              </w:rPr>
            </w:pPr>
            <w:r>
              <w:rPr>
                <w:sz w:val="18"/>
              </w:rPr>
              <w:t>(a)</w:t>
            </w:r>
          </w:p>
          <w:p>
            <w:pPr>
              <w:pStyle w:val="yTable"/>
              <w:spacing w:before="0" w:after="60" w:line="180" w:lineRule="atLeast"/>
              <w:rPr>
                <w:sz w:val="18"/>
              </w:rPr>
            </w:pPr>
          </w:p>
        </w:tc>
      </w:tr>
      <w:tr>
        <w:tc>
          <w:tcPr>
            <w:tcW w:w="1985" w:type="dxa"/>
          </w:tcPr>
          <w:p>
            <w:pPr>
              <w:pStyle w:val="yTable"/>
              <w:spacing w:before="0" w:line="180" w:lineRule="atLeast"/>
              <w:ind w:left="306" w:hanging="426"/>
              <w:rPr>
                <w:sz w:val="18"/>
              </w:rPr>
            </w:pPr>
          </w:p>
        </w:tc>
        <w:tc>
          <w:tcPr>
            <w:tcW w:w="4961" w:type="dxa"/>
          </w:tcPr>
          <w:p>
            <w:pPr>
              <w:pStyle w:val="yTable"/>
              <w:spacing w:before="0" w:line="180" w:lineRule="atLeast"/>
              <w:rPr>
                <w:sz w:val="18"/>
              </w:rPr>
            </w:pPr>
          </w:p>
        </w:tc>
      </w:tr>
      <w:tr>
        <w:tc>
          <w:tcPr>
            <w:tcW w:w="1985"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496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85" w:type="dxa"/>
          </w:tcPr>
          <w:p>
            <w:pPr>
              <w:pStyle w:val="yTable"/>
              <w:spacing w:line="180" w:lineRule="atLeast"/>
              <w:ind w:left="-120"/>
              <w:rPr>
                <w:sz w:val="18"/>
              </w:rPr>
            </w:pPr>
          </w:p>
        </w:tc>
        <w:tc>
          <w:tcPr>
            <w:tcW w:w="4961"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85"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br/>
            </w:r>
          </w:p>
          <w:p>
            <w:pPr>
              <w:pStyle w:val="yTable"/>
              <w:spacing w:line="180" w:lineRule="atLeast"/>
              <w:rPr>
                <w:sz w:val="18"/>
              </w:rPr>
            </w:pPr>
          </w:p>
          <w:p>
            <w:pPr>
              <w:pStyle w:val="yTable"/>
              <w:tabs>
                <w:tab w:val="left" w:leader="dot" w:pos="2055"/>
                <w:tab w:val="right" w:leader="dot" w:pos="4748"/>
              </w:tabs>
              <w:spacing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6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85" w:type="dxa"/>
          </w:tcPr>
          <w:p>
            <w:pPr>
              <w:pStyle w:val="yTable"/>
              <w:spacing w:before="0" w:line="180" w:lineRule="atLeast"/>
              <w:ind w:left="-120"/>
              <w:rPr>
                <w:sz w:val="18"/>
              </w:rPr>
            </w:pPr>
          </w:p>
        </w:tc>
        <w:tc>
          <w:tcPr>
            <w:tcW w:w="4961" w:type="dxa"/>
          </w:tcPr>
          <w:p>
            <w:pPr>
              <w:pStyle w:val="yTable"/>
              <w:spacing w:before="0" w:line="180" w:lineRule="atLeast"/>
              <w:rPr>
                <w:sz w:val="18"/>
              </w:rPr>
            </w:pPr>
          </w:p>
        </w:tc>
      </w:tr>
      <w:tr>
        <w:tc>
          <w:tcPr>
            <w:tcW w:w="1985"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322"/>
        <w:gridCol w:w="1663"/>
        <w:gridCol w:w="2566"/>
        <w:gridCol w:w="2395"/>
      </w:tblGrid>
      <w:tr>
        <w:tc>
          <w:tcPr>
            <w:tcW w:w="322"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24A inserted in Gazette 3 Feb 2006 p. 526-7.]</w:t>
      </w:r>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rPr>
          <w:sz w:val="18"/>
        </w:rPr>
      </w:pPr>
      <w:r>
        <w:tab/>
        <w:t>[Form 25 amended in Gazette 2 Oct 1987 p. 3835; 3 Feb 2006 p. 527.]</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w:t>
      </w:r>
    </w:p>
    <w:p>
      <w:pPr>
        <w:pStyle w:val="yTable"/>
        <w:tabs>
          <w:tab w:val="left" w:pos="851"/>
        </w:tabs>
        <w:spacing w:line="180" w:lineRule="atLeast"/>
        <w:rPr>
          <w:snapToGrid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840"/>
        <w:gridCol w:w="1560"/>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84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560"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outlineLvl w:val="0"/>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5</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pPr>
      <w:r>
        <w:tab/>
        <w:t>[Form 30 amended in Gazette 3 Feb 2006 p. 528.]</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(Regs. 48 &amp;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defendant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line="180" w:lineRule="atLeast"/>
              <w:rPr>
                <w:sz w:val="18"/>
              </w:rPr>
            </w:pPr>
            <w:r>
              <w:rPr>
                <w:sz w:val="18"/>
              </w:rPr>
              <w:t>Subpoena)</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33 amended in Gazette 31 May 1991 p. 2706.]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Defendant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subpoena compelling the attendance of any witnesses, and production of any books, plans, documents, etc.</w:t>
            </w:r>
          </w:p>
          <w:p>
            <w:pPr>
              <w:pStyle w:val="yTable"/>
              <w:spacing w:line="180" w:lineRule="atLeast"/>
              <w:rPr>
                <w:sz w:val="18"/>
              </w:rPr>
            </w:pPr>
            <w:r>
              <w:rPr>
                <w:sz w:val="18"/>
              </w:rPr>
              <w:t>If you intend to dispute the plaintiff</w:t>
            </w:r>
            <w:r>
              <w:rPr>
                <w:sz w:val="18"/>
              </w:rPr>
              <w:fldChar w:fldCharType="begin"/>
            </w:r>
            <w:r>
              <w:rPr>
                <w:sz w:val="18"/>
              </w:rPr>
              <w:instrText>ADVANCE \R 1.40</w:instrText>
            </w:r>
            <w:r>
              <w:rPr>
                <w:sz w:val="18"/>
              </w:rPr>
              <w:fldChar w:fldCharType="end"/>
            </w:r>
            <w:r>
              <w:rPr>
                <w:sz w:val="18"/>
              </w:rPr>
              <w:t>‘s claim you must file a notice of defence in accordance with regulation 126</w:t>
            </w:r>
          </w:p>
          <w:p>
            <w:pPr>
              <w:pStyle w:val="yTable"/>
              <w:spacing w:line="180" w:lineRule="atLeast"/>
              <w:rPr>
                <w:sz w:val="18"/>
              </w:rPr>
            </w:pPr>
            <w:r>
              <w:rPr>
                <w:sz w:val="18"/>
              </w:rPr>
              <w:t>DATED at</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Footnotesection"/>
        <w:rPr>
          <w:sz w:val="18"/>
        </w:rPr>
      </w:pPr>
      <w:r>
        <w:tab/>
        <w:t>[Form 34 amended in Gazette 2 Oct 1987 p. 3836.]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3451"/>
        <w:gridCol w:w="141"/>
        <w:gridCol w:w="1418"/>
      </w:tblGrid>
      <w:tr>
        <w:tc>
          <w:tcPr>
            <w:tcW w:w="2078" w:type="dxa"/>
          </w:tcPr>
          <w:p>
            <w:pPr>
              <w:pStyle w:val="yTable"/>
              <w:pageBreakBefore/>
              <w:spacing w:line="180" w:lineRule="atLeast"/>
              <w:ind w:left="-115"/>
              <w:rPr>
                <w:sz w:val="18"/>
              </w:rPr>
            </w:pPr>
            <w:r>
              <w:rPr>
                <w:sz w:val="18"/>
              </w:rPr>
              <w:t>Form 35</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124)</w:t>
            </w:r>
          </w:p>
          <w:p>
            <w:pPr>
              <w:pStyle w:val="yTable"/>
              <w:spacing w:line="180" w:lineRule="atLeast"/>
              <w:rPr>
                <w:sz w:val="18"/>
              </w:rPr>
            </w:pPr>
          </w:p>
          <w:p>
            <w:pPr>
              <w:pStyle w:val="yTable"/>
              <w:spacing w:line="180" w:lineRule="atLeast"/>
            </w:pPr>
            <w:r>
              <w:rPr>
                <w:b/>
              </w:rPr>
              <w:t>AFFIDAVIT OF SERVICE</w:t>
            </w:r>
          </w:p>
          <w:p>
            <w:pPr>
              <w:pStyle w:val="yTable"/>
              <w:spacing w:line="180" w:lineRule="atLeast"/>
              <w:rPr>
                <w:sz w:val="18"/>
              </w:rPr>
            </w:pP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tcPr>
          <w:p>
            <w:pPr>
              <w:pStyle w:val="yTable"/>
              <w:spacing w:line="180" w:lineRule="atLeast"/>
              <w:rPr>
                <w:sz w:val="18"/>
              </w:rPr>
            </w:pP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p>
            <w:pPr>
              <w:pStyle w:val="yTable"/>
              <w:spacing w:before="0" w:line="180" w:lineRule="atLeast"/>
              <w:ind w:left="317" w:hanging="432"/>
              <w:rPr>
                <w:sz w:val="18"/>
              </w:rPr>
            </w:pP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before="0" w:line="180" w:lineRule="atLeast"/>
              <w:rPr>
                <w:sz w:val="18"/>
              </w:rPr>
            </w:pP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Full name and address</w:t>
            </w:r>
          </w:p>
        </w:tc>
        <w:tc>
          <w:tcPr>
            <w:tcW w:w="5010" w:type="dxa"/>
            <w:gridSpan w:val="3"/>
          </w:tcPr>
          <w:p>
            <w:pPr>
              <w:pStyle w:val="yTable"/>
              <w:spacing w:line="180" w:lineRule="atLeast"/>
              <w:rPr>
                <w:sz w:val="18"/>
              </w:rPr>
            </w:pPr>
          </w:p>
          <w:p>
            <w:pPr>
              <w:pStyle w:val="yTable"/>
              <w:spacing w:line="180" w:lineRule="atLeast"/>
              <w:rPr>
                <w:sz w:val="18"/>
              </w:rPr>
            </w:pPr>
            <w:r>
              <w:rPr>
                <w:sz w:val="18"/>
              </w:rPr>
              <w:t>(c) I,</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make oath and say that I did on the              day of                                 20         , duly serve a copy of the summons (which is marked “A” and annexed hereto) as follows </w:t>
            </w:r>
            <w:r>
              <w:rPr>
                <w:snapToGrid w:val="0"/>
                <w:sz w:val="18"/>
              </w:rPr>
              <w:t>—</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Full name of person on</w:t>
            </w:r>
          </w:p>
          <w:p>
            <w:pPr>
              <w:pStyle w:val="yTable"/>
              <w:tabs>
                <w:tab w:val="left" w:pos="2338"/>
              </w:tabs>
              <w:spacing w:before="0" w:line="180" w:lineRule="atLeast"/>
              <w:rPr>
                <w:sz w:val="18"/>
              </w:rPr>
            </w:pPr>
            <w:r>
              <w:rPr>
                <w:sz w:val="18"/>
              </w:rPr>
              <w:t xml:space="preserve">    whom service effected</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Manner of service</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Address where service</w:t>
            </w:r>
          </w:p>
          <w:p>
            <w:pPr>
              <w:pStyle w:val="yTable"/>
              <w:tabs>
                <w:tab w:val="left" w:pos="2338"/>
              </w:tabs>
              <w:spacing w:before="0" w:line="180" w:lineRule="atLeast"/>
              <w:rPr>
                <w:sz w:val="18"/>
              </w:rPr>
            </w:pPr>
            <w:r>
              <w:rPr>
                <w:sz w:val="18"/>
              </w:rPr>
              <w:t xml:space="preserve">    effected</w:t>
            </w:r>
            <w:r>
              <w:rPr>
                <w:sz w:val="18"/>
              </w:rPr>
              <w:tab/>
              <w:t>:</w:t>
            </w:r>
          </w:p>
          <w:p>
            <w:pPr>
              <w:pStyle w:val="yTable"/>
              <w:spacing w:before="0" w:line="180" w:lineRule="atLeast"/>
              <w:rPr>
                <w:sz w:val="18"/>
              </w:rPr>
            </w:pP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day of                   20    .</w:t>
            </w:r>
          </w:p>
          <w:p>
            <w:pPr>
              <w:pStyle w:val="yTable"/>
              <w:spacing w:before="0" w:line="180" w:lineRule="atLeast"/>
              <w:rPr>
                <w:sz w:val="14"/>
              </w:rPr>
            </w:pP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(Commissioner for taking affidavits in the Supreme Court/Warden/Mining Registrar/Justice of the Peace).</w:t>
            </w:r>
          </w:p>
        </w:tc>
      </w:tr>
      <w:tr>
        <w:tc>
          <w:tcPr>
            <w:tcW w:w="2078" w:type="dxa"/>
          </w:tcPr>
          <w:p>
            <w:pPr>
              <w:pStyle w:val="yTable"/>
              <w:pageBreakBefore/>
              <w:spacing w:line="180" w:lineRule="atLeast"/>
              <w:ind w:left="-115"/>
              <w:rPr>
                <w:sz w:val="18"/>
              </w:rPr>
            </w:pPr>
            <w:r>
              <w:rPr>
                <w:sz w:val="18"/>
              </w:rPr>
              <w:t>Form 36</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126)</w:t>
            </w:r>
          </w:p>
          <w:p>
            <w:pPr>
              <w:pStyle w:val="yTable"/>
              <w:spacing w:before="120" w:line="180" w:lineRule="atLeast"/>
            </w:pPr>
            <w:r>
              <w:rPr>
                <w:b/>
              </w:rPr>
              <w:t>NOTICE OF DEFENCE</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gridSpan w:val="2"/>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180" w:line="180" w:lineRule="atLeast"/>
              <w:ind w:left="306" w:hanging="425"/>
              <w:rPr>
                <w:sz w:val="18"/>
              </w:rPr>
            </w:pPr>
            <w:r>
              <w:rPr>
                <w:sz w:val="18"/>
              </w:rPr>
              <w:t>(c)</w:t>
            </w:r>
            <w:r>
              <w:rPr>
                <w:sz w:val="18"/>
              </w:rPr>
              <w:tab/>
              <w:t>Grounds of defence</w:t>
            </w:r>
          </w:p>
        </w:tc>
        <w:tc>
          <w:tcPr>
            <w:tcW w:w="5010" w:type="dxa"/>
            <w:gridSpan w:val="3"/>
          </w:tcPr>
          <w:p>
            <w:pPr>
              <w:pStyle w:val="yTable"/>
              <w:spacing w:before="120" w:line="180" w:lineRule="atLeast"/>
              <w:rPr>
                <w:sz w:val="18"/>
              </w:rPr>
            </w:pPr>
            <w:r>
              <w:rPr>
                <w:sz w:val="18"/>
              </w:rPr>
              <w:t>TAKE NOTICE that I intend to defend the plaintiff’s claim in this action on the following grounds </w:t>
            </w:r>
            <w:r>
              <w:rPr>
                <w:snapToGrid w:val="0"/>
                <w:sz w:val="18"/>
              </w:rPr>
              <w:t>—</w:t>
            </w:r>
          </w:p>
          <w:p>
            <w:pPr>
              <w:pStyle w:val="yTable"/>
              <w:spacing w:line="180" w:lineRule="atLeast"/>
              <w:rPr>
                <w:sz w:val="18"/>
              </w:rPr>
            </w:pPr>
            <w:r>
              <w:rPr>
                <w:sz w:val="18"/>
              </w:rPr>
              <w:t>(c)</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+Delete if not applicable</w:t>
            </w:r>
          </w:p>
          <w:p>
            <w:pPr>
              <w:pStyle w:val="yTable"/>
              <w:spacing w:before="0" w:line="180" w:lineRule="atLeast"/>
              <w:ind w:left="306" w:hanging="425"/>
              <w:rPr>
                <w:sz w:val="18"/>
              </w:rPr>
            </w:pPr>
            <w:r>
              <w:rPr>
                <w:sz w:val="18"/>
              </w:rPr>
              <w:t>(see Note 1)</w:t>
            </w: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defendant</w:t>
            </w:r>
          </w:p>
        </w:tc>
        <w:tc>
          <w:tcPr>
            <w:tcW w:w="5010" w:type="dxa"/>
            <w:gridSpan w:val="3"/>
          </w:tcPr>
          <w:p>
            <w:pPr>
              <w:pStyle w:val="yTable"/>
              <w:spacing w:line="180" w:lineRule="atLeast"/>
              <w:rPr>
                <w:sz w:val="18"/>
              </w:rPr>
            </w:pPr>
            <w:r>
              <w:rPr>
                <w:sz w:val="18"/>
              </w:rPr>
              <w:t>+and the defendant claims</w:t>
            </w:r>
          </w:p>
          <w:p>
            <w:pPr>
              <w:pStyle w:val="yTable"/>
              <w:spacing w:before="0" w:line="180" w:lineRule="atLeast"/>
              <w:jc w:val="center"/>
              <w:rPr>
                <w:sz w:val="18"/>
              </w:rPr>
            </w:pPr>
            <w:r>
              <w:rPr>
                <w:sz w:val="18"/>
              </w:rPr>
              <w:t>_______________</w:t>
            </w:r>
          </w:p>
          <w:p>
            <w:pPr>
              <w:pStyle w:val="yTable"/>
              <w:spacing w:before="120" w:line="180" w:lineRule="atLeast"/>
              <w:rPr>
                <w:sz w:val="18"/>
              </w:rPr>
            </w:pPr>
            <w:r>
              <w:rPr>
                <w:sz w:val="18"/>
              </w:rPr>
              <w:t>DATED at        this        day of               20   .</w:t>
            </w:r>
          </w:p>
          <w:p>
            <w:pPr>
              <w:pStyle w:val="yTable"/>
              <w:tabs>
                <w:tab w:val="left" w:leader="dot" w:pos="4748"/>
              </w:tabs>
              <w:spacing w:line="180" w:lineRule="atLeast"/>
              <w:rPr>
                <w:sz w:val="18"/>
              </w:rPr>
            </w:pPr>
            <w:r>
              <w:rPr>
                <w:sz w:val="18"/>
              </w:rPr>
              <w:t>(d) ....................................................................................................</w:t>
            </w:r>
          </w:p>
        </w:tc>
      </w:tr>
    </w:tbl>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38"/>
              </w:tabs>
              <w:spacing w:line="180" w:lineRule="atLeast"/>
              <w:rPr>
                <w:sz w:val="18"/>
              </w:rPr>
            </w:pPr>
            <w:r>
              <w:rPr>
                <w:sz w:val="18"/>
              </w:rPr>
              <w:t>Received at ...............................m.</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on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t>
            </w:r>
          </w:p>
          <w:p>
            <w:pPr>
              <w:pStyle w:val="yTable"/>
              <w:tabs>
                <w:tab w:val="right" w:leader="dot" w:pos="2438"/>
              </w:tabs>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r>
        <w:rPr>
          <w:sz w:val="18"/>
        </w:rPr>
        <w:t>NOTE 1: If the defendant claims a set off or asks for cross relief, particulars of the relief sought should be stated.</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3"/>
        <w:gridCol w:w="36"/>
        <w:gridCol w:w="3402"/>
        <w:gridCol w:w="1559"/>
      </w:tblGrid>
      <w:tr>
        <w:trPr>
          <w:cantSplit/>
          <w:trHeight w:val="240"/>
        </w:trPr>
        <w:tc>
          <w:tcPr>
            <w:tcW w:w="2127" w:type="dxa"/>
            <w:gridSpan w:val="3"/>
          </w:tcPr>
          <w:p>
            <w:pPr>
              <w:pStyle w:val="yTable"/>
              <w:pageBreakBefore/>
              <w:spacing w:line="180" w:lineRule="atLeast"/>
              <w:ind w:left="-115"/>
              <w:rPr>
                <w:sz w:val="18"/>
              </w:rPr>
            </w:pPr>
            <w:r>
              <w:rPr>
                <w:sz w:val="18"/>
              </w:rPr>
              <w:t>Form 37</w:t>
            </w:r>
          </w:p>
        </w:tc>
        <w:tc>
          <w:tcPr>
            <w:tcW w:w="496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127)</w:t>
            </w:r>
          </w:p>
          <w:p>
            <w:pPr>
              <w:pStyle w:val="yTable"/>
              <w:spacing w:before="80" w:line="180" w:lineRule="atLeast"/>
            </w:pPr>
            <w:r>
              <w:rPr>
                <w:b/>
              </w:rPr>
              <w:t>SUBPOENA FOR WITNESS</w:t>
            </w:r>
          </w:p>
          <w:p>
            <w:pPr>
              <w:pStyle w:val="yTable"/>
              <w:spacing w:before="40" w:line="180" w:lineRule="atLeast"/>
              <w:rPr>
                <w:sz w:val="18"/>
              </w:rPr>
            </w:pPr>
            <w:r>
              <w:rPr>
                <w:sz w:val="18"/>
              </w:rPr>
              <w:t>In the Warden’s Court at</w:t>
            </w:r>
          </w:p>
        </w:tc>
      </w:tr>
      <w:tr>
        <w:trPr>
          <w:cantSplit/>
          <w:trHeight w:val="240"/>
        </w:trPr>
        <w:tc>
          <w:tcPr>
            <w:tcW w:w="2127" w:type="dxa"/>
            <w:gridSpan w:val="3"/>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02" w:type="dxa"/>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730"/>
                <w:tab w:val="left" w:leader="dot" w:pos="1155"/>
              </w:tabs>
              <w:spacing w:before="0" w:line="180" w:lineRule="atLeast"/>
              <w:jc w:val="center"/>
              <w:rPr>
                <w:sz w:val="18"/>
              </w:rPr>
            </w:pPr>
            <w:r>
              <w:rPr>
                <w:sz w:val="18"/>
              </w:rPr>
              <w:t>No............. / .....</w:t>
            </w:r>
          </w:p>
        </w:tc>
      </w:tr>
      <w:tr>
        <w:trPr>
          <w:cantSplit/>
          <w:trHeight w:val="240"/>
        </w:trPr>
        <w:tc>
          <w:tcPr>
            <w:tcW w:w="2127" w:type="dxa"/>
            <w:gridSpan w:val="3"/>
          </w:tcPr>
          <w:p>
            <w:pPr>
              <w:pStyle w:val="yTable"/>
              <w:spacing w:line="180" w:lineRule="atLeast"/>
              <w:ind w:left="-120"/>
              <w:rPr>
                <w:sz w:val="14"/>
              </w:rPr>
            </w:pPr>
          </w:p>
        </w:tc>
        <w:tc>
          <w:tcPr>
            <w:tcW w:w="4961" w:type="dxa"/>
            <w:gridSpan w:val="2"/>
          </w:tcPr>
          <w:p>
            <w:pPr>
              <w:pStyle w:val="yTable"/>
              <w:spacing w:line="180" w:lineRule="atLeast"/>
              <w:rPr>
                <w:sz w:val="14"/>
              </w:rPr>
            </w:pP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cantSplit/>
          <w:trHeight w:val="240"/>
        </w:trPr>
        <w:tc>
          <w:tcPr>
            <w:tcW w:w="2127" w:type="dxa"/>
            <w:gridSpan w:val="3"/>
          </w:tcPr>
          <w:p>
            <w:pPr>
              <w:pStyle w:val="yTable"/>
              <w:spacing w:before="30" w:line="180" w:lineRule="atLeast"/>
              <w:ind w:left="306" w:hanging="426"/>
              <w:rPr>
                <w:sz w:val="18"/>
              </w:rPr>
            </w:pPr>
          </w:p>
        </w:tc>
        <w:tc>
          <w:tcPr>
            <w:tcW w:w="4961" w:type="dxa"/>
            <w:gridSpan w:val="2"/>
          </w:tcPr>
          <w:p>
            <w:pPr>
              <w:pStyle w:val="yTable"/>
              <w:spacing w:before="3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240"/>
        </w:trPr>
        <w:tc>
          <w:tcPr>
            <w:tcW w:w="2127" w:type="dxa"/>
            <w:gridSpan w:val="3"/>
          </w:tcPr>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17" w:hanging="432"/>
              <w:rPr>
                <w:sz w:val="18"/>
              </w:rPr>
            </w:pPr>
            <w:r>
              <w:rPr>
                <w:sz w:val="18"/>
              </w:rPr>
              <w:t>(c)</w:t>
            </w:r>
            <w:r>
              <w:rPr>
                <w:sz w:val="18"/>
              </w:rPr>
              <w:tab/>
              <w:t>Place of hearing</w:t>
            </w:r>
          </w:p>
          <w:p>
            <w:pPr>
              <w:pStyle w:val="yTable"/>
              <w:spacing w:line="180" w:lineRule="atLeast"/>
              <w:ind w:left="306" w:hanging="425"/>
              <w:rPr>
                <w:sz w:val="18"/>
              </w:rPr>
            </w:pPr>
            <w:r>
              <w:rPr>
                <w:sz w:val="18"/>
              </w:rPr>
              <w:t>(d)</w:t>
            </w:r>
            <w:r>
              <w:rPr>
                <w:sz w:val="18"/>
              </w:rPr>
              <w:tab/>
              <w:t>Time and date of hearing</w:t>
            </w:r>
          </w:p>
          <w:p>
            <w:pPr>
              <w:pStyle w:val="yTable"/>
              <w:spacing w:before="120" w:line="180" w:lineRule="atLeast"/>
              <w:ind w:left="306" w:hanging="425"/>
              <w:rPr>
                <w:sz w:val="18"/>
              </w:rPr>
            </w:pPr>
            <w:r>
              <w:rPr>
                <w:sz w:val="18"/>
              </w:rPr>
              <w:t>(e)</w:t>
            </w:r>
            <w:r>
              <w:rPr>
                <w:sz w:val="18"/>
              </w:rPr>
              <w:tab/>
              <w:t>Plaintiff/</w:t>
            </w:r>
          </w:p>
          <w:p>
            <w:pPr>
              <w:pStyle w:val="yTable"/>
              <w:spacing w:before="0" w:line="180" w:lineRule="atLeast"/>
              <w:ind w:left="317" w:hanging="432"/>
              <w:rPr>
                <w:sz w:val="18"/>
              </w:rPr>
            </w:pPr>
            <w:r>
              <w:rPr>
                <w:sz w:val="18"/>
              </w:rPr>
              <w:tab/>
              <w:t>Defendant</w:t>
            </w:r>
          </w:p>
          <w:p>
            <w:pPr>
              <w:pStyle w:val="yTable"/>
              <w:spacing w:before="120" w:line="180" w:lineRule="atLeast"/>
              <w:ind w:left="306" w:hanging="425"/>
              <w:rPr>
                <w:sz w:val="18"/>
              </w:rPr>
            </w:pPr>
            <w:r>
              <w:rPr>
                <w:sz w:val="18"/>
              </w:rPr>
              <w:t>(f)</w:t>
            </w:r>
            <w:r>
              <w:rPr>
                <w:sz w:val="18"/>
              </w:rPr>
              <w:tab/>
              <w:t>State the particular things required to be produced</w:t>
            </w:r>
          </w:p>
        </w:tc>
        <w:tc>
          <w:tcPr>
            <w:tcW w:w="4961" w:type="dxa"/>
            <w:gridSpan w:val="2"/>
          </w:tcPr>
          <w:p>
            <w:pPr>
              <w:pStyle w:val="yTable"/>
              <w:spacing w:line="180" w:lineRule="atLeast"/>
              <w:rPr>
                <w:sz w:val="18"/>
              </w:rPr>
            </w:pPr>
            <w:r>
              <w:rPr>
                <w:b/>
                <w:sz w:val="18"/>
              </w:rPr>
              <w:t>TO:</w:t>
            </w:r>
          </w:p>
          <w:p>
            <w:pPr>
              <w:pStyle w:val="yTable"/>
              <w:spacing w:line="180" w:lineRule="atLeast"/>
              <w:rPr>
                <w:sz w:val="18"/>
              </w:rPr>
            </w:pPr>
            <w:r>
              <w:rPr>
                <w:sz w:val="18"/>
              </w:rPr>
              <w:t>You are hereby required to attend before this Court at</w:t>
            </w:r>
          </w:p>
          <w:p>
            <w:pPr>
              <w:pStyle w:val="yTable"/>
              <w:tabs>
                <w:tab w:val="left" w:pos="2764"/>
              </w:tabs>
              <w:spacing w:line="180" w:lineRule="atLeast"/>
              <w:rPr>
                <w:sz w:val="18"/>
              </w:rPr>
            </w:pPr>
            <w:r>
              <w:rPr>
                <w:sz w:val="18"/>
              </w:rPr>
              <w:t>(c)</w:t>
            </w:r>
            <w:r>
              <w:rPr>
                <w:sz w:val="18"/>
              </w:rPr>
              <w:tab/>
              <w:t>at</w:t>
            </w:r>
          </w:p>
          <w:p>
            <w:pPr>
              <w:pStyle w:val="yTable"/>
              <w:spacing w:line="180" w:lineRule="atLeast"/>
              <w:rPr>
                <w:sz w:val="18"/>
              </w:rPr>
            </w:pPr>
            <w:r>
              <w:rPr>
                <w:sz w:val="18"/>
              </w:rPr>
              <w:t>(d)              .m on the            day of             20      .</w:t>
            </w:r>
          </w:p>
          <w:p>
            <w:pPr>
              <w:pStyle w:val="yTable"/>
              <w:spacing w:line="180" w:lineRule="atLeast"/>
              <w:rPr>
                <w:sz w:val="18"/>
              </w:rPr>
            </w:pPr>
            <w:r>
              <w:rPr>
                <w:sz w:val="18"/>
              </w:rPr>
              <w:t>and at every adjournment thereof to give evidence on behalf of</w:t>
            </w:r>
          </w:p>
          <w:p>
            <w:pPr>
              <w:pStyle w:val="yTable"/>
              <w:spacing w:line="180" w:lineRule="atLeast"/>
              <w:rPr>
                <w:sz w:val="18"/>
              </w:rPr>
            </w:pPr>
            <w:r>
              <w:rPr>
                <w:sz w:val="18"/>
              </w:rPr>
              <w:t>(e)</w:t>
            </w:r>
          </w:p>
          <w:p>
            <w:pPr>
              <w:pStyle w:val="yTable"/>
              <w:spacing w:line="180" w:lineRule="atLeast"/>
              <w:rPr>
                <w:sz w:val="18"/>
              </w:rPr>
            </w:pPr>
            <w:r>
              <w:rPr>
                <w:sz w:val="18"/>
              </w:rPr>
              <w:t>and to produce to the Court</w:t>
            </w:r>
          </w:p>
          <w:p>
            <w:pPr>
              <w:pStyle w:val="yTable"/>
              <w:spacing w:line="180" w:lineRule="atLeast"/>
              <w:rPr>
                <w:sz w:val="18"/>
              </w:rPr>
            </w:pPr>
            <w:r>
              <w:rPr>
                <w:sz w:val="18"/>
              </w:rPr>
              <w:t>(f)</w:t>
            </w:r>
          </w:p>
        </w:tc>
      </w:tr>
      <w:tr>
        <w:trPr>
          <w:cantSplit/>
          <w:trHeight w:val="240"/>
        </w:trPr>
        <w:tc>
          <w:tcPr>
            <w:tcW w:w="2127" w:type="dxa"/>
            <w:gridSpan w:val="3"/>
          </w:tcPr>
          <w:p>
            <w:pPr>
              <w:pStyle w:val="yTable"/>
              <w:spacing w:before="0" w:line="180" w:lineRule="atLeast"/>
              <w:ind w:left="306" w:hanging="425"/>
              <w:rPr>
                <w:sz w:val="18"/>
              </w:rPr>
            </w:pPr>
          </w:p>
        </w:tc>
        <w:tc>
          <w:tcPr>
            <w:tcW w:w="4961" w:type="dxa"/>
            <w:gridSpan w:val="2"/>
            <w:vMerge w:val="restart"/>
          </w:tcPr>
          <w:p>
            <w:pPr>
              <w:pStyle w:val="yTable"/>
              <w:spacing w:before="0" w:line="180" w:lineRule="atLeast"/>
              <w:rPr>
                <w:sz w:val="18"/>
              </w:rPr>
            </w:pPr>
            <w:r>
              <w:rPr>
                <w:sz w:val="18"/>
              </w:rPr>
              <w:t>If you neglect to comply with this summons you will be liable to a fine not exceeding $100 or to arrest.</w:t>
            </w:r>
          </w:p>
          <w:p>
            <w:pPr>
              <w:pStyle w:val="yTable"/>
              <w:spacing w:before="50" w:line="180" w:lineRule="atLeast"/>
              <w:rPr>
                <w:sz w:val="18"/>
              </w:rPr>
            </w:pPr>
            <w:r>
              <w:rPr>
                <w:sz w:val="18"/>
              </w:rPr>
              <w:t>Dated at                                                   this</w:t>
            </w:r>
          </w:p>
          <w:p>
            <w:pPr>
              <w:pStyle w:val="yTable"/>
              <w:spacing w:before="50" w:line="180" w:lineRule="atLeast"/>
              <w:rPr>
                <w:sz w:val="18"/>
              </w:rPr>
            </w:pPr>
            <w:r>
              <w:rPr>
                <w:sz w:val="18"/>
              </w:rPr>
              <w:t>day of                                      20     .</w:t>
            </w:r>
          </w:p>
          <w:p>
            <w:pPr>
              <w:pStyle w:val="yTable"/>
              <w:spacing w:before="50" w:line="180" w:lineRule="atLeast"/>
              <w:rPr>
                <w:sz w:val="18"/>
              </w:rPr>
            </w:pPr>
            <w:r>
              <w:rPr>
                <w:sz w:val="18"/>
              </w:rPr>
              <w:t>Conduct Money $_______</w:t>
            </w:r>
          </w:p>
          <w:p>
            <w:pPr>
              <w:pStyle w:val="yTable"/>
              <w:spacing w:before="50" w:line="180" w:lineRule="atLeast"/>
              <w:jc w:val="right"/>
              <w:rPr>
                <w:sz w:val="18"/>
              </w:rPr>
            </w:pPr>
            <w:r>
              <w:rPr>
                <w:sz w:val="18"/>
              </w:rPr>
              <w:t>....................................................... Mining Register</w:t>
            </w:r>
          </w:p>
          <w:p>
            <w:pPr>
              <w:pStyle w:val="yTable"/>
              <w:spacing w:before="50" w:line="180" w:lineRule="atLeast"/>
              <w:jc w:val="right"/>
              <w:rPr>
                <w:sz w:val="18"/>
              </w:rPr>
            </w:pPr>
            <w:r>
              <w:rPr>
                <w:sz w:val="18"/>
              </w:rPr>
              <w:t>........................................................... Mineral Field</w:t>
            </w:r>
          </w:p>
        </w:tc>
      </w:tr>
      <w:tr>
        <w:trPr>
          <w:cantSplit/>
          <w:trHeight w:val="240"/>
        </w:trPr>
        <w:tc>
          <w:tcPr>
            <w:tcW w:w="2127"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ind w:left="306" w:hanging="425"/>
              <w:jc w:val="center"/>
              <w:rPr>
                <w:sz w:val="18"/>
              </w:rPr>
            </w:pPr>
            <w:r>
              <w:rPr>
                <w:sz w:val="18"/>
              </w:rPr>
              <w:t>SEAL</w:t>
            </w:r>
          </w:p>
          <w:p>
            <w:pPr>
              <w:pStyle w:val="yTable"/>
              <w:spacing w:line="180" w:lineRule="atLeast"/>
              <w:ind w:left="306" w:hanging="425"/>
              <w:jc w:val="center"/>
              <w:rPr>
                <w:sz w:val="18"/>
              </w:rPr>
            </w:pPr>
            <w:r>
              <w:rPr>
                <w:sz w:val="18"/>
              </w:rPr>
              <w:t>OF</w:t>
            </w:r>
          </w:p>
          <w:p>
            <w:pPr>
              <w:pStyle w:val="yTable"/>
              <w:spacing w:line="180" w:lineRule="atLeast"/>
              <w:ind w:left="306" w:hanging="425"/>
              <w:jc w:val="center"/>
              <w:rPr>
                <w:sz w:val="18"/>
              </w:rPr>
            </w:pPr>
            <w:r>
              <w:rPr>
                <w:sz w:val="18"/>
              </w:rPr>
              <w:t>WARDEN’S</w:t>
            </w:r>
          </w:p>
          <w:p>
            <w:pPr>
              <w:pStyle w:val="yTable"/>
              <w:spacing w:line="180" w:lineRule="atLeast"/>
              <w:ind w:left="306" w:hanging="425"/>
              <w:jc w:val="center"/>
              <w:rPr>
                <w:sz w:val="18"/>
              </w:rPr>
            </w:pPr>
            <w:r>
              <w:rPr>
                <w:sz w:val="18"/>
              </w:rPr>
              <w:t>COURT</w:t>
            </w:r>
          </w:p>
        </w:tc>
        <w:tc>
          <w:tcPr>
            <w:tcW w:w="4961" w:type="dxa"/>
            <w:gridSpan w:val="2"/>
            <w:vMerge/>
            <w:tcBorders>
              <w:left w:val="nil"/>
            </w:tcBorders>
          </w:tcPr>
          <w:p>
            <w:pPr>
              <w:pStyle w:val="yTable"/>
              <w:spacing w:line="180" w:lineRule="atLeast"/>
              <w:rPr>
                <w:b/>
                <w:sz w:val="18"/>
              </w:rPr>
            </w:pPr>
          </w:p>
        </w:tc>
      </w:tr>
      <w:tr>
        <w:trPr>
          <w:cantSplit/>
          <w:trHeight w:val="240"/>
        </w:trPr>
        <w:tc>
          <w:tcPr>
            <w:tcW w:w="2127" w:type="dxa"/>
            <w:gridSpan w:val="3"/>
          </w:tcPr>
          <w:p>
            <w:pPr>
              <w:pStyle w:val="yTable"/>
              <w:spacing w:line="180" w:lineRule="atLeast"/>
              <w:ind w:left="306" w:hanging="425"/>
              <w:rPr>
                <w:sz w:val="18"/>
              </w:rPr>
            </w:pPr>
          </w:p>
        </w:tc>
        <w:tc>
          <w:tcPr>
            <w:tcW w:w="4961" w:type="dxa"/>
            <w:gridSpan w:val="2"/>
            <w:vMerge/>
          </w:tcPr>
          <w:p>
            <w:pPr>
              <w:pStyle w:val="yTable"/>
              <w:spacing w:line="180" w:lineRule="atLeast"/>
              <w:rPr>
                <w:b/>
                <w:sz w:val="18"/>
              </w:rPr>
            </w:pPr>
          </w:p>
        </w:tc>
      </w:tr>
      <w:tr>
        <w:tc>
          <w:tcPr>
            <w:tcW w:w="2091" w:type="dxa"/>
            <w:gridSpan w:val="2"/>
            <w:tcBorders>
              <w:top w:val="single" w:sz="7" w:space="0" w:color="auto"/>
            </w:tcBorders>
          </w:tcPr>
          <w:p>
            <w:pPr>
              <w:pStyle w:val="yTable"/>
              <w:spacing w:line="180" w:lineRule="atLeast"/>
              <w:rPr>
                <w:sz w:val="18"/>
              </w:rPr>
            </w:pPr>
          </w:p>
        </w:tc>
        <w:tc>
          <w:tcPr>
            <w:tcW w:w="4997" w:type="dxa"/>
            <w:gridSpan w:val="3"/>
            <w:tcBorders>
              <w:top w:val="single" w:sz="7" w:space="0" w:color="auto"/>
            </w:tcBorders>
          </w:tcPr>
          <w:p>
            <w:pPr>
              <w:pStyle w:val="yTable"/>
              <w:spacing w:line="180" w:lineRule="atLeast"/>
              <w:rPr>
                <w:sz w:val="18"/>
              </w:rPr>
            </w:pPr>
            <w:r>
              <w:rPr>
                <w:sz w:val="18"/>
              </w:rPr>
              <w:t xml:space="preserve">Received $ </w:t>
            </w:r>
            <w:r>
              <w:rPr>
                <w:sz w:val="18"/>
                <w:u w:val="single"/>
              </w:rPr>
              <w:t xml:space="preserve">          </w:t>
            </w:r>
            <w:r>
              <w:rPr>
                <w:sz w:val="18"/>
              </w:rPr>
              <w:t xml:space="preserve">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paper writing marked “A” referred to in the annexed affidavit of</w:t>
            </w:r>
          </w:p>
          <w:p>
            <w:pPr>
              <w:pStyle w:val="yTable"/>
              <w:spacing w:before="0" w:line="180" w:lineRule="atLeast"/>
              <w:rPr>
                <w:sz w:val="18"/>
              </w:rPr>
            </w:pPr>
            <w:r>
              <w:rPr>
                <w:sz w:val="18"/>
              </w:rPr>
              <w:t>sworn before me at</w:t>
            </w:r>
          </w:p>
          <w:p>
            <w:pPr>
              <w:pStyle w:val="yTable"/>
              <w:spacing w:before="0" w:line="180" w:lineRule="atLeast"/>
              <w:rPr>
                <w:sz w:val="18"/>
              </w:rPr>
            </w:pPr>
            <w:r>
              <w:rPr>
                <w:sz w:val="18"/>
              </w:rPr>
              <w:t>this          day of                        20     .</w:t>
            </w:r>
          </w:p>
          <w:p>
            <w:pPr>
              <w:pStyle w:val="yTable"/>
              <w:spacing w:before="40" w:line="180" w:lineRule="atLeast"/>
              <w:jc w:val="right"/>
              <w:rPr>
                <w:sz w:val="18"/>
              </w:rPr>
            </w:pPr>
            <w:r>
              <w:rPr>
                <w:sz w:val="18"/>
              </w:rPr>
              <w:t>...............................................................</w:t>
            </w:r>
          </w:p>
        </w:tc>
      </w:tr>
      <w:tr>
        <w:tc>
          <w:tcPr>
            <w:tcW w:w="2078" w:type="dxa"/>
          </w:tcPr>
          <w:p>
            <w:pPr>
              <w:pStyle w:val="yTable"/>
              <w:pageBreakBefore/>
              <w:spacing w:line="180" w:lineRule="atLeast"/>
              <w:ind w:left="-115"/>
              <w:rPr>
                <w:sz w:val="18"/>
              </w:rPr>
            </w:pPr>
            <w:r>
              <w:rPr>
                <w:sz w:val="18"/>
              </w:rPr>
              <w:t>Form 38</w:t>
            </w:r>
          </w:p>
        </w:tc>
        <w:tc>
          <w:tcPr>
            <w:tcW w:w="5010"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129)</w:t>
            </w:r>
          </w:p>
          <w:p>
            <w:pPr>
              <w:pStyle w:val="yTable"/>
              <w:spacing w:before="120" w:line="180" w:lineRule="atLeast"/>
            </w:pPr>
            <w:r>
              <w:rPr>
                <w:b/>
              </w:rPr>
              <w:t>JUDGMENT/ORDER OF WARDEN’S COURT</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gridSpan w:val="3"/>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4"/>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4"/>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Insert decision</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Set forth the order in full</w:t>
            </w:r>
          </w:p>
          <w:p>
            <w:pPr>
              <w:pStyle w:val="yTable"/>
              <w:spacing w:before="0" w:line="180" w:lineRule="atLeast"/>
              <w:ind w:left="306" w:hanging="425"/>
              <w:rPr>
                <w:sz w:val="18"/>
              </w:rPr>
            </w:pPr>
          </w:p>
          <w:p>
            <w:pPr>
              <w:pStyle w:val="yTable"/>
              <w:spacing w:before="0" w:line="180" w:lineRule="atLeast"/>
              <w:rPr>
                <w:sz w:val="18"/>
              </w:rPr>
            </w:pPr>
          </w:p>
        </w:tc>
        <w:tc>
          <w:tcPr>
            <w:tcW w:w="5010" w:type="dxa"/>
            <w:gridSpan w:val="4"/>
          </w:tcPr>
          <w:p>
            <w:pPr>
              <w:pStyle w:val="yTable"/>
              <w:spacing w:line="180" w:lineRule="atLeast"/>
              <w:rPr>
                <w:sz w:val="18"/>
              </w:rPr>
            </w:pPr>
          </w:p>
          <w:p>
            <w:pPr>
              <w:pStyle w:val="yTable"/>
              <w:spacing w:before="0" w:line="180" w:lineRule="atLeast"/>
              <w:rPr>
                <w:sz w:val="18"/>
              </w:rPr>
            </w:pPr>
            <w:r>
              <w:rPr>
                <w:sz w:val="18"/>
              </w:rPr>
              <w:t>THE Court adjudges that </w:t>
            </w:r>
            <w:r>
              <w:rPr>
                <w:snapToGrid w:val="0"/>
                <w:sz w:val="18"/>
              </w:rPr>
              <w:t>—</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the Court orders </w:t>
            </w:r>
            <w:r>
              <w:rPr>
                <w:snapToGrid w:val="0"/>
                <w:sz w:val="18"/>
              </w:rPr>
              <w: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DATED at</w:t>
            </w:r>
          </w:p>
          <w:p>
            <w:pPr>
              <w:pStyle w:val="yTable"/>
              <w:spacing w:before="0" w:line="180" w:lineRule="atLeast"/>
              <w:rPr>
                <w:sz w:val="18"/>
              </w:rPr>
            </w:pPr>
          </w:p>
          <w:p>
            <w:pPr>
              <w:pStyle w:val="yTable"/>
              <w:spacing w:line="180" w:lineRule="atLeast"/>
              <w:rPr>
                <w:sz w:val="18"/>
              </w:rPr>
            </w:pPr>
            <w:r>
              <w:rPr>
                <w:sz w:val="18"/>
              </w:rPr>
              <w:t>this                       day of                          20   .</w:t>
            </w:r>
          </w:p>
          <w:p>
            <w:pPr>
              <w:pStyle w:val="yTable"/>
              <w:spacing w:before="0" w:line="180" w:lineRule="atLeast"/>
              <w:rPr>
                <w:sz w:val="18"/>
              </w:rPr>
            </w:pPr>
          </w:p>
        </w:tc>
      </w:tr>
      <w:tr>
        <w:trPr>
          <w:cantSplit/>
          <w:trHeight w:val="1200"/>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sz w:val="18"/>
              </w:rPr>
            </w:pPr>
            <w:r>
              <w:rPr>
                <w:sz w:val="18"/>
              </w:rPr>
              <w:t>SEAL</w:t>
            </w:r>
          </w:p>
          <w:p>
            <w:pPr>
              <w:pStyle w:val="yTable"/>
              <w:spacing w:before="0" w:line="180" w:lineRule="atLeast"/>
              <w:ind w:left="306" w:hanging="425"/>
              <w:jc w:val="center"/>
              <w:rPr>
                <w:sz w:val="18"/>
              </w:rPr>
            </w:pPr>
            <w:r>
              <w:rPr>
                <w:sz w:val="18"/>
              </w:rPr>
              <w:t>OF</w:t>
            </w:r>
          </w:p>
          <w:p>
            <w:pPr>
              <w:pStyle w:val="yTable"/>
              <w:spacing w:before="0" w:line="180" w:lineRule="atLeast"/>
              <w:ind w:left="306" w:hanging="425"/>
              <w:jc w:val="center"/>
              <w:rPr>
                <w:sz w:val="18"/>
              </w:rPr>
            </w:pPr>
            <w:r>
              <w:rPr>
                <w:sz w:val="18"/>
              </w:rPr>
              <w:t>WARDEN’S</w:t>
            </w:r>
          </w:p>
          <w:p>
            <w:pPr>
              <w:pStyle w:val="yTable"/>
              <w:spacing w:before="0" w:line="180" w:lineRule="atLeast"/>
              <w:ind w:left="306" w:hanging="425"/>
              <w:jc w:val="center"/>
              <w:rPr>
                <w:sz w:val="18"/>
              </w:rPr>
            </w:pPr>
            <w:r>
              <w:rPr>
                <w:sz w:val="18"/>
              </w:rPr>
              <w:t>COURT</w:t>
            </w:r>
          </w:p>
        </w:tc>
        <w:tc>
          <w:tcPr>
            <w:tcW w:w="5010" w:type="dxa"/>
            <w:gridSpan w:val="4"/>
            <w:tcBorders>
              <w:left w:val="nil"/>
            </w:tcBorders>
          </w:tcPr>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309"/>
        <w:gridCol w:w="1701"/>
      </w:tblGrid>
      <w:tr>
        <w:trPr>
          <w:cantSplit/>
          <w:trHeight w:val="720"/>
        </w:trPr>
        <w:tc>
          <w:tcPr>
            <w:tcW w:w="2078" w:type="dxa"/>
          </w:tcPr>
          <w:p>
            <w:pPr>
              <w:pStyle w:val="yTable"/>
              <w:pageBreakBefore/>
              <w:spacing w:line="180" w:lineRule="atLeast"/>
              <w:ind w:left="-119"/>
              <w:rPr>
                <w:sz w:val="18"/>
              </w:rPr>
            </w:pPr>
            <w:r>
              <w:rPr>
                <w:sz w:val="18"/>
              </w:rPr>
              <w:t>Form 39</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130)</w:t>
            </w:r>
          </w:p>
          <w:p>
            <w:pPr>
              <w:pStyle w:val="yTable"/>
              <w:spacing w:line="180" w:lineRule="atLeast"/>
            </w:pPr>
            <w:r>
              <w:rPr>
                <w:b/>
              </w:rPr>
              <w:t>WARRANT OF EXECUTION</w:t>
            </w:r>
          </w:p>
          <w:p>
            <w:pPr>
              <w:pStyle w:val="yTable"/>
              <w:spacing w:before="40" w:line="180" w:lineRule="atLeast"/>
              <w:rPr>
                <w:sz w:val="18"/>
              </w:rPr>
            </w:pPr>
            <w:r>
              <w:rPr>
                <w:sz w:val="18"/>
              </w:rPr>
              <w:t>In the Warden’s Court at</w:t>
            </w:r>
          </w:p>
        </w:tc>
      </w:tr>
      <w:tr>
        <w:trPr>
          <w:cantSplit/>
          <w:trHeight w:val="560"/>
        </w:trP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309"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cantSplit/>
          <w:trHeight w:val="240"/>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cantSplit/>
          <w:trHeight w:val="240"/>
        </w:trPr>
        <w:tc>
          <w:tcPr>
            <w:tcW w:w="2078" w:type="dxa"/>
          </w:tcPr>
          <w:p>
            <w:pPr>
              <w:pStyle w:val="yTable"/>
              <w:spacing w:before="0" w:line="180" w:lineRule="atLeast"/>
              <w:ind w:left="306" w:hanging="425"/>
              <w:rPr>
                <w:sz w:val="18"/>
              </w:rPr>
            </w:pPr>
          </w:p>
        </w:tc>
        <w:tc>
          <w:tcPr>
            <w:tcW w:w="5010" w:type="dxa"/>
            <w:gridSpan w:val="2"/>
          </w:tcPr>
          <w:p>
            <w:pPr>
              <w:pStyle w:val="yTable"/>
              <w:spacing w:before="2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720"/>
        </w:trP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*Delete whichever not applicable</w:t>
            </w: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†Defendant or Plaintiff</w:t>
            </w: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before="20" w:line="180" w:lineRule="atLeast"/>
              <w:rPr>
                <w:sz w:val="18"/>
              </w:rPr>
            </w:pPr>
            <w:r>
              <w:rPr>
                <w:sz w:val="18"/>
              </w:rPr>
              <w:t>WHEREAS on the               day of                    20</w:t>
            </w:r>
          </w:p>
          <w:p>
            <w:pPr>
              <w:pStyle w:val="yTable"/>
              <w:spacing w:before="20" w:line="180" w:lineRule="atLeast"/>
              <w:rPr>
                <w:sz w:val="18"/>
              </w:rPr>
            </w:pPr>
            <w:r>
              <w:rPr>
                <w:sz w:val="18"/>
              </w:rPr>
              <w:t>* the plaintiff obtained a judgment of this Court against the defendant for debt (or damages) and costs in the sum of</w:t>
            </w:r>
          </w:p>
          <w:p>
            <w:pPr>
              <w:pStyle w:val="yTable"/>
              <w:spacing w:before="0" w:line="180" w:lineRule="atLeast"/>
              <w:jc w:val="center"/>
              <w:rPr>
                <w:sz w:val="18"/>
              </w:rPr>
            </w:pPr>
            <w:r>
              <w:rPr>
                <w:sz w:val="18"/>
              </w:rPr>
              <w:t>or</w:t>
            </w:r>
          </w:p>
          <w:p>
            <w:pPr>
              <w:pStyle w:val="yTable"/>
              <w:spacing w:before="0" w:line="180" w:lineRule="atLeast"/>
              <w:rPr>
                <w:sz w:val="18"/>
              </w:rPr>
            </w:pPr>
            <w:r>
              <w:rPr>
                <w:sz w:val="18"/>
              </w:rPr>
              <w:t>*it was ordered by the Court that judgment should be entered for the defendant, or that judgment of nonsuit should be entered and the costs be paid by the plaintiff to the defendant                 in the sum of                 and whereas default has been made in the payment thereof.</w:t>
            </w:r>
          </w:p>
          <w:p>
            <w:pPr>
              <w:pStyle w:val="yTable"/>
              <w:spacing w:before="40" w:line="180" w:lineRule="atLeast"/>
              <w:rPr>
                <w:sz w:val="18"/>
              </w:rPr>
            </w:pPr>
            <w:r>
              <w:rPr>
                <w:sz w:val="18"/>
              </w:rPr>
              <w: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t>
            </w:r>
          </w:p>
          <w:p>
            <w:pPr>
              <w:pStyle w:val="yTable"/>
              <w:spacing w:before="40" w:line="180" w:lineRule="atLeast"/>
              <w:rPr>
                <w:sz w:val="18"/>
              </w:rPr>
            </w:pPr>
            <w:r>
              <w:rPr>
                <w:sz w:val="18"/>
              </w:rPr>
              <w:t>DATED at          this        day of                   20</w:t>
            </w:r>
          </w:p>
          <w:p>
            <w:pPr>
              <w:pStyle w:val="yTable"/>
              <w:spacing w:before="40" w:line="180" w:lineRule="atLeast"/>
              <w:jc w:val="center"/>
              <w:rPr>
                <w:sz w:val="18"/>
              </w:rPr>
            </w:pPr>
            <w:r>
              <w:rPr>
                <w:sz w:val="18"/>
              </w:rPr>
              <w:t>By the Court</w:t>
            </w:r>
          </w:p>
          <w:p>
            <w:pPr>
              <w:pStyle w:val="yTable"/>
              <w:tabs>
                <w:tab w:val="right" w:leader="dot" w:pos="4748"/>
              </w:tabs>
              <w:spacing w:before="20" w:line="180" w:lineRule="atLeast"/>
              <w:ind w:left="1060"/>
              <w:rPr>
                <w:sz w:val="18"/>
              </w:rPr>
            </w:pPr>
            <w:r>
              <w:rPr>
                <w:sz w:val="18"/>
              </w:rPr>
              <w:t>.......................................................Mining Registrar</w:t>
            </w:r>
          </w:p>
          <w:p>
            <w:pPr>
              <w:pStyle w:val="yTable"/>
              <w:tabs>
                <w:tab w:val="right" w:leader="dot" w:pos="4748"/>
              </w:tabs>
              <w:spacing w:before="0" w:line="180" w:lineRule="atLeast"/>
              <w:ind w:left="1060"/>
              <w:rPr>
                <w:sz w:val="18"/>
              </w:rPr>
            </w:pPr>
            <w:r>
              <w:rPr>
                <w:sz w:val="18"/>
              </w:rPr>
              <w:t>............................................................Mineral Field</w:t>
            </w:r>
          </w:p>
        </w:tc>
      </w:tr>
      <w:tr>
        <w:trPr>
          <w:cantSplit/>
          <w:trHeight w:val="758"/>
        </w:trPr>
        <w:tc>
          <w:tcPr>
            <w:tcW w:w="2078"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5"/>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r>
        <w:trPr>
          <w:cantSplit/>
          <w:trHeight w:val="757"/>
        </w:trPr>
        <w:tc>
          <w:tcPr>
            <w:tcW w:w="2078" w:type="dxa"/>
          </w:tcPr>
          <w:p>
            <w:pPr>
              <w:pStyle w:val="yTable"/>
              <w:spacing w:line="180" w:lineRule="atLeast"/>
              <w:ind w:left="-120"/>
              <w:jc w:val="center"/>
              <w:rPr>
                <w:sz w:val="18"/>
              </w:rPr>
            </w:pPr>
          </w:p>
        </w:tc>
        <w:tc>
          <w:tcPr>
            <w:tcW w:w="5010" w:type="dxa"/>
            <w:gridSpan w:val="2"/>
            <w:vMerge/>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rPr>
                <w:sz w:val="18"/>
              </w:rPr>
            </w:pPr>
          </w:p>
        </w:tc>
        <w:tc>
          <w:tcPr>
            <w:tcW w:w="5010" w:type="dxa"/>
          </w:tcPr>
          <w:p>
            <w:pPr>
              <w:pStyle w:val="yTable"/>
              <w:tabs>
                <w:tab w:val="left" w:pos="496"/>
                <w:tab w:val="left" w:pos="1913"/>
                <w:tab w:val="left" w:pos="2197"/>
                <w:tab w:val="left" w:pos="3614"/>
              </w:tabs>
              <w:spacing w:line="180" w:lineRule="atLeast"/>
              <w:rPr>
                <w:sz w:val="18"/>
              </w:rPr>
            </w:pPr>
            <w:r>
              <w:rPr>
                <w:sz w:val="18"/>
              </w:rPr>
              <w:tab/>
              <w:t>Judgment</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Costs</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Execution</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u w:val="single"/>
              </w:rPr>
            </w:pPr>
            <w:r>
              <w:rPr>
                <w:sz w:val="18"/>
              </w:rPr>
              <w:tab/>
              <w:t>Other</w:t>
            </w:r>
            <w:r>
              <w:rPr>
                <w:sz w:val="18"/>
              </w:rPr>
              <w:tab/>
            </w:r>
            <w:r>
              <w:rPr>
                <w:sz w:val="18"/>
              </w:rPr>
              <w:tab/>
            </w:r>
            <w:r>
              <w:rPr>
                <w:sz w:val="18"/>
              </w:rPr>
              <w:tab/>
            </w:r>
            <w:r>
              <w:rPr>
                <w:sz w:val="18"/>
                <w:u w:val="single"/>
              </w:rPr>
              <w:t>$                     </w:t>
            </w:r>
          </w:p>
          <w:p>
            <w:pPr>
              <w:pStyle w:val="yTable"/>
              <w:tabs>
                <w:tab w:val="left" w:pos="496"/>
                <w:tab w:val="left" w:pos="1913"/>
                <w:tab w:val="left" w:pos="2197"/>
                <w:tab w:val="left" w:pos="3614"/>
              </w:tabs>
              <w:spacing w:line="180" w:lineRule="atLeast"/>
              <w:rPr>
                <w:sz w:val="18"/>
                <w:u w:val="single"/>
              </w:rPr>
            </w:pPr>
            <w:r>
              <w:rPr>
                <w:sz w:val="18"/>
              </w:rPr>
              <w:tab/>
              <w:t>Total amount to be levied</w:t>
            </w:r>
            <w:r>
              <w:rPr>
                <w:sz w:val="18"/>
              </w:rPr>
              <w:tab/>
            </w:r>
            <w:r>
              <w:rPr>
                <w:sz w:val="18"/>
                <w:u w:val="single"/>
              </w:rPr>
              <w:t>$                     </w:t>
            </w:r>
          </w:p>
          <w:p>
            <w:pPr>
              <w:pStyle w:val="yTable"/>
              <w:tabs>
                <w:tab w:val="right" w:leader="dot" w:pos="4181"/>
              </w:tabs>
              <w:spacing w:line="180" w:lineRule="atLeast"/>
              <w:rPr>
                <w:sz w:val="18"/>
              </w:rPr>
            </w:pPr>
            <w:r>
              <w:rPr>
                <w:sz w:val="18"/>
              </w:rPr>
              <w:t>Application was made for this warrant at ...................... m.</w:t>
            </w:r>
          </w:p>
          <w:p>
            <w:pPr>
              <w:pStyle w:val="yTable"/>
              <w:tabs>
                <w:tab w:val="right" w:leader="dot" w:pos="2764"/>
              </w:tabs>
              <w:spacing w:before="0" w:line="180" w:lineRule="atLeast"/>
              <w:rPr>
                <w:sz w:val="18"/>
              </w:rPr>
            </w:pPr>
            <w:r>
              <w:rPr>
                <w:sz w:val="18"/>
              </w:rPr>
              <w:t>on .........................................................</w:t>
            </w:r>
          </w:p>
          <w:p>
            <w:pPr>
              <w:pStyle w:val="yTable"/>
              <w:tabs>
                <w:tab w:val="left" w:pos="4181"/>
                <w:tab w:val="left" w:pos="6096"/>
                <w:tab w:val="left" w:pos="6379"/>
              </w:tabs>
              <w:spacing w:before="0" w:line="180" w:lineRule="atLeast"/>
              <w:rPr>
                <w:sz w:val="18"/>
              </w:rPr>
            </w:pPr>
            <w:r>
              <w:rPr>
                <w:sz w:val="18"/>
              </w:rPr>
              <w:t>Returned this Warrant to the above Warden’s Court on the</w:t>
            </w:r>
          </w:p>
          <w:p>
            <w:pPr>
              <w:pStyle w:val="yTable"/>
              <w:tabs>
                <w:tab w:val="left" w:pos="4181"/>
                <w:tab w:val="left" w:pos="6096"/>
                <w:tab w:val="left" w:pos="6379"/>
              </w:tabs>
              <w:spacing w:before="0" w:line="180" w:lineRule="atLeast"/>
              <w:rPr>
                <w:sz w:val="18"/>
              </w:rPr>
            </w:pPr>
            <w:r>
              <w:rPr>
                <w:sz w:val="18"/>
              </w:rPr>
              <w:t xml:space="preserve">                               day of </w:t>
            </w:r>
            <w:r>
              <w:rPr>
                <w:sz w:val="18"/>
              </w:rPr>
              <w:tab/>
              <w:t>20</w:t>
            </w:r>
          </w:p>
          <w:p>
            <w:pPr>
              <w:pStyle w:val="yTable"/>
              <w:spacing w:before="0" w:line="180" w:lineRule="atLeast"/>
              <w:rPr>
                <w:sz w:val="18"/>
              </w:rPr>
            </w:pPr>
            <w:r>
              <w:rPr>
                <w:sz w:val="18"/>
              </w:rPr>
              <w:t>with the sum of                                             in satisfaction thereof.</w:t>
            </w:r>
          </w:p>
          <w:p>
            <w:pPr>
              <w:pStyle w:val="yTable"/>
              <w:spacing w:line="180" w:lineRule="atLeast"/>
              <w:rPr>
                <w:sz w:val="18"/>
              </w:rPr>
            </w:pPr>
          </w:p>
          <w:p>
            <w:pPr>
              <w:pStyle w:val="yTable"/>
              <w:tabs>
                <w:tab w:val="right" w:leader="dot" w:pos="4748"/>
              </w:tabs>
              <w:spacing w:line="180" w:lineRule="atLeast"/>
              <w:ind w:left="1063"/>
              <w:rPr>
                <w:sz w:val="18"/>
              </w:rPr>
            </w:pPr>
            <w:r>
              <w:rPr>
                <w:sz w:val="18"/>
              </w:rPr>
              <w:tab/>
              <w:t>BAILIFF</w:t>
            </w:r>
          </w:p>
        </w:tc>
      </w:tr>
    </w:tbl>
    <w:p>
      <w:pPr>
        <w:pStyle w:val="yFootnotesection"/>
        <w:rPr>
          <w:sz w:val="18"/>
        </w:rPr>
      </w:pPr>
      <w:r>
        <w:tab/>
        <w:t>[Form 39 amended in Gazette 4 Apr 1997 p. 1781.]</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592"/>
        <w:gridCol w:w="1418"/>
      </w:tblGrid>
      <w:tr>
        <w:tc>
          <w:tcPr>
            <w:tcW w:w="2078" w:type="dxa"/>
          </w:tcPr>
          <w:p>
            <w:pPr>
              <w:pStyle w:val="yTable"/>
              <w:pageBreakBefore/>
              <w:spacing w:line="180" w:lineRule="atLeast"/>
              <w:ind w:left="-115"/>
              <w:rPr>
                <w:sz w:val="18"/>
              </w:rPr>
            </w:pPr>
            <w:r>
              <w:rPr>
                <w:sz w:val="18"/>
              </w:rPr>
              <w:t>Form 40</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141 Reg. 131)</w:t>
            </w:r>
          </w:p>
          <w:p>
            <w:pPr>
              <w:pStyle w:val="yTable"/>
              <w:spacing w:before="120" w:line="180" w:lineRule="atLeast"/>
            </w:pPr>
            <w:r>
              <w:rPr>
                <w:b/>
              </w:rPr>
              <w:t>WARRANT FOR RECOVERY OF POSSESSION</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rPr>
          <w:cantSplit/>
        </w:trPr>
        <w:tc>
          <w:tcPr>
            <w:tcW w:w="2078" w:type="dxa"/>
          </w:tcPr>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line="180" w:lineRule="atLeast"/>
              <w:ind w:left="306" w:hanging="425"/>
              <w:rPr>
                <w:sz w:val="18"/>
              </w:rPr>
            </w:pPr>
            <w:r>
              <w:rPr>
                <w:sz w:val="18"/>
              </w:rPr>
              <w:t>(c)</w:t>
            </w:r>
            <w:r>
              <w:rPr>
                <w:sz w:val="18"/>
              </w:rPr>
              <w:tab/>
              <w:t>Here state terms of order</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119"/>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line="180" w:lineRule="atLeast"/>
              <w:rPr>
                <w:sz w:val="18"/>
              </w:rPr>
            </w:pPr>
          </w:p>
          <w:p>
            <w:pPr>
              <w:pStyle w:val="yTable"/>
              <w:spacing w:line="180" w:lineRule="atLeast"/>
              <w:rPr>
                <w:sz w:val="18"/>
              </w:rPr>
            </w:pPr>
            <w:r>
              <w:rPr>
                <w:sz w:val="18"/>
              </w:rPr>
              <w:t>WHEREAS on the               day of</w:t>
            </w:r>
            <w:r>
              <w:rPr>
                <w:sz w:val="18"/>
              </w:rPr>
              <w:tab/>
              <w:t xml:space="preserve">          20</w:t>
            </w:r>
          </w:p>
          <w:p>
            <w:pPr>
              <w:pStyle w:val="yTable"/>
              <w:spacing w:before="0" w:line="180" w:lineRule="atLeast"/>
              <w:rPr>
                <w:sz w:val="18"/>
              </w:rPr>
            </w:pPr>
            <w:r>
              <w:rPr>
                <w:sz w:val="18"/>
              </w:rPr>
              <w:t>an order was made in the above Court that the defendant deliver up possession of</w:t>
            </w:r>
          </w:p>
          <w:p>
            <w:pPr>
              <w:pStyle w:val="yTable"/>
              <w:spacing w:line="180" w:lineRule="atLeast"/>
              <w:rPr>
                <w:sz w:val="18"/>
              </w:rPr>
            </w:pPr>
          </w:p>
          <w:p>
            <w:pPr>
              <w:pStyle w:val="yTable"/>
              <w:spacing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tabs>
                <w:tab w:val="right" w:pos="4748"/>
              </w:tabs>
              <w:spacing w:before="0" w:line="180" w:lineRule="atLeast"/>
              <w:rPr>
                <w:sz w:val="18"/>
              </w:rPr>
            </w:pPr>
            <w:r>
              <w:rPr>
                <w:sz w:val="18"/>
              </w:rPr>
              <w:tab/>
              <w:t>to the plaintiff</w:t>
            </w:r>
          </w:p>
          <w:p>
            <w:pPr>
              <w:pStyle w:val="yTable"/>
              <w:spacing w:before="0" w:line="180" w:lineRule="atLeast"/>
              <w:rPr>
                <w:sz w:val="18"/>
              </w:rPr>
            </w:pPr>
            <w:r>
              <w:rPr>
                <w:sz w:val="18"/>
              </w:rPr>
              <w:t>and whereas the said defendant has refused or neglected so to do.</w:t>
            </w:r>
          </w:p>
          <w:p>
            <w:pPr>
              <w:pStyle w:val="yTable"/>
              <w:spacing w:line="180" w:lineRule="atLeast"/>
              <w:rPr>
                <w:sz w:val="18"/>
              </w:rPr>
            </w:pPr>
            <w:r>
              <w:rPr>
                <w:sz w:val="18"/>
              </w:rPr>
              <w:t>These are therefore to require and order you FORTHWITH TO eject the said defendant from the aforementioned land and/or mining tenement and to seize and take chattels or minerals specified above and deliver the same into your possession.</w:t>
            </w:r>
          </w:p>
          <w:p>
            <w:pPr>
              <w:pStyle w:val="yTable"/>
              <w:spacing w:line="180" w:lineRule="atLeast"/>
              <w:jc w:val="center"/>
              <w:rPr>
                <w:sz w:val="18"/>
              </w:rPr>
            </w:pPr>
            <w:r>
              <w:rPr>
                <w:sz w:val="18"/>
              </w:rPr>
              <w:t>By the Court</w:t>
            </w:r>
          </w:p>
          <w:p>
            <w:pPr>
              <w:pStyle w:val="yTable"/>
              <w:tabs>
                <w:tab w:val="right" w:leader="dot" w:pos="4748"/>
              </w:tabs>
              <w:spacing w:line="180" w:lineRule="atLeast"/>
              <w:ind w:left="1063"/>
              <w:rPr>
                <w:sz w:val="18"/>
              </w:rPr>
            </w:pPr>
            <w:r>
              <w:rPr>
                <w:sz w:val="18"/>
              </w:rPr>
              <w:t>.........................................Warden/Mining Registrar</w:t>
            </w:r>
          </w:p>
          <w:p>
            <w:pPr>
              <w:pStyle w:val="yTable"/>
              <w:tabs>
                <w:tab w:val="right" w:leader="dot" w:pos="4748"/>
              </w:tabs>
              <w:spacing w:before="0" w:line="180" w:lineRule="atLeast"/>
              <w:ind w:left="1060"/>
              <w:rPr>
                <w:sz w:val="18"/>
              </w:rPr>
            </w:pPr>
            <w:r>
              <w:rPr>
                <w:sz w:val="18"/>
              </w:rPr>
              <w:tab/>
              <w:t>Mineral Field</w:t>
            </w:r>
          </w:p>
        </w:tc>
      </w:tr>
      <w:tr>
        <w:trPr>
          <w:cantSplit/>
        </w:trPr>
        <w:tc>
          <w:tcPr>
            <w:tcW w:w="2078" w:type="dxa"/>
            <w:tcBorders>
              <w:top w:val="single" w:sz="4" w:space="0" w:color="auto"/>
              <w:left w:val="single" w:sz="4" w:space="0" w:color="auto"/>
              <w:bottom w:val="single" w:sz="4" w:space="0" w:color="auto"/>
              <w:right w:val="single" w:sz="4" w:space="0" w:color="auto"/>
            </w:tcBorders>
          </w:tcPr>
          <w:p>
            <w:pPr>
              <w:pStyle w:val="yTable"/>
              <w:spacing w:before="120" w:line="180" w:lineRule="atLeast"/>
              <w:ind w:left="-119"/>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9"/>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41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132)</w:t>
            </w:r>
          </w:p>
        </w:tc>
      </w:tr>
      <w:tr>
        <w:tc>
          <w:tcPr>
            <w:tcW w:w="2078" w:type="dxa"/>
          </w:tcPr>
          <w:p>
            <w:pPr>
              <w:pStyle w:val="yTable"/>
              <w:spacing w:line="180" w:lineRule="atLeast"/>
              <w:ind w:left="-120"/>
              <w:rPr>
                <w:sz w:val="18"/>
              </w:rPr>
            </w:pPr>
          </w:p>
        </w:tc>
        <w:tc>
          <w:tcPr>
            <w:tcW w:w="5010" w:type="dxa"/>
          </w:tcPr>
          <w:p>
            <w:pPr>
              <w:pStyle w:val="yTable"/>
              <w:spacing w:before="120" w:line="180" w:lineRule="atLeast"/>
            </w:pPr>
            <w:r>
              <w:rPr>
                <w:b/>
              </w:rPr>
              <w:t>NOTICE OF SEIZURE</w:t>
            </w:r>
          </w:p>
        </w:tc>
      </w:tr>
      <w:tr>
        <w:tc>
          <w:tcPr>
            <w:tcW w:w="2078" w:type="dxa"/>
          </w:tcPr>
          <w:p>
            <w:pPr>
              <w:pStyle w:val="yTable"/>
              <w:spacing w:line="180" w:lineRule="atLeast"/>
              <w:ind w:left="-120"/>
              <w:rPr>
                <w:sz w:val="18"/>
              </w:rPr>
            </w:pPr>
          </w:p>
        </w:tc>
        <w:tc>
          <w:tcPr>
            <w:tcW w:w="5010" w:type="dxa"/>
          </w:tcPr>
          <w:p>
            <w:pPr>
              <w:pStyle w:val="yTable"/>
              <w:tabs>
                <w:tab w:val="left" w:pos="2764"/>
              </w:tabs>
              <w:spacing w:line="180" w:lineRule="atLeast"/>
              <w:rPr>
                <w:sz w:val="18"/>
              </w:rPr>
            </w:pPr>
            <w:r>
              <w:rPr>
                <w:sz w:val="18"/>
              </w:rPr>
              <w:t>In the</w:t>
            </w:r>
            <w:r>
              <w:rPr>
                <w:sz w:val="18"/>
              </w:rPr>
              <w:tab/>
              <w:t>Court at</w:t>
            </w:r>
          </w:p>
          <w:p>
            <w:pPr>
              <w:pStyle w:val="yTable"/>
              <w:tabs>
                <w:tab w:val="left" w:pos="3331"/>
              </w:tabs>
              <w:spacing w:line="180" w:lineRule="atLeast"/>
              <w:rPr>
                <w:sz w:val="18"/>
              </w:rPr>
            </w:pPr>
            <w:r>
              <w:rPr>
                <w:sz w:val="18"/>
              </w:rPr>
              <w:t>Plaint No.</w:t>
            </w:r>
            <w:r>
              <w:rPr>
                <w:sz w:val="18"/>
              </w:rPr>
              <w:tab/>
              <w:t>Warrant No.</w:t>
            </w:r>
          </w:p>
          <w:p>
            <w:pPr>
              <w:pStyle w:val="yTable"/>
              <w:spacing w:line="180" w:lineRule="atLeast"/>
              <w:jc w:val="center"/>
              <w:rPr>
                <w:sz w:val="18"/>
              </w:rPr>
            </w:pPr>
            <w:r>
              <w:rPr>
                <w:sz w:val="18"/>
              </w:rPr>
              <w:t>Between</w:t>
            </w:r>
          </w:p>
          <w:p>
            <w:pPr>
              <w:pStyle w:val="yTable"/>
              <w:spacing w:line="180" w:lineRule="atLeast"/>
              <w:jc w:val="right"/>
              <w:rPr>
                <w:sz w:val="18"/>
              </w:rPr>
            </w:pPr>
            <w:r>
              <w:rPr>
                <w:sz w:val="18"/>
              </w:rPr>
              <w:tab/>
              <w:t>Plaintiff</w:t>
            </w:r>
          </w:p>
          <w:p>
            <w:pPr>
              <w:pStyle w:val="yTable"/>
              <w:spacing w:line="180" w:lineRule="atLeast"/>
              <w:jc w:val="center"/>
              <w:rPr>
                <w:sz w:val="18"/>
              </w:rPr>
            </w:pPr>
            <w:r>
              <w:rPr>
                <w:sz w:val="18"/>
              </w:rPr>
              <w:t>and</w:t>
            </w:r>
          </w:p>
          <w:p>
            <w:pPr>
              <w:pStyle w:val="yTable"/>
              <w:spacing w:line="180" w:lineRule="atLeast"/>
              <w:jc w:val="right"/>
              <w:rPr>
                <w:sz w:val="18"/>
              </w:rPr>
            </w:pPr>
            <w:r>
              <w:rPr>
                <w:sz w:val="18"/>
              </w:rPr>
              <w:tab/>
              <w:t>Defendant</w:t>
            </w:r>
          </w:p>
          <w:p>
            <w:pPr>
              <w:pStyle w:val="yTable"/>
              <w:spacing w:line="180" w:lineRule="atLeast"/>
              <w:rPr>
                <w:sz w:val="18"/>
              </w:rPr>
            </w:pPr>
            <w:r>
              <w:rPr>
                <w:b/>
                <w:sz w:val="18"/>
              </w:rPr>
              <w:t>TO:</w:t>
            </w:r>
            <w:r>
              <w:rPr>
                <w:sz w:val="18"/>
              </w:rPr>
              <w:t xml:space="preserve"> The MINING REGISTRAR, at</w:t>
            </w:r>
          </w:p>
          <w:p>
            <w:pPr>
              <w:pStyle w:val="yTable"/>
              <w:spacing w:line="180" w:lineRule="atLeast"/>
              <w:rPr>
                <w:sz w:val="18"/>
              </w:rPr>
            </w:pPr>
            <w:r>
              <w:rPr>
                <w:sz w:val="18"/>
              </w:rPr>
              <w:t>TAKE NOTICE that under and by virtue of</w:t>
            </w:r>
          </w:p>
          <w:p>
            <w:pPr>
              <w:pStyle w:val="yTable"/>
              <w:tabs>
                <w:tab w:val="left" w:pos="1346"/>
                <w:tab w:val="left" w:pos="3189"/>
              </w:tabs>
              <w:spacing w:line="180" w:lineRule="atLeast"/>
              <w:rPr>
                <w:sz w:val="18"/>
              </w:rPr>
            </w:pPr>
            <w:r>
              <w:rPr>
                <w:sz w:val="18"/>
              </w:rPr>
              <w:tab/>
              <w:t>, dated the</w:t>
            </w:r>
            <w:r>
              <w:rPr>
                <w:sz w:val="18"/>
              </w:rPr>
              <w:tab/>
              <w:t>day of</w:t>
            </w:r>
          </w:p>
          <w:p>
            <w:pPr>
              <w:pStyle w:val="yTable"/>
              <w:tabs>
                <w:tab w:val="left" w:pos="3898"/>
              </w:tabs>
              <w:spacing w:line="180" w:lineRule="atLeast"/>
              <w:rPr>
                <w:sz w:val="18"/>
              </w:rPr>
            </w:pPr>
            <w:r>
              <w:rPr>
                <w:sz w:val="18"/>
              </w:rPr>
              <w:t>20     , issued out of the</w:t>
            </w:r>
            <w:r>
              <w:rPr>
                <w:sz w:val="18"/>
              </w:rPr>
              <w:tab/>
              <w:t>Court</w:t>
            </w:r>
          </w:p>
          <w:p>
            <w:pPr>
              <w:pStyle w:val="yTable"/>
              <w:tabs>
                <w:tab w:val="left" w:pos="2764"/>
              </w:tabs>
              <w:spacing w:line="180" w:lineRule="atLeast"/>
              <w:rPr>
                <w:sz w:val="18"/>
              </w:rPr>
            </w:pPr>
            <w:r>
              <w:rPr>
                <w:sz w:val="18"/>
              </w:rPr>
              <w:t>at</w:t>
            </w:r>
            <w:r>
              <w:rPr>
                <w:sz w:val="18"/>
              </w:rPr>
              <w:tab/>
              <w:t>(copy attached)</w:t>
            </w:r>
          </w:p>
          <w:p>
            <w:pPr>
              <w:pStyle w:val="yTable"/>
              <w:tabs>
                <w:tab w:val="left" w:pos="3898"/>
              </w:tabs>
              <w:spacing w:line="180" w:lineRule="atLeast"/>
              <w:rPr>
                <w:sz w:val="18"/>
              </w:rPr>
            </w:pPr>
            <w:r>
              <w:rPr>
                <w:sz w:val="18"/>
              </w:rPr>
              <w:t>I have this day seized all the</w:t>
            </w:r>
            <w:r>
              <w:rPr>
                <w:sz w:val="18"/>
              </w:rPr>
              <w:tab/>
              <w:t>right,</w:t>
            </w:r>
          </w:p>
          <w:p>
            <w:pPr>
              <w:pStyle w:val="yTable"/>
              <w:spacing w:before="0" w:line="180" w:lineRule="atLeast"/>
              <w:rPr>
                <w:sz w:val="18"/>
              </w:rPr>
            </w:pPr>
            <w:r>
              <w:rPr>
                <w:sz w:val="18"/>
              </w:rPr>
              <w:t>title and interest (if any) in and to the shares specified in the undermentioned mining tenement </w:t>
            </w:r>
            <w:r>
              <w:rPr>
                <w:snapToGrid w:val="0"/>
                <w:sz w:val="18"/>
              </w:rPr>
              <w:t>—</w:t>
            </w:r>
          </w:p>
          <w:p>
            <w:pPr>
              <w:pStyle w:val="yTable"/>
              <w:spacing w:line="180" w:lineRule="atLeast"/>
              <w:rPr>
                <w:sz w:val="18"/>
              </w:rPr>
            </w:pP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(a) Type</w:t>
            </w:r>
          </w:p>
          <w:p>
            <w:pPr>
              <w:pStyle w:val="yTable"/>
              <w:spacing w:before="0" w:line="180" w:lineRule="atLeast"/>
              <w:ind w:left="-119"/>
              <w:rPr>
                <w:sz w:val="18"/>
              </w:rPr>
            </w:pPr>
            <w:r>
              <w:rPr>
                <w:sz w:val="18"/>
              </w:rPr>
              <w:t>(b) Number</w:t>
            </w:r>
          </w:p>
          <w:p>
            <w:pPr>
              <w:pStyle w:val="yTable"/>
              <w:spacing w:before="0" w:line="180" w:lineRule="atLeast"/>
              <w:ind w:left="-119"/>
              <w:rPr>
                <w:sz w:val="18"/>
              </w:rPr>
            </w:pPr>
            <w:r>
              <w:rPr>
                <w:sz w:val="18"/>
              </w:rPr>
              <w:t>(c) Mineral Field</w:t>
            </w:r>
          </w:p>
          <w:p>
            <w:pPr>
              <w:pStyle w:val="yTable"/>
              <w:spacing w:before="0" w:line="180" w:lineRule="atLeast"/>
              <w:ind w:left="-119"/>
              <w:rPr>
                <w:sz w:val="18"/>
              </w:rPr>
            </w:pPr>
            <w:r>
              <w:rPr>
                <w:sz w:val="18"/>
              </w:rPr>
              <w:t>(d) 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w:t>
            </w:r>
          </w:p>
          <w:p>
            <w:pPr>
              <w:pStyle w:val="yTable"/>
              <w:tabs>
                <w:tab w:val="left" w:pos="2338"/>
              </w:tabs>
              <w:spacing w:line="180" w:lineRule="atLeast"/>
              <w:rPr>
                <w:sz w:val="18"/>
              </w:rPr>
            </w:pPr>
            <w:r>
              <w:rPr>
                <w:sz w:val="18"/>
              </w:rPr>
              <w:t>(a)</w:t>
            </w:r>
            <w:r>
              <w:rPr>
                <w:sz w:val="18"/>
              </w:rPr>
              <w:tab/>
              <w:t>(b)</w:t>
            </w:r>
          </w:p>
          <w:p>
            <w:pPr>
              <w:pStyle w:val="yTable"/>
              <w:spacing w:line="180" w:lineRule="atLeast"/>
              <w:rPr>
                <w:sz w:val="18"/>
              </w:rPr>
            </w:pPr>
            <w:r>
              <w:rPr>
                <w:sz w:val="18"/>
              </w:rPr>
              <w:t>(c)</w:t>
            </w:r>
          </w:p>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rPr>
                <w:sz w:val="18"/>
              </w:rPr>
            </w:pPr>
            <w:r>
              <w:rPr>
                <w:sz w:val="18"/>
              </w:rPr>
              <w:t>You will therefore communicate with me before registering any transfer, or other dealing with the shares specified while this seizure remains in force.</w:t>
            </w:r>
          </w:p>
          <w:p>
            <w:pPr>
              <w:pStyle w:val="yTable"/>
              <w:spacing w:line="180" w:lineRule="atLeast"/>
              <w:rPr>
                <w:sz w:val="18"/>
              </w:rPr>
            </w:pPr>
            <w:r>
              <w:rPr>
                <w:sz w:val="18"/>
              </w:rPr>
              <w:t>DATED at</w:t>
            </w:r>
          </w:p>
          <w:p>
            <w:pPr>
              <w:pStyle w:val="yTable"/>
              <w:tabs>
                <w:tab w:val="left" w:pos="1913"/>
                <w:tab w:val="left" w:pos="3756"/>
              </w:tabs>
              <w:spacing w:line="180" w:lineRule="atLeast"/>
              <w:rPr>
                <w:sz w:val="18"/>
              </w:rPr>
            </w:pPr>
            <w:r>
              <w:rPr>
                <w:sz w:val="18"/>
              </w:rPr>
              <w:t>this</w:t>
            </w:r>
            <w:r>
              <w:rPr>
                <w:sz w:val="18"/>
              </w:rPr>
              <w:tab/>
              <w:t>day of</w:t>
            </w:r>
            <w:r>
              <w:rPr>
                <w:sz w:val="18"/>
              </w:rPr>
              <w:tab/>
              <w:t>20</w:t>
            </w:r>
          </w:p>
          <w:p>
            <w:pPr>
              <w:pStyle w:val="yTable"/>
              <w:tabs>
                <w:tab w:val="right" w:leader="dot" w:pos="4748"/>
              </w:tabs>
              <w:spacing w:line="180" w:lineRule="atLeast"/>
              <w:ind w:left="921"/>
              <w:rPr>
                <w:sz w:val="18"/>
              </w:rPr>
            </w:pPr>
            <w:r>
              <w:rPr>
                <w:sz w:val="18"/>
              </w:rPr>
              <w:tab/>
              <w:t>Bailiff</w:t>
            </w: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957"/>
              </w:tabs>
              <w:spacing w:line="180" w:lineRule="atLeast"/>
              <w:rPr>
                <w:sz w:val="18"/>
              </w:rPr>
            </w:pPr>
            <w:r>
              <w:rPr>
                <w:sz w:val="18"/>
              </w:rPr>
              <w:t>Received at ..........................................m.</w:t>
            </w:r>
          </w:p>
          <w:p>
            <w:pPr>
              <w:pStyle w:val="yTable"/>
              <w:tabs>
                <w:tab w:val="right" w:leader="dot" w:pos="2957"/>
              </w:tabs>
              <w:spacing w:line="180" w:lineRule="atLeast"/>
              <w:rPr>
                <w:sz w:val="18"/>
              </w:rPr>
            </w:pPr>
            <w:r>
              <w:rPr>
                <w:sz w:val="18"/>
              </w:rPr>
              <w:t>on  ............................................................</w:t>
            </w:r>
          </w:p>
          <w:p>
            <w:pPr>
              <w:pStyle w:val="yTable"/>
              <w:tabs>
                <w:tab w:val="right" w:leader="dot" w:pos="2957"/>
              </w:tabs>
              <w:spacing w:line="180" w:lineRule="atLeast"/>
              <w:rPr>
                <w:sz w:val="18"/>
              </w:rPr>
            </w:pPr>
            <w:r>
              <w:rPr>
                <w:sz w:val="18"/>
              </w:rPr>
              <w:t>with fee of $ ............................................</w:t>
            </w:r>
          </w:p>
          <w:p>
            <w:pPr>
              <w:pStyle w:val="yTable"/>
              <w:tabs>
                <w:tab w:val="right" w:leader="dot" w:pos="2957"/>
              </w:tabs>
              <w:spacing w:line="180" w:lineRule="atLeast"/>
              <w:rPr>
                <w:sz w:val="18"/>
              </w:rPr>
            </w:pPr>
          </w:p>
          <w:p>
            <w:pPr>
              <w:pStyle w:val="yTable"/>
              <w:tabs>
                <w:tab w:val="right" w:leader="dot" w:pos="2957"/>
              </w:tabs>
              <w:spacing w:line="180" w:lineRule="atLeast"/>
              <w:rPr>
                <w:sz w:val="18"/>
              </w:rPr>
            </w:pPr>
          </w:p>
          <w:p>
            <w:pPr>
              <w:pStyle w:val="yTable"/>
              <w:tabs>
                <w:tab w:val="right" w:leader="dot" w:pos="2957"/>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rPr>
          <w:sz w:val="18"/>
        </w:rPr>
      </w:pPr>
      <w:r>
        <w:tab/>
        <w:t>[Form 41 amended in Gazette 2 Oct 1987 p. 3836.]</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jc w:val="center"/>
        <w:rPr>
          <w:snapToGrid w:val="0"/>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outlineLvl w:val="0"/>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rPr>
          <w:sz w:val="18"/>
        </w:rPr>
      </w:pPr>
      <w:r>
        <w:tab/>
        <w:t>[Form 44 inserted in Gazette 5 Jul 1991 p. 3359.]</w:t>
      </w:r>
    </w:p>
    <w:p>
      <w:pPr>
        <w:pStyle w:val="yScheduleHeading"/>
      </w:pPr>
      <w:bookmarkStart w:id="2014" w:name="_Toc104276773"/>
      <w:bookmarkStart w:id="2015" w:name="_Toc129150355"/>
      <w:bookmarkStart w:id="2016" w:name="_Toc129587637"/>
      <w:bookmarkStart w:id="2017" w:name="_Toc131477332"/>
      <w:bookmarkStart w:id="2018" w:name="_Toc132106708"/>
      <w:bookmarkStart w:id="2019" w:name="_Toc132169241"/>
      <w:bookmarkStart w:id="2020" w:name="_Toc132443235"/>
      <w:bookmarkStart w:id="2021" w:name="_Toc132524137"/>
      <w:bookmarkStart w:id="2022" w:name="_Toc132703006"/>
      <w:bookmarkStart w:id="2023" w:name="_Toc139168099"/>
      <w:bookmarkStart w:id="2024" w:name="_Toc139433791"/>
      <w:bookmarkStart w:id="2025" w:name="_Toc161203105"/>
      <w:bookmarkStart w:id="2026" w:name="_Toc161209557"/>
      <w:r>
        <w:rPr>
          <w:rStyle w:val="CharSchNo"/>
        </w:rPr>
        <w:t>Second Schedule</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yHeading2"/>
        <w:outlineLvl w:val="9"/>
      </w:pPr>
      <w:bookmarkStart w:id="2027" w:name="_Toc131477333"/>
      <w:bookmarkStart w:id="2028" w:name="_Toc132106709"/>
      <w:bookmarkStart w:id="2029" w:name="_Toc132169242"/>
      <w:bookmarkStart w:id="2030" w:name="_Toc132443236"/>
      <w:bookmarkStart w:id="2031" w:name="_Toc132524138"/>
      <w:bookmarkStart w:id="2032" w:name="_Toc132703007"/>
      <w:bookmarkStart w:id="2033" w:name="_Toc139168100"/>
      <w:bookmarkStart w:id="2034" w:name="_Toc139433792"/>
      <w:bookmarkStart w:id="2035" w:name="_Toc161203106"/>
      <w:bookmarkStart w:id="2036" w:name="_Toc161209558"/>
      <w:r>
        <w:rPr>
          <w:rStyle w:val="CharSchText"/>
        </w:rPr>
        <w:t>Schedule of fees and rents</w:t>
      </w:r>
      <w:bookmarkEnd w:id="2027"/>
      <w:bookmarkEnd w:id="2028"/>
      <w:bookmarkEnd w:id="2029"/>
      <w:bookmarkEnd w:id="2030"/>
      <w:bookmarkEnd w:id="2031"/>
      <w:bookmarkEnd w:id="2032"/>
      <w:bookmarkEnd w:id="2033"/>
      <w:bookmarkEnd w:id="2034"/>
      <w:bookmarkEnd w:id="2035"/>
      <w:bookmarkEnd w:id="2036"/>
    </w:p>
    <w:p>
      <w:pPr>
        <w:pStyle w:val="yFootnoteheading"/>
      </w:pPr>
      <w:r>
        <w:tab/>
        <w:t>[Heading inserted in Gazette 20 Jun 1986 p. 2084.]</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Existing exploration licence per square kilometre or part thereof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40.15</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pacing w:val="-2"/>
                <w:sz w:val="18"/>
              </w:rPr>
              <w:t>135.85</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Graticular exploration licence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all other licences, per block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253.00</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105.05</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163.46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221.76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420.09</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spacing w:val="-2"/>
                <w:sz w:val="18"/>
                <w:vertAlign w:val="superscript"/>
              </w:rPr>
              <w:t> 7</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13.86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0.44</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12.32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(minimum$19.80)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1.98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6.05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330.00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223.00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560.00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keepNext/>
              <w:keepLines/>
              <w:tabs>
                <w:tab w:val="left" w:pos="567"/>
              </w:tabs>
              <w:spacing w:before="0" w:line="180" w:lineRule="atLeast"/>
              <w:ind w:left="567" w:right="113" w:hanging="567"/>
              <w:rPr>
                <w:spacing w:val="-2"/>
                <w:sz w:val="18"/>
              </w:rPr>
            </w:pPr>
            <w:r>
              <w:rPr>
                <w:spacing w:val="-2"/>
                <w:sz w:val="18"/>
              </w:rPr>
              <w:t>3.</w:t>
            </w:r>
            <w:r>
              <w:rPr>
                <w:spacing w:val="-2"/>
                <w:sz w:val="18"/>
              </w:rPr>
              <w:tab/>
            </w:r>
            <w:r>
              <w:rPr>
                <w:sz w:val="18"/>
              </w:rPr>
              <w:t>Copy 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Entry in the register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or other instrument (per tenement) ....................</w:t>
            </w:r>
          </w:p>
        </w:tc>
        <w:tc>
          <w:tcPr>
            <w:tcW w:w="1188" w:type="dxa"/>
          </w:tcPr>
          <w:p>
            <w:pPr>
              <w:pStyle w:val="yTable"/>
              <w:spacing w:before="0" w:line="180" w:lineRule="atLeast"/>
              <w:ind w:left="56"/>
              <w:rPr>
                <w:spacing w:val="-2"/>
                <w:sz w:val="18"/>
              </w:rPr>
            </w:pPr>
            <w:r>
              <w:rPr>
                <w:spacing w:val="-2"/>
                <w:sz w:val="18"/>
              </w:rPr>
              <w:t>Reg. 84D</w:t>
            </w:r>
          </w:p>
        </w:tc>
        <w:tc>
          <w:tcPr>
            <w:tcW w:w="1134" w:type="dxa"/>
          </w:tcPr>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5.60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280.00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385.00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1 925.00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28.00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xml:space="preserve"> Minimum $22.40)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5.60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or recording of instruments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Reg. 76</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w:t>
            </w:r>
          </w:p>
        </w:tc>
        <w:tc>
          <w:tcPr>
            <w:tcW w:w="1134" w:type="dxa"/>
          </w:tcPr>
          <w:p>
            <w:pPr>
              <w:pStyle w:val="yTable"/>
              <w:spacing w:before="0" w:line="180" w:lineRule="atLeast"/>
              <w:ind w:right="127"/>
              <w:jc w:val="right"/>
              <w:rPr>
                <w:spacing w:val="-2"/>
                <w:sz w:val="18"/>
              </w:rPr>
            </w:pPr>
            <w:r>
              <w:rPr>
                <w:spacing w:val="-2"/>
                <w:sz w:val="18"/>
              </w:rPr>
              <w:t>5.60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171.00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6.75</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t>Warden’s Court Fees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 xml:space="preserve">For entering a plaint, excluding service fee, but including the issue of summons for each defendant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Defence, including notice of defence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w:t>
            </w:r>
            <w:r>
              <w:rPr>
                <w:spacing w:val="-2"/>
                <w:sz w:val="18"/>
              </w:rPr>
              <w:tab/>
              <w:t>Issue or renewal of a warrant of execution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7.00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filed bill (minimum fee $10.00) </w:t>
            </w:r>
            <w:r>
              <w:rPr>
                <w:snapToGrid w:val="0"/>
                <w:sz w:val="18"/>
              </w:rPr>
              <w:t>—</w:t>
            </w:r>
            <w:r>
              <w:rPr>
                <w:spacing w:val="-2"/>
                <w:sz w:val="18"/>
              </w:rPr>
              <w:t xml:space="preserve"> provided  that where the filed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w:t>
      </w:r>
      <w:r>
        <w:noBreakHyphen/>
        <w:t>71; 3 Feb 2006 p. 528 and 603-4; 23 Jun 2006 p. 2219</w:t>
      </w:r>
      <w:r>
        <w:noBreakHyphen/>
        <w:t>22.]</w:t>
      </w:r>
    </w:p>
    <w:p>
      <w:pPr>
        <w:pStyle w:val="yScheduleHeading"/>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2037" w:name="_Toc74979322"/>
      <w:bookmarkStart w:id="2038" w:name="_Toc104276774"/>
      <w:bookmarkStart w:id="2039" w:name="_Toc129150356"/>
      <w:bookmarkStart w:id="2040" w:name="_Toc129587638"/>
    </w:p>
    <w:p>
      <w:pPr>
        <w:pStyle w:val="yScheduleHeading"/>
      </w:pPr>
      <w:bookmarkStart w:id="2041" w:name="_Toc131477334"/>
      <w:bookmarkStart w:id="2042" w:name="_Toc132106710"/>
      <w:bookmarkStart w:id="2043" w:name="_Toc132169243"/>
      <w:bookmarkStart w:id="2044" w:name="_Toc132443237"/>
      <w:bookmarkStart w:id="2045" w:name="_Toc132524139"/>
      <w:bookmarkStart w:id="2046" w:name="_Toc132703008"/>
      <w:bookmarkStart w:id="2047" w:name="_Toc139168101"/>
      <w:bookmarkStart w:id="2048" w:name="_Toc139433793"/>
      <w:bookmarkStart w:id="2049" w:name="_Toc161203107"/>
      <w:bookmarkStart w:id="2050" w:name="_Toc161209559"/>
      <w:r>
        <w:rPr>
          <w:rStyle w:val="CharSchNo"/>
        </w:rPr>
        <w:t>Third Schedule</w:t>
      </w:r>
      <w:r>
        <w:rPr>
          <w:rStyle w:val="CharSDivNo"/>
        </w:rPr>
        <w:t> </w:t>
      </w:r>
      <w:r>
        <w:t>—</w:t>
      </w:r>
      <w:r>
        <w:rPr>
          <w:rStyle w:val="CharSDivText"/>
        </w:rPr>
        <w:t> </w:t>
      </w:r>
      <w:r>
        <w:rPr>
          <w:rStyle w:val="CharSchText"/>
        </w:rPr>
        <w:t>Transitional provisions relating to Geocentric Datum of Australia</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yShoulderClause"/>
      </w:pPr>
      <w:r>
        <w:t>[r. 89A]</w:t>
      </w:r>
    </w:p>
    <w:p>
      <w:pPr>
        <w:pStyle w:val="yFootnoteheading"/>
      </w:pPr>
      <w:r>
        <w:tab/>
        <w:t>[Heading inserted in Gazette 15 Dec 2000 p. 7220.]</w:t>
      </w:r>
    </w:p>
    <w:p>
      <w:pPr>
        <w:pStyle w:val="yHeading5"/>
        <w:outlineLvl w:val="9"/>
      </w:pPr>
      <w:bookmarkStart w:id="2051" w:name="_Toc11229592"/>
      <w:bookmarkStart w:id="2052" w:name="_Toc104276775"/>
      <w:bookmarkStart w:id="2053" w:name="_Toc161209560"/>
      <w:r>
        <w:rPr>
          <w:rStyle w:val="CharSClsNo"/>
        </w:rPr>
        <w:t>1</w:t>
      </w:r>
      <w:r>
        <w:t>.</w:t>
      </w:r>
      <w:r>
        <w:tab/>
        <w:t>Interpretation</w:t>
      </w:r>
      <w:bookmarkEnd w:id="2051"/>
      <w:bookmarkEnd w:id="2052"/>
      <w:bookmarkEnd w:id="2053"/>
    </w:p>
    <w:p>
      <w:pPr>
        <w:pStyle w:val="ySubsection"/>
      </w:pPr>
      <w:r>
        <w:tab/>
        <w:t>(1)</w:t>
      </w:r>
      <w:r>
        <w:tab/>
        <w:t>In this Schedule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2054" w:name="_Toc11229593"/>
      <w:bookmarkStart w:id="2055" w:name="_Toc104276776"/>
      <w:r>
        <w:tab/>
        <w:t>[Clause 1 inserted in Gazette 15 Dec 2000 p. 7220-1.]</w:t>
      </w:r>
    </w:p>
    <w:p>
      <w:pPr>
        <w:pStyle w:val="yHeading5"/>
      </w:pPr>
      <w:bookmarkStart w:id="2056" w:name="_Toc161209561"/>
      <w:r>
        <w:rPr>
          <w:rStyle w:val="CharSClsNo"/>
        </w:rPr>
        <w:t>2</w:t>
      </w:r>
      <w:r>
        <w:t>.</w:t>
      </w:r>
      <w:r>
        <w:tab/>
        <w:t>Australian Geodetic Datum</w:t>
      </w:r>
      <w:bookmarkEnd w:id="2054"/>
      <w:bookmarkEnd w:id="2055"/>
      <w:bookmarkEnd w:id="2056"/>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2057" w:name="_Toc11229594"/>
      <w:bookmarkStart w:id="2058" w:name="_Toc104276777"/>
      <w:r>
        <w:tab/>
        <w:t>[Clause 2 inserted in Gazette 15 Dec 2000 p. 7221.]</w:t>
      </w:r>
    </w:p>
    <w:p>
      <w:pPr>
        <w:pStyle w:val="yHeading5"/>
      </w:pPr>
      <w:bookmarkStart w:id="2059" w:name="_Toc161209562"/>
      <w:r>
        <w:rPr>
          <w:rStyle w:val="CharSClsNo"/>
        </w:rPr>
        <w:t>3</w:t>
      </w:r>
      <w:r>
        <w:t>.</w:t>
      </w:r>
      <w:r>
        <w:tab/>
        <w:t>Exploration licences</w:t>
      </w:r>
      <w:bookmarkEnd w:id="2057"/>
      <w:bookmarkEnd w:id="2058"/>
      <w:bookmarkEnd w:id="2059"/>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2060" w:name="_Toc11229595"/>
      <w:bookmarkStart w:id="2061" w:name="_Toc104276778"/>
      <w:r>
        <w:tab/>
        <w:t>[Clause 3 inserted in Gazette 15 Dec 2000 p. 7221.]</w:t>
      </w:r>
    </w:p>
    <w:p>
      <w:pPr>
        <w:pStyle w:val="yHeading5"/>
      </w:pPr>
      <w:bookmarkStart w:id="2062" w:name="_Toc161209563"/>
      <w:r>
        <w:rPr>
          <w:rStyle w:val="CharSClsNo"/>
        </w:rPr>
        <w:t>4</w:t>
      </w:r>
      <w:r>
        <w:t>.</w:t>
      </w:r>
      <w:r>
        <w:tab/>
        <w:t>Land surrendered or forfeited etc.</w:t>
      </w:r>
      <w:bookmarkEnd w:id="2060"/>
      <w:bookmarkEnd w:id="2061"/>
      <w:bookmarkEnd w:id="2062"/>
    </w:p>
    <w:p>
      <w:pPr>
        <w:pStyle w:val="ySubsection"/>
      </w:pPr>
      <w:r>
        <w:tab/>
        <w:t>(1)</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2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2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2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2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2063" w:name="_Toc11229596"/>
      <w:bookmarkStart w:id="2064" w:name="_Toc104276779"/>
      <w:bookmarkStart w:id="2065" w:name="_Toc161209564"/>
      <w:r>
        <w:rPr>
          <w:rStyle w:val="CharSClsNo"/>
        </w:rPr>
        <w:t>5</w:t>
      </w:r>
      <w:r>
        <w:t>.</w:t>
      </w:r>
      <w:r>
        <w:tab/>
        <w:t>Land exempted under section 19</w:t>
      </w:r>
      <w:bookmarkEnd w:id="2063"/>
      <w:bookmarkEnd w:id="2064"/>
      <w:bookmarkEnd w:id="2065"/>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2066" w:name="_Toc11229597"/>
      <w:bookmarkStart w:id="2067" w:name="_Toc104276780"/>
      <w:r>
        <w:tab/>
        <w:t>[Clause 5 inserted in Gazette 15 Dec 2000 p. 7222.]</w:t>
      </w:r>
    </w:p>
    <w:p>
      <w:pPr>
        <w:pStyle w:val="yHeading5"/>
      </w:pPr>
      <w:bookmarkStart w:id="2068" w:name="_Toc161209565"/>
      <w:r>
        <w:rPr>
          <w:rStyle w:val="CharSClsNo"/>
        </w:rPr>
        <w:t>6</w:t>
      </w:r>
      <w:r>
        <w:t>.</w:t>
      </w:r>
      <w:r>
        <w:tab/>
        <w:t>Areas declared under section 57(4), and savings</w:t>
      </w:r>
      <w:bookmarkEnd w:id="2066"/>
      <w:bookmarkEnd w:id="2067"/>
      <w:bookmarkEnd w:id="206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2069" w:name="_Toc11229598"/>
      <w:bookmarkStart w:id="2070" w:name="_Toc104276781"/>
      <w:r>
        <w:tab/>
        <w:t>[Clause 6 inserted in Gazette 15 Dec 2000 p. 7223.]</w:t>
      </w:r>
    </w:p>
    <w:p>
      <w:pPr>
        <w:pStyle w:val="yHeading5"/>
      </w:pPr>
      <w:bookmarkStart w:id="2071" w:name="_Toc161209566"/>
      <w:r>
        <w:rPr>
          <w:rStyle w:val="CharSClsNo"/>
        </w:rPr>
        <w:t>7</w:t>
      </w:r>
      <w:r>
        <w:t>.</w:t>
      </w:r>
      <w:r>
        <w:tab/>
        <w:t>Certain prospecting licences and mining leases may be amalgamated with existing exploration licences</w:t>
      </w:r>
      <w:bookmarkEnd w:id="2069"/>
      <w:bookmarkEnd w:id="2070"/>
      <w:bookmarkEnd w:id="2071"/>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In this clause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2072" w:name="_Toc11229599"/>
      <w:bookmarkStart w:id="2073" w:name="_Toc104276782"/>
      <w:r>
        <w:tab/>
        <w:t>[Clause 7 inserted in Gazette 15 Dec 2000 p. 7223.]</w:t>
      </w:r>
    </w:p>
    <w:p>
      <w:pPr>
        <w:pStyle w:val="yHeading5"/>
      </w:pPr>
      <w:bookmarkStart w:id="2074" w:name="_Toc161209567"/>
      <w:r>
        <w:rPr>
          <w:rStyle w:val="CharSClsNo"/>
        </w:rPr>
        <w:t>8</w:t>
      </w:r>
      <w:r>
        <w:t>.</w:t>
      </w:r>
      <w:r>
        <w:tab/>
        <w:t>Prescribed land does not need to be marked out</w:t>
      </w:r>
      <w:bookmarkEnd w:id="2072"/>
      <w:bookmarkEnd w:id="2073"/>
      <w:bookmarkEnd w:id="2074"/>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162175"/>
            <wp:effectExtent l="0" t="0" r="9525" b="9525"/>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14675" cy="2162175"/>
                    </a:xfrm>
                    <a:prstGeom prst="rect">
                      <a:avLst/>
                    </a:prstGeom>
                    <a:noFill/>
                    <a:ln>
                      <a:noFill/>
                    </a:ln>
                  </pic:spPr>
                </pic:pic>
              </a:graphicData>
            </a:graphic>
          </wp:inline>
        </w:drawing>
      </w:r>
    </w:p>
    <w:p>
      <w:pPr>
        <w:pStyle w:val="yFootnotesection"/>
        <w:spacing w:before="80"/>
      </w:pPr>
      <w:r>
        <w:tab/>
        <w:t>[Clause 8 inserted in Gazette 15 Dec 2000 p. 7223-4.]</w:t>
      </w:r>
    </w:p>
    <w:p>
      <w:pPr>
        <w:sectPr>
          <w:headerReference w:type="even" r:id="rId38"/>
          <w:headerReference w:type="default" r:id="rId39"/>
          <w:headerReference w:type="first" r:id="rId40"/>
          <w:pgSz w:w="11906" w:h="16838" w:code="9"/>
          <w:pgMar w:top="2381" w:right="2409" w:bottom="3543" w:left="2409" w:header="720" w:footer="3380" w:gutter="0"/>
          <w:cols w:space="720"/>
          <w:noEndnote/>
          <w:docGrid w:linePitch="326"/>
        </w:sectPr>
      </w:pPr>
    </w:p>
    <w:p>
      <w:pPr>
        <w:pStyle w:val="nHeading2"/>
      </w:pPr>
      <w:bookmarkStart w:id="2075" w:name="_Toc132106719"/>
      <w:bookmarkStart w:id="2076" w:name="_Toc132169252"/>
      <w:bookmarkStart w:id="2077" w:name="_Toc132443246"/>
      <w:bookmarkStart w:id="2078" w:name="_Toc132524148"/>
      <w:bookmarkStart w:id="2079" w:name="_Toc132703017"/>
      <w:bookmarkStart w:id="2080" w:name="_Toc139168110"/>
      <w:bookmarkStart w:id="2081" w:name="_Toc139433802"/>
      <w:bookmarkStart w:id="2082" w:name="_Toc161203116"/>
      <w:bookmarkStart w:id="2083" w:name="_Toc161209568"/>
      <w:r>
        <w:t>Notes</w:t>
      </w:r>
      <w:bookmarkEnd w:id="2075"/>
      <w:bookmarkEnd w:id="2076"/>
      <w:bookmarkEnd w:id="2077"/>
      <w:bookmarkEnd w:id="2078"/>
      <w:bookmarkEnd w:id="2079"/>
      <w:bookmarkEnd w:id="2080"/>
      <w:bookmarkEnd w:id="2081"/>
      <w:bookmarkEnd w:id="2082"/>
      <w:bookmarkEnd w:id="2083"/>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084" w:name="_Toc161209569"/>
      <w:r>
        <w:rPr>
          <w:snapToGrid w:val="0"/>
        </w:rPr>
        <w:t>Compilation table</w:t>
      </w:r>
      <w:bookmarkEnd w:id="208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8</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9</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10</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11</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9"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9" w:type="dxa"/>
            <w:tcBorders>
              <w:top w:val="nil"/>
              <w:left w:val="nil"/>
              <w:bottom w:val="single" w:sz="4" w:space="0" w:color="auto"/>
              <w:right w:val="nil"/>
            </w:tcBorders>
          </w:tcPr>
          <w:p>
            <w:pPr>
              <w:pStyle w:val="nTable"/>
              <w:spacing w:after="40"/>
              <w:rPr>
                <w:i/>
                <w:sz w:val="19"/>
              </w:rPr>
            </w:pPr>
            <w:r>
              <w:rPr>
                <w:i/>
                <w:sz w:val="19"/>
              </w:rPr>
              <w:t>Mining Amendment Regulations (No. 6) 2006</w:t>
            </w:r>
          </w:p>
        </w:tc>
        <w:tc>
          <w:tcPr>
            <w:tcW w:w="1276" w:type="dxa"/>
            <w:tcBorders>
              <w:top w:val="nil"/>
              <w:left w:val="nil"/>
              <w:bottom w:val="single" w:sz="4" w:space="0" w:color="auto"/>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single" w:sz="4" w:space="0" w:color="auto"/>
              <w:right w:val="nil"/>
            </w:tcBorders>
          </w:tcPr>
          <w:p>
            <w:pPr>
              <w:pStyle w:val="nTable"/>
              <w:spacing w:after="40"/>
              <w:rPr>
                <w:sz w:val="19"/>
              </w:rPr>
            </w:pPr>
            <w:r>
              <w:rPr>
                <w:sz w:val="19"/>
              </w:rPr>
              <w:t>1 Jul 2006 (see r. 2)</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85" w:name="_Toc7405065"/>
      <w:bookmarkStart w:id="2086" w:name="_Toc161209570"/>
      <w:r>
        <w:t>Provisions that have not come into operation</w:t>
      </w:r>
      <w:bookmarkEnd w:id="2085"/>
      <w:bookmarkEnd w:id="208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single" w:sz="8" w:space="0" w:color="auto"/>
              <w:left w:val="nil"/>
              <w:bottom w:val="single" w:sz="8" w:space="0" w:color="auto"/>
              <w:right w:val="nil"/>
            </w:tcBorders>
          </w:tcPr>
          <w:p>
            <w:pPr>
              <w:pStyle w:val="nTable"/>
              <w:spacing w:after="40"/>
              <w:rPr>
                <w:iCs/>
                <w:snapToGrid w:val="0"/>
                <w:sz w:val="19"/>
                <w:vertAlign w:val="superscript"/>
              </w:rPr>
            </w:pPr>
            <w:r>
              <w:rPr>
                <w:i/>
                <w:sz w:val="19"/>
              </w:rPr>
              <w:t>Mining Amendment Regulations 2007</w:t>
            </w:r>
            <w:r>
              <w:rPr>
                <w:iCs/>
                <w:sz w:val="19"/>
              </w:rPr>
              <w:t xml:space="preserve"> r. 3-33</w:t>
            </w:r>
            <w:r>
              <w:rPr>
                <w:iCs/>
                <w:sz w:val="19"/>
                <w:vertAlign w:val="superscript"/>
              </w:rPr>
              <w:t> 12</w:t>
            </w:r>
          </w:p>
        </w:tc>
        <w:tc>
          <w:tcPr>
            <w:tcW w:w="1276" w:type="dxa"/>
            <w:tcBorders>
              <w:top w:val="single" w:sz="8" w:space="0" w:color="auto"/>
              <w:left w:val="nil"/>
              <w:bottom w:val="single" w:sz="8" w:space="0" w:color="auto"/>
              <w:right w:val="nil"/>
            </w:tcBorders>
          </w:tcPr>
          <w:p>
            <w:pPr>
              <w:pStyle w:val="nTable"/>
              <w:spacing w:after="40"/>
              <w:rPr>
                <w:snapToGrid w:val="0"/>
                <w:sz w:val="19"/>
              </w:rPr>
            </w:pPr>
            <w:r>
              <w:rPr>
                <w:sz w:val="19"/>
              </w:rPr>
              <w:t>9 Mar 2007 p. 861-920</w:t>
            </w:r>
          </w:p>
        </w:tc>
        <w:tc>
          <w:tcPr>
            <w:tcW w:w="2693" w:type="dxa"/>
            <w:tcBorders>
              <w:top w:val="single" w:sz="8" w:space="0" w:color="auto"/>
              <w:left w:val="nil"/>
              <w:bottom w:val="single" w:sz="8" w:space="0" w:color="auto"/>
              <w:right w:val="nil"/>
            </w:tcBorders>
          </w:tcPr>
          <w:p>
            <w:pPr>
              <w:pStyle w:val="nTable"/>
              <w:spacing w:after="40"/>
              <w:rPr>
                <w:snapToGrid w:val="0"/>
                <w:sz w:val="19"/>
              </w:rPr>
            </w:pPr>
            <w:r>
              <w:rPr>
                <w:snapToGrid w:val="0"/>
                <w:sz w:val="19"/>
              </w:rPr>
              <w:t xml:space="preserve">31 Mar 2007 (see r. 2 and </w:t>
            </w:r>
            <w:r>
              <w:rPr>
                <w:i/>
                <w:iCs/>
                <w:snapToGrid w:val="0"/>
                <w:sz w:val="19"/>
              </w:rPr>
              <w:t>Gazette</w:t>
            </w:r>
            <w:r>
              <w:rPr>
                <w:snapToGrid w:val="0"/>
                <w:sz w:val="19"/>
              </w:rPr>
              <w:t xml:space="preserve"> 9 Mar 2007 p. 847)</w:t>
            </w:r>
          </w:p>
        </w:tc>
      </w:tr>
    </w:tbl>
    <w:p/>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i/>
          <w:snapToGrid w:val="0"/>
        </w:rPr>
      </w:pPr>
      <w:r>
        <w:rPr>
          <w:snapToGrid w:val="0"/>
          <w:vertAlign w:val="superscript"/>
        </w:rPr>
        <w:t>3</w:t>
      </w:r>
      <w:r>
        <w:rPr>
          <w:snapToGrid w:val="0"/>
        </w:rPr>
        <w:tab/>
        <w:t xml:space="preserve">Repealed by the </w:t>
      </w:r>
      <w:r>
        <w:rPr>
          <w:i/>
          <w:snapToGrid w:val="0"/>
        </w:rPr>
        <w:t>Courts Legislation Amendment and Repeal Act 2004.</w:t>
      </w:r>
    </w:p>
    <w:p>
      <w:pPr>
        <w:pStyle w:val="nSubsection"/>
        <w:spacing w:before="40"/>
        <w:rPr>
          <w:snapToGrid w:val="0"/>
        </w:rPr>
      </w:pPr>
      <w:r>
        <w:rPr>
          <w:snapToGrid w:val="0"/>
          <w:vertAlign w:val="superscript"/>
        </w:rPr>
        <w:t>4</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6</w:t>
      </w:r>
      <w:r>
        <w:rPr>
          <w:snapToGrid w:val="0"/>
        </w:rPr>
        <w:tab/>
        <w:t xml:space="preserve">Under the </w:t>
      </w:r>
      <w:r>
        <w:rPr>
          <w:i/>
          <w:snapToGrid w:val="0"/>
        </w:rPr>
        <w:t>Alteration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7</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8</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9</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11</w:t>
      </w:r>
      <w:r>
        <w:tab/>
        <w:t xml:space="preserve">The </w:t>
      </w:r>
      <w:r>
        <w:rPr>
          <w:i/>
        </w:rPr>
        <w:t>Mining Amendment Regulations (No. 2) 2006</w:t>
      </w:r>
      <w:r>
        <w:t xml:space="preserve"> r. 10(7) and (8) read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Pr>
        <w:pStyle w:val="nSubsection"/>
        <w:keepLines/>
        <w:spacing w:before="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iCs/>
          <w:snapToGrid w:val="0"/>
        </w:rPr>
        <w:t>Mining Amendment Regulations 2007</w:t>
      </w:r>
      <w:r>
        <w:rPr>
          <w:snapToGrid w:val="0"/>
        </w:rPr>
        <w:t xml:space="preserve"> r. 3-33 had not come into operation.  They reads as follows:</w:t>
      </w:r>
    </w:p>
    <w:p>
      <w:pPr>
        <w:pStyle w:val="MiscOpen"/>
        <w:keepNext w:val="0"/>
        <w:spacing w:before="60"/>
        <w:rPr>
          <w:sz w:val="20"/>
        </w:rPr>
      </w:pPr>
      <w:r>
        <w:rPr>
          <w:sz w:val="20"/>
        </w:rPr>
        <w:t>“</w:t>
      </w:r>
    </w:p>
    <w:p>
      <w:pPr>
        <w:pStyle w:val="nzHeading5"/>
        <w:rPr>
          <w:snapToGrid w:val="0"/>
        </w:rPr>
      </w:pPr>
      <w:bookmarkStart w:id="2087" w:name="_Toc423332724"/>
      <w:bookmarkStart w:id="2088" w:name="_Toc425219443"/>
      <w:bookmarkStart w:id="2089" w:name="_Toc426249310"/>
      <w:bookmarkStart w:id="2090" w:name="_Toc449924706"/>
      <w:bookmarkStart w:id="2091" w:name="_Toc449947724"/>
      <w:bookmarkStart w:id="2092" w:name="_Toc454185715"/>
      <w:bookmarkStart w:id="2093" w:name="_Toc515958688"/>
      <w:bookmarkStart w:id="2094" w:name="_Toc158541595"/>
      <w:bookmarkStart w:id="2095" w:name="_Toc161201412"/>
      <w:r>
        <w:rPr>
          <w:rStyle w:val="CharSectno"/>
        </w:rPr>
        <w:t>3</w:t>
      </w:r>
      <w:r>
        <w:rPr>
          <w:snapToGrid w:val="0"/>
        </w:rPr>
        <w:t>.</w:t>
      </w:r>
      <w:r>
        <w:rPr>
          <w:snapToGrid w:val="0"/>
        </w:rPr>
        <w:tab/>
        <w:t>The regulations amended</w:t>
      </w:r>
      <w:bookmarkEnd w:id="2087"/>
      <w:bookmarkEnd w:id="2088"/>
      <w:bookmarkEnd w:id="2089"/>
      <w:bookmarkEnd w:id="2090"/>
      <w:bookmarkEnd w:id="2091"/>
      <w:bookmarkEnd w:id="2092"/>
      <w:bookmarkEnd w:id="2093"/>
      <w:bookmarkEnd w:id="2094"/>
      <w:bookmarkEnd w:id="2095"/>
    </w:p>
    <w:p>
      <w:pPr>
        <w:pStyle w:val="nzSubsection"/>
      </w:pPr>
      <w:r>
        <w:tab/>
      </w:r>
      <w:r>
        <w:tab/>
        <w:t xml:space="preserve">The amendments in </w:t>
      </w:r>
      <w:r>
        <w:rPr>
          <w:spacing w:val="-2"/>
        </w:rPr>
        <w:t>these</w:t>
      </w:r>
      <w:r>
        <w:t xml:space="preserve"> regulations are to the </w:t>
      </w:r>
      <w:r>
        <w:rPr>
          <w:i/>
        </w:rPr>
        <w:t>Mining Regulations 1981</w:t>
      </w:r>
      <w:r>
        <w:t>.</w:t>
      </w:r>
    </w:p>
    <w:p>
      <w:pPr>
        <w:pStyle w:val="nzHeading5"/>
      </w:pPr>
      <w:bookmarkStart w:id="2096" w:name="_Toc158541596"/>
      <w:bookmarkStart w:id="2097" w:name="_Toc161201413"/>
      <w:r>
        <w:rPr>
          <w:rStyle w:val="CharSectno"/>
        </w:rPr>
        <w:t>4</w:t>
      </w:r>
      <w:r>
        <w:t>.</w:t>
      </w:r>
      <w:r>
        <w:tab/>
        <w:t>Regulation 2 amended</w:t>
      </w:r>
      <w:bookmarkEnd w:id="2096"/>
      <w:bookmarkEnd w:id="2097"/>
    </w:p>
    <w:p>
      <w:pPr>
        <w:pStyle w:val="nzSubsection"/>
      </w:pPr>
      <w:r>
        <w:tab/>
      </w:r>
      <w:r>
        <w:tab/>
        <w:t>Regulation 2 is amended by inserting in the appropriate alphabetical position —</w:t>
      </w:r>
    </w:p>
    <w:p>
      <w:pPr>
        <w:pStyle w:val="MiscOpen"/>
        <w:ind w:left="880"/>
      </w:pPr>
      <w:r>
        <w:t xml:space="preserve">“    </w:t>
      </w:r>
    </w:p>
    <w:p>
      <w:pPr>
        <w:pStyle w:val="nzDefstart"/>
      </w:pPr>
      <w:r>
        <w:rPr>
          <w:b/>
        </w:rPr>
        <w:tab/>
        <w:t>“</w:t>
      </w:r>
      <w:r>
        <w:rPr>
          <w:rStyle w:val="CharDefText"/>
        </w:rPr>
        <w:t>lawyer</w:t>
      </w:r>
      <w:r>
        <w:rPr>
          <w:b/>
        </w:rPr>
        <w:t>”</w:t>
      </w:r>
      <w:r>
        <w:t xml:space="preserve">  means a certificated practitioner within the meaning of the </w:t>
      </w:r>
      <w:r>
        <w:rPr>
          <w:i/>
          <w:iCs/>
        </w:rPr>
        <w:t>Legal Practice Act 2003</w:t>
      </w:r>
      <w:r>
        <w:t>;</w:t>
      </w:r>
    </w:p>
    <w:p>
      <w:pPr>
        <w:pStyle w:val="MiscClose"/>
        <w:ind w:right="618"/>
      </w:pPr>
      <w:r>
        <w:t xml:space="preserve">    ”.</w:t>
      </w:r>
    </w:p>
    <w:p>
      <w:pPr>
        <w:pStyle w:val="nzHeading5"/>
      </w:pPr>
      <w:bookmarkStart w:id="2098" w:name="_Toc158541597"/>
      <w:bookmarkStart w:id="2099" w:name="_Toc161201414"/>
      <w:r>
        <w:rPr>
          <w:rStyle w:val="CharSectno"/>
        </w:rPr>
        <w:t>5</w:t>
      </w:r>
      <w:r>
        <w:t>.</w:t>
      </w:r>
      <w:r>
        <w:tab/>
        <w:t>Regulation 5 amended</w:t>
      </w:r>
      <w:bookmarkEnd w:id="2098"/>
      <w:bookmarkEnd w:id="2099"/>
    </w:p>
    <w:p>
      <w:pPr>
        <w:pStyle w:val="nzSubsection"/>
      </w:pPr>
      <w:r>
        <w:tab/>
        <w:t>(1)</w:t>
      </w:r>
      <w:r>
        <w:tab/>
        <w:t>Regulation 5 is amended as follows:</w:t>
      </w:r>
    </w:p>
    <w:p>
      <w:pPr>
        <w:pStyle w:val="nzIndenta"/>
      </w:pPr>
      <w:r>
        <w:tab/>
        <w:t>(a)</w:t>
      </w:r>
      <w:r>
        <w:tab/>
        <w:t>by inserting before “Application” the subregulation designation “(1)”;</w:t>
      </w:r>
    </w:p>
    <w:p>
      <w:pPr>
        <w:pStyle w:val="nzIndenta"/>
      </w:pPr>
      <w:r>
        <w:tab/>
        <w:t>(b)</w:t>
      </w:r>
      <w:r>
        <w:tab/>
        <w:t>by deleting “Application” and inserting instead —</w:t>
      </w:r>
    </w:p>
    <w:p>
      <w:pPr>
        <w:pStyle w:val="nzIndenta"/>
      </w:pPr>
      <w:r>
        <w:tab/>
      </w:r>
      <w:r>
        <w:tab/>
        <w:t>“    Applications    ”.</w:t>
      </w:r>
    </w:p>
    <w:p>
      <w:pPr>
        <w:pStyle w:val="nzSubsection"/>
      </w:pPr>
      <w:r>
        <w:tab/>
        <w:t>(2)</w:t>
      </w:r>
      <w:r>
        <w:tab/>
        <w:t>At the end of regulation 5 the following subregulations are inserted —</w:t>
      </w:r>
    </w:p>
    <w:p>
      <w:pPr>
        <w:pStyle w:val="MiscOpen"/>
        <w:ind w:left="595"/>
      </w:pPr>
      <w:r>
        <w:t xml:space="preserve">“    </w:t>
      </w:r>
    </w:p>
    <w:p>
      <w:pPr>
        <w:pStyle w:val="nzSubsection"/>
      </w:pPr>
      <w:r>
        <w:tab/>
        <w:t>(2)</w:t>
      </w:r>
      <w:r>
        <w:tab/>
        <w:t>For the purposes of section 30(6) the prescribed period is 30 days.</w:t>
      </w:r>
    </w:p>
    <w:p>
      <w:pPr>
        <w:pStyle w:val="nzSubsection"/>
      </w:pPr>
      <w:r>
        <w:tab/>
        <w:t>(3)</w:t>
      </w:r>
      <w:r>
        <w:tab/>
        <w:t>For the purposes of section 30(8) the prescribed offices or positions are —</w:t>
      </w:r>
    </w:p>
    <w:p>
      <w:pPr>
        <w:pStyle w:val="nzIndenta"/>
      </w:pPr>
      <w:r>
        <w:tab/>
        <w:t>(a)</w:t>
      </w:r>
      <w:r>
        <w:tab/>
        <w:t>Director Mineral and Title Services Division;</w:t>
      </w:r>
    </w:p>
    <w:p>
      <w:pPr>
        <w:pStyle w:val="nzIndenta"/>
      </w:pPr>
      <w:r>
        <w:tab/>
        <w:t>(b)</w:t>
      </w:r>
      <w:r>
        <w:tab/>
        <w:t>General Manager Tenure and Native Title Branch of the Mineral and Title Services Division.</w:t>
      </w:r>
    </w:p>
    <w:p>
      <w:pPr>
        <w:pStyle w:val="MiscClose"/>
        <w:ind w:right="618"/>
      </w:pPr>
      <w:r>
        <w:t xml:space="preserve">    ”.</w:t>
      </w:r>
    </w:p>
    <w:p>
      <w:pPr>
        <w:pStyle w:val="nzHeading5"/>
      </w:pPr>
      <w:bookmarkStart w:id="2100" w:name="_Toc158541598"/>
      <w:bookmarkStart w:id="2101" w:name="_Toc161201415"/>
      <w:r>
        <w:rPr>
          <w:rStyle w:val="CharSectno"/>
        </w:rPr>
        <w:t>6</w:t>
      </w:r>
      <w:r>
        <w:t>.</w:t>
      </w:r>
      <w:r>
        <w:tab/>
        <w:t>Regulation 10A amended</w:t>
      </w:r>
      <w:bookmarkEnd w:id="2100"/>
      <w:bookmarkEnd w:id="2101"/>
    </w:p>
    <w:p>
      <w:pPr>
        <w:pStyle w:val="nzSubsection"/>
      </w:pPr>
      <w:r>
        <w:tab/>
      </w:r>
      <w:r>
        <w:tab/>
        <w:t xml:space="preserve">Regulation 10A(2) and (3) are each amended by deleting “warden” and inserting instead — </w:t>
      </w:r>
    </w:p>
    <w:p>
      <w:pPr>
        <w:pStyle w:val="nzSubsection"/>
      </w:pPr>
      <w:r>
        <w:tab/>
      </w:r>
      <w:r>
        <w:tab/>
        <w:t>“    warden’s court    ”.</w:t>
      </w:r>
    </w:p>
    <w:p>
      <w:pPr>
        <w:pStyle w:val="nzHeading5"/>
      </w:pPr>
      <w:bookmarkStart w:id="2102" w:name="_Toc158541599"/>
      <w:bookmarkStart w:id="2103" w:name="_Toc161201416"/>
      <w:r>
        <w:rPr>
          <w:rStyle w:val="CharSectno"/>
        </w:rPr>
        <w:t>7</w:t>
      </w:r>
      <w:r>
        <w:t>.</w:t>
      </w:r>
      <w:r>
        <w:tab/>
        <w:t>Regulations 48 repealed</w:t>
      </w:r>
      <w:bookmarkEnd w:id="2102"/>
      <w:bookmarkEnd w:id="2103"/>
    </w:p>
    <w:p>
      <w:pPr>
        <w:pStyle w:val="nzSubsection"/>
      </w:pPr>
      <w:r>
        <w:tab/>
      </w:r>
      <w:r>
        <w:tab/>
        <w:t>Regulation 48 is repealed.</w:t>
      </w:r>
    </w:p>
    <w:p>
      <w:pPr>
        <w:pStyle w:val="nzHeading5"/>
      </w:pPr>
      <w:bookmarkStart w:id="2104" w:name="_Toc158541600"/>
      <w:bookmarkStart w:id="2105" w:name="_Toc161201417"/>
      <w:r>
        <w:rPr>
          <w:rStyle w:val="CharSectno"/>
        </w:rPr>
        <w:t>8</w:t>
      </w:r>
      <w:r>
        <w:t>.</w:t>
      </w:r>
      <w:r>
        <w:tab/>
        <w:t>Regulation 49 amended</w:t>
      </w:r>
      <w:bookmarkEnd w:id="2104"/>
      <w:bookmarkEnd w:id="2105"/>
    </w:p>
    <w:p>
      <w:pPr>
        <w:pStyle w:val="nzSubsection"/>
      </w:pPr>
      <w:r>
        <w:tab/>
        <w:t>(1)</w:t>
      </w:r>
      <w:r>
        <w:tab/>
        <w:t>Regulation 49(2) is amended as follows:</w:t>
      </w:r>
    </w:p>
    <w:p>
      <w:pPr>
        <w:pStyle w:val="nzIndenta"/>
      </w:pPr>
      <w:r>
        <w:tab/>
        <w:t>(a)</w:t>
      </w:r>
      <w:r>
        <w:tab/>
        <w:t xml:space="preserve">at the end of paragraph (a) by inserting — </w:t>
      </w:r>
    </w:p>
    <w:p>
      <w:pPr>
        <w:pStyle w:val="nzIndenta"/>
      </w:pPr>
      <w:r>
        <w:tab/>
      </w:r>
      <w:r>
        <w:tab/>
        <w:t>“    and    ”;</w:t>
      </w:r>
    </w:p>
    <w:p>
      <w:pPr>
        <w:pStyle w:val="nzIndenta"/>
      </w:pPr>
      <w:r>
        <w:tab/>
        <w:t>(b)</w:t>
      </w:r>
      <w:r>
        <w:tab/>
        <w:t xml:space="preserve">after paragraph (a) by inserting — </w:t>
      </w:r>
    </w:p>
    <w:p>
      <w:pPr>
        <w:pStyle w:val="MiscOpen"/>
        <w:ind w:left="1340"/>
      </w:pPr>
      <w:r>
        <w:t xml:space="preserve">“    </w:t>
      </w:r>
    </w:p>
    <w:p>
      <w:pPr>
        <w:pStyle w:val="nzIndenta"/>
      </w:pPr>
      <w:r>
        <w:tab/>
        <w:t>(aa)</w:t>
      </w:r>
      <w:r>
        <w:tab/>
        <w:t>where the mining tenement is encumbered by a mortgage, a copy of the notification to be forwarded to the mortgagee by post; and</w:t>
      </w:r>
    </w:p>
    <w:p>
      <w:pPr>
        <w:pStyle w:val="MiscClose"/>
        <w:ind w:right="618"/>
      </w:pPr>
      <w:r>
        <w:t xml:space="preserve">    ”.</w:t>
      </w:r>
    </w:p>
    <w:p>
      <w:pPr>
        <w:pStyle w:val="nzSubsection"/>
      </w:pPr>
      <w:r>
        <w:tab/>
        <w:t>(2)</w:t>
      </w:r>
      <w:r>
        <w:tab/>
        <w:t xml:space="preserve">Regulation 49(3) is repealed and the following subregulations are inserted instead — </w:t>
      </w:r>
    </w:p>
    <w:p>
      <w:pPr>
        <w:pStyle w:val="MiscOpen"/>
        <w:ind w:left="600"/>
      </w:pPr>
      <w:r>
        <w:t xml:space="preserve">“    </w:t>
      </w:r>
    </w:p>
    <w:p>
      <w:pPr>
        <w:pStyle w:val="nzSubsection"/>
      </w:pPr>
      <w:r>
        <w:tab/>
        <w:t>(3)</w:t>
      </w:r>
      <w:r>
        <w:tab/>
        <w:t>The holder of the mining tenement may lodge a written submission relating to the application at the office of the mining registrar at any time before the fixed date.</w:t>
      </w:r>
    </w:p>
    <w:p>
      <w:pPr>
        <w:pStyle w:val="nzSubsection"/>
      </w:pPr>
      <w:r>
        <w:tab/>
        <w:t>(4)</w:t>
      </w:r>
      <w:r>
        <w:tab/>
        <w:t>If a submission is lodged under subregulation (3) the warden shall consider it at the hearing of the application.</w:t>
      </w:r>
    </w:p>
    <w:p>
      <w:pPr>
        <w:pStyle w:val="MiscClose"/>
        <w:ind w:right="618"/>
      </w:pPr>
      <w:r>
        <w:t xml:space="preserve">    ”.</w:t>
      </w:r>
    </w:p>
    <w:p>
      <w:pPr>
        <w:pStyle w:val="nzHeading5"/>
      </w:pPr>
      <w:bookmarkStart w:id="2106" w:name="_Toc158541601"/>
      <w:bookmarkStart w:id="2107" w:name="_Toc161201418"/>
      <w:r>
        <w:rPr>
          <w:rStyle w:val="CharSectno"/>
        </w:rPr>
        <w:t>9</w:t>
      </w:r>
      <w:r>
        <w:t>.</w:t>
      </w:r>
      <w:r>
        <w:tab/>
        <w:t>Regulation 50 amended</w:t>
      </w:r>
      <w:bookmarkEnd w:id="2106"/>
      <w:bookmarkEnd w:id="2107"/>
    </w:p>
    <w:p>
      <w:pPr>
        <w:pStyle w:val="nzSubsection"/>
      </w:pPr>
      <w:r>
        <w:tab/>
      </w:r>
      <w:r>
        <w:tab/>
        <w:t>Regulation 50 is amended by deleting the full stop at the end of paragraph (b) and inserting instead —</w:t>
      </w:r>
    </w:p>
    <w:p>
      <w:pPr>
        <w:pStyle w:val="MiscOpen"/>
        <w:ind w:left="1340"/>
      </w:pPr>
      <w:r>
        <w:t xml:space="preserve">“    </w:t>
      </w:r>
    </w:p>
    <w:p>
      <w:pPr>
        <w:pStyle w:val="nzIndenta"/>
      </w:pPr>
      <w:r>
        <w:tab/>
      </w:r>
      <w:r>
        <w:tab/>
        <w:t>; and</w:t>
      </w:r>
    </w:p>
    <w:p>
      <w:pPr>
        <w:pStyle w:val="nzIndenta"/>
      </w:pPr>
      <w:r>
        <w:tab/>
        <w:t>(c)</w:t>
      </w:r>
      <w:r>
        <w:tab/>
        <w:t>where the mining tenement is encumbered by a mortgage, a copy of the notification to be forwarded to the mortgagee by post.</w:t>
      </w:r>
    </w:p>
    <w:p>
      <w:pPr>
        <w:pStyle w:val="MiscClose"/>
        <w:ind w:right="618"/>
      </w:pPr>
      <w:r>
        <w:t xml:space="preserve">    ”.</w:t>
      </w:r>
    </w:p>
    <w:p>
      <w:pPr>
        <w:pStyle w:val="nzHeading5"/>
      </w:pPr>
      <w:bookmarkStart w:id="2108" w:name="_Toc158541602"/>
      <w:bookmarkStart w:id="2109" w:name="_Toc161201419"/>
      <w:r>
        <w:rPr>
          <w:rStyle w:val="CharSectno"/>
        </w:rPr>
        <w:t>10</w:t>
      </w:r>
      <w:r>
        <w:t>.</w:t>
      </w:r>
      <w:r>
        <w:tab/>
        <w:t>Regulation 51B repealed</w:t>
      </w:r>
      <w:bookmarkEnd w:id="2108"/>
      <w:bookmarkEnd w:id="2109"/>
    </w:p>
    <w:p>
      <w:pPr>
        <w:pStyle w:val="nzSubsection"/>
      </w:pPr>
      <w:r>
        <w:tab/>
      </w:r>
      <w:r>
        <w:tab/>
        <w:t>Regulation 51B is repealed.</w:t>
      </w:r>
    </w:p>
    <w:p>
      <w:pPr>
        <w:pStyle w:val="nzHeading5"/>
      </w:pPr>
      <w:bookmarkStart w:id="2110" w:name="_Toc158541603"/>
      <w:bookmarkStart w:id="2111" w:name="_Toc161201420"/>
      <w:r>
        <w:rPr>
          <w:rStyle w:val="CharSectno"/>
        </w:rPr>
        <w:t>11</w:t>
      </w:r>
      <w:r>
        <w:t>.</w:t>
      </w:r>
      <w:r>
        <w:tab/>
        <w:t>Regulation 52 amended</w:t>
      </w:r>
      <w:bookmarkEnd w:id="2110"/>
      <w:bookmarkEnd w:id="2111"/>
    </w:p>
    <w:p>
      <w:pPr>
        <w:pStyle w:val="nzSubsection"/>
      </w:pPr>
      <w:r>
        <w:tab/>
      </w:r>
      <w:r>
        <w:tab/>
        <w:t>Regulation 52 is amended as follows:</w:t>
      </w:r>
    </w:p>
    <w:p>
      <w:pPr>
        <w:pStyle w:val="nzIndenta"/>
      </w:pPr>
      <w:r>
        <w:tab/>
        <w:t>(a)</w:t>
      </w:r>
      <w:r>
        <w:tab/>
        <w:t>by deleting “a plaint for forfeiture of a mining tenement” and inserting instead —</w:t>
      </w:r>
    </w:p>
    <w:p>
      <w:pPr>
        <w:pStyle w:val="nzIndenta"/>
      </w:pPr>
      <w:r>
        <w:tab/>
      </w:r>
      <w:r>
        <w:tab/>
        <w:t>“    an application under section 96(1) or 98(1)    ”;</w:t>
      </w:r>
    </w:p>
    <w:p>
      <w:pPr>
        <w:pStyle w:val="nzIndenta"/>
      </w:pPr>
      <w:r>
        <w:tab/>
        <w:t>(b)</w:t>
      </w:r>
      <w:r>
        <w:tab/>
        <w:t>by deleting “the plaint.” and inserting instead —</w:t>
      </w:r>
    </w:p>
    <w:p>
      <w:pPr>
        <w:pStyle w:val="nzIndenta"/>
      </w:pPr>
      <w:r>
        <w:tab/>
      </w:r>
      <w:r>
        <w:tab/>
        <w:t>“    the application.    ”.</w:t>
      </w:r>
    </w:p>
    <w:p>
      <w:pPr>
        <w:pStyle w:val="nzHeading5"/>
      </w:pPr>
      <w:bookmarkStart w:id="2112" w:name="_Toc158541604"/>
      <w:bookmarkStart w:id="2113" w:name="_Toc161201421"/>
      <w:r>
        <w:rPr>
          <w:rStyle w:val="CharSectno"/>
        </w:rPr>
        <w:t>12</w:t>
      </w:r>
      <w:r>
        <w:t>.</w:t>
      </w:r>
      <w:r>
        <w:tab/>
        <w:t>Regulation 53 replaced</w:t>
      </w:r>
      <w:bookmarkEnd w:id="2112"/>
      <w:bookmarkEnd w:id="2113"/>
    </w:p>
    <w:p>
      <w:pPr>
        <w:pStyle w:val="nzSubsection"/>
      </w:pPr>
      <w:r>
        <w:tab/>
      </w:r>
      <w:r>
        <w:tab/>
        <w:t xml:space="preserve">Regulation 53 is repealed and the following regulation is inserted instead — </w:t>
      </w:r>
    </w:p>
    <w:p>
      <w:pPr>
        <w:pStyle w:val="MiscOpen"/>
      </w:pPr>
      <w:r>
        <w:t xml:space="preserve">“    </w:t>
      </w:r>
    </w:p>
    <w:p>
      <w:pPr>
        <w:pStyle w:val="nzHeading5"/>
      </w:pPr>
      <w:bookmarkStart w:id="2114" w:name="_Toc158541605"/>
      <w:bookmarkStart w:id="2115" w:name="_Toc161201422"/>
      <w:r>
        <w:t>53.</w:t>
      </w:r>
      <w:r>
        <w:tab/>
        <w:t>Reduced expenditure where forfeiture cancelled</w:t>
      </w:r>
      <w:bookmarkEnd w:id="2114"/>
      <w:bookmarkEnd w:id="2115"/>
    </w:p>
    <w:p>
      <w:pPr>
        <w:pStyle w:val="nzSubsection"/>
      </w:pPr>
      <w:r>
        <w:tab/>
      </w:r>
      <w:r>
        <w:tab/>
        <w:t xml:space="preserve">Notwithstanding regulations 15(1), 21(1) and 31(1), where — </w:t>
      </w:r>
    </w:p>
    <w:p>
      <w:pPr>
        <w:pStyle w:val="nzIndenta"/>
      </w:pPr>
      <w:r>
        <w:tab/>
        <w:t>(a)</w:t>
      </w:r>
      <w:r>
        <w:tab/>
        <w:t>a mining tenement is forfeited under or by virtue of section 96, 96A or 97 of the Act; and</w:t>
      </w:r>
    </w:p>
    <w:p>
      <w:pPr>
        <w:pStyle w:val="nzIndenta"/>
      </w:pPr>
      <w:r>
        <w:tab/>
        <w:t>(b)</w:t>
      </w:r>
      <w:r>
        <w:tab/>
        <w:t>the forfeiture is then cancelled under section 97A(8),</w:t>
      </w:r>
    </w:p>
    <w:p>
      <w:pPr>
        <w:pStyle w:val="nzSubsection"/>
      </w:pPr>
      <w:r>
        <w:tab/>
      </w:r>
      <w:r>
        <w:tab/>
        <w:t>a pro rata reduction in the annual amount to be expended in respect of the mining tenement applies for each whole month from the date of forfeiture to the date of cancellation of the forfeiture.</w:t>
      </w:r>
    </w:p>
    <w:p>
      <w:pPr>
        <w:pStyle w:val="MiscClose"/>
        <w:ind w:right="618"/>
      </w:pPr>
      <w:r>
        <w:t xml:space="preserve">    ”.</w:t>
      </w:r>
    </w:p>
    <w:p>
      <w:pPr>
        <w:pStyle w:val="nzHeading5"/>
      </w:pPr>
      <w:bookmarkStart w:id="2116" w:name="_Toc158541606"/>
      <w:bookmarkStart w:id="2117" w:name="_Toc161201423"/>
      <w:r>
        <w:rPr>
          <w:rStyle w:val="CharSectno"/>
        </w:rPr>
        <w:t>13</w:t>
      </w:r>
      <w:r>
        <w:t>.</w:t>
      </w:r>
      <w:r>
        <w:tab/>
        <w:t>Regulations 55 and 56 repealed</w:t>
      </w:r>
      <w:bookmarkEnd w:id="2116"/>
      <w:bookmarkEnd w:id="2117"/>
    </w:p>
    <w:p>
      <w:pPr>
        <w:pStyle w:val="nzSubsection"/>
      </w:pPr>
      <w:r>
        <w:tab/>
      </w:r>
      <w:r>
        <w:tab/>
        <w:t>Regulations 55 and 56 are repealed.</w:t>
      </w:r>
    </w:p>
    <w:p>
      <w:pPr>
        <w:pStyle w:val="nzHeading5"/>
      </w:pPr>
      <w:bookmarkStart w:id="2118" w:name="_Toc158541607"/>
      <w:bookmarkStart w:id="2119" w:name="_Toc161201424"/>
      <w:r>
        <w:rPr>
          <w:rStyle w:val="CharSectno"/>
        </w:rPr>
        <w:t>14</w:t>
      </w:r>
      <w:r>
        <w:t>.</w:t>
      </w:r>
      <w:r>
        <w:tab/>
        <w:t>Regulation 67 repealed</w:t>
      </w:r>
      <w:bookmarkEnd w:id="2118"/>
      <w:bookmarkEnd w:id="2119"/>
    </w:p>
    <w:p>
      <w:pPr>
        <w:pStyle w:val="nzSubsection"/>
      </w:pPr>
      <w:r>
        <w:tab/>
      </w:r>
      <w:r>
        <w:tab/>
        <w:t>Regulation 67 is repealed.</w:t>
      </w:r>
    </w:p>
    <w:p>
      <w:pPr>
        <w:pStyle w:val="nzHeading5"/>
      </w:pPr>
      <w:bookmarkStart w:id="2120" w:name="_Toc158541608"/>
      <w:bookmarkStart w:id="2121" w:name="_Toc161201425"/>
      <w:r>
        <w:rPr>
          <w:rStyle w:val="CharSectno"/>
        </w:rPr>
        <w:t>15</w:t>
      </w:r>
      <w:r>
        <w:t>.</w:t>
      </w:r>
      <w:r>
        <w:tab/>
        <w:t>Regulation 109 amended</w:t>
      </w:r>
      <w:bookmarkEnd w:id="2120"/>
      <w:bookmarkEnd w:id="2121"/>
    </w:p>
    <w:p>
      <w:pPr>
        <w:pStyle w:val="nzSubsection"/>
      </w:pPr>
      <w:r>
        <w:tab/>
      </w:r>
      <w:r>
        <w:tab/>
        <w:t>Regulation 109(2) is amended as follows:</w:t>
      </w:r>
    </w:p>
    <w:p>
      <w:pPr>
        <w:pStyle w:val="nzIndenta"/>
      </w:pPr>
      <w:r>
        <w:tab/>
        <w:t>(a)</w:t>
      </w:r>
      <w:r>
        <w:tab/>
        <w:t xml:space="preserve">by deleting “Part II of the Appendix to the </w:t>
      </w:r>
      <w:r>
        <w:rPr>
          <w:i/>
          <w:iCs/>
        </w:rPr>
        <w:t>Local Court Rules 1961</w:t>
      </w:r>
      <w:r>
        <w:t>” and inserting instead —</w:t>
      </w:r>
    </w:p>
    <w:p>
      <w:pPr>
        <w:pStyle w:val="nzIndenta"/>
      </w:pPr>
      <w:r>
        <w:tab/>
      </w:r>
      <w:r>
        <w:tab/>
        <w:t xml:space="preserve">“    the </w:t>
      </w:r>
      <w:r>
        <w:rPr>
          <w:i/>
          <w:iCs/>
        </w:rPr>
        <w:t>Magistrates Court (Fees) Regulations 2005</w:t>
      </w:r>
      <w:r>
        <w:t xml:space="preserve">    ”;</w:t>
      </w:r>
    </w:p>
    <w:p>
      <w:pPr>
        <w:pStyle w:val="nzIndenta"/>
      </w:pPr>
      <w:r>
        <w:tab/>
        <w:t>(b)</w:t>
      </w:r>
      <w:r>
        <w:tab/>
        <w:t xml:space="preserve">by inserting after “the Act” — </w:t>
      </w:r>
    </w:p>
    <w:p>
      <w:pPr>
        <w:pStyle w:val="nzIndenta"/>
      </w:pPr>
      <w:r>
        <w:tab/>
      </w:r>
      <w:r>
        <w:tab/>
        <w:t>“    except Part IV    ”.</w:t>
      </w:r>
    </w:p>
    <w:p>
      <w:pPr>
        <w:pStyle w:val="nzHeading5"/>
      </w:pPr>
      <w:bookmarkStart w:id="2122" w:name="_Toc158541609"/>
      <w:bookmarkStart w:id="2123" w:name="_Toc161201426"/>
      <w:r>
        <w:rPr>
          <w:rStyle w:val="CharSectno"/>
        </w:rPr>
        <w:t>16</w:t>
      </w:r>
      <w:r>
        <w:t>.</w:t>
      </w:r>
      <w:r>
        <w:tab/>
        <w:t>Regulation 111 amended</w:t>
      </w:r>
      <w:bookmarkEnd w:id="2122"/>
      <w:bookmarkEnd w:id="2123"/>
    </w:p>
    <w:p>
      <w:pPr>
        <w:pStyle w:val="nzSubsection"/>
      </w:pPr>
      <w:r>
        <w:tab/>
        <w:t>(1)</w:t>
      </w:r>
      <w:r>
        <w:tab/>
        <w:t>Regulation 111(1) is amended as follows:</w:t>
      </w:r>
    </w:p>
    <w:p>
      <w:pPr>
        <w:pStyle w:val="nzIndenta"/>
      </w:pPr>
      <w:r>
        <w:tab/>
        <w:t>(a)</w:t>
      </w:r>
      <w:r>
        <w:tab/>
        <w:t xml:space="preserve">at the end of paragraph (b) by inserting — </w:t>
      </w:r>
    </w:p>
    <w:p>
      <w:pPr>
        <w:pStyle w:val="nzIndenta"/>
      </w:pPr>
      <w:r>
        <w:tab/>
      </w:r>
      <w:r>
        <w:tab/>
        <w:t>“    or    ”;</w:t>
      </w:r>
    </w:p>
    <w:p>
      <w:pPr>
        <w:pStyle w:val="nzIndenta"/>
      </w:pPr>
      <w:r>
        <w:tab/>
        <w:t>(b)</w:t>
      </w:r>
      <w:r>
        <w:tab/>
        <w:t>by deleting paragraph (c) and inserting instead —</w:t>
      </w:r>
    </w:p>
    <w:p>
      <w:pPr>
        <w:pStyle w:val="MiscOpen"/>
        <w:ind w:left="1340"/>
      </w:pPr>
      <w:r>
        <w:t xml:space="preserve">“    </w:t>
      </w:r>
    </w:p>
    <w:p>
      <w:pPr>
        <w:pStyle w:val="nz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MiscClose"/>
        <w:ind w:right="618"/>
      </w:pPr>
      <w:r>
        <w:t xml:space="preserve">    ”.</w:t>
      </w:r>
    </w:p>
    <w:p>
      <w:pPr>
        <w:pStyle w:val="nzSubsection"/>
      </w:pPr>
      <w:r>
        <w:tab/>
        <w:t>(2)</w:t>
      </w:r>
      <w:r>
        <w:tab/>
        <w:t>Regulation 111(4) is amended by deleting “Local Courts” and inserting instead —</w:t>
      </w:r>
    </w:p>
    <w:p>
      <w:pPr>
        <w:pStyle w:val="nzSubsection"/>
      </w:pPr>
      <w:r>
        <w:tab/>
      </w:r>
      <w:r>
        <w:tab/>
        <w:t>“    the Magistrates Court in its civil jurisdiction    ”.</w:t>
      </w:r>
    </w:p>
    <w:p>
      <w:pPr>
        <w:pStyle w:val="nzHeading5"/>
      </w:pPr>
      <w:bookmarkStart w:id="2124" w:name="_Toc158541610"/>
      <w:bookmarkStart w:id="2125" w:name="_Toc161201427"/>
      <w:r>
        <w:rPr>
          <w:rStyle w:val="CharSectno"/>
        </w:rPr>
        <w:t>17</w:t>
      </w:r>
      <w:r>
        <w:t>.</w:t>
      </w:r>
      <w:r>
        <w:tab/>
        <w:t>Regulation 113A replaced</w:t>
      </w:r>
      <w:bookmarkEnd w:id="2124"/>
      <w:bookmarkEnd w:id="2125"/>
    </w:p>
    <w:p>
      <w:pPr>
        <w:pStyle w:val="nzSubsection"/>
      </w:pPr>
      <w:r>
        <w:tab/>
      </w:r>
      <w:r>
        <w:tab/>
        <w:t>Regulation 113A is repealed and the following regulations are inserted instead —</w:t>
      </w:r>
    </w:p>
    <w:p>
      <w:pPr>
        <w:pStyle w:val="MiscOpen"/>
      </w:pPr>
      <w:r>
        <w:t xml:space="preserve">“    </w:t>
      </w:r>
    </w:p>
    <w:p>
      <w:pPr>
        <w:pStyle w:val="nzHeading5"/>
      </w:pPr>
      <w:bookmarkStart w:id="2126" w:name="_Toc158541611"/>
      <w:bookmarkStart w:id="2127" w:name="_Toc161201428"/>
      <w:r>
        <w:t>113A.</w:t>
      </w:r>
      <w:r>
        <w:tab/>
        <w:t>Prescribed persons before whom affidavit may be sworn (s. 160D)</w:t>
      </w:r>
      <w:bookmarkEnd w:id="2126"/>
      <w:bookmarkEnd w:id="2127"/>
    </w:p>
    <w:p>
      <w:pPr>
        <w:pStyle w:val="nzSubsection"/>
      </w:pPr>
      <w:r>
        <w:tab/>
      </w:r>
      <w:r>
        <w:tab/>
        <w:t xml:space="preserve">For the purposes of section 160D(f), the offices of — </w:t>
      </w:r>
    </w:p>
    <w:p>
      <w:pPr>
        <w:pStyle w:val="nzIndenta"/>
      </w:pPr>
      <w:r>
        <w:tab/>
        <w:t>(a)</w:t>
      </w:r>
      <w:r>
        <w:tab/>
        <w:t>Director; and</w:t>
      </w:r>
    </w:p>
    <w:p>
      <w:pPr>
        <w:pStyle w:val="nzIndenta"/>
      </w:pPr>
      <w:r>
        <w:tab/>
        <w:t>(b)</w:t>
      </w:r>
      <w:r>
        <w:tab/>
        <w:t>General Manager Tenure and Native Title Branch; and</w:t>
      </w:r>
    </w:p>
    <w:p>
      <w:pPr>
        <w:pStyle w:val="nzIndenta"/>
      </w:pPr>
      <w:r>
        <w:tab/>
        <w:t>(c)</w:t>
      </w:r>
      <w:r>
        <w:tab/>
        <w:t>Manager; and</w:t>
      </w:r>
    </w:p>
    <w:p>
      <w:pPr>
        <w:pStyle w:val="nzIndenta"/>
      </w:pPr>
      <w:r>
        <w:tab/>
        <w:t>(d)</w:t>
      </w:r>
      <w:r>
        <w:tab/>
        <w:t>Coordinator,</w:t>
      </w:r>
    </w:p>
    <w:p>
      <w:pPr>
        <w:pStyle w:val="nzSubsection"/>
      </w:pPr>
      <w:r>
        <w:tab/>
      </w:r>
      <w:r>
        <w:tab/>
        <w:t>of the Mineral and Title Services Division of the Department are prescribed as offices and classes of offices, so that the occupants of those offices are persons before whom affidavits to be used in a warden’s court, or to be used before a warden or a mining registrar, may be sworn.</w:t>
      </w:r>
    </w:p>
    <w:p>
      <w:pPr>
        <w:pStyle w:val="nzHeading5"/>
      </w:pPr>
      <w:bookmarkStart w:id="2128" w:name="_Toc158541612"/>
      <w:bookmarkStart w:id="2129" w:name="_Toc161201429"/>
      <w:r>
        <w:t>113B.</w:t>
      </w:r>
      <w:r>
        <w:tab/>
        <w:t>Prescribed official for certified documents (s. 161)</w:t>
      </w:r>
      <w:bookmarkEnd w:id="2128"/>
      <w:bookmarkEnd w:id="2129"/>
    </w:p>
    <w:p>
      <w:pPr>
        <w:pStyle w:val="nzSubsection"/>
      </w:pPr>
      <w:r>
        <w:tab/>
      </w:r>
      <w:r>
        <w:tab/>
        <w:t>For the purposes of section 161(4)(a)(iii) the prescribed officials are —</w:t>
      </w:r>
    </w:p>
    <w:p>
      <w:pPr>
        <w:pStyle w:val="nzIndenta"/>
      </w:pPr>
      <w:r>
        <w:tab/>
        <w:t>(a)</w:t>
      </w:r>
      <w:r>
        <w:tab/>
        <w:t xml:space="preserve">Director Mineral and Title Services Division; </w:t>
      </w:r>
    </w:p>
    <w:p>
      <w:pPr>
        <w:pStyle w:val="nzIndenta"/>
      </w:pPr>
      <w:r>
        <w:tab/>
        <w:t>(b)</w:t>
      </w:r>
      <w:r>
        <w:tab/>
        <w:t>General Manager Tenure and Native Title Branch of the Mineral and Title Services Division.</w:t>
      </w:r>
    </w:p>
    <w:p>
      <w:pPr>
        <w:pStyle w:val="MiscClose"/>
        <w:ind w:right="618"/>
      </w:pPr>
      <w:r>
        <w:t xml:space="preserve">    ”.</w:t>
      </w:r>
    </w:p>
    <w:p>
      <w:pPr>
        <w:pStyle w:val="nzHeading5"/>
      </w:pPr>
      <w:bookmarkStart w:id="2130" w:name="_Toc158541613"/>
      <w:bookmarkStart w:id="2131" w:name="_Toc161201430"/>
      <w:r>
        <w:rPr>
          <w:rStyle w:val="CharSectno"/>
        </w:rPr>
        <w:t>18</w:t>
      </w:r>
      <w:r>
        <w:t>.</w:t>
      </w:r>
      <w:r>
        <w:tab/>
        <w:t>Regulation 118 amended</w:t>
      </w:r>
      <w:bookmarkEnd w:id="2130"/>
      <w:bookmarkEnd w:id="2131"/>
    </w:p>
    <w:p>
      <w:pPr>
        <w:pStyle w:val="nzSubsection"/>
      </w:pPr>
      <w:r>
        <w:tab/>
      </w:r>
      <w:r>
        <w:tab/>
        <w:t>Regulation 118(1) is amended as follows:</w:t>
      </w:r>
    </w:p>
    <w:p>
      <w:pPr>
        <w:pStyle w:val="nzIndenta"/>
      </w:pPr>
      <w:r>
        <w:tab/>
        <w:t>(a)</w:t>
      </w:r>
      <w:r>
        <w:tab/>
        <w:t>by inserting at the end of each of paragraphs (a) and (b) —</w:t>
      </w:r>
    </w:p>
    <w:p>
      <w:pPr>
        <w:pStyle w:val="nzIndenta"/>
      </w:pPr>
      <w:r>
        <w:tab/>
      </w:r>
      <w:r>
        <w:tab/>
        <w:t>“    or    ”;</w:t>
      </w:r>
    </w:p>
    <w:p>
      <w:pPr>
        <w:pStyle w:val="nzIndenta"/>
      </w:pPr>
      <w:r>
        <w:tab/>
        <w:t>(b)</w:t>
      </w:r>
      <w:r>
        <w:tab/>
        <w:t xml:space="preserve">in paragraph (d) by deleting “warden” and inserting instead — </w:t>
      </w:r>
    </w:p>
    <w:p>
      <w:pPr>
        <w:pStyle w:val="nzIndenta"/>
      </w:pPr>
      <w:r>
        <w:tab/>
      </w:r>
      <w:r>
        <w:tab/>
        <w:t>“    warden’s court    ”.</w:t>
      </w:r>
    </w:p>
    <w:p>
      <w:pPr>
        <w:pStyle w:val="nzHeading5"/>
      </w:pPr>
      <w:bookmarkStart w:id="2132" w:name="_Toc158541614"/>
      <w:bookmarkStart w:id="2133" w:name="_Toc161201431"/>
      <w:r>
        <w:rPr>
          <w:rStyle w:val="CharSectno"/>
        </w:rPr>
        <w:t>19</w:t>
      </w:r>
      <w:r>
        <w:t>.</w:t>
      </w:r>
      <w:r>
        <w:tab/>
        <w:t>Regulation 120A amended</w:t>
      </w:r>
      <w:bookmarkEnd w:id="2132"/>
      <w:bookmarkEnd w:id="2133"/>
    </w:p>
    <w:p>
      <w:pPr>
        <w:pStyle w:val="nzSubsection"/>
      </w:pPr>
      <w:r>
        <w:tab/>
      </w:r>
      <w:r>
        <w:tab/>
        <w:t>Regulation 120A(4) is amended as follows:</w:t>
      </w:r>
    </w:p>
    <w:p>
      <w:pPr>
        <w:pStyle w:val="nzIndenta"/>
      </w:pPr>
      <w:r>
        <w:tab/>
        <w:t>(a)</w:t>
      </w:r>
      <w:r>
        <w:tab/>
        <w:t xml:space="preserve">by deleting “Subject to section 135 of the Act, a” and inserting instead — </w:t>
      </w:r>
    </w:p>
    <w:p>
      <w:pPr>
        <w:pStyle w:val="nzIndenta"/>
      </w:pPr>
      <w:r>
        <w:tab/>
      </w:r>
      <w:r>
        <w:tab/>
        <w:t>“    A    ”;</w:t>
      </w:r>
    </w:p>
    <w:p>
      <w:pPr>
        <w:pStyle w:val="nzIndenta"/>
      </w:pPr>
      <w:r>
        <w:tab/>
        <w:t>(b)</w:t>
      </w:r>
      <w:r>
        <w:tab/>
        <w:t xml:space="preserve">by deleting “warden’s court.” and inserting instead — </w:t>
      </w:r>
    </w:p>
    <w:p>
      <w:pPr>
        <w:pStyle w:val="nzIndenta"/>
      </w:pPr>
      <w:r>
        <w:tab/>
      </w:r>
      <w:r>
        <w:tab/>
        <w:t>“    warden.    ”.</w:t>
      </w:r>
    </w:p>
    <w:p>
      <w:pPr>
        <w:pStyle w:val="nzHeading5"/>
      </w:pPr>
      <w:bookmarkStart w:id="2134" w:name="_Toc158541615"/>
      <w:bookmarkStart w:id="2135" w:name="_Toc161201432"/>
      <w:r>
        <w:rPr>
          <w:rStyle w:val="CharSectno"/>
        </w:rPr>
        <w:t>20</w:t>
      </w:r>
      <w:r>
        <w:t>.</w:t>
      </w:r>
      <w:r>
        <w:tab/>
        <w:t>Heading to Part VII replaced</w:t>
      </w:r>
      <w:bookmarkEnd w:id="2134"/>
      <w:bookmarkEnd w:id="2135"/>
    </w:p>
    <w:p>
      <w:pPr>
        <w:pStyle w:val="nzSubsection"/>
      </w:pPr>
      <w:r>
        <w:tab/>
      </w:r>
      <w:r>
        <w:tab/>
        <w:t xml:space="preserve">The heading to Part VII is deleted and the following heading is inserted instead — </w:t>
      </w:r>
    </w:p>
    <w:p>
      <w:pPr>
        <w:pStyle w:val="MiscOpen"/>
      </w:pPr>
      <w:r>
        <w:t xml:space="preserve">“    </w:t>
      </w:r>
    </w:p>
    <w:p>
      <w:pPr>
        <w:pStyle w:val="nzHeading2"/>
      </w:pPr>
      <w:bookmarkStart w:id="2136" w:name="_Toc131562070"/>
      <w:bookmarkStart w:id="2137" w:name="_Toc131562673"/>
      <w:bookmarkStart w:id="2138" w:name="_Toc131562888"/>
      <w:bookmarkStart w:id="2139" w:name="_Toc131564426"/>
      <w:bookmarkStart w:id="2140" w:name="_Toc131565660"/>
      <w:bookmarkStart w:id="2141" w:name="_Toc131844789"/>
      <w:bookmarkStart w:id="2142" w:name="_Toc131845574"/>
      <w:bookmarkStart w:id="2143" w:name="_Toc131846180"/>
      <w:bookmarkStart w:id="2144" w:name="_Toc131921292"/>
      <w:bookmarkStart w:id="2145" w:name="_Toc131921901"/>
      <w:bookmarkStart w:id="2146" w:name="_Toc141847370"/>
      <w:bookmarkStart w:id="2147" w:name="_Toc141853652"/>
      <w:bookmarkStart w:id="2148" w:name="_Toc141856147"/>
      <w:bookmarkStart w:id="2149" w:name="_Toc141862016"/>
      <w:bookmarkStart w:id="2150" w:name="_Toc141863481"/>
      <w:bookmarkStart w:id="2151" w:name="_Toc141866657"/>
      <w:bookmarkStart w:id="2152" w:name="_Toc141866781"/>
      <w:bookmarkStart w:id="2153" w:name="_Toc141868436"/>
      <w:bookmarkStart w:id="2154" w:name="_Toc142719680"/>
      <w:bookmarkStart w:id="2155" w:name="_Toc142720184"/>
      <w:bookmarkStart w:id="2156" w:name="_Toc142733040"/>
      <w:bookmarkStart w:id="2157" w:name="_Toc142794199"/>
      <w:bookmarkStart w:id="2158" w:name="_Toc142804946"/>
      <w:bookmarkStart w:id="2159" w:name="_Toc142819592"/>
      <w:bookmarkStart w:id="2160" w:name="_Toc142819709"/>
      <w:bookmarkStart w:id="2161" w:name="_Toc142886063"/>
      <w:bookmarkStart w:id="2162" w:name="_Toc142887648"/>
      <w:bookmarkStart w:id="2163" w:name="_Toc142887925"/>
      <w:bookmarkStart w:id="2164" w:name="_Toc142888749"/>
      <w:bookmarkStart w:id="2165" w:name="_Toc142889596"/>
      <w:bookmarkStart w:id="2166" w:name="_Toc143510402"/>
      <w:bookmarkStart w:id="2167" w:name="_Toc143580509"/>
      <w:bookmarkStart w:id="2168" w:name="_Toc143580656"/>
      <w:bookmarkStart w:id="2169" w:name="_Toc143580752"/>
      <w:bookmarkStart w:id="2170" w:name="_Toc143916026"/>
      <w:bookmarkStart w:id="2171" w:name="_Toc143917409"/>
      <w:bookmarkStart w:id="2172" w:name="_Toc143918605"/>
      <w:bookmarkStart w:id="2173" w:name="_Toc150595983"/>
      <w:bookmarkStart w:id="2174" w:name="_Toc150656454"/>
      <w:bookmarkStart w:id="2175" w:name="_Toc150656781"/>
      <w:bookmarkStart w:id="2176" w:name="_Toc150659013"/>
      <w:bookmarkStart w:id="2177" w:name="_Toc151544344"/>
      <w:bookmarkStart w:id="2178" w:name="_Toc151776192"/>
      <w:bookmarkStart w:id="2179" w:name="_Toc151776354"/>
      <w:bookmarkStart w:id="2180" w:name="_Toc151776599"/>
      <w:bookmarkStart w:id="2181" w:name="_Toc151778294"/>
      <w:bookmarkStart w:id="2182" w:name="_Toc156978943"/>
      <w:bookmarkStart w:id="2183" w:name="_Toc156983695"/>
      <w:bookmarkStart w:id="2184" w:name="_Toc157221554"/>
      <w:bookmarkStart w:id="2185" w:name="_Toc157221651"/>
      <w:bookmarkStart w:id="2186" w:name="_Toc157222135"/>
      <w:bookmarkStart w:id="2187" w:name="_Toc157314491"/>
      <w:bookmarkStart w:id="2188" w:name="_Toc157334656"/>
      <w:bookmarkStart w:id="2189" w:name="_Toc157334753"/>
      <w:bookmarkStart w:id="2190" w:name="_Toc157478327"/>
      <w:bookmarkStart w:id="2191" w:name="_Toc157481455"/>
      <w:bookmarkStart w:id="2192" w:name="_Toc157481683"/>
      <w:bookmarkStart w:id="2193" w:name="_Toc157486218"/>
      <w:bookmarkStart w:id="2194" w:name="_Toc157486315"/>
      <w:bookmarkStart w:id="2195" w:name="_Toc157490760"/>
      <w:bookmarkStart w:id="2196" w:name="_Toc157491996"/>
      <w:bookmarkStart w:id="2197" w:name="_Toc157496198"/>
      <w:bookmarkStart w:id="2198" w:name="_Toc157496616"/>
      <w:bookmarkStart w:id="2199" w:name="_Toc157500821"/>
      <w:bookmarkStart w:id="2200" w:name="_Toc157507571"/>
      <w:bookmarkStart w:id="2201" w:name="_Toc157833886"/>
      <w:bookmarkStart w:id="2202" w:name="_Toc157834649"/>
      <w:bookmarkStart w:id="2203" w:name="_Toc157835843"/>
      <w:bookmarkStart w:id="2204" w:name="_Toc158020292"/>
      <w:bookmarkStart w:id="2205" w:name="_Toc158024846"/>
      <w:bookmarkStart w:id="2206" w:name="_Toc158024948"/>
      <w:bookmarkStart w:id="2207" w:name="_Toc158085260"/>
      <w:bookmarkStart w:id="2208" w:name="_Toc158541129"/>
      <w:bookmarkStart w:id="2209" w:name="_Toc158541616"/>
      <w:bookmarkStart w:id="2210" w:name="_Toc161201433"/>
      <w:r>
        <w:t>Part VII</w:t>
      </w:r>
      <w:r>
        <w:rPr>
          <w:b w:val="0"/>
        </w:rPr>
        <w:t> </w:t>
      </w:r>
      <w:r>
        <w:t>—</w:t>
      </w:r>
      <w:r>
        <w:rPr>
          <w:b w:val="0"/>
        </w:rPr>
        <w:t> </w:t>
      </w:r>
      <w:r>
        <w:t>Proceedings in warden’s court</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MiscClose"/>
        <w:ind w:right="618"/>
      </w:pPr>
      <w:r>
        <w:t xml:space="preserve">    ”.</w:t>
      </w:r>
    </w:p>
    <w:p>
      <w:pPr>
        <w:pStyle w:val="nzHeading5"/>
      </w:pPr>
      <w:bookmarkStart w:id="2211" w:name="_Toc158541617"/>
      <w:bookmarkStart w:id="2212" w:name="_Toc161201434"/>
      <w:r>
        <w:rPr>
          <w:rStyle w:val="CharSectno"/>
        </w:rPr>
        <w:t>21</w:t>
      </w:r>
      <w:r>
        <w:t>.</w:t>
      </w:r>
      <w:r>
        <w:tab/>
        <w:t>Regulation 122 amended</w:t>
      </w:r>
      <w:bookmarkEnd w:id="2211"/>
      <w:bookmarkEnd w:id="2212"/>
    </w:p>
    <w:p>
      <w:pPr>
        <w:pStyle w:val="nzSubsection"/>
      </w:pPr>
      <w:r>
        <w:tab/>
      </w:r>
      <w:r>
        <w:tab/>
        <w:t>Regulation 122(2) is amended as follows:</w:t>
      </w:r>
    </w:p>
    <w:p>
      <w:pPr>
        <w:pStyle w:val="nzIndenta"/>
      </w:pPr>
      <w:r>
        <w:tab/>
        <w:t>(a)</w:t>
      </w:r>
      <w:r>
        <w:tab/>
        <w:t>by deleting “defendant” and inserting instead —</w:t>
      </w:r>
    </w:p>
    <w:p>
      <w:pPr>
        <w:pStyle w:val="nzIndenta"/>
      </w:pPr>
      <w:r>
        <w:tab/>
      </w:r>
      <w:r>
        <w:tab/>
        <w:t>“    respondent    ”;</w:t>
      </w:r>
    </w:p>
    <w:p>
      <w:pPr>
        <w:pStyle w:val="nzIndenta"/>
      </w:pPr>
      <w:r>
        <w:tab/>
        <w:t>(b)</w:t>
      </w:r>
      <w:r>
        <w:tab/>
        <w:t xml:space="preserve">by deleting “warden” and inserting instead — </w:t>
      </w:r>
    </w:p>
    <w:p>
      <w:pPr>
        <w:pStyle w:val="nzIndenta"/>
      </w:pPr>
      <w:r>
        <w:tab/>
      </w:r>
      <w:r>
        <w:tab/>
        <w:t>“    warden’s court    ”.</w:t>
      </w:r>
    </w:p>
    <w:p>
      <w:pPr>
        <w:pStyle w:val="nzHeading5"/>
      </w:pPr>
      <w:bookmarkStart w:id="2213" w:name="_Toc158541618"/>
      <w:bookmarkStart w:id="2214" w:name="_Toc161201435"/>
      <w:r>
        <w:rPr>
          <w:rStyle w:val="CharSectno"/>
        </w:rPr>
        <w:t>22</w:t>
      </w:r>
      <w:r>
        <w:t>.</w:t>
      </w:r>
      <w:r>
        <w:tab/>
        <w:t>Regulation 123 amended</w:t>
      </w:r>
      <w:bookmarkEnd w:id="2213"/>
      <w:bookmarkEnd w:id="2214"/>
    </w:p>
    <w:p>
      <w:pPr>
        <w:pStyle w:val="nzSubsection"/>
      </w:pPr>
      <w:r>
        <w:tab/>
        <w:t>(1)</w:t>
      </w:r>
      <w:r>
        <w:tab/>
        <w:t>Regulation 123 is amended as follows:</w:t>
      </w:r>
    </w:p>
    <w:p>
      <w:pPr>
        <w:pStyle w:val="nzIndenta"/>
      </w:pPr>
      <w:r>
        <w:tab/>
        <w:t>(a)</w:t>
      </w:r>
      <w:r>
        <w:tab/>
        <w:t>by inserting before “On” the subregulation designation “(1)”;</w:t>
      </w:r>
    </w:p>
    <w:p>
      <w:pPr>
        <w:pStyle w:val="nzIndenta"/>
      </w:pPr>
      <w:r>
        <w:tab/>
        <w:t>(b)</w:t>
      </w:r>
      <w:r>
        <w:tab/>
        <w:t>in paragraph (a) by inserting after “time for” and “hearing date” —</w:t>
      </w:r>
    </w:p>
    <w:p>
      <w:pPr>
        <w:pStyle w:val="nzIndenta"/>
      </w:pPr>
      <w:r>
        <w:tab/>
      </w:r>
      <w:r>
        <w:tab/>
        <w:t>“    a mention    ”;</w:t>
      </w:r>
    </w:p>
    <w:p>
      <w:pPr>
        <w:pStyle w:val="nzIndenta"/>
      </w:pPr>
      <w:r>
        <w:tab/>
        <w:t>(c)</w:t>
      </w:r>
      <w:r>
        <w:tab/>
        <w:t>by inserting at the end of paragraph (a) —</w:t>
      </w:r>
    </w:p>
    <w:p>
      <w:pPr>
        <w:pStyle w:val="nzIndenta"/>
      </w:pPr>
      <w:r>
        <w:tab/>
      </w:r>
      <w:r>
        <w:tab/>
        <w:t>“    and    ”;</w:t>
      </w:r>
    </w:p>
    <w:p>
      <w:pPr>
        <w:pStyle w:val="nzIndenta"/>
      </w:pPr>
      <w:r>
        <w:tab/>
        <w:t>(d)</w:t>
      </w:r>
      <w:r>
        <w:tab/>
        <w:t>in paragraph (b) by inserting after “of the” —</w:t>
      </w:r>
    </w:p>
    <w:p>
      <w:pPr>
        <w:pStyle w:val="nzIndenta"/>
      </w:pPr>
      <w:r>
        <w:tab/>
      </w:r>
      <w:r>
        <w:tab/>
        <w:t>“    mention    ”;</w:t>
      </w:r>
    </w:p>
    <w:p>
      <w:pPr>
        <w:pStyle w:val="nzIndenta"/>
      </w:pPr>
      <w:r>
        <w:tab/>
        <w:t>(e)</w:t>
      </w:r>
      <w:r>
        <w:tab/>
        <w:t>in paragraph (c) by deleting “defendant” and inserting instead —</w:t>
      </w:r>
    </w:p>
    <w:p>
      <w:pPr>
        <w:pStyle w:val="nzIndenta"/>
      </w:pPr>
      <w:r>
        <w:tab/>
      </w:r>
      <w:r>
        <w:tab/>
        <w:t>“    respondent    ”;</w:t>
      </w:r>
    </w:p>
    <w:p>
      <w:pPr>
        <w:pStyle w:val="nzIndenta"/>
      </w:pPr>
      <w:r>
        <w:tab/>
        <w:t>(f)</w:t>
      </w:r>
      <w:r>
        <w:tab/>
        <w:t>by inserting at the end of paragraph (c)(i) —</w:t>
      </w:r>
    </w:p>
    <w:p>
      <w:pPr>
        <w:pStyle w:val="nzIndenta"/>
      </w:pPr>
      <w:r>
        <w:tab/>
      </w:r>
      <w:r>
        <w:tab/>
        <w:t>“    or    ”.</w:t>
      </w:r>
    </w:p>
    <w:p>
      <w:pPr>
        <w:pStyle w:val="nzSubsection"/>
      </w:pPr>
      <w:r>
        <w:tab/>
        <w:t>(2)</w:t>
      </w:r>
      <w:r>
        <w:tab/>
        <w:t>At the end of regulation 123 the following subregulation is inserted —</w:t>
      </w:r>
    </w:p>
    <w:p>
      <w:pPr>
        <w:pStyle w:val="MiscOpen"/>
        <w:ind w:left="595"/>
      </w:pPr>
      <w:r>
        <w:t xml:space="preserve">“    </w:t>
      </w:r>
    </w:p>
    <w:p>
      <w:pPr>
        <w:pStyle w:val="nzSubsection"/>
      </w:pPr>
      <w:r>
        <w:tab/>
        <w:t>(2)</w:t>
      </w:r>
      <w:r>
        <w:tab/>
        <w:t>At a mention hearing the court may —</w:t>
      </w:r>
    </w:p>
    <w:p>
      <w:pPr>
        <w:pStyle w:val="nzIndenta"/>
      </w:pPr>
      <w:r>
        <w:tab/>
        <w:t>(a)</w:t>
      </w:r>
      <w:r>
        <w:tab/>
        <w:t xml:space="preserve">set a date for the hearing of the proceedings; or </w:t>
      </w:r>
    </w:p>
    <w:p>
      <w:pPr>
        <w:pStyle w:val="nzIndenta"/>
      </w:pPr>
      <w:r>
        <w:tab/>
        <w:t>(b)</w:t>
      </w:r>
      <w:r>
        <w:tab/>
        <w:t>adjourn the proceedings to a further mention hearing; or</w:t>
      </w:r>
    </w:p>
    <w:p>
      <w:pPr>
        <w:pStyle w:val="nzIndenta"/>
      </w:pPr>
      <w:r>
        <w:tab/>
        <w:t>(c)</w:t>
      </w:r>
      <w:r>
        <w:tab/>
        <w:t>make any other order,</w:t>
      </w:r>
    </w:p>
    <w:p>
      <w:pPr>
        <w:pStyle w:val="nzSubsection"/>
      </w:pPr>
      <w:r>
        <w:tab/>
      </w:r>
      <w:r>
        <w:tab/>
        <w:t>or may do any combination of those things.</w:t>
      </w:r>
    </w:p>
    <w:p>
      <w:pPr>
        <w:pStyle w:val="MiscClose"/>
        <w:ind w:right="618"/>
      </w:pPr>
      <w:r>
        <w:t xml:space="preserve">    ”.</w:t>
      </w:r>
    </w:p>
    <w:p>
      <w:pPr>
        <w:pStyle w:val="nzHeading5"/>
      </w:pPr>
      <w:bookmarkStart w:id="2215" w:name="_Toc158541619"/>
      <w:bookmarkStart w:id="2216" w:name="_Toc161201436"/>
      <w:r>
        <w:rPr>
          <w:rStyle w:val="CharSectno"/>
        </w:rPr>
        <w:t>23</w:t>
      </w:r>
      <w:r>
        <w:t>.</w:t>
      </w:r>
      <w:r>
        <w:tab/>
        <w:t>Regulation 124 repealed</w:t>
      </w:r>
      <w:bookmarkEnd w:id="2215"/>
      <w:bookmarkEnd w:id="2216"/>
    </w:p>
    <w:p>
      <w:pPr>
        <w:pStyle w:val="nzSubsection"/>
      </w:pPr>
      <w:r>
        <w:tab/>
      </w:r>
      <w:r>
        <w:tab/>
        <w:t>Regulation 124 is repealed.</w:t>
      </w:r>
    </w:p>
    <w:p>
      <w:pPr>
        <w:pStyle w:val="nzHeading5"/>
      </w:pPr>
      <w:bookmarkStart w:id="2217" w:name="_Toc158541620"/>
      <w:bookmarkStart w:id="2218" w:name="_Toc161201437"/>
      <w:r>
        <w:rPr>
          <w:rStyle w:val="CharSectno"/>
        </w:rPr>
        <w:t>24</w:t>
      </w:r>
      <w:r>
        <w:t>.</w:t>
      </w:r>
      <w:r>
        <w:tab/>
        <w:t>Regulation 125 amended</w:t>
      </w:r>
      <w:bookmarkEnd w:id="2217"/>
      <w:bookmarkEnd w:id="2218"/>
    </w:p>
    <w:p>
      <w:pPr>
        <w:pStyle w:val="nzSubsection"/>
      </w:pPr>
      <w:r>
        <w:tab/>
        <w:t>(1)</w:t>
      </w:r>
      <w:r>
        <w:tab/>
        <w:t>Regulation 125 is amended by inserting before subregulation (1) the following subregulation —</w:t>
      </w:r>
    </w:p>
    <w:p>
      <w:pPr>
        <w:pStyle w:val="MiscOpen"/>
        <w:ind w:left="600"/>
      </w:pPr>
      <w:r>
        <w:t xml:space="preserve">“    </w:t>
      </w:r>
    </w:p>
    <w:p>
      <w:pPr>
        <w:pStyle w:val="nzSubsection"/>
      </w:pPr>
      <w:r>
        <w:tab/>
        <w:t>(1a)</w:t>
      </w:r>
      <w:r>
        <w:tab/>
        <w:t>In this regulation —</w:t>
      </w:r>
    </w:p>
    <w:p>
      <w:pPr>
        <w:pStyle w:val="nzDefstart"/>
      </w:pPr>
      <w:r>
        <w:rPr>
          <w:b/>
        </w:rPr>
        <w:tab/>
        <w:t>“</w:t>
      </w:r>
      <w:r>
        <w:rPr>
          <w:rStyle w:val="CharDefText"/>
        </w:rPr>
        <w:t>summons</w:t>
      </w:r>
      <w:r>
        <w:rPr>
          <w:b/>
        </w:rPr>
        <w:t>”</w:t>
      </w:r>
      <w:r>
        <w:t xml:space="preserve"> means a summons under regulation 123 or a witness summons under regulation 127.</w:t>
      </w:r>
    </w:p>
    <w:p>
      <w:pPr>
        <w:pStyle w:val="MiscClose"/>
        <w:ind w:right="618"/>
      </w:pPr>
      <w:r>
        <w:t xml:space="preserve">    ”.</w:t>
      </w:r>
    </w:p>
    <w:p>
      <w:pPr>
        <w:pStyle w:val="nzSubsection"/>
      </w:pPr>
      <w:r>
        <w:tab/>
        <w:t>(2)</w:t>
      </w:r>
      <w:r>
        <w:tab/>
        <w:t>Regulation 125(2) is amended as follows:</w:t>
      </w:r>
    </w:p>
    <w:p>
      <w:pPr>
        <w:pStyle w:val="nzIndenta"/>
      </w:pPr>
      <w:r>
        <w:tab/>
        <w:t>(a)</w:t>
      </w:r>
      <w:r>
        <w:tab/>
        <w:t>by deleting “giving notice to the” and inserting instead —</w:t>
      </w:r>
    </w:p>
    <w:p>
      <w:pPr>
        <w:pStyle w:val="nzIndenta"/>
      </w:pPr>
      <w:r>
        <w:tab/>
      </w:r>
      <w:r>
        <w:tab/>
        <w:t>“    an application by the    ”;</w:t>
      </w:r>
    </w:p>
    <w:p>
      <w:pPr>
        <w:pStyle w:val="nzIndenta"/>
      </w:pPr>
      <w:r>
        <w:tab/>
        <w:t>(b)</w:t>
      </w:r>
      <w:r>
        <w:tab/>
        <w:t>by deleting “extend the” and inserting instead —</w:t>
      </w:r>
    </w:p>
    <w:p>
      <w:pPr>
        <w:pStyle w:val="nzIndenta"/>
      </w:pPr>
      <w:r>
        <w:tab/>
      </w:r>
      <w:r>
        <w:tab/>
        <w:t>“    fix a new    ”.</w:t>
      </w:r>
    </w:p>
    <w:p>
      <w:pPr>
        <w:pStyle w:val="nzHeading5"/>
      </w:pPr>
      <w:bookmarkStart w:id="2219" w:name="_Toc158541621"/>
      <w:bookmarkStart w:id="2220" w:name="_Toc161201438"/>
      <w:r>
        <w:rPr>
          <w:rStyle w:val="CharSectno"/>
        </w:rPr>
        <w:t>25</w:t>
      </w:r>
      <w:r>
        <w:t>.</w:t>
      </w:r>
      <w:r>
        <w:tab/>
        <w:t>Regulation 126 amended</w:t>
      </w:r>
      <w:bookmarkEnd w:id="2219"/>
      <w:bookmarkEnd w:id="2220"/>
    </w:p>
    <w:p>
      <w:pPr>
        <w:pStyle w:val="nzSubsection"/>
      </w:pPr>
      <w:r>
        <w:tab/>
      </w:r>
      <w:r>
        <w:tab/>
        <w:t>Regulation 126 is amended as follows:</w:t>
      </w:r>
    </w:p>
    <w:p>
      <w:pPr>
        <w:pStyle w:val="nzIndenta"/>
      </w:pPr>
      <w:r>
        <w:tab/>
        <w:t>(a)</w:t>
      </w:r>
      <w:r>
        <w:tab/>
        <w:t>by deleting “defendant” and inserting instead —</w:t>
      </w:r>
    </w:p>
    <w:p>
      <w:pPr>
        <w:pStyle w:val="nzIndenta"/>
      </w:pPr>
      <w:r>
        <w:tab/>
      </w:r>
      <w:r>
        <w:tab/>
        <w:t>“    respondent    ”;</w:t>
      </w:r>
    </w:p>
    <w:p>
      <w:pPr>
        <w:pStyle w:val="nzIndenta"/>
      </w:pPr>
      <w:r>
        <w:tab/>
        <w:t>(b)</w:t>
      </w:r>
      <w:r>
        <w:tab/>
        <w:t>by deleting “</w:t>
      </w:r>
      <w:r>
        <w:rPr>
          <w:snapToGrid w:val="0"/>
        </w:rPr>
        <w:t xml:space="preserve">not less than </w:t>
      </w:r>
      <w:r>
        <w:t>21</w:t>
      </w:r>
      <w:r>
        <w:rPr>
          <w:snapToGrid w:val="0"/>
        </w:rPr>
        <w:t> days before the date fixed for the hearing</w:t>
      </w:r>
      <w:r>
        <w:t>” and inserting instead —</w:t>
      </w:r>
    </w:p>
    <w:p>
      <w:pPr>
        <w:pStyle w:val="nzIndenta"/>
      </w:pPr>
      <w:r>
        <w:tab/>
      </w:r>
      <w:r>
        <w:tab/>
        <w:t>“    within 14 days after the service of the summons,    ”;</w:t>
      </w:r>
    </w:p>
    <w:p>
      <w:pPr>
        <w:pStyle w:val="nzIndenta"/>
      </w:pPr>
      <w:r>
        <w:tab/>
        <w:t>(c)</w:t>
      </w:r>
      <w:r>
        <w:tab/>
        <w:t>by inserting before “hearing” —</w:t>
      </w:r>
    </w:p>
    <w:p>
      <w:pPr>
        <w:pStyle w:val="nzIndenta"/>
      </w:pPr>
      <w:r>
        <w:tab/>
      </w:r>
      <w:r>
        <w:tab/>
        <w:t>“    mention    ”;</w:t>
      </w:r>
    </w:p>
    <w:p>
      <w:pPr>
        <w:pStyle w:val="nzIndenta"/>
      </w:pPr>
      <w:r>
        <w:tab/>
        <w:t>(d)</w:t>
      </w:r>
      <w:r>
        <w:tab/>
        <w:t>by inserting a comma after “allow”;</w:t>
      </w:r>
    </w:p>
    <w:p>
      <w:pPr>
        <w:pStyle w:val="nzIndenta"/>
      </w:pPr>
      <w:r>
        <w:tab/>
        <w:t>(e)</w:t>
      </w:r>
      <w:r>
        <w:tab/>
        <w:t>by deleting “notice of defence” and inserting instead —</w:t>
      </w:r>
    </w:p>
    <w:p>
      <w:pPr>
        <w:pStyle w:val="nzIndenta"/>
      </w:pPr>
      <w:r>
        <w:tab/>
      </w:r>
      <w:r>
        <w:tab/>
        <w:t>“    response    ”;</w:t>
      </w:r>
    </w:p>
    <w:p>
      <w:pPr>
        <w:pStyle w:val="nzIndenta"/>
      </w:pPr>
      <w:r>
        <w:tab/>
        <w:t>(f)</w:t>
      </w:r>
      <w:r>
        <w:tab/>
        <w:t>by deleting “copy of the notice” and inserting instead —</w:t>
      </w:r>
    </w:p>
    <w:p>
      <w:pPr>
        <w:pStyle w:val="nzIndenta"/>
      </w:pPr>
      <w:r>
        <w:tab/>
      </w:r>
      <w:r>
        <w:tab/>
        <w:t>“    copy of the response    ”.</w:t>
      </w:r>
    </w:p>
    <w:p>
      <w:pPr>
        <w:pStyle w:val="nzHeading5"/>
      </w:pPr>
      <w:bookmarkStart w:id="2221" w:name="_Toc158541622"/>
      <w:bookmarkStart w:id="2222" w:name="_Toc161201439"/>
      <w:r>
        <w:rPr>
          <w:rStyle w:val="CharSectno"/>
        </w:rPr>
        <w:t>26</w:t>
      </w:r>
      <w:r>
        <w:t>.</w:t>
      </w:r>
      <w:r>
        <w:tab/>
        <w:t>Regulation 127 and 127A replaced by regulations 127 to 127G</w:t>
      </w:r>
      <w:bookmarkEnd w:id="2221"/>
      <w:bookmarkEnd w:id="2222"/>
    </w:p>
    <w:p>
      <w:pPr>
        <w:pStyle w:val="nzSubsection"/>
      </w:pPr>
      <w:r>
        <w:tab/>
      </w:r>
      <w:r>
        <w:tab/>
        <w:t>Regulations 127 and 127A are repealed and the following regulations are inserted instead —</w:t>
      </w:r>
    </w:p>
    <w:p>
      <w:pPr>
        <w:pStyle w:val="MiscOpen"/>
      </w:pPr>
      <w:r>
        <w:t xml:space="preserve">“    </w:t>
      </w:r>
    </w:p>
    <w:p>
      <w:pPr>
        <w:pStyle w:val="nzHeading5"/>
      </w:pPr>
      <w:bookmarkStart w:id="2223" w:name="_Toc158541623"/>
      <w:bookmarkStart w:id="2224" w:name="_Toc161201440"/>
      <w:r>
        <w:t>127.</w:t>
      </w:r>
      <w:r>
        <w:tab/>
        <w:t>Witness summons</w:t>
      </w:r>
      <w:bookmarkEnd w:id="2223"/>
      <w:bookmarkEnd w:id="2224"/>
    </w:p>
    <w:p>
      <w:pPr>
        <w:pStyle w:val="nzSubsection"/>
      </w:pPr>
      <w:r>
        <w:tab/>
        <w:t>(1)</w:t>
      </w:r>
      <w:r>
        <w:tab/>
        <w:t>Each party may procure the attendance of a witness to give evidence or produce documents by means of a witness summons issued by the court in the form No. 37 in the First Schedule and served personally on the witness.</w:t>
      </w:r>
    </w:p>
    <w:p>
      <w:pPr>
        <w:pStyle w:val="nzSubsection"/>
      </w:pPr>
      <w:r>
        <w:tab/>
        <w:t>(2)</w:t>
      </w:r>
      <w:r>
        <w:tab/>
        <w:t xml:space="preserve">For the purposes of subregulation (1), a witness summons is served personally on a witness if — </w:t>
      </w:r>
    </w:p>
    <w:p>
      <w:pPr>
        <w:pStyle w:val="nzIndenta"/>
      </w:pPr>
      <w:r>
        <w:tab/>
        <w:t>(a)</w:t>
      </w:r>
      <w:r>
        <w:tab/>
        <w:t>it is handed to the witness or, if the witness is a person under a legal disability, to the witness’s parent, guardian or litigation guardian; or</w:t>
      </w:r>
    </w:p>
    <w:p>
      <w:pPr>
        <w:pStyle w:val="nz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nzIndenta"/>
      </w:pPr>
      <w:r>
        <w:tab/>
        <w:t>(c)</w:t>
      </w:r>
      <w:r>
        <w:tab/>
        <w:t>it is handed to a person who is authorised in writing to receive documents on behalf of the witness; or</w:t>
      </w:r>
    </w:p>
    <w:p>
      <w:pPr>
        <w:pStyle w:val="nzIndenta"/>
      </w:pPr>
      <w:r>
        <w:tab/>
        <w:t>(d)</w:t>
      </w:r>
      <w:r>
        <w:tab/>
        <w:t>it is handed to someone at the witness’s usual or last known place of residence or business who is believed, on reasonable grounds, to have reached 18 years of age.</w:t>
      </w:r>
    </w:p>
    <w:p>
      <w:pPr>
        <w:pStyle w:val="nzSubsection"/>
      </w:pPr>
      <w:r>
        <w:tab/>
        <w:t>(3)</w:t>
      </w:r>
      <w:r>
        <w:tab/>
        <w:t>A witness who attends in answer to a summons shall be entitled to —</w:t>
      </w:r>
    </w:p>
    <w:p>
      <w:pPr>
        <w:pStyle w:val="nzIndenta"/>
      </w:pPr>
      <w:r>
        <w:tab/>
        <w:t>(a)</w:t>
      </w:r>
      <w:r>
        <w:tab/>
        <w:t>an amount that is likely to be sufficient to meet the reasonable expenses of attending the warden’s court; or</w:t>
      </w:r>
    </w:p>
    <w:p>
      <w:pPr>
        <w:pStyle w:val="nzIndenta"/>
      </w:pPr>
      <w:r>
        <w:tab/>
        <w:t>(b)</w:t>
      </w:r>
      <w:r>
        <w:tab/>
        <w:t>arrangements to enable the witness to attend the warden’s court; or</w:t>
      </w:r>
    </w:p>
    <w:p>
      <w:pPr>
        <w:pStyle w:val="nzIndenta"/>
      </w:pPr>
      <w:r>
        <w:tab/>
        <w:t>(c)</w:t>
      </w:r>
      <w:r>
        <w:tab/>
        <w:t>the means to enable the witness to attend the warden’s court.</w:t>
      </w:r>
    </w:p>
    <w:p>
      <w:pPr>
        <w:pStyle w:val="nzSubsection"/>
      </w:pPr>
      <w:r>
        <w:tab/>
        <w:t>(4)</w:t>
      </w:r>
      <w:r>
        <w:tab/>
        <w:t>A witness is not required to attend unless at the time of the service of the summons subregulation (3) has been complied with.</w:t>
      </w:r>
    </w:p>
    <w:p>
      <w:pPr>
        <w:pStyle w:val="nzHeading5"/>
      </w:pPr>
      <w:bookmarkStart w:id="2225" w:name="_Toc158541624"/>
      <w:bookmarkStart w:id="2226" w:name="_Toc161201441"/>
      <w:r>
        <w:t>127A.</w:t>
      </w:r>
      <w:r>
        <w:tab/>
        <w:t>Meaning of “serve”</w:t>
      </w:r>
      <w:bookmarkEnd w:id="2225"/>
      <w:bookmarkEnd w:id="2226"/>
    </w:p>
    <w:p>
      <w:pPr>
        <w:pStyle w:val="nzSubsection"/>
      </w:pPr>
      <w:r>
        <w:tab/>
        <w:t>(1)</w:t>
      </w:r>
      <w:r>
        <w:tab/>
        <w:t xml:space="preserve">If under this Part a party is required to serve a document — </w:t>
      </w:r>
    </w:p>
    <w:p>
      <w:pPr>
        <w:pStyle w:val="nzIndenta"/>
      </w:pPr>
      <w:r>
        <w:tab/>
        <w:t>(a)</w:t>
      </w:r>
      <w:r>
        <w:tab/>
        <w:t>the party shall serve a copy of the document returned after lodgment bearing the seal of the warden’s court; and</w:t>
      </w:r>
    </w:p>
    <w:p>
      <w:pPr>
        <w:pStyle w:val="nzIndenta"/>
      </w:pPr>
      <w:r>
        <w:tab/>
        <w:t>(b)</w:t>
      </w:r>
      <w:r>
        <w:tab/>
        <w:t>unless these regulations provide otherwise or the warden’s court otherwise directs, the party shall serve it on each other party within 14 days after the document is lodged.</w:t>
      </w:r>
    </w:p>
    <w:p>
      <w:pPr>
        <w:pStyle w:val="nzSubsection"/>
      </w:pPr>
      <w:r>
        <w:tab/>
        <w:t>(2)</w:t>
      </w:r>
      <w:r>
        <w:tab/>
        <w:t>Subregulation (1)(b) does not apply to a witness summons.</w:t>
      </w:r>
    </w:p>
    <w:p>
      <w:pPr>
        <w:pStyle w:val="nzHeading5"/>
      </w:pPr>
      <w:bookmarkStart w:id="2227" w:name="_Toc158541625"/>
      <w:bookmarkStart w:id="2228" w:name="_Toc161201442"/>
      <w:r>
        <w:t>127B.</w:t>
      </w:r>
      <w:r>
        <w:tab/>
        <w:t>Residential, business or postal address for service</w:t>
      </w:r>
      <w:bookmarkEnd w:id="2227"/>
      <w:bookmarkEnd w:id="2228"/>
    </w:p>
    <w:p>
      <w:pPr>
        <w:pStyle w:val="nzSubsection"/>
      </w:pPr>
      <w:r>
        <w:tab/>
      </w:r>
      <w:r>
        <w:tab/>
        <w:t>A document lodged in relation to proceedings in the warden’s court shall contain a residential, business or postal address for service.</w:t>
      </w:r>
    </w:p>
    <w:p>
      <w:pPr>
        <w:pStyle w:val="nzHeading5"/>
      </w:pPr>
      <w:bookmarkStart w:id="2229" w:name="_Toc158541626"/>
      <w:bookmarkStart w:id="2230" w:name="_Toc161201443"/>
      <w:r>
        <w:t>127C.</w:t>
      </w:r>
      <w:r>
        <w:tab/>
        <w:t>Documents served by bailiff</w:t>
      </w:r>
      <w:bookmarkEnd w:id="2229"/>
      <w:bookmarkEnd w:id="2230"/>
    </w:p>
    <w:p>
      <w:pPr>
        <w:pStyle w:val="nzSubsection"/>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nzSubsection"/>
      </w:pPr>
      <w:r>
        <w:tab/>
        <w:t>(2)</w:t>
      </w:r>
      <w:r>
        <w:tab/>
        <w:t>The certificate is admissible as evidence and, in the absence of proof to the contrary, is proof that the document was served by the bailiff.</w:t>
      </w:r>
    </w:p>
    <w:p>
      <w:pPr>
        <w:pStyle w:val="nzHeading5"/>
      </w:pPr>
      <w:bookmarkStart w:id="2231" w:name="_Toc158541627"/>
      <w:bookmarkStart w:id="2232" w:name="_Toc161201444"/>
      <w:r>
        <w:t>127D.</w:t>
      </w:r>
      <w:r>
        <w:tab/>
        <w:t>Documents served by other persons</w:t>
      </w:r>
      <w:bookmarkEnd w:id="2231"/>
      <w:bookmarkEnd w:id="2232"/>
    </w:p>
    <w:p>
      <w:pPr>
        <w:pStyle w:val="nzSubsection"/>
      </w:pPr>
      <w:r>
        <w:tab/>
        <w:t>(1)</w:t>
      </w:r>
      <w:r>
        <w:tab/>
        <w:t>If a document is served by a party to proceedings in the warden’s court, or on behalf of a party by a person other than a bailiff, the party shall lodge at the office of the mining registrar an affidavit of service completed by the person who served the document.</w:t>
      </w:r>
    </w:p>
    <w:p>
      <w:pPr>
        <w:pStyle w:val="nzSubsection"/>
      </w:pPr>
      <w:r>
        <w:tab/>
        <w:t>(2)</w:t>
      </w:r>
      <w:r>
        <w:tab/>
        <w:t xml:space="preserve">The affidavit of service shall be </w:t>
      </w:r>
      <w:r>
        <w:rPr>
          <w:snapToGrid w:val="0"/>
        </w:rPr>
        <w:t>in the form No. 35 in the First Schedule</w:t>
      </w:r>
      <w:r>
        <w:t>.</w:t>
      </w:r>
    </w:p>
    <w:p>
      <w:pPr>
        <w:pStyle w:val="nzHeading5"/>
      </w:pPr>
      <w:bookmarkStart w:id="2233" w:name="_Toc158541628"/>
      <w:bookmarkStart w:id="2234" w:name="_Toc161201445"/>
      <w:r>
        <w:t>127E.</w:t>
      </w:r>
      <w:r>
        <w:tab/>
        <w:t>Substituted service</w:t>
      </w:r>
      <w:bookmarkEnd w:id="2233"/>
      <w:bookmarkEnd w:id="2234"/>
    </w:p>
    <w:p>
      <w:pPr>
        <w:pStyle w:val="nzSubsection"/>
      </w:pPr>
      <w:r>
        <w:tab/>
        <w:t>(1)</w:t>
      </w:r>
      <w:r>
        <w:tab/>
        <w:t>If for any reason it is impractical to serve a document in the manner set out in this Part, the warden’s court may, on an application in the form No.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nzSubsection"/>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nzHeading5"/>
      </w:pPr>
      <w:bookmarkStart w:id="2235" w:name="_Toc158541629"/>
      <w:bookmarkStart w:id="2236" w:name="_Toc161201446"/>
      <w:r>
        <w:t>127F.</w:t>
      </w:r>
      <w:r>
        <w:tab/>
        <w:t>Content of an affidavit</w:t>
      </w:r>
      <w:bookmarkEnd w:id="2235"/>
      <w:bookmarkEnd w:id="2236"/>
    </w:p>
    <w:p>
      <w:pPr>
        <w:pStyle w:val="nzSubsection"/>
      </w:pPr>
      <w:r>
        <w:tab/>
        <w:t>(1)</w:t>
      </w:r>
      <w:r>
        <w:tab/>
        <w:t>Except as provided in subregulation (2), an affidavit lodged in proceedings in the warden’s court shall be confined to facts to which the person making the affidavit is able to depose from his or her own knowledge.</w:t>
      </w:r>
    </w:p>
    <w:p>
      <w:pPr>
        <w:pStyle w:val="nzSubsection"/>
      </w:pPr>
      <w:r>
        <w:tab/>
        <w:t>(2)</w:t>
      </w:r>
      <w:r>
        <w:tab/>
        <w:t xml:space="preserve">An affidavit may contain statements based on information received by the person making the affidavit, and believed by that person to be true, if the affidavit also contains — </w:t>
      </w:r>
    </w:p>
    <w:p>
      <w:pPr>
        <w:pStyle w:val="nzIndenta"/>
      </w:pPr>
      <w:r>
        <w:tab/>
        <w:t>(a)</w:t>
      </w:r>
      <w:r>
        <w:tab/>
        <w:t>the sources of the information; and</w:t>
      </w:r>
    </w:p>
    <w:p>
      <w:pPr>
        <w:pStyle w:val="nzIndenta"/>
      </w:pPr>
      <w:r>
        <w:tab/>
        <w:t>(b)</w:t>
      </w:r>
      <w:r>
        <w:tab/>
        <w:t>the grounds for believing that the information is true.</w:t>
      </w:r>
    </w:p>
    <w:p>
      <w:pPr>
        <w:pStyle w:val="nzSubsection"/>
      </w:pPr>
      <w:r>
        <w:tab/>
        <w:t>(3)</w:t>
      </w:r>
      <w:r>
        <w:tab/>
        <w:t>Any addition, alteration or erasure in an affidavit shall be initialled by the person making the affidavit and the person before whom the affidavit was sworn or affirmed.</w:t>
      </w:r>
    </w:p>
    <w:p>
      <w:pPr>
        <w:pStyle w:val="nzHeading5"/>
      </w:pPr>
      <w:bookmarkStart w:id="2237" w:name="_Toc158541630"/>
      <w:bookmarkStart w:id="2238" w:name="_Toc161201447"/>
      <w:r>
        <w:t>127G.</w:t>
      </w:r>
      <w:r>
        <w:tab/>
        <w:t>Prescribed form of copy of evidence</w:t>
      </w:r>
      <w:bookmarkEnd w:id="2237"/>
      <w:bookmarkEnd w:id="2238"/>
    </w:p>
    <w:p>
      <w:pPr>
        <w:pStyle w:val="nzSubsection"/>
      </w:pPr>
      <w:r>
        <w:tab/>
      </w:r>
      <w:r>
        <w:tab/>
        <w:t>For the purposes of section 137(4), a written transcript is prescribed as the form in which a copy of evidence may be obtained by a person.</w:t>
      </w:r>
    </w:p>
    <w:p>
      <w:pPr>
        <w:pStyle w:val="MiscClose"/>
        <w:ind w:right="618"/>
      </w:pPr>
      <w:r>
        <w:t xml:space="preserve">    ”.</w:t>
      </w:r>
    </w:p>
    <w:p>
      <w:pPr>
        <w:pStyle w:val="nzHeading5"/>
      </w:pPr>
      <w:bookmarkStart w:id="2239" w:name="_Toc158541631"/>
      <w:bookmarkStart w:id="2240" w:name="_Toc161201448"/>
      <w:r>
        <w:rPr>
          <w:rStyle w:val="CharSectno"/>
        </w:rPr>
        <w:t>27</w:t>
      </w:r>
      <w:r>
        <w:t>.</w:t>
      </w:r>
      <w:r>
        <w:tab/>
        <w:t>Regulation 128 amended</w:t>
      </w:r>
      <w:bookmarkEnd w:id="2239"/>
      <w:bookmarkEnd w:id="2240"/>
    </w:p>
    <w:p>
      <w:pPr>
        <w:pStyle w:val="nzSubsection"/>
        <w:rPr>
          <w:snapToGrid w:val="0"/>
        </w:rPr>
      </w:pPr>
      <w:r>
        <w:tab/>
        <w:t>(1)</w:t>
      </w:r>
      <w:r>
        <w:tab/>
        <w:t>Regulation 128(1) is amended by deleting “</w:t>
      </w:r>
      <w:r>
        <w:rPr>
          <w:snapToGrid w:val="0"/>
        </w:rPr>
        <w:t xml:space="preserve">costs allowed under the </w:t>
      </w:r>
      <w:r>
        <w:rPr>
          <w:i/>
          <w:snapToGrid w:val="0"/>
        </w:rPr>
        <w:t>Local Court Rules 1961</w:t>
      </w:r>
      <w:r>
        <w:rPr>
          <w:iCs/>
          <w:snapToGrid w:val="0"/>
        </w:rPr>
        <w:t>.” and inserting instead —</w:t>
      </w:r>
    </w:p>
    <w:p>
      <w:pPr>
        <w:pStyle w:val="MiscOpen"/>
        <w:ind w:left="880"/>
      </w:pPr>
      <w:r>
        <w:t xml:space="preserve">“    </w:t>
      </w:r>
    </w:p>
    <w:p>
      <w:pPr>
        <w:pStyle w:val="nzSubsection"/>
      </w:pPr>
      <w:r>
        <w:tab/>
      </w:r>
      <w:r>
        <w:tab/>
        <w:t xml:space="preserve">legal costs determination in force under the </w:t>
      </w:r>
      <w:r>
        <w:rPr>
          <w:i/>
          <w:iCs/>
        </w:rPr>
        <w:t>Legal Practice Act 2003</w:t>
      </w:r>
      <w:r>
        <w:t xml:space="preserve"> section 210 that applies to the civil jurisdiction of the Magistrates Court.</w:t>
      </w:r>
    </w:p>
    <w:p>
      <w:pPr>
        <w:pStyle w:val="MiscClose"/>
        <w:ind w:right="618"/>
      </w:pPr>
      <w:r>
        <w:t xml:space="preserve">    ”;</w:t>
      </w:r>
    </w:p>
    <w:p>
      <w:pPr>
        <w:pStyle w:val="nzSubsection"/>
      </w:pPr>
      <w:r>
        <w:tab/>
        <w:t>(2)</w:t>
      </w:r>
      <w:r>
        <w:tab/>
        <w:t>Regulation 128(2) is repealed.</w:t>
      </w:r>
    </w:p>
    <w:p>
      <w:pPr>
        <w:pStyle w:val="nzSubsection"/>
      </w:pPr>
      <w:r>
        <w:tab/>
        <w:t>(3)</w:t>
      </w:r>
      <w:r>
        <w:tab/>
        <w:t>Regulation 128(3) is amended as follows:</w:t>
      </w:r>
    </w:p>
    <w:p>
      <w:pPr>
        <w:pStyle w:val="nzIndenta"/>
      </w:pPr>
      <w:r>
        <w:tab/>
        <w:t>(a)</w:t>
      </w:r>
      <w:r>
        <w:tab/>
        <w:t xml:space="preserve">by deleting “allowance under the </w:t>
      </w:r>
      <w:r>
        <w:rPr>
          <w:i/>
          <w:iCs/>
        </w:rPr>
        <w:t>Local Court Rules 1961</w:t>
      </w:r>
      <w:r>
        <w:t xml:space="preserve"> is” and inserting instead —</w:t>
      </w:r>
    </w:p>
    <w:p>
      <w:pPr>
        <w:pStyle w:val="nzIndenta"/>
      </w:pPr>
      <w:r>
        <w:tab/>
      </w:r>
      <w:r>
        <w:tab/>
        <w:t>“    costs to be paid under subregulation (1) are    ”;</w:t>
      </w:r>
    </w:p>
    <w:p>
      <w:pPr>
        <w:pStyle w:val="nzIndenta"/>
      </w:pPr>
      <w:r>
        <w:tab/>
        <w:t>(b)</w:t>
      </w:r>
      <w:r>
        <w:tab/>
        <w:t>by deleting “at the trial”.</w:t>
      </w:r>
    </w:p>
    <w:p>
      <w:pPr>
        <w:pStyle w:val="nzHeading5"/>
      </w:pPr>
      <w:bookmarkStart w:id="2241" w:name="_Toc158541632"/>
      <w:bookmarkStart w:id="2242" w:name="_Toc161201449"/>
      <w:r>
        <w:rPr>
          <w:rStyle w:val="CharSectno"/>
        </w:rPr>
        <w:t>28</w:t>
      </w:r>
      <w:r>
        <w:t>.</w:t>
      </w:r>
      <w:r>
        <w:tab/>
        <w:t>Regulation 129 amended</w:t>
      </w:r>
      <w:bookmarkEnd w:id="2241"/>
      <w:bookmarkEnd w:id="2242"/>
    </w:p>
    <w:p>
      <w:pPr>
        <w:pStyle w:val="nzSubsection"/>
      </w:pPr>
      <w:r>
        <w:tab/>
      </w:r>
      <w:r>
        <w:tab/>
        <w:t xml:space="preserve">Regulation 129 is amended by deleting “filed” and inserting instead — </w:t>
      </w:r>
    </w:p>
    <w:p>
      <w:pPr>
        <w:pStyle w:val="nzSubsection"/>
      </w:pPr>
      <w:r>
        <w:tab/>
      </w:r>
      <w:r>
        <w:tab/>
        <w:t>“    lodged    ”.</w:t>
      </w:r>
    </w:p>
    <w:p>
      <w:pPr>
        <w:pStyle w:val="nzHeading5"/>
      </w:pPr>
      <w:bookmarkStart w:id="2243" w:name="_Toc158541633"/>
      <w:bookmarkStart w:id="2244" w:name="_Toc161201450"/>
      <w:r>
        <w:rPr>
          <w:rStyle w:val="CharSectno"/>
        </w:rPr>
        <w:t>29</w:t>
      </w:r>
      <w:r>
        <w:t>.</w:t>
      </w:r>
      <w:r>
        <w:tab/>
        <w:t>Regulation 130 to 134 repealed</w:t>
      </w:r>
      <w:bookmarkEnd w:id="2243"/>
      <w:bookmarkEnd w:id="2244"/>
    </w:p>
    <w:p>
      <w:pPr>
        <w:pStyle w:val="nzSubsection"/>
      </w:pPr>
      <w:r>
        <w:tab/>
      </w:r>
      <w:r>
        <w:tab/>
        <w:t>Regulation 130 to 134 are repealed.</w:t>
      </w:r>
    </w:p>
    <w:p>
      <w:pPr>
        <w:pStyle w:val="nzHeading5"/>
      </w:pPr>
      <w:bookmarkStart w:id="2245" w:name="_Toc158541634"/>
      <w:bookmarkStart w:id="2246" w:name="_Toc161201451"/>
      <w:r>
        <w:rPr>
          <w:rStyle w:val="CharSectno"/>
        </w:rPr>
        <w:t>30</w:t>
      </w:r>
      <w:r>
        <w:t>.</w:t>
      </w:r>
      <w:r>
        <w:tab/>
        <w:t>Part VIII inserted</w:t>
      </w:r>
      <w:bookmarkEnd w:id="2245"/>
      <w:bookmarkEnd w:id="2246"/>
    </w:p>
    <w:p>
      <w:pPr>
        <w:pStyle w:val="nzSubsection"/>
      </w:pPr>
      <w:r>
        <w:tab/>
      </w:r>
      <w:r>
        <w:tab/>
        <w:t xml:space="preserve">After Part VII the following Part is inserted — </w:t>
      </w:r>
    </w:p>
    <w:p>
      <w:pPr>
        <w:pStyle w:val="MiscOpen"/>
      </w:pPr>
      <w:r>
        <w:t xml:space="preserve">“    </w:t>
      </w:r>
    </w:p>
    <w:p>
      <w:pPr>
        <w:pStyle w:val="nzHeading2"/>
      </w:pPr>
      <w:bookmarkStart w:id="2247" w:name="_Toc131562088"/>
      <w:bookmarkStart w:id="2248" w:name="_Toc131562691"/>
      <w:bookmarkStart w:id="2249" w:name="_Toc131562906"/>
      <w:bookmarkStart w:id="2250" w:name="_Toc131564444"/>
      <w:bookmarkStart w:id="2251" w:name="_Toc131565678"/>
      <w:bookmarkStart w:id="2252" w:name="_Toc131844808"/>
      <w:bookmarkStart w:id="2253" w:name="_Toc131845593"/>
      <w:bookmarkStart w:id="2254" w:name="_Toc131846199"/>
      <w:bookmarkStart w:id="2255" w:name="_Toc131921311"/>
      <w:bookmarkStart w:id="2256" w:name="_Toc131921920"/>
      <w:bookmarkStart w:id="2257" w:name="_Toc141847389"/>
      <w:bookmarkStart w:id="2258" w:name="_Toc141853671"/>
      <w:bookmarkStart w:id="2259" w:name="_Toc141856166"/>
      <w:bookmarkStart w:id="2260" w:name="_Toc141862035"/>
      <w:bookmarkStart w:id="2261" w:name="_Toc141863500"/>
      <w:bookmarkStart w:id="2262" w:name="_Toc141866676"/>
      <w:bookmarkStart w:id="2263" w:name="_Toc141866800"/>
      <w:bookmarkStart w:id="2264" w:name="_Toc141868455"/>
      <w:bookmarkStart w:id="2265" w:name="_Toc142719699"/>
      <w:bookmarkStart w:id="2266" w:name="_Toc142720203"/>
      <w:bookmarkStart w:id="2267" w:name="_Toc142733059"/>
      <w:bookmarkStart w:id="2268" w:name="_Toc142794218"/>
      <w:bookmarkStart w:id="2269" w:name="_Toc142804965"/>
      <w:bookmarkStart w:id="2270" w:name="_Toc142819611"/>
      <w:bookmarkStart w:id="2271" w:name="_Toc142819728"/>
      <w:bookmarkStart w:id="2272" w:name="_Toc142886082"/>
      <w:bookmarkStart w:id="2273" w:name="_Toc142887667"/>
      <w:bookmarkStart w:id="2274" w:name="_Toc142887944"/>
      <w:bookmarkStart w:id="2275" w:name="_Toc142888768"/>
      <w:bookmarkStart w:id="2276" w:name="_Toc142889615"/>
      <w:bookmarkStart w:id="2277" w:name="_Toc143510421"/>
      <w:bookmarkStart w:id="2278" w:name="_Toc143580528"/>
      <w:bookmarkStart w:id="2279" w:name="_Toc143580675"/>
      <w:bookmarkStart w:id="2280" w:name="_Toc143580771"/>
      <w:bookmarkStart w:id="2281" w:name="_Toc143916045"/>
      <w:bookmarkStart w:id="2282" w:name="_Toc143917428"/>
      <w:bookmarkStart w:id="2283" w:name="_Toc143918624"/>
      <w:bookmarkStart w:id="2284" w:name="_Toc150596002"/>
      <w:bookmarkStart w:id="2285" w:name="_Toc150656473"/>
      <w:bookmarkStart w:id="2286" w:name="_Toc150656800"/>
      <w:bookmarkStart w:id="2287" w:name="_Toc150659032"/>
      <w:bookmarkStart w:id="2288" w:name="_Toc151544363"/>
      <w:bookmarkStart w:id="2289" w:name="_Toc151776211"/>
      <w:bookmarkStart w:id="2290" w:name="_Toc151776373"/>
      <w:bookmarkStart w:id="2291" w:name="_Toc151776618"/>
      <w:bookmarkStart w:id="2292" w:name="_Toc151778313"/>
      <w:bookmarkStart w:id="2293" w:name="_Toc156978962"/>
      <w:bookmarkStart w:id="2294" w:name="_Toc156983714"/>
      <w:bookmarkStart w:id="2295" w:name="_Toc157221573"/>
      <w:bookmarkStart w:id="2296" w:name="_Toc157221670"/>
      <w:bookmarkStart w:id="2297" w:name="_Toc157222154"/>
      <w:bookmarkStart w:id="2298" w:name="_Toc157314510"/>
      <w:bookmarkStart w:id="2299" w:name="_Toc157334675"/>
      <w:bookmarkStart w:id="2300" w:name="_Toc157334772"/>
      <w:bookmarkStart w:id="2301" w:name="_Toc157478346"/>
      <w:bookmarkStart w:id="2302" w:name="_Toc157481474"/>
      <w:bookmarkStart w:id="2303" w:name="_Toc157481702"/>
      <w:bookmarkStart w:id="2304" w:name="_Toc157486237"/>
      <w:bookmarkStart w:id="2305" w:name="_Toc157486334"/>
      <w:bookmarkStart w:id="2306" w:name="_Toc157490779"/>
      <w:bookmarkStart w:id="2307" w:name="_Toc157492015"/>
      <w:bookmarkStart w:id="2308" w:name="_Toc157496217"/>
      <w:bookmarkStart w:id="2309" w:name="_Toc157496635"/>
      <w:bookmarkStart w:id="2310" w:name="_Toc157500840"/>
      <w:bookmarkStart w:id="2311" w:name="_Toc157507590"/>
      <w:bookmarkStart w:id="2312" w:name="_Toc157833905"/>
      <w:bookmarkStart w:id="2313" w:name="_Toc157834668"/>
      <w:bookmarkStart w:id="2314" w:name="_Toc157835862"/>
      <w:bookmarkStart w:id="2315" w:name="_Toc158020311"/>
      <w:bookmarkStart w:id="2316" w:name="_Toc158024865"/>
      <w:bookmarkStart w:id="2317" w:name="_Toc158024967"/>
      <w:bookmarkStart w:id="2318" w:name="_Toc158085279"/>
      <w:bookmarkStart w:id="2319" w:name="_Toc158541148"/>
      <w:bookmarkStart w:id="2320" w:name="_Toc158541635"/>
      <w:bookmarkStart w:id="2321" w:name="_Toc161201452"/>
      <w:r>
        <w:t>Part VIII</w:t>
      </w:r>
      <w:r>
        <w:rPr>
          <w:b w:val="0"/>
        </w:rPr>
        <w:t> </w:t>
      </w:r>
      <w:r>
        <w:t>—</w:t>
      </w:r>
      <w:r>
        <w:rPr>
          <w:b w:val="0"/>
        </w:rPr>
        <w:t> </w:t>
      </w:r>
      <w:r>
        <w:t>Proceedings before warden under Part IV of the Act</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nzHeading3"/>
      </w:pPr>
      <w:bookmarkStart w:id="2322" w:name="_Toc131562089"/>
      <w:bookmarkStart w:id="2323" w:name="_Toc131562692"/>
      <w:bookmarkStart w:id="2324" w:name="_Toc131562907"/>
      <w:bookmarkStart w:id="2325" w:name="_Toc131564445"/>
      <w:bookmarkStart w:id="2326" w:name="_Toc131565679"/>
      <w:bookmarkStart w:id="2327" w:name="_Toc131844809"/>
      <w:bookmarkStart w:id="2328" w:name="_Toc131845594"/>
      <w:bookmarkStart w:id="2329" w:name="_Toc131846200"/>
      <w:bookmarkStart w:id="2330" w:name="_Toc131921312"/>
      <w:bookmarkStart w:id="2331" w:name="_Toc131921921"/>
      <w:bookmarkStart w:id="2332" w:name="_Toc141847390"/>
      <w:bookmarkStart w:id="2333" w:name="_Toc141853672"/>
      <w:bookmarkStart w:id="2334" w:name="_Toc141856167"/>
      <w:bookmarkStart w:id="2335" w:name="_Toc141862036"/>
      <w:bookmarkStart w:id="2336" w:name="_Toc141863501"/>
      <w:bookmarkStart w:id="2337" w:name="_Toc141866677"/>
      <w:bookmarkStart w:id="2338" w:name="_Toc141866801"/>
      <w:bookmarkStart w:id="2339" w:name="_Toc141868456"/>
      <w:bookmarkStart w:id="2340" w:name="_Toc142719700"/>
      <w:bookmarkStart w:id="2341" w:name="_Toc142720204"/>
      <w:bookmarkStart w:id="2342" w:name="_Toc142733060"/>
      <w:bookmarkStart w:id="2343" w:name="_Toc142794219"/>
      <w:bookmarkStart w:id="2344" w:name="_Toc142804966"/>
      <w:bookmarkStart w:id="2345" w:name="_Toc142819612"/>
      <w:bookmarkStart w:id="2346" w:name="_Toc142819729"/>
      <w:bookmarkStart w:id="2347" w:name="_Toc142886083"/>
      <w:bookmarkStart w:id="2348" w:name="_Toc142887668"/>
      <w:bookmarkStart w:id="2349" w:name="_Toc142887945"/>
      <w:bookmarkStart w:id="2350" w:name="_Toc142888769"/>
      <w:bookmarkStart w:id="2351" w:name="_Toc142889616"/>
      <w:bookmarkStart w:id="2352" w:name="_Toc143510422"/>
      <w:bookmarkStart w:id="2353" w:name="_Toc143580529"/>
      <w:bookmarkStart w:id="2354" w:name="_Toc143580676"/>
      <w:bookmarkStart w:id="2355" w:name="_Toc143580772"/>
      <w:bookmarkStart w:id="2356" w:name="_Toc143916046"/>
      <w:bookmarkStart w:id="2357" w:name="_Toc143917429"/>
      <w:bookmarkStart w:id="2358" w:name="_Toc143918625"/>
      <w:bookmarkStart w:id="2359" w:name="_Toc150596003"/>
      <w:bookmarkStart w:id="2360" w:name="_Toc150656474"/>
      <w:bookmarkStart w:id="2361" w:name="_Toc150656801"/>
      <w:bookmarkStart w:id="2362" w:name="_Toc150659033"/>
      <w:bookmarkStart w:id="2363" w:name="_Toc151544364"/>
      <w:bookmarkStart w:id="2364" w:name="_Toc151776212"/>
      <w:bookmarkStart w:id="2365" w:name="_Toc151776374"/>
      <w:bookmarkStart w:id="2366" w:name="_Toc151776619"/>
      <w:bookmarkStart w:id="2367" w:name="_Toc151778314"/>
      <w:bookmarkStart w:id="2368" w:name="_Toc156978963"/>
      <w:bookmarkStart w:id="2369" w:name="_Toc156983715"/>
      <w:bookmarkStart w:id="2370" w:name="_Toc157221574"/>
      <w:bookmarkStart w:id="2371" w:name="_Toc157221671"/>
      <w:bookmarkStart w:id="2372" w:name="_Toc157222155"/>
      <w:bookmarkStart w:id="2373" w:name="_Toc157314511"/>
      <w:bookmarkStart w:id="2374" w:name="_Toc157334676"/>
      <w:bookmarkStart w:id="2375" w:name="_Toc157334773"/>
      <w:bookmarkStart w:id="2376" w:name="_Toc157478347"/>
      <w:bookmarkStart w:id="2377" w:name="_Toc157481475"/>
      <w:bookmarkStart w:id="2378" w:name="_Toc157481703"/>
      <w:bookmarkStart w:id="2379" w:name="_Toc157486238"/>
      <w:bookmarkStart w:id="2380" w:name="_Toc157486335"/>
      <w:bookmarkStart w:id="2381" w:name="_Toc157490780"/>
      <w:bookmarkStart w:id="2382" w:name="_Toc157492016"/>
      <w:bookmarkStart w:id="2383" w:name="_Toc157496218"/>
      <w:bookmarkStart w:id="2384" w:name="_Toc157496636"/>
      <w:bookmarkStart w:id="2385" w:name="_Toc157500841"/>
      <w:bookmarkStart w:id="2386" w:name="_Toc157507591"/>
      <w:bookmarkStart w:id="2387" w:name="_Toc157833906"/>
      <w:bookmarkStart w:id="2388" w:name="_Toc157834669"/>
      <w:bookmarkStart w:id="2389" w:name="_Toc157835863"/>
      <w:bookmarkStart w:id="2390" w:name="_Toc158020312"/>
      <w:bookmarkStart w:id="2391" w:name="_Toc158024866"/>
      <w:bookmarkStart w:id="2392" w:name="_Toc158024968"/>
      <w:bookmarkStart w:id="2393" w:name="_Toc158085280"/>
      <w:bookmarkStart w:id="2394" w:name="_Toc158541149"/>
      <w:bookmarkStart w:id="2395" w:name="_Toc158541636"/>
      <w:bookmarkStart w:id="2396" w:name="_Toc161201453"/>
      <w:r>
        <w:t>Division 1 — General</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nzHeading5"/>
      </w:pPr>
      <w:bookmarkStart w:id="2397" w:name="_Toc158541637"/>
      <w:bookmarkStart w:id="2398" w:name="_Toc161201454"/>
      <w:r>
        <w:t>137.</w:t>
      </w:r>
      <w:r>
        <w:tab/>
        <w:t>Interpretation</w:t>
      </w:r>
      <w:bookmarkEnd w:id="2397"/>
      <w:bookmarkEnd w:id="2398"/>
    </w:p>
    <w:p>
      <w:pPr>
        <w:pStyle w:val="nzSubsection"/>
      </w:pPr>
      <w:r>
        <w:tab/>
        <w:t>(1)</w:t>
      </w:r>
      <w:r>
        <w:tab/>
        <w:t xml:space="preserve">In this Part, unless the contrary intention appears — </w:t>
      </w:r>
    </w:p>
    <w:p>
      <w:pPr>
        <w:pStyle w:val="nzDefstart"/>
      </w:pPr>
      <w:r>
        <w:rPr>
          <w:b/>
        </w:rPr>
        <w:tab/>
        <w:t>“</w:t>
      </w:r>
      <w:r>
        <w:rPr>
          <w:rStyle w:val="CharDefText"/>
        </w:rPr>
        <w:t>agent</w:t>
      </w:r>
      <w:r>
        <w:rPr>
          <w:b/>
        </w:rPr>
        <w:t>”</w:t>
      </w:r>
      <w:r>
        <w:t xml:space="preserve"> means a person acting for a party under regulation 169(2);</w:t>
      </w:r>
    </w:p>
    <w:p>
      <w:pPr>
        <w:pStyle w:val="nzDefstart"/>
      </w:pPr>
      <w:r>
        <w:rPr>
          <w:b/>
        </w:rPr>
        <w:tab/>
        <w:t>“</w:t>
      </w:r>
      <w:r>
        <w:rPr>
          <w:rStyle w:val="CharDefText"/>
        </w:rPr>
        <w:t>determination</w:t>
      </w:r>
      <w:r>
        <w:rPr>
          <w:b/>
        </w:rPr>
        <w:t>”</w:t>
      </w:r>
      <w:r>
        <w:t xml:space="preserve"> means a decision, order or recommendation;</w:t>
      </w:r>
    </w:p>
    <w:p>
      <w:pPr>
        <w:pStyle w:val="nzDefstart"/>
      </w:pPr>
      <w:r>
        <w:rPr>
          <w:b/>
        </w:rPr>
        <w:tab/>
        <w:t>“</w:t>
      </w:r>
      <w:r>
        <w:rPr>
          <w:rStyle w:val="CharDefText"/>
        </w:rPr>
        <w:t>hearing</w:t>
      </w:r>
      <w:r>
        <w:rPr>
          <w:b/>
        </w:rPr>
        <w:t>”</w:t>
      </w:r>
      <w:r>
        <w:t xml:space="preserve"> means —</w:t>
      </w:r>
    </w:p>
    <w:p>
      <w:pPr>
        <w:pStyle w:val="nzDefpara"/>
      </w:pPr>
      <w:r>
        <w:tab/>
        <w:t>(a)</w:t>
      </w:r>
      <w:r>
        <w:tab/>
        <w:t>a mention hearing; or</w:t>
      </w:r>
    </w:p>
    <w:p>
      <w:pPr>
        <w:pStyle w:val="nzDefpara"/>
      </w:pPr>
      <w:r>
        <w:tab/>
        <w:t>(b)</w:t>
      </w:r>
      <w:r>
        <w:tab/>
        <w:t>the hearing of an interlocutory application; or</w:t>
      </w:r>
    </w:p>
    <w:p>
      <w:pPr>
        <w:pStyle w:val="nzDefpara"/>
      </w:pPr>
      <w:r>
        <w:tab/>
        <w:t>(c)</w:t>
      </w:r>
      <w:r>
        <w:tab/>
        <w:t>the substantive hearing of proceedings;</w:t>
      </w:r>
    </w:p>
    <w:p>
      <w:pPr>
        <w:pStyle w:val="nzDefstart"/>
      </w:pPr>
      <w:r>
        <w:rPr>
          <w:b/>
        </w:rPr>
        <w:tab/>
        <w:t>“</w:t>
      </w:r>
      <w:r>
        <w:rPr>
          <w:rStyle w:val="CharDefText"/>
        </w:rPr>
        <w:t>lodge</w:t>
      </w:r>
      <w:r>
        <w:rPr>
          <w:b/>
        </w:rPr>
        <w:t>”</w:t>
      </w:r>
      <w:r>
        <w:t>, in relation to a document, means to lodge the document at the office of the mining registrar;</w:t>
      </w:r>
    </w:p>
    <w:p>
      <w:pPr>
        <w:pStyle w:val="nzDefstart"/>
      </w:pPr>
      <w:r>
        <w:rPr>
          <w:b/>
        </w:rPr>
        <w:tab/>
        <w:t>“</w:t>
      </w:r>
      <w:r>
        <w:rPr>
          <w:rStyle w:val="CharDefText"/>
        </w:rPr>
        <w:t>mention hearing</w:t>
      </w:r>
      <w:r>
        <w:rPr>
          <w:b/>
        </w:rPr>
        <w:t>”</w:t>
      </w:r>
      <w:r>
        <w:t xml:space="preserve"> means a mention hearing under regulation 138(1) or (2)(c);</w:t>
      </w:r>
    </w:p>
    <w:p>
      <w:pPr>
        <w:pStyle w:val="nzDefstart"/>
      </w:pPr>
      <w:r>
        <w:rPr>
          <w:b/>
        </w:rPr>
        <w:tab/>
        <w:t>“</w:t>
      </w:r>
      <w:r>
        <w:rPr>
          <w:rStyle w:val="CharDefText"/>
        </w:rPr>
        <w:t>objection</w:t>
      </w:r>
      <w:r>
        <w:rPr>
          <w:b/>
        </w:rPr>
        <w:t>”</w:t>
      </w:r>
      <w:r>
        <w:t xml:space="preserve"> means an objection under Part IV of the Act;</w:t>
      </w:r>
    </w:p>
    <w:p>
      <w:pPr>
        <w:pStyle w:val="nzDefstart"/>
      </w:pPr>
      <w:r>
        <w:rPr>
          <w:b/>
        </w:rPr>
        <w:tab/>
        <w:t>“</w:t>
      </w:r>
      <w:r>
        <w:rPr>
          <w:rStyle w:val="CharDefText"/>
        </w:rPr>
        <w:t>party</w:t>
      </w:r>
      <w:r>
        <w:rPr>
          <w:b/>
        </w:rPr>
        <w:t>”</w:t>
      </w:r>
      <w:r>
        <w:t xml:space="preserve"> means a party to proceedings;</w:t>
      </w:r>
    </w:p>
    <w:p>
      <w:pPr>
        <w:pStyle w:val="nzDefstart"/>
      </w:pPr>
      <w:r>
        <w:rPr>
          <w:b/>
        </w:rPr>
        <w:tab/>
        <w:t>“</w:t>
      </w:r>
      <w:r>
        <w:rPr>
          <w:rStyle w:val="CharDefText"/>
        </w:rPr>
        <w:t>proceedings</w:t>
      </w:r>
      <w:r>
        <w:rPr>
          <w:b/>
        </w:rPr>
        <w:t>”</w:t>
      </w:r>
      <w:r>
        <w:t> —</w:t>
      </w:r>
    </w:p>
    <w:p>
      <w:pPr>
        <w:pStyle w:val="nzDefpara"/>
      </w:pPr>
      <w:r>
        <w:tab/>
        <w:t>(a)</w:t>
      </w:r>
      <w:r>
        <w:tab/>
        <w:t>when used in Division 2, means proceedings in respect of an application under section 96(1)(b) or 98; and</w:t>
      </w:r>
    </w:p>
    <w:p>
      <w:pPr>
        <w:pStyle w:val="nzDefpara"/>
      </w:pPr>
      <w:r>
        <w:tab/>
        <w:t>(b)</w:t>
      </w:r>
      <w:r>
        <w:tab/>
        <w:t>when used in Division 3, means proceedings relating to an application under Part IV in relation to which an objection has been lodged; and</w:t>
      </w:r>
    </w:p>
    <w:p>
      <w:pPr>
        <w:pStyle w:val="nzDefpara"/>
      </w:pPr>
      <w:r>
        <w:tab/>
        <w:t>(c)</w:t>
      </w:r>
      <w:r>
        <w:tab/>
        <w:t>otherwise means proceedings under this Part.</w:t>
      </w:r>
    </w:p>
    <w:p>
      <w:pPr>
        <w:pStyle w:val="nzSubsection"/>
      </w:pPr>
      <w:r>
        <w:tab/>
        <w:t>(2)</w:t>
      </w:r>
      <w:r>
        <w:tab/>
        <w:t>For the purposes of this Part, proceedings are taken to have commenced when —</w:t>
      </w:r>
    </w:p>
    <w:p>
      <w:pPr>
        <w:pStyle w:val="nzIndenta"/>
      </w:pPr>
      <w:r>
        <w:tab/>
        <w:t>(a)</w:t>
      </w:r>
      <w:r>
        <w:tab/>
        <w:t>an application under section 96(1)(b) or 98; or</w:t>
      </w:r>
    </w:p>
    <w:p>
      <w:pPr>
        <w:pStyle w:val="nzIndenta"/>
      </w:pPr>
      <w:r>
        <w:tab/>
        <w:t>(b)</w:t>
      </w:r>
      <w:r>
        <w:tab/>
        <w:t>an objection,</w:t>
      </w:r>
    </w:p>
    <w:p>
      <w:pPr>
        <w:pStyle w:val="nzSubsection"/>
      </w:pPr>
      <w:r>
        <w:tab/>
      </w:r>
      <w:r>
        <w:tab/>
        <w:t>has been lodged.</w:t>
      </w:r>
    </w:p>
    <w:p>
      <w:pPr>
        <w:pStyle w:val="nzHeading5"/>
      </w:pPr>
      <w:bookmarkStart w:id="2399" w:name="_Toc158541638"/>
      <w:bookmarkStart w:id="2400" w:name="_Toc161201455"/>
      <w:r>
        <w:t>138.</w:t>
      </w:r>
      <w:r>
        <w:tab/>
        <w:t>Mention hearing</w:t>
      </w:r>
      <w:bookmarkEnd w:id="2399"/>
      <w:bookmarkEnd w:id="2400"/>
    </w:p>
    <w:p>
      <w:pPr>
        <w:pStyle w:val="nzSubsection"/>
      </w:pPr>
      <w:r>
        <w:tab/>
        <w:t>(1)</w:t>
      </w:r>
      <w:r>
        <w:tab/>
        <w:t xml:space="preserve">When proceedings are commenced the mining registrar shall — </w:t>
      </w:r>
    </w:p>
    <w:p>
      <w:pPr>
        <w:pStyle w:val="nzIndenta"/>
      </w:pPr>
      <w:r>
        <w:tab/>
        <w:t>(a)</w:t>
      </w:r>
      <w:r>
        <w:tab/>
        <w:t>fix a date and time for a mention hearing before the warden being not less than 45 days from the date of lodgment, unless all parties to the proceedings consent to an earlier mention hearing date; and</w:t>
      </w:r>
    </w:p>
    <w:p>
      <w:pPr>
        <w:pStyle w:val="nzIndenta"/>
      </w:pPr>
      <w:r>
        <w:tab/>
        <w:t>(b)</w:t>
      </w:r>
      <w:r>
        <w:tab/>
        <w:t>advise the parties of the mention hearing date; and</w:t>
      </w:r>
    </w:p>
    <w:p>
      <w:pPr>
        <w:pStyle w:val="nzIndenta"/>
      </w:pPr>
      <w:r>
        <w:tab/>
        <w:t>(c)</w:t>
      </w:r>
      <w:r>
        <w:tab/>
        <w:t xml:space="preserve">in the case of an application for forfeiture — cause copies of the application to be returned to the applicant for service on — </w:t>
      </w:r>
    </w:p>
    <w:p>
      <w:pPr>
        <w:pStyle w:val="nzIndenti"/>
      </w:pPr>
      <w:r>
        <w:tab/>
        <w:t>(i)</w:t>
      </w:r>
      <w:r>
        <w:tab/>
        <w:t>each respondent; and</w:t>
      </w:r>
    </w:p>
    <w:p>
      <w:pPr>
        <w:pStyle w:val="nzIndenti"/>
      </w:pPr>
      <w:r>
        <w:tab/>
        <w:t>(ii)</w:t>
      </w:r>
      <w:r>
        <w:tab/>
        <w:t>any mortgagee of a mining tenement to which the application relates.</w:t>
      </w:r>
    </w:p>
    <w:p>
      <w:pPr>
        <w:pStyle w:val="nzSubsection"/>
      </w:pPr>
      <w:r>
        <w:tab/>
        <w:t>(2)</w:t>
      </w:r>
      <w:r>
        <w:tab/>
        <w:t>At a mention hearing the warden may —</w:t>
      </w:r>
    </w:p>
    <w:p>
      <w:pPr>
        <w:pStyle w:val="nzIndenta"/>
      </w:pPr>
      <w:r>
        <w:tab/>
        <w:t>(a)</w:t>
      </w:r>
      <w:r>
        <w:tab/>
        <w:t>issue directions to the parties; or</w:t>
      </w:r>
    </w:p>
    <w:p>
      <w:pPr>
        <w:pStyle w:val="nzIndenta"/>
      </w:pPr>
      <w:r>
        <w:tab/>
        <w:t>(b)</w:t>
      </w:r>
      <w:r>
        <w:tab/>
        <w:t xml:space="preserve">set a date for the substantive hearing of the proceedings; or </w:t>
      </w:r>
    </w:p>
    <w:p>
      <w:pPr>
        <w:pStyle w:val="nzIndenta"/>
      </w:pPr>
      <w:r>
        <w:tab/>
        <w:t>(c)</w:t>
      </w:r>
      <w:r>
        <w:tab/>
        <w:t>adjourn the proceedings to another mention hearing.</w:t>
      </w:r>
    </w:p>
    <w:p>
      <w:pPr>
        <w:pStyle w:val="nzHeading5"/>
      </w:pPr>
      <w:bookmarkStart w:id="2401" w:name="_Toc158541639"/>
      <w:bookmarkStart w:id="2402" w:name="_Toc161201456"/>
      <w:r>
        <w:t>139.</w:t>
      </w:r>
      <w:r>
        <w:tab/>
        <w:t>Default determination</w:t>
      </w:r>
      <w:bookmarkEnd w:id="2401"/>
      <w:bookmarkEnd w:id="2402"/>
    </w:p>
    <w:p>
      <w:pPr>
        <w:pStyle w:val="nzSubsection"/>
      </w:pPr>
      <w:r>
        <w:tab/>
        <w:t>(1)</w:t>
      </w:r>
      <w:r>
        <w:tab/>
        <w:t xml:space="preserve">Except as provided in the Act, if a party does not comply with a requirement of this Division, a summons or an interlocutory order or direction of the warden, the warden may — </w:t>
      </w:r>
    </w:p>
    <w:p>
      <w:pPr>
        <w:pStyle w:val="nzIndenta"/>
      </w:pPr>
      <w:r>
        <w:tab/>
        <w:t>(a)</w:t>
      </w:r>
      <w:r>
        <w:tab/>
        <w:t>order the party to pay the costs occasioned by the noncompliance irrespective of the final determination of the proceedings; or</w:t>
      </w:r>
    </w:p>
    <w:p>
      <w:pPr>
        <w:pStyle w:val="nzIndenta"/>
      </w:pPr>
      <w:r>
        <w:tab/>
        <w:t>(b)</w:t>
      </w:r>
      <w:r>
        <w:tab/>
        <w:t>determine the proceedings without a substantive hearing.</w:t>
      </w:r>
    </w:p>
    <w:p>
      <w:pPr>
        <w:pStyle w:val="nzSubsection"/>
      </w:pPr>
      <w:r>
        <w:tab/>
        <w:t>(2)</w:t>
      </w:r>
      <w:r>
        <w:tab/>
        <w:t>An order under subregulation (1)(a) may direct that costs be paid forthwith.</w:t>
      </w:r>
    </w:p>
    <w:p>
      <w:pPr>
        <w:pStyle w:val="nzHeading3"/>
      </w:pPr>
      <w:bookmarkStart w:id="2403" w:name="_Toc131562094"/>
      <w:bookmarkStart w:id="2404" w:name="_Toc131562697"/>
      <w:bookmarkStart w:id="2405" w:name="_Toc131562912"/>
      <w:bookmarkStart w:id="2406" w:name="_Toc131564450"/>
      <w:bookmarkStart w:id="2407" w:name="_Toc131565684"/>
      <w:bookmarkStart w:id="2408" w:name="_Toc131844813"/>
      <w:bookmarkStart w:id="2409" w:name="_Toc131845598"/>
      <w:bookmarkStart w:id="2410" w:name="_Toc131846204"/>
      <w:bookmarkStart w:id="2411" w:name="_Toc131921316"/>
      <w:bookmarkStart w:id="2412" w:name="_Toc131921925"/>
      <w:bookmarkStart w:id="2413" w:name="_Toc141847394"/>
      <w:bookmarkStart w:id="2414" w:name="_Toc141853676"/>
      <w:bookmarkStart w:id="2415" w:name="_Toc141856171"/>
      <w:bookmarkStart w:id="2416" w:name="_Toc141862040"/>
      <w:bookmarkStart w:id="2417" w:name="_Toc141863505"/>
      <w:bookmarkStart w:id="2418" w:name="_Toc141866681"/>
      <w:bookmarkStart w:id="2419" w:name="_Toc141866805"/>
      <w:bookmarkStart w:id="2420" w:name="_Toc141868460"/>
      <w:bookmarkStart w:id="2421" w:name="_Toc142719704"/>
      <w:bookmarkStart w:id="2422" w:name="_Toc142720208"/>
      <w:bookmarkStart w:id="2423" w:name="_Toc142733064"/>
      <w:bookmarkStart w:id="2424" w:name="_Toc142794223"/>
      <w:bookmarkStart w:id="2425" w:name="_Toc142804970"/>
      <w:bookmarkStart w:id="2426" w:name="_Toc142819616"/>
      <w:bookmarkStart w:id="2427" w:name="_Toc142819733"/>
      <w:bookmarkStart w:id="2428" w:name="_Toc142886087"/>
      <w:bookmarkStart w:id="2429" w:name="_Toc142887672"/>
      <w:bookmarkStart w:id="2430" w:name="_Toc142887949"/>
      <w:bookmarkStart w:id="2431" w:name="_Toc142888773"/>
      <w:bookmarkStart w:id="2432" w:name="_Toc142889620"/>
      <w:bookmarkStart w:id="2433" w:name="_Toc143510426"/>
      <w:bookmarkStart w:id="2434" w:name="_Toc143580533"/>
      <w:bookmarkStart w:id="2435" w:name="_Toc143580680"/>
      <w:bookmarkStart w:id="2436" w:name="_Toc143580776"/>
      <w:bookmarkStart w:id="2437" w:name="_Toc143916050"/>
      <w:bookmarkStart w:id="2438" w:name="_Toc143917433"/>
      <w:bookmarkStart w:id="2439" w:name="_Toc143918629"/>
      <w:bookmarkStart w:id="2440" w:name="_Toc150596007"/>
      <w:bookmarkStart w:id="2441" w:name="_Toc150656478"/>
      <w:bookmarkStart w:id="2442" w:name="_Toc150656805"/>
      <w:bookmarkStart w:id="2443" w:name="_Toc150659037"/>
      <w:bookmarkStart w:id="2444" w:name="_Toc151544368"/>
      <w:bookmarkStart w:id="2445" w:name="_Toc151776216"/>
      <w:bookmarkStart w:id="2446" w:name="_Toc151776378"/>
      <w:bookmarkStart w:id="2447" w:name="_Toc151776623"/>
      <w:bookmarkStart w:id="2448" w:name="_Toc151778318"/>
      <w:bookmarkStart w:id="2449" w:name="_Toc156978967"/>
      <w:bookmarkStart w:id="2450" w:name="_Toc156983719"/>
      <w:bookmarkStart w:id="2451" w:name="_Toc157221578"/>
      <w:bookmarkStart w:id="2452" w:name="_Toc157221675"/>
      <w:bookmarkStart w:id="2453" w:name="_Toc157222159"/>
      <w:bookmarkStart w:id="2454" w:name="_Toc157314515"/>
      <w:bookmarkStart w:id="2455" w:name="_Toc157334680"/>
      <w:bookmarkStart w:id="2456" w:name="_Toc157334777"/>
      <w:bookmarkStart w:id="2457" w:name="_Toc157478351"/>
      <w:bookmarkStart w:id="2458" w:name="_Toc157481479"/>
      <w:bookmarkStart w:id="2459" w:name="_Toc157481707"/>
      <w:bookmarkStart w:id="2460" w:name="_Toc157486242"/>
      <w:bookmarkStart w:id="2461" w:name="_Toc157486339"/>
      <w:bookmarkStart w:id="2462" w:name="_Toc157490784"/>
      <w:bookmarkStart w:id="2463" w:name="_Toc157492020"/>
      <w:bookmarkStart w:id="2464" w:name="_Toc157496222"/>
      <w:bookmarkStart w:id="2465" w:name="_Toc157496640"/>
      <w:bookmarkStart w:id="2466" w:name="_Toc157500845"/>
      <w:bookmarkStart w:id="2467" w:name="_Toc157507595"/>
      <w:bookmarkStart w:id="2468" w:name="_Toc157833910"/>
      <w:bookmarkStart w:id="2469" w:name="_Toc157834673"/>
      <w:bookmarkStart w:id="2470" w:name="_Toc157835867"/>
      <w:bookmarkStart w:id="2471" w:name="_Toc158020316"/>
      <w:bookmarkStart w:id="2472" w:name="_Toc158024870"/>
      <w:bookmarkStart w:id="2473" w:name="_Toc158024972"/>
      <w:bookmarkStart w:id="2474" w:name="_Toc158085284"/>
      <w:bookmarkStart w:id="2475" w:name="_Toc158541153"/>
      <w:bookmarkStart w:id="2476" w:name="_Toc158541640"/>
      <w:bookmarkStart w:id="2477" w:name="_Toc161201457"/>
      <w:r>
        <w:t>Division 2 — Applications under section 96(1)(b) and 98</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nzHeading5"/>
      </w:pPr>
      <w:bookmarkStart w:id="2478" w:name="_Toc158541641"/>
      <w:bookmarkStart w:id="2479" w:name="_Toc161201458"/>
      <w:r>
        <w:t>140.</w:t>
      </w:r>
      <w:r>
        <w:tab/>
        <w:t>Commencing proceedings in respect of an application</w:t>
      </w:r>
      <w:bookmarkEnd w:id="2478"/>
      <w:bookmarkEnd w:id="2479"/>
    </w:p>
    <w:p>
      <w:pPr>
        <w:pStyle w:val="nzSubsection"/>
      </w:pPr>
      <w:r>
        <w:tab/>
        <w:t>(1)</w:t>
      </w:r>
      <w:r>
        <w:tab/>
        <w:t>An application under section 96(1)(b) or 98 shall be in the form No. 35A in the First Schedule.</w:t>
      </w:r>
    </w:p>
    <w:p>
      <w:pPr>
        <w:pStyle w:val="nzSubsection"/>
      </w:pPr>
      <w:r>
        <w:tab/>
        <w:t>(2)</w:t>
      </w:r>
      <w:r>
        <w:tab/>
        <w:t>Every application shall be —</w:t>
      </w:r>
    </w:p>
    <w:p>
      <w:pPr>
        <w:pStyle w:val="nzIndenta"/>
      </w:pPr>
      <w:r>
        <w:tab/>
        <w:t>(a)</w:t>
      </w:r>
      <w:r>
        <w:tab/>
        <w:t>signed by the applicant or a lawyer or other person authorised by the applicant; and</w:t>
      </w:r>
    </w:p>
    <w:p>
      <w:pPr>
        <w:pStyle w:val="nzIndenta"/>
      </w:pPr>
      <w:r>
        <w:tab/>
        <w:t>(b)</w:t>
      </w:r>
      <w:r>
        <w:tab/>
        <w:t>lodged with the prescribed fees at the office of the mining registrar.</w:t>
      </w:r>
    </w:p>
    <w:p>
      <w:pPr>
        <w:pStyle w:val="nzSubsection"/>
      </w:pPr>
      <w:r>
        <w:tab/>
        <w:t>(3)</w:t>
      </w:r>
      <w:r>
        <w:tab/>
        <w:t>The applicant shall serve copies of the application returned after lodgment under regulation 138(1)(c).</w:t>
      </w:r>
    </w:p>
    <w:p>
      <w:pPr>
        <w:pStyle w:val="nzSubsection"/>
      </w:pPr>
      <w:r>
        <w:tab/>
        <w:t>(4)</w:t>
      </w:r>
      <w:r>
        <w:tab/>
        <w:t>An application shall not be withdrawn or proceedings stayed after the application has been served without the written consent of the respondent or by leave of the warden.</w:t>
      </w:r>
    </w:p>
    <w:p>
      <w:pPr>
        <w:pStyle w:val="nzHeading5"/>
      </w:pPr>
      <w:bookmarkStart w:id="2480" w:name="_Toc158541642"/>
      <w:bookmarkStart w:id="2481" w:name="_Toc161201459"/>
      <w:r>
        <w:t>141.</w:t>
      </w:r>
      <w:r>
        <w:tab/>
        <w:t>Response</w:t>
      </w:r>
      <w:bookmarkEnd w:id="2480"/>
      <w:bookmarkEnd w:id="2481"/>
    </w:p>
    <w:p>
      <w:pPr>
        <w:pStyle w:val="nzSubsection"/>
      </w:pPr>
      <w:r>
        <w:tab/>
        <w:t>(1)</w:t>
      </w:r>
      <w:r>
        <w:tab/>
        <w:t>When the respondent intends to dispute an application lodged under regulation 140, the respondent shall, within 14 days after the service of the application, lodge at the office of the mining registrar a response in the form No. 36 in the First Schedule.</w:t>
      </w:r>
    </w:p>
    <w:p>
      <w:pPr>
        <w:pStyle w:val="nzSubsection"/>
      </w:pPr>
      <w:r>
        <w:tab/>
        <w:t>(2)</w:t>
      </w:r>
      <w:r>
        <w:tab/>
        <w:t>Every response shall be —</w:t>
      </w:r>
    </w:p>
    <w:p>
      <w:pPr>
        <w:pStyle w:val="nzIndenta"/>
      </w:pPr>
      <w:r>
        <w:tab/>
        <w:t>(a)</w:t>
      </w:r>
      <w:r>
        <w:tab/>
        <w:t>signed by the respondent or a lawyer or other person authorised by the respondent; and</w:t>
      </w:r>
    </w:p>
    <w:p>
      <w:pPr>
        <w:pStyle w:val="nzIndenta"/>
      </w:pPr>
      <w:r>
        <w:tab/>
        <w:t>(b)</w:t>
      </w:r>
      <w:r>
        <w:tab/>
        <w:t>lodged with the prescribed fees at the office of the mining registrar.</w:t>
      </w:r>
    </w:p>
    <w:p>
      <w:pPr>
        <w:pStyle w:val="nzSubsection"/>
      </w:pPr>
      <w:r>
        <w:tab/>
        <w:t>(3)</w:t>
      </w:r>
      <w:r>
        <w:tab/>
        <w:t>When a response is lodged the mining registrar shall forward a copy of it to the applicant.</w:t>
      </w:r>
    </w:p>
    <w:p>
      <w:pPr>
        <w:pStyle w:val="nzHeading5"/>
      </w:pPr>
      <w:bookmarkStart w:id="2482" w:name="_Toc158541643"/>
      <w:bookmarkStart w:id="2483" w:name="_Toc161201460"/>
      <w:r>
        <w:t>142.</w:t>
      </w:r>
      <w:r>
        <w:tab/>
        <w:t>Settlement, admission and discontinuance</w:t>
      </w:r>
      <w:bookmarkEnd w:id="2482"/>
      <w:bookmarkEnd w:id="2483"/>
    </w:p>
    <w:p>
      <w:pPr>
        <w:pStyle w:val="nzSubsection"/>
      </w:pPr>
      <w:r>
        <w:tab/>
        <w:t>(1)</w:t>
      </w:r>
      <w:r>
        <w:tab/>
        <w:t>The parties may settle proceedings or consent to any other order or direction by lodging a written memorandum to that effect, signed by each party.</w:t>
      </w:r>
    </w:p>
    <w:p>
      <w:pPr>
        <w:pStyle w:val="nzSubsection"/>
      </w:pPr>
      <w:r>
        <w:tab/>
        <w:t>(2)</w:t>
      </w:r>
      <w:r>
        <w:tab/>
        <w:t>If a party wants to admit a particular fact alleged in —</w:t>
      </w:r>
    </w:p>
    <w:p>
      <w:pPr>
        <w:pStyle w:val="nzIndenta"/>
      </w:pPr>
      <w:r>
        <w:tab/>
        <w:t>(a)</w:t>
      </w:r>
      <w:r>
        <w:tab/>
        <w:t>an application or response; or</w:t>
      </w:r>
    </w:p>
    <w:p>
      <w:pPr>
        <w:pStyle w:val="nzIndenta"/>
      </w:pPr>
      <w:r>
        <w:tab/>
        <w:t>(b)</w:t>
      </w:r>
      <w:r>
        <w:tab/>
        <w:t>particulars under regulation 144; or</w:t>
      </w:r>
    </w:p>
    <w:p>
      <w:pPr>
        <w:pStyle w:val="nzIndenta"/>
      </w:pPr>
      <w:r>
        <w:tab/>
        <w:t>(c)</w:t>
      </w:r>
      <w:r>
        <w:tab/>
        <w:t>an invitation to admit under subregulation (3),</w:t>
      </w:r>
    </w:p>
    <w:p>
      <w:pPr>
        <w:pStyle w:val="nzSubsection"/>
      </w:pPr>
      <w:r>
        <w:tab/>
      </w:r>
      <w:r>
        <w:tab/>
        <w:t>the party shall lodge and serve a written notice of admission.</w:t>
      </w:r>
    </w:p>
    <w:p>
      <w:pPr>
        <w:pStyle w:val="nzSubsection"/>
      </w:pPr>
      <w:r>
        <w:tab/>
        <w:t>(3)</w:t>
      </w:r>
      <w:r>
        <w:tab/>
        <w:t>If a party wants to invite another party to admit a particular alleged fact the party shall lodge and serve a written invitation to admit at least 14 days before the substantive hearing of the proceedings.</w:t>
      </w:r>
    </w:p>
    <w:p>
      <w:pPr>
        <w:pStyle w:val="nzSubsection"/>
      </w:pPr>
      <w:r>
        <w:tab/>
        <w:t>(4)</w:t>
      </w:r>
      <w:r>
        <w:tab/>
        <w:t>If —</w:t>
      </w:r>
    </w:p>
    <w:p>
      <w:pPr>
        <w:pStyle w:val="nzIndenta"/>
      </w:pPr>
      <w:r>
        <w:tab/>
        <w:t>(a)</w:t>
      </w:r>
      <w:r>
        <w:tab/>
        <w:t>a party does not admit a fact when invited to do so; and</w:t>
      </w:r>
    </w:p>
    <w:p>
      <w:pPr>
        <w:pStyle w:val="nzIndenta"/>
      </w:pPr>
      <w:r>
        <w:tab/>
        <w:t>(b)</w:t>
      </w:r>
      <w:r>
        <w:tab/>
        <w:t>the warden subsequently finds the fact to be proven,</w:t>
      </w:r>
    </w:p>
    <w:p>
      <w:pPr>
        <w:pStyle w:val="nzSubsection"/>
      </w:pPr>
      <w:r>
        <w:tab/>
      </w:r>
      <w:r>
        <w:tab/>
        <w:t>the warden may award the costs of proving that fact against the party.</w:t>
      </w:r>
    </w:p>
    <w:p>
      <w:pPr>
        <w:pStyle w:val="nzSubsection"/>
      </w:pPr>
      <w:r>
        <w:tab/>
        <w:t>(5)</w:t>
      </w:r>
      <w:r>
        <w:tab/>
        <w:t>An order under subregulation (4) may direct that costs be paid forthwith.</w:t>
      </w:r>
    </w:p>
    <w:p>
      <w:pPr>
        <w:pStyle w:val="nzSubsection"/>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nzHeading5"/>
      </w:pPr>
      <w:bookmarkStart w:id="2484" w:name="_Toc158541644"/>
      <w:bookmarkStart w:id="2485" w:name="_Toc161201461"/>
      <w:r>
        <w:t>143.</w:t>
      </w:r>
      <w:r>
        <w:tab/>
        <w:t>Joinder</w:t>
      </w:r>
      <w:bookmarkEnd w:id="2484"/>
      <w:bookmarkEnd w:id="2485"/>
    </w:p>
    <w:p>
      <w:pPr>
        <w:pStyle w:val="nzSubsection"/>
      </w:pPr>
      <w:r>
        <w:tab/>
      </w:r>
      <w:r>
        <w:tab/>
        <w:t>A warden may, at any time during proceedings, make an order that a person be joined as a party if the warden is satisfied that the person has a sufficient interest in the outcome of the proceedings.</w:t>
      </w:r>
    </w:p>
    <w:p>
      <w:pPr>
        <w:pStyle w:val="nzHeading5"/>
      </w:pPr>
      <w:bookmarkStart w:id="2486" w:name="_Toc158541645"/>
      <w:bookmarkStart w:id="2487" w:name="_Toc161201462"/>
      <w:r>
        <w:t>144.</w:t>
      </w:r>
      <w:r>
        <w:tab/>
        <w:t>Particulars</w:t>
      </w:r>
      <w:bookmarkEnd w:id="2486"/>
      <w:bookmarkEnd w:id="2487"/>
    </w:p>
    <w:p>
      <w:pPr>
        <w:pStyle w:val="nzSubsection"/>
      </w:pPr>
      <w:r>
        <w:tab/>
        <w:t>(1)</w:t>
      </w:r>
      <w:r>
        <w:tab/>
        <w:t>A person lodging and serving an application under regulation 140 or a response under regulation 141 shall lodge and serve a written statement of particulars of the application or response —</w:t>
      </w:r>
    </w:p>
    <w:p>
      <w:pPr>
        <w:pStyle w:val="nzIndenta"/>
      </w:pPr>
      <w:r>
        <w:tab/>
        <w:t>(a)</w:t>
      </w:r>
      <w:r>
        <w:tab/>
        <w:t>at the same time as the person lodges and serves the application or response; or</w:t>
      </w:r>
    </w:p>
    <w:p>
      <w:pPr>
        <w:pStyle w:val="nzIndenta"/>
      </w:pPr>
      <w:r>
        <w:tab/>
        <w:t>(b)</w:t>
      </w:r>
      <w:r>
        <w:tab/>
        <w:t>as directed by the warden at a mention hearing.</w:t>
      </w:r>
    </w:p>
    <w:p>
      <w:pPr>
        <w:pStyle w:val="nzSubsection"/>
      </w:pPr>
      <w:r>
        <w:tab/>
        <w:t>(2)</w:t>
      </w:r>
      <w:r>
        <w:tab/>
        <w:t xml:space="preserve">The statement of particulars shall contain — </w:t>
      </w:r>
    </w:p>
    <w:p>
      <w:pPr>
        <w:pStyle w:val="nzIndenta"/>
      </w:pPr>
      <w:r>
        <w:tab/>
        <w:t>(a)</w:t>
      </w:r>
      <w:r>
        <w:tab/>
        <w:t>a summary of the facts relevant to the application or response; and</w:t>
      </w:r>
    </w:p>
    <w:p>
      <w:pPr>
        <w:pStyle w:val="nzIndenta"/>
      </w:pPr>
      <w:r>
        <w:tab/>
        <w:t>(b)</w:t>
      </w:r>
      <w:r>
        <w:tab/>
        <w:t>the legal basis of the application or response; and</w:t>
      </w:r>
    </w:p>
    <w:p>
      <w:pPr>
        <w:pStyle w:val="nzIndenta"/>
      </w:pPr>
      <w:r>
        <w:tab/>
        <w:t>(c)</w:t>
      </w:r>
      <w:r>
        <w:tab/>
        <w:t>the basic contentions of the person making the application or response; and</w:t>
      </w:r>
    </w:p>
    <w:p>
      <w:pPr>
        <w:pStyle w:val="nzIndenta"/>
      </w:pPr>
      <w:r>
        <w:tab/>
        <w:t>(d)</w:t>
      </w:r>
      <w:r>
        <w:tab/>
        <w:t>a list of any documents that the applicant or respondent might tender in evidence at the substantive hearing of the proceedings.</w:t>
      </w:r>
    </w:p>
    <w:p>
      <w:pPr>
        <w:pStyle w:val="nzSubsection"/>
      </w:pPr>
      <w:r>
        <w:tab/>
        <w:t>(3)</w:t>
      </w:r>
      <w:r>
        <w:tab/>
        <w:t>The warden at a mention hearing may order that a party shall provide further particulars of an application or response in addition to those provided under subregulation (1).</w:t>
      </w:r>
    </w:p>
    <w:p>
      <w:pPr>
        <w:pStyle w:val="nzHeading5"/>
      </w:pPr>
      <w:bookmarkStart w:id="2488" w:name="_Toc158541646"/>
      <w:bookmarkStart w:id="2489" w:name="_Toc161201463"/>
      <w:r>
        <w:t>145.</w:t>
      </w:r>
      <w:r>
        <w:tab/>
        <w:t>Disclosure of documents by applicant</w:t>
      </w:r>
      <w:bookmarkEnd w:id="2488"/>
      <w:bookmarkEnd w:id="2489"/>
    </w:p>
    <w:p>
      <w:pPr>
        <w:pStyle w:val="nzSubsection"/>
      </w:pPr>
      <w:r>
        <w:tab/>
        <w:t>(1)</w:t>
      </w:r>
      <w:r>
        <w:tab/>
        <w:t>The warden may, at any time during proceedings, order that an applicant shall provide additional information by disclosing documents relevant to the proceedings.</w:t>
      </w:r>
    </w:p>
    <w:p>
      <w:pPr>
        <w:pStyle w:val="nzSubsection"/>
      </w:pPr>
      <w:r>
        <w:tab/>
        <w:t>(2)</w:t>
      </w:r>
      <w:r>
        <w:tab/>
        <w:t xml:space="preserve">For the purposes of subregulation (1) the </w:t>
      </w:r>
      <w:r>
        <w:rPr>
          <w:i/>
          <w:iCs/>
        </w:rPr>
        <w:t>Magistrates Court (Civil Proceedings) Rules 2005</w:t>
      </w:r>
      <w:r>
        <w:t xml:space="preserve"> Part 7 applies so that —</w:t>
      </w:r>
    </w:p>
    <w:p>
      <w:pPr>
        <w:pStyle w:val="nzIndenta"/>
      </w:pPr>
      <w:r>
        <w:tab/>
        <w:t>(a)</w:t>
      </w:r>
      <w:r>
        <w:tab/>
        <w:t>a reference to an order under section 16(1)(n) is to be read as a reference to an order under subregulation (1); and</w:t>
      </w:r>
    </w:p>
    <w:p>
      <w:pPr>
        <w:pStyle w:val="nzIndenta"/>
      </w:pPr>
      <w:r>
        <w:tab/>
        <w:t>(b)</w:t>
      </w:r>
      <w:r>
        <w:tab/>
        <w:t>a reference to a party ordered to provide additional information by disclosing documents is a reference to an applicant who is subject to an order under subregulation (1); and</w:t>
      </w:r>
    </w:p>
    <w:p>
      <w:pPr>
        <w:pStyle w:val="nzIndenta"/>
      </w:pPr>
      <w:r>
        <w:tab/>
        <w:t>(c)</w:t>
      </w:r>
      <w:r>
        <w:tab/>
        <w:t>a reference to the Court is to be read as a reference to the warden; and</w:t>
      </w:r>
    </w:p>
    <w:p>
      <w:pPr>
        <w:pStyle w:val="nzIndenta"/>
      </w:pPr>
      <w:r>
        <w:tab/>
        <w:t>(d)</w:t>
      </w:r>
      <w:r>
        <w:tab/>
        <w:t>a reference to a case is to be read as a reference to proceedings under this Division; and</w:t>
      </w:r>
    </w:p>
    <w:p>
      <w:pPr>
        <w:pStyle w:val="nzIndenta"/>
      </w:pPr>
      <w:r>
        <w:tab/>
        <w:t>(e)</w:t>
      </w:r>
      <w:r>
        <w:tab/>
        <w:t>a reference to the trial is to be read as a reference to a substantive hearing of the proceedings.</w:t>
      </w:r>
    </w:p>
    <w:p>
      <w:pPr>
        <w:pStyle w:val="nzSubsection"/>
      </w:pPr>
      <w:r>
        <w:tab/>
        <w:t>(3)</w:t>
      </w:r>
      <w:r>
        <w:tab/>
        <w:t>An order under subregulation (1) cannot be made against a respondent.</w:t>
      </w:r>
    </w:p>
    <w:p>
      <w:pPr>
        <w:pStyle w:val="nzHeading3"/>
      </w:pPr>
      <w:bookmarkStart w:id="2490" w:name="_Toc131562100"/>
      <w:bookmarkStart w:id="2491" w:name="_Toc131562703"/>
      <w:bookmarkStart w:id="2492" w:name="_Toc131562918"/>
      <w:bookmarkStart w:id="2493" w:name="_Toc131564456"/>
      <w:bookmarkStart w:id="2494" w:name="_Toc131565690"/>
      <w:bookmarkStart w:id="2495" w:name="_Toc131844820"/>
      <w:bookmarkStart w:id="2496" w:name="_Toc131845605"/>
      <w:bookmarkStart w:id="2497" w:name="_Toc131846211"/>
      <w:bookmarkStart w:id="2498" w:name="_Toc131921323"/>
      <w:bookmarkStart w:id="2499" w:name="_Toc131921932"/>
      <w:bookmarkStart w:id="2500" w:name="_Toc141847401"/>
      <w:bookmarkStart w:id="2501" w:name="_Toc141853683"/>
      <w:bookmarkStart w:id="2502" w:name="_Toc141856178"/>
      <w:bookmarkStart w:id="2503" w:name="_Toc141862047"/>
      <w:bookmarkStart w:id="2504" w:name="_Toc141863512"/>
      <w:bookmarkStart w:id="2505" w:name="_Toc141866688"/>
      <w:bookmarkStart w:id="2506" w:name="_Toc141866812"/>
      <w:bookmarkStart w:id="2507" w:name="_Toc141868467"/>
      <w:bookmarkStart w:id="2508" w:name="_Toc142719711"/>
      <w:bookmarkStart w:id="2509" w:name="_Toc142720215"/>
      <w:bookmarkStart w:id="2510" w:name="_Toc142733071"/>
      <w:bookmarkStart w:id="2511" w:name="_Toc142794230"/>
      <w:bookmarkStart w:id="2512" w:name="_Toc142804977"/>
      <w:bookmarkStart w:id="2513" w:name="_Toc142819623"/>
      <w:bookmarkStart w:id="2514" w:name="_Toc142819740"/>
      <w:bookmarkStart w:id="2515" w:name="_Toc142886094"/>
      <w:bookmarkStart w:id="2516" w:name="_Toc142887679"/>
      <w:bookmarkStart w:id="2517" w:name="_Toc142887956"/>
      <w:bookmarkStart w:id="2518" w:name="_Toc142888780"/>
      <w:bookmarkStart w:id="2519" w:name="_Toc142889627"/>
      <w:bookmarkStart w:id="2520" w:name="_Toc143510433"/>
      <w:bookmarkStart w:id="2521" w:name="_Toc143580540"/>
      <w:bookmarkStart w:id="2522" w:name="_Toc143580687"/>
      <w:bookmarkStart w:id="2523" w:name="_Toc143580783"/>
      <w:bookmarkStart w:id="2524" w:name="_Toc143916057"/>
      <w:bookmarkStart w:id="2525" w:name="_Toc143917440"/>
      <w:bookmarkStart w:id="2526" w:name="_Toc143918636"/>
      <w:bookmarkStart w:id="2527" w:name="_Toc150596014"/>
      <w:bookmarkStart w:id="2528" w:name="_Toc150656485"/>
      <w:bookmarkStart w:id="2529" w:name="_Toc150656812"/>
      <w:bookmarkStart w:id="2530" w:name="_Toc150659044"/>
      <w:bookmarkStart w:id="2531" w:name="_Toc151544375"/>
      <w:bookmarkStart w:id="2532" w:name="_Toc151776223"/>
      <w:bookmarkStart w:id="2533" w:name="_Toc151776385"/>
      <w:bookmarkStart w:id="2534" w:name="_Toc151776630"/>
      <w:bookmarkStart w:id="2535" w:name="_Toc151778325"/>
      <w:bookmarkStart w:id="2536" w:name="_Toc156978974"/>
      <w:bookmarkStart w:id="2537" w:name="_Toc156983726"/>
      <w:bookmarkStart w:id="2538" w:name="_Toc157221585"/>
      <w:bookmarkStart w:id="2539" w:name="_Toc157221682"/>
      <w:bookmarkStart w:id="2540" w:name="_Toc157222166"/>
      <w:bookmarkStart w:id="2541" w:name="_Toc157314522"/>
      <w:bookmarkStart w:id="2542" w:name="_Toc157334687"/>
      <w:bookmarkStart w:id="2543" w:name="_Toc157334784"/>
      <w:bookmarkStart w:id="2544" w:name="_Toc157478358"/>
      <w:bookmarkStart w:id="2545" w:name="_Toc157481486"/>
      <w:bookmarkStart w:id="2546" w:name="_Toc157481714"/>
      <w:bookmarkStart w:id="2547" w:name="_Toc157486249"/>
      <w:bookmarkStart w:id="2548" w:name="_Toc157486346"/>
      <w:bookmarkStart w:id="2549" w:name="_Toc157490791"/>
      <w:bookmarkStart w:id="2550" w:name="_Toc157492027"/>
      <w:bookmarkStart w:id="2551" w:name="_Toc157496229"/>
      <w:bookmarkStart w:id="2552" w:name="_Toc157496647"/>
      <w:bookmarkStart w:id="2553" w:name="_Toc157500852"/>
      <w:bookmarkStart w:id="2554" w:name="_Toc157507602"/>
      <w:bookmarkStart w:id="2555" w:name="_Toc157833917"/>
      <w:bookmarkStart w:id="2556" w:name="_Toc157834680"/>
      <w:bookmarkStart w:id="2557" w:name="_Toc157835874"/>
      <w:bookmarkStart w:id="2558" w:name="_Toc158020323"/>
      <w:bookmarkStart w:id="2559" w:name="_Toc158024877"/>
      <w:bookmarkStart w:id="2560" w:name="_Toc158024979"/>
      <w:bookmarkStart w:id="2561" w:name="_Toc158085291"/>
      <w:bookmarkStart w:id="2562" w:name="_Toc158541160"/>
      <w:bookmarkStart w:id="2563" w:name="_Toc158541647"/>
      <w:bookmarkStart w:id="2564" w:name="_Toc161201464"/>
      <w:r>
        <w:t>Division 3 — Objections under the Act Part IV</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nzHeading5"/>
      </w:pPr>
      <w:bookmarkStart w:id="2565" w:name="_Toc131921933"/>
      <w:bookmarkStart w:id="2566" w:name="_Toc158541648"/>
      <w:bookmarkStart w:id="2567" w:name="_Toc161201465"/>
      <w:r>
        <w:t>146.</w:t>
      </w:r>
      <w:r>
        <w:tab/>
        <w:t>Making an objection</w:t>
      </w:r>
      <w:bookmarkEnd w:id="2565"/>
      <w:bookmarkEnd w:id="2566"/>
      <w:bookmarkEnd w:id="2567"/>
    </w:p>
    <w:p>
      <w:pPr>
        <w:pStyle w:val="nzSubsection"/>
      </w:pPr>
      <w:r>
        <w:tab/>
        <w:t>(1)</w:t>
      </w:r>
      <w:r>
        <w:tab/>
        <w:t>An objection shall be in the form No. 16 in the First Schedule.</w:t>
      </w:r>
    </w:p>
    <w:p>
      <w:pPr>
        <w:pStyle w:val="nzSubsection"/>
      </w:pPr>
      <w:r>
        <w:tab/>
        <w:t>(2)</w:t>
      </w:r>
      <w:r>
        <w:tab/>
        <w:t>An objection shall be made within —</w:t>
      </w:r>
    </w:p>
    <w:p>
      <w:pPr>
        <w:pStyle w:val="nzIndenta"/>
      </w:pPr>
      <w:r>
        <w:tab/>
        <w:t>(a)</w:t>
      </w:r>
      <w:r>
        <w:tab/>
        <w:t>where the application being objected to is for a mining tenement relating to private land —</w:t>
      </w:r>
    </w:p>
    <w:p>
      <w:pPr>
        <w:pStyle w:val="nzIndenti"/>
      </w:pPr>
      <w:r>
        <w:tab/>
        <w:t>(i)</w:t>
      </w:r>
      <w:r>
        <w:tab/>
        <w:t>21 days of the day on which the person was served with a copy of notice required to be given under section 33(1); or</w:t>
      </w:r>
    </w:p>
    <w:p>
      <w:pPr>
        <w:pStyle w:val="nzIndenti"/>
      </w:pPr>
      <w:r>
        <w:tab/>
        <w:t>(ii)</w:t>
      </w:r>
      <w:r>
        <w:tab/>
        <w:t>35 days after the day on which the application is lodged,</w:t>
      </w:r>
    </w:p>
    <w:p>
      <w:pPr>
        <w:pStyle w:val="nzIndenta"/>
      </w:pPr>
      <w:r>
        <w:tab/>
      </w:r>
      <w:r>
        <w:tab/>
        <w:t>whichever period ends later; or</w:t>
      </w:r>
    </w:p>
    <w:p>
      <w:pPr>
        <w:pStyle w:val="nzIndenta"/>
      </w:pPr>
      <w:r>
        <w:tab/>
        <w:t>(b)</w:t>
      </w:r>
      <w:r>
        <w:tab/>
        <w:t>in any other case — 35 days after the day the application being objected to is lodged,</w:t>
      </w:r>
    </w:p>
    <w:p>
      <w:pPr>
        <w:pStyle w:val="nzSubsection"/>
      </w:pPr>
      <w:r>
        <w:tab/>
      </w:r>
      <w:r>
        <w:tab/>
        <w:t>or such further period as the warden considers reasonable.</w:t>
      </w:r>
    </w:p>
    <w:p>
      <w:pPr>
        <w:pStyle w:val="nzSubsection"/>
      </w:pPr>
      <w:r>
        <w:tab/>
        <w:t>(3)</w:t>
      </w:r>
      <w:r>
        <w:tab/>
        <w:t>The objector shall serve a copy of the objection on the applicant as soon as practicable after the objection is made.</w:t>
      </w:r>
    </w:p>
    <w:p>
      <w:pPr>
        <w:pStyle w:val="nzHeading5"/>
      </w:pPr>
      <w:bookmarkStart w:id="2568" w:name="_Toc158541649"/>
      <w:bookmarkStart w:id="2569" w:name="_Toc161201466"/>
      <w:r>
        <w:t>147.</w:t>
      </w:r>
      <w:r>
        <w:tab/>
        <w:t>Procedure when objection heard together with proceedings under Division 2</w:t>
      </w:r>
      <w:bookmarkEnd w:id="2568"/>
      <w:bookmarkEnd w:id="2569"/>
    </w:p>
    <w:p>
      <w:pPr>
        <w:pStyle w:val="nzSubsection"/>
      </w:pPr>
      <w:r>
        <w:tab/>
      </w:r>
      <w:r>
        <w:tab/>
        <w:t>When proceedings for an objection are heard together with proceedings under Division 2 then, even if the proceedings are not joined, regulations 144 and 145 apply so that —</w:t>
      </w:r>
    </w:p>
    <w:p>
      <w:pPr>
        <w:pStyle w:val="nzIndenta"/>
      </w:pPr>
      <w:r>
        <w:tab/>
        <w:t>(a)</w:t>
      </w:r>
      <w:r>
        <w:tab/>
        <w:t>a reference to a response under regulation 141 is to be read as a reference to an objection; and</w:t>
      </w:r>
    </w:p>
    <w:p>
      <w:pPr>
        <w:pStyle w:val="nzIndenta"/>
      </w:pPr>
      <w:r>
        <w:tab/>
        <w:t>(b)</w:t>
      </w:r>
      <w:r>
        <w:tab/>
        <w:t>a reference to a respondent is a reference to the person making the objection; and</w:t>
      </w:r>
    </w:p>
    <w:p>
      <w:pPr>
        <w:pStyle w:val="nzIndenta"/>
      </w:pPr>
      <w:r>
        <w:tab/>
        <w:t>(c)</w:t>
      </w:r>
      <w:r>
        <w:tab/>
        <w:t>a reference to a party includes the person making the objection; and</w:t>
      </w:r>
    </w:p>
    <w:p>
      <w:pPr>
        <w:pStyle w:val="nzIndenta"/>
      </w:pPr>
      <w:r>
        <w:tab/>
        <w:t>(d)</w:t>
      </w:r>
      <w:r>
        <w:tab/>
        <w:t>a reference to proceedings includes the proceedings relating to the objection.</w:t>
      </w:r>
    </w:p>
    <w:p>
      <w:pPr>
        <w:pStyle w:val="nzHeading3"/>
      </w:pPr>
      <w:bookmarkStart w:id="2570" w:name="_Toc131562102"/>
      <w:bookmarkStart w:id="2571" w:name="_Toc131562705"/>
      <w:bookmarkStart w:id="2572" w:name="_Toc131562920"/>
      <w:bookmarkStart w:id="2573" w:name="_Toc131564458"/>
      <w:bookmarkStart w:id="2574" w:name="_Toc131565692"/>
      <w:bookmarkStart w:id="2575" w:name="_Toc131844822"/>
      <w:bookmarkStart w:id="2576" w:name="_Toc131845607"/>
      <w:bookmarkStart w:id="2577" w:name="_Toc131846213"/>
      <w:bookmarkStart w:id="2578" w:name="_Toc131921325"/>
      <w:bookmarkStart w:id="2579" w:name="_Toc131921934"/>
      <w:bookmarkStart w:id="2580" w:name="_Toc141847403"/>
      <w:bookmarkStart w:id="2581" w:name="_Toc141853685"/>
      <w:bookmarkStart w:id="2582" w:name="_Toc141856180"/>
      <w:bookmarkStart w:id="2583" w:name="_Toc141862049"/>
      <w:bookmarkStart w:id="2584" w:name="_Toc141863514"/>
      <w:bookmarkStart w:id="2585" w:name="_Toc141866690"/>
      <w:bookmarkStart w:id="2586" w:name="_Toc141866814"/>
      <w:bookmarkStart w:id="2587" w:name="_Toc141868469"/>
      <w:bookmarkStart w:id="2588" w:name="_Toc142719714"/>
      <w:bookmarkStart w:id="2589" w:name="_Toc142720218"/>
      <w:bookmarkStart w:id="2590" w:name="_Toc142733074"/>
      <w:bookmarkStart w:id="2591" w:name="_Toc142794233"/>
      <w:bookmarkStart w:id="2592" w:name="_Toc142804980"/>
      <w:bookmarkStart w:id="2593" w:name="_Toc142819626"/>
      <w:bookmarkStart w:id="2594" w:name="_Toc142819743"/>
      <w:bookmarkStart w:id="2595" w:name="_Toc142886097"/>
      <w:bookmarkStart w:id="2596" w:name="_Toc142887682"/>
      <w:bookmarkStart w:id="2597" w:name="_Toc142887959"/>
      <w:bookmarkStart w:id="2598" w:name="_Toc142888783"/>
      <w:bookmarkStart w:id="2599" w:name="_Toc142889630"/>
      <w:bookmarkStart w:id="2600" w:name="_Toc143510436"/>
      <w:bookmarkStart w:id="2601" w:name="_Toc143580543"/>
      <w:bookmarkStart w:id="2602" w:name="_Toc143580690"/>
      <w:bookmarkStart w:id="2603" w:name="_Toc143580786"/>
      <w:bookmarkStart w:id="2604" w:name="_Toc143916060"/>
      <w:bookmarkStart w:id="2605" w:name="_Toc143917443"/>
      <w:bookmarkStart w:id="2606" w:name="_Toc143918639"/>
      <w:bookmarkStart w:id="2607" w:name="_Toc150596017"/>
      <w:bookmarkStart w:id="2608" w:name="_Toc150656488"/>
      <w:bookmarkStart w:id="2609" w:name="_Toc150656815"/>
      <w:bookmarkStart w:id="2610" w:name="_Toc150659047"/>
      <w:bookmarkStart w:id="2611" w:name="_Toc151544378"/>
      <w:bookmarkStart w:id="2612" w:name="_Toc151776226"/>
      <w:bookmarkStart w:id="2613" w:name="_Toc151776388"/>
      <w:bookmarkStart w:id="2614" w:name="_Toc151776633"/>
      <w:bookmarkStart w:id="2615" w:name="_Toc151778328"/>
      <w:bookmarkStart w:id="2616" w:name="_Toc156978977"/>
      <w:bookmarkStart w:id="2617" w:name="_Toc156983729"/>
      <w:bookmarkStart w:id="2618" w:name="_Toc157221588"/>
      <w:bookmarkStart w:id="2619" w:name="_Toc157221685"/>
      <w:bookmarkStart w:id="2620" w:name="_Toc157222169"/>
      <w:bookmarkStart w:id="2621" w:name="_Toc157314525"/>
      <w:bookmarkStart w:id="2622" w:name="_Toc157334690"/>
      <w:bookmarkStart w:id="2623" w:name="_Toc157334787"/>
      <w:bookmarkStart w:id="2624" w:name="_Toc157478361"/>
      <w:bookmarkStart w:id="2625" w:name="_Toc157481489"/>
      <w:bookmarkStart w:id="2626" w:name="_Toc157481717"/>
      <w:bookmarkStart w:id="2627" w:name="_Toc157486252"/>
      <w:bookmarkStart w:id="2628" w:name="_Toc157486349"/>
      <w:bookmarkStart w:id="2629" w:name="_Toc157490794"/>
      <w:bookmarkStart w:id="2630" w:name="_Toc157492030"/>
      <w:bookmarkStart w:id="2631" w:name="_Toc157496232"/>
      <w:bookmarkStart w:id="2632" w:name="_Toc157496650"/>
      <w:bookmarkStart w:id="2633" w:name="_Toc157500855"/>
      <w:bookmarkStart w:id="2634" w:name="_Toc157507605"/>
      <w:bookmarkStart w:id="2635" w:name="_Toc157833920"/>
      <w:bookmarkStart w:id="2636" w:name="_Toc157834683"/>
      <w:bookmarkStart w:id="2637" w:name="_Toc157835877"/>
      <w:bookmarkStart w:id="2638" w:name="_Toc158020326"/>
      <w:bookmarkStart w:id="2639" w:name="_Toc158024880"/>
      <w:bookmarkStart w:id="2640" w:name="_Toc158024982"/>
      <w:bookmarkStart w:id="2641" w:name="_Toc158085294"/>
      <w:bookmarkStart w:id="2642" w:name="_Toc158541163"/>
      <w:bookmarkStart w:id="2643" w:name="_Toc158541650"/>
      <w:bookmarkStart w:id="2644" w:name="_Toc161201467"/>
      <w:r>
        <w:t>Division 4 — Service</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nzHeading5"/>
      </w:pPr>
      <w:bookmarkStart w:id="2645" w:name="_Toc158541651"/>
      <w:bookmarkStart w:id="2646" w:name="_Toc161201468"/>
      <w:r>
        <w:t>148.</w:t>
      </w:r>
      <w:r>
        <w:tab/>
        <w:t>Meaning of “serve”</w:t>
      </w:r>
      <w:bookmarkEnd w:id="2645"/>
      <w:bookmarkEnd w:id="2646"/>
    </w:p>
    <w:p>
      <w:pPr>
        <w:pStyle w:val="nzSubsection"/>
      </w:pPr>
      <w:r>
        <w:tab/>
      </w:r>
      <w:r>
        <w:tab/>
        <w:t xml:space="preserve">If under this Part a party is required to serve a document — </w:t>
      </w:r>
    </w:p>
    <w:p>
      <w:pPr>
        <w:pStyle w:val="nzIndenta"/>
      </w:pPr>
      <w:r>
        <w:tab/>
        <w:t>(a)</w:t>
      </w:r>
      <w:r>
        <w:tab/>
        <w:t>the party shall serve a copy of the document returned after lodgment; and</w:t>
      </w:r>
    </w:p>
    <w:p>
      <w:pPr>
        <w:pStyle w:val="nzIndenta"/>
      </w:pPr>
      <w:r>
        <w:tab/>
        <w:t>(b)</w:t>
      </w:r>
      <w:r>
        <w:tab/>
        <w:t>unless these regulations provide otherwise or the warden otherwise directs, the party shall serve it on each other party within 14 days after the document is lodged.</w:t>
      </w:r>
    </w:p>
    <w:p>
      <w:pPr>
        <w:pStyle w:val="nzHeading5"/>
      </w:pPr>
      <w:bookmarkStart w:id="2647" w:name="_Toc158541652"/>
      <w:bookmarkStart w:id="2648" w:name="_Toc161201469"/>
      <w:r>
        <w:t>149.</w:t>
      </w:r>
      <w:r>
        <w:tab/>
        <w:t>Residential, business or postal address for service</w:t>
      </w:r>
      <w:bookmarkEnd w:id="2647"/>
      <w:bookmarkEnd w:id="2648"/>
    </w:p>
    <w:p>
      <w:pPr>
        <w:pStyle w:val="nzSubsection"/>
      </w:pPr>
      <w:r>
        <w:tab/>
      </w:r>
      <w:r>
        <w:tab/>
        <w:t>A document lodged in relation to proceedings before the warden shall contain a residential, business or postal address for service.</w:t>
      </w:r>
    </w:p>
    <w:p>
      <w:pPr>
        <w:pStyle w:val="nzHeading5"/>
      </w:pPr>
      <w:bookmarkStart w:id="2649" w:name="_Toc158541653"/>
      <w:bookmarkStart w:id="2650" w:name="_Toc161201470"/>
      <w:r>
        <w:t>150.</w:t>
      </w:r>
      <w:r>
        <w:tab/>
        <w:t>Documents served by other persons</w:t>
      </w:r>
      <w:bookmarkEnd w:id="2649"/>
      <w:bookmarkEnd w:id="2650"/>
    </w:p>
    <w:p>
      <w:pPr>
        <w:pStyle w:val="nzSubsection"/>
      </w:pPr>
      <w:r>
        <w:tab/>
        <w:t>(1)</w:t>
      </w:r>
      <w:r>
        <w:tab/>
        <w:t>If a document is served by a party to proceedings before the warden, or on behalf of a party by another person, the party shall lodge at the office of the mining registrar an affidavit of service completed by the person who served the document.</w:t>
      </w:r>
    </w:p>
    <w:p>
      <w:pPr>
        <w:pStyle w:val="nzSubsection"/>
      </w:pPr>
      <w:r>
        <w:tab/>
        <w:t>(2)</w:t>
      </w:r>
      <w:r>
        <w:tab/>
        <w:t>The affidavit of service shall be in the form No. 35 in the First Schedule.</w:t>
      </w:r>
    </w:p>
    <w:p>
      <w:pPr>
        <w:pStyle w:val="nzSubsection"/>
      </w:pPr>
      <w:r>
        <w:tab/>
        <w:t>(3)</w:t>
      </w:r>
      <w:r>
        <w:tab/>
        <w:t xml:space="preserve">If the document is served by a bailiff of the warden’s court, any written certificate of service of the bailiff lodged by the party — </w:t>
      </w:r>
    </w:p>
    <w:p>
      <w:pPr>
        <w:pStyle w:val="nzIndenta"/>
      </w:pPr>
      <w:r>
        <w:tab/>
        <w:t>(a)</w:t>
      </w:r>
      <w:r>
        <w:tab/>
        <w:t>is to be taken to be an affidavit of service for the purposes of this regulation; and</w:t>
      </w:r>
    </w:p>
    <w:p>
      <w:pPr>
        <w:pStyle w:val="nzIndenta"/>
      </w:pPr>
      <w:r>
        <w:tab/>
        <w:t>(b)</w:t>
      </w:r>
      <w:r>
        <w:tab/>
        <w:t>is admissible as evidence and, in the absence of proof to the contrary, is proof that the document was served by the bailiff.</w:t>
      </w:r>
    </w:p>
    <w:p>
      <w:pPr>
        <w:pStyle w:val="nzHeading5"/>
      </w:pPr>
      <w:bookmarkStart w:id="2651" w:name="_Toc158541654"/>
      <w:bookmarkStart w:id="2652" w:name="_Toc161201471"/>
      <w:r>
        <w:t>151.</w:t>
      </w:r>
      <w:r>
        <w:tab/>
        <w:t>Substituted service</w:t>
      </w:r>
      <w:bookmarkEnd w:id="2651"/>
      <w:bookmarkEnd w:id="2652"/>
    </w:p>
    <w:p>
      <w:pPr>
        <w:pStyle w:val="nzSubsection"/>
      </w:pPr>
      <w:r>
        <w:tab/>
        <w:t>(1)</w:t>
      </w:r>
      <w:r>
        <w:tab/>
        <w:t>If for any reason it is impractical to serve a document in the manner set out in this Division, the warden may, on an application in the form No. 36A in the First Schedule by the person required to serve that document, order that, instead of using such a manner, such steps be taken as are specified in the order for the purpose of bringing the document to the notice of the person to be served with or given the document.</w:t>
      </w:r>
    </w:p>
    <w:p>
      <w:pPr>
        <w:pStyle w:val="nz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nzHeading3"/>
      </w:pPr>
      <w:bookmarkStart w:id="2653" w:name="_Toc142733079"/>
      <w:bookmarkStart w:id="2654" w:name="_Toc142794238"/>
      <w:bookmarkStart w:id="2655" w:name="_Toc142804985"/>
      <w:bookmarkStart w:id="2656" w:name="_Toc142819631"/>
      <w:bookmarkStart w:id="2657" w:name="_Toc142819748"/>
      <w:bookmarkStart w:id="2658" w:name="_Toc142886102"/>
      <w:bookmarkStart w:id="2659" w:name="_Toc142887687"/>
      <w:bookmarkStart w:id="2660" w:name="_Toc142887964"/>
      <w:bookmarkStart w:id="2661" w:name="_Toc142888788"/>
      <w:bookmarkStart w:id="2662" w:name="_Toc142889635"/>
      <w:bookmarkStart w:id="2663" w:name="_Toc143510441"/>
      <w:bookmarkStart w:id="2664" w:name="_Toc143580548"/>
      <w:bookmarkStart w:id="2665" w:name="_Toc143580695"/>
      <w:bookmarkStart w:id="2666" w:name="_Toc143580791"/>
      <w:bookmarkStart w:id="2667" w:name="_Toc143916065"/>
      <w:bookmarkStart w:id="2668" w:name="_Toc143917448"/>
      <w:bookmarkStart w:id="2669" w:name="_Toc143918644"/>
      <w:bookmarkStart w:id="2670" w:name="_Toc150596022"/>
      <w:bookmarkStart w:id="2671" w:name="_Toc150656493"/>
      <w:bookmarkStart w:id="2672" w:name="_Toc150656820"/>
      <w:bookmarkStart w:id="2673" w:name="_Toc150659052"/>
      <w:bookmarkStart w:id="2674" w:name="_Toc151544383"/>
      <w:bookmarkStart w:id="2675" w:name="_Toc151776231"/>
      <w:bookmarkStart w:id="2676" w:name="_Toc151776393"/>
      <w:bookmarkStart w:id="2677" w:name="_Toc151776638"/>
      <w:bookmarkStart w:id="2678" w:name="_Toc151778333"/>
      <w:bookmarkStart w:id="2679" w:name="_Toc156978982"/>
      <w:bookmarkStart w:id="2680" w:name="_Toc156983734"/>
      <w:bookmarkStart w:id="2681" w:name="_Toc157221593"/>
      <w:bookmarkStart w:id="2682" w:name="_Toc157221690"/>
      <w:bookmarkStart w:id="2683" w:name="_Toc157222174"/>
      <w:bookmarkStart w:id="2684" w:name="_Toc157314530"/>
      <w:bookmarkStart w:id="2685" w:name="_Toc157334695"/>
      <w:bookmarkStart w:id="2686" w:name="_Toc157334792"/>
      <w:bookmarkStart w:id="2687" w:name="_Toc157478366"/>
      <w:bookmarkStart w:id="2688" w:name="_Toc157481494"/>
      <w:bookmarkStart w:id="2689" w:name="_Toc157481722"/>
      <w:bookmarkStart w:id="2690" w:name="_Toc157486257"/>
      <w:bookmarkStart w:id="2691" w:name="_Toc157486354"/>
      <w:bookmarkStart w:id="2692" w:name="_Toc157490799"/>
      <w:bookmarkStart w:id="2693" w:name="_Toc157492035"/>
      <w:bookmarkStart w:id="2694" w:name="_Toc157496237"/>
      <w:bookmarkStart w:id="2695" w:name="_Toc157496655"/>
      <w:bookmarkStart w:id="2696" w:name="_Toc157500860"/>
      <w:bookmarkStart w:id="2697" w:name="_Toc157507610"/>
      <w:bookmarkStart w:id="2698" w:name="_Toc157833925"/>
      <w:bookmarkStart w:id="2699" w:name="_Toc157834688"/>
      <w:bookmarkStart w:id="2700" w:name="_Toc157835882"/>
      <w:bookmarkStart w:id="2701" w:name="_Toc158020331"/>
      <w:bookmarkStart w:id="2702" w:name="_Toc158024885"/>
      <w:bookmarkStart w:id="2703" w:name="_Toc158024987"/>
      <w:bookmarkStart w:id="2704" w:name="_Toc158085299"/>
      <w:bookmarkStart w:id="2705" w:name="_Toc158541168"/>
      <w:bookmarkStart w:id="2706" w:name="_Toc158541655"/>
      <w:bookmarkStart w:id="2707" w:name="_Toc161201472"/>
      <w:bookmarkStart w:id="2708" w:name="_Toc131562111"/>
      <w:bookmarkStart w:id="2709" w:name="_Toc131562714"/>
      <w:bookmarkStart w:id="2710" w:name="_Toc131562929"/>
      <w:bookmarkStart w:id="2711" w:name="_Toc131564467"/>
      <w:bookmarkStart w:id="2712" w:name="_Toc131565701"/>
      <w:bookmarkStart w:id="2713" w:name="_Toc131844831"/>
      <w:bookmarkStart w:id="2714" w:name="_Toc131845616"/>
      <w:bookmarkStart w:id="2715" w:name="_Toc131846222"/>
      <w:bookmarkStart w:id="2716" w:name="_Toc131921334"/>
      <w:bookmarkStart w:id="2717" w:name="_Toc131921943"/>
      <w:bookmarkStart w:id="2718" w:name="_Toc141847412"/>
      <w:bookmarkStart w:id="2719" w:name="_Toc141853694"/>
      <w:bookmarkStart w:id="2720" w:name="_Toc141856189"/>
      <w:bookmarkStart w:id="2721" w:name="_Toc141862058"/>
      <w:bookmarkStart w:id="2722" w:name="_Toc141863523"/>
      <w:bookmarkStart w:id="2723" w:name="_Toc141866699"/>
      <w:bookmarkStart w:id="2724" w:name="_Toc141866823"/>
      <w:bookmarkStart w:id="2725" w:name="_Toc141868478"/>
      <w:bookmarkStart w:id="2726" w:name="_Toc142719723"/>
      <w:bookmarkStart w:id="2727" w:name="_Toc142720227"/>
      <w:r>
        <w:t>Division 5 — Interlocutory orders and directions</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r>
        <w:t xml:space="preserve"> by the warden</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nzHeading5"/>
      </w:pPr>
      <w:bookmarkStart w:id="2728" w:name="_Toc158541656"/>
      <w:bookmarkStart w:id="2729" w:name="_Toc161201473"/>
      <w:r>
        <w:t>152.</w:t>
      </w:r>
      <w:r>
        <w:tab/>
        <w:t>General powers of the warden in relation to interlocutory orders and directions</w:t>
      </w:r>
      <w:bookmarkEnd w:id="2728"/>
      <w:bookmarkEnd w:id="2729"/>
    </w:p>
    <w:p>
      <w:pPr>
        <w:pStyle w:val="nz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nzIndenta"/>
      </w:pPr>
      <w:r>
        <w:tab/>
        <w:t>(a)</w:t>
      </w:r>
      <w:r>
        <w:tab/>
        <w:t>make an order that proceedings be heard and determined at another place if —</w:t>
      </w:r>
    </w:p>
    <w:p>
      <w:pPr>
        <w:pStyle w:val="nzIndenti"/>
      </w:pPr>
      <w:r>
        <w:tab/>
        <w:t>(i)</w:t>
      </w:r>
      <w:r>
        <w:tab/>
        <w:t>the warden is satisfied that the proceedings could more conveniently or fairly be heard and determined at the other place; or</w:t>
      </w:r>
    </w:p>
    <w:p>
      <w:pPr>
        <w:pStyle w:val="nzIndenti"/>
      </w:pPr>
      <w:r>
        <w:tab/>
        <w:t>(ii)</w:t>
      </w:r>
      <w:r>
        <w:tab/>
        <w:t xml:space="preserve">the parties consent to the proceedings being heard and determined at the other place; </w:t>
      </w:r>
    </w:p>
    <w:p>
      <w:pPr>
        <w:pStyle w:val="nzIndenta"/>
      </w:pPr>
      <w:r>
        <w:tab/>
        <w:t>(b)</w:t>
      </w:r>
      <w:r>
        <w:tab/>
        <w:t xml:space="preserve">extend the time for complying with any regulation in this Part or any order made by the warden (even if the time for complying has expired), or shorten it; </w:t>
      </w:r>
    </w:p>
    <w:p>
      <w:pPr>
        <w:pStyle w:val="nzIndenta"/>
      </w:pPr>
      <w:r>
        <w:tab/>
        <w:t>(c)</w:t>
      </w:r>
      <w:r>
        <w:tab/>
        <w:t xml:space="preserve">adjourn or bring forward a hearing to a specified date; </w:t>
      </w:r>
    </w:p>
    <w:p>
      <w:pPr>
        <w:pStyle w:val="nzIndenta"/>
      </w:pPr>
      <w:r>
        <w:tab/>
        <w:t>(d)</w:t>
      </w:r>
      <w:r>
        <w:tab/>
        <w:t xml:space="preserve">stay any proceedings, either generally or until a specified date; </w:t>
      </w:r>
    </w:p>
    <w:p>
      <w:pPr>
        <w:pStyle w:val="nzIndenta"/>
      </w:pPr>
      <w:r>
        <w:tab/>
        <w:t>(e)</w:t>
      </w:r>
      <w:r>
        <w:tab/>
        <w:t xml:space="preserve">consolidate proceedings; </w:t>
      </w:r>
    </w:p>
    <w:p>
      <w:pPr>
        <w:pStyle w:val="nzIndenta"/>
      </w:pPr>
      <w:r>
        <w:tab/>
        <w:t>(f)</w:t>
      </w:r>
      <w:r>
        <w:tab/>
        <w:t xml:space="preserve">hear 2 or more proceedings on the same occasion; </w:t>
      </w:r>
    </w:p>
    <w:p>
      <w:pPr>
        <w:pStyle w:val="nzIndenta"/>
      </w:pPr>
      <w:r>
        <w:tab/>
        <w:t>(g)</w:t>
      </w:r>
      <w:r>
        <w:tab/>
        <w:t xml:space="preserve">hold a hearing by audio link or video link (as those terms are defined in the </w:t>
      </w:r>
      <w:r>
        <w:rPr>
          <w:i/>
          <w:iCs/>
        </w:rPr>
        <w:t>Evidence Act 1906</w:t>
      </w:r>
      <w:r>
        <w:t xml:space="preserve"> section 120); </w:t>
      </w:r>
    </w:p>
    <w:p>
      <w:pPr>
        <w:pStyle w:val="nzIndenta"/>
      </w:pPr>
      <w:r>
        <w:tab/>
        <w:t>(h)</w:t>
      </w:r>
      <w:r>
        <w:tab/>
        <w:t xml:space="preserve">allow a party to amend its application, objection, response or particulars under regulation 144; </w:t>
      </w:r>
    </w:p>
    <w:p>
      <w:pPr>
        <w:pStyle w:val="nzIndenta"/>
      </w:pPr>
      <w:r>
        <w:tab/>
        <w:t>(i)</w:t>
      </w:r>
      <w:r>
        <w:tab/>
        <w:t xml:space="preserve">dispense with any interlocutory proceedings; </w:t>
      </w:r>
    </w:p>
    <w:p>
      <w:pPr>
        <w:pStyle w:val="nzIndenta"/>
      </w:pPr>
      <w:r>
        <w:tab/>
        <w:t>(j)</w:t>
      </w:r>
      <w:r>
        <w:tab/>
        <w:t xml:space="preserve">as to the hearing of any interlocutory application — </w:t>
      </w:r>
    </w:p>
    <w:p>
      <w:pPr>
        <w:pStyle w:val="nzIndenti"/>
      </w:pPr>
      <w:r>
        <w:tab/>
        <w:t>(i)</w:t>
      </w:r>
      <w:r>
        <w:tab/>
        <w:t>direct the parties to confer in order to identify the issues between them and resolve as many as possible before the hearing and to identify the issues to be heard; and</w:t>
      </w:r>
    </w:p>
    <w:p>
      <w:pPr>
        <w:pStyle w:val="nzIndenti"/>
      </w:pPr>
      <w:r>
        <w:tab/>
        <w:t>(ii)</w:t>
      </w:r>
      <w:r>
        <w:tab/>
        <w:t xml:space="preserve">direct the parties to file and exchange memoranda before the hearing in order to identify the issues to be heard; </w:t>
      </w:r>
    </w:p>
    <w:p>
      <w:pPr>
        <w:pStyle w:val="nz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nzIndenta"/>
      </w:pPr>
      <w:r>
        <w:tab/>
        <w:t>(l)</w:t>
      </w:r>
      <w:r>
        <w:tab/>
        <w:t>do anything else that in the warden’s opinion will or may facilitate proceedings being conducted and concluded efficiently, economically and expeditiously.</w:t>
      </w:r>
    </w:p>
    <w:p>
      <w:pPr>
        <w:pStyle w:val="nzSubsection"/>
      </w:pPr>
      <w:r>
        <w:tab/>
        <w:t>(2)</w:t>
      </w:r>
      <w:r>
        <w:tab/>
        <w:t>Without limiting subregulation (1), for the purposes of the substantive hearing of proceedings or the hearing of an interlocutory application a warden may do all or any of the following —</w:t>
      </w:r>
    </w:p>
    <w:p>
      <w:pPr>
        <w:pStyle w:val="nzIndenta"/>
      </w:pPr>
      <w:r>
        <w:tab/>
        <w:t>(a)</w:t>
      </w:r>
      <w:r>
        <w:tab/>
        <w:t xml:space="preserve">direct the mining registrar to issue a witness summons referred to in regulation 157, whether on behalf of a party or on the warden’s own motion; </w:t>
      </w:r>
    </w:p>
    <w:p>
      <w:pPr>
        <w:pStyle w:val="nzIndenta"/>
      </w:pPr>
      <w:r>
        <w:tab/>
        <w:t>(b)</w:t>
      </w:r>
      <w:r>
        <w:tab/>
        <w:t xml:space="preserve">inspect any document produced at the hearing, and retain it for such reasonable period as is required, and make copies of the document or any of its contents; </w:t>
      </w:r>
    </w:p>
    <w:p>
      <w:pPr>
        <w:pStyle w:val="nzIndenta"/>
      </w:pPr>
      <w:r>
        <w:tab/>
        <w:t>(c)</w:t>
      </w:r>
      <w:r>
        <w:tab/>
        <w:t>require any person to swear or affirm to answer truly any relevant question put to that person by the warden or any person attending the hearing.</w:t>
      </w:r>
    </w:p>
    <w:p>
      <w:pPr>
        <w:pStyle w:val="nzSubsection"/>
      </w:pPr>
      <w:r>
        <w:tab/>
        <w:t>(3)</w:t>
      </w:r>
      <w:r>
        <w:tab/>
        <w:t>A power of the warden to make an interlocutory order or give a direction includes a power to vary or cancel the order or direction.</w:t>
      </w:r>
    </w:p>
    <w:p>
      <w:pPr>
        <w:pStyle w:val="nzHeading5"/>
      </w:pPr>
      <w:bookmarkStart w:id="2730" w:name="_Toc158541657"/>
      <w:bookmarkStart w:id="2731" w:name="_Toc161201474"/>
      <w:r>
        <w:t>153.</w:t>
      </w:r>
      <w:r>
        <w:tab/>
        <w:t>Applications for interlocutory orders or directions</w:t>
      </w:r>
      <w:bookmarkEnd w:id="2730"/>
      <w:bookmarkEnd w:id="2731"/>
    </w:p>
    <w:p>
      <w:pPr>
        <w:pStyle w:val="nzSubsection"/>
      </w:pPr>
      <w:r>
        <w:tab/>
        <w:t>(1)</w:t>
      </w:r>
      <w:r>
        <w:tab/>
        <w:t>A party may make an application for an order or direction of the warden by lodging and serving it in the form No. 36A in the First Schedule.</w:t>
      </w:r>
    </w:p>
    <w:p>
      <w:pPr>
        <w:pStyle w:val="nzSubsection"/>
      </w:pPr>
      <w:r>
        <w:tab/>
        <w:t>(2)</w:t>
      </w:r>
      <w:r>
        <w:tab/>
        <w:t>The application shall be supported by an affidavit that is lodged and served together with the application.</w:t>
      </w:r>
    </w:p>
    <w:p>
      <w:pPr>
        <w:pStyle w:val="nzSubsection"/>
      </w:pPr>
      <w:r>
        <w:tab/>
        <w:t>(3)</w:t>
      </w:r>
      <w:r>
        <w:tab/>
        <w:t>The application must be made at least 7 clear days before the substantive hearing to which the application relates.</w:t>
      </w:r>
    </w:p>
    <w:p>
      <w:pPr>
        <w:pStyle w:val="nzHeading3"/>
      </w:pPr>
      <w:bookmarkStart w:id="2732" w:name="_Toc142733082"/>
      <w:bookmarkStart w:id="2733" w:name="_Toc142794241"/>
      <w:bookmarkStart w:id="2734" w:name="_Toc142804988"/>
      <w:bookmarkStart w:id="2735" w:name="_Toc142819634"/>
      <w:bookmarkStart w:id="2736" w:name="_Toc142819751"/>
      <w:bookmarkStart w:id="2737" w:name="_Toc142886105"/>
      <w:bookmarkStart w:id="2738" w:name="_Toc142887690"/>
      <w:bookmarkStart w:id="2739" w:name="_Toc142887967"/>
      <w:bookmarkStart w:id="2740" w:name="_Toc142888791"/>
      <w:bookmarkStart w:id="2741" w:name="_Toc142889638"/>
      <w:bookmarkStart w:id="2742" w:name="_Toc143510444"/>
      <w:bookmarkStart w:id="2743" w:name="_Toc143580551"/>
      <w:bookmarkStart w:id="2744" w:name="_Toc143580698"/>
      <w:bookmarkStart w:id="2745" w:name="_Toc143580794"/>
      <w:bookmarkStart w:id="2746" w:name="_Toc143916068"/>
      <w:bookmarkStart w:id="2747" w:name="_Toc143917451"/>
      <w:bookmarkStart w:id="2748" w:name="_Toc143918647"/>
      <w:bookmarkStart w:id="2749" w:name="_Toc150596025"/>
      <w:bookmarkStart w:id="2750" w:name="_Toc150656496"/>
      <w:bookmarkStart w:id="2751" w:name="_Toc150656823"/>
      <w:bookmarkStart w:id="2752" w:name="_Toc150659055"/>
      <w:bookmarkStart w:id="2753" w:name="_Toc151544386"/>
      <w:bookmarkStart w:id="2754" w:name="_Toc151776234"/>
      <w:bookmarkStart w:id="2755" w:name="_Toc151776396"/>
      <w:bookmarkStart w:id="2756" w:name="_Toc151776641"/>
      <w:bookmarkStart w:id="2757" w:name="_Toc151778336"/>
      <w:bookmarkStart w:id="2758" w:name="_Toc156978985"/>
      <w:bookmarkStart w:id="2759" w:name="_Toc156983737"/>
      <w:bookmarkStart w:id="2760" w:name="_Toc157221596"/>
      <w:bookmarkStart w:id="2761" w:name="_Toc157221693"/>
      <w:bookmarkStart w:id="2762" w:name="_Toc157222177"/>
      <w:bookmarkStart w:id="2763" w:name="_Toc157314533"/>
      <w:bookmarkStart w:id="2764" w:name="_Toc157334698"/>
      <w:bookmarkStart w:id="2765" w:name="_Toc157334795"/>
      <w:bookmarkStart w:id="2766" w:name="_Toc157478369"/>
      <w:bookmarkStart w:id="2767" w:name="_Toc157481497"/>
      <w:bookmarkStart w:id="2768" w:name="_Toc157481725"/>
      <w:bookmarkStart w:id="2769" w:name="_Toc157486260"/>
      <w:bookmarkStart w:id="2770" w:name="_Toc157486357"/>
      <w:bookmarkStart w:id="2771" w:name="_Toc157490802"/>
      <w:bookmarkStart w:id="2772" w:name="_Toc157492038"/>
      <w:bookmarkStart w:id="2773" w:name="_Toc157496240"/>
      <w:bookmarkStart w:id="2774" w:name="_Toc157496658"/>
      <w:bookmarkStart w:id="2775" w:name="_Toc157500863"/>
      <w:bookmarkStart w:id="2776" w:name="_Toc157507613"/>
      <w:bookmarkStart w:id="2777" w:name="_Toc157833928"/>
      <w:bookmarkStart w:id="2778" w:name="_Toc157834691"/>
      <w:bookmarkStart w:id="2779" w:name="_Toc157835885"/>
      <w:bookmarkStart w:id="2780" w:name="_Toc158020334"/>
      <w:bookmarkStart w:id="2781" w:name="_Toc158024888"/>
      <w:bookmarkStart w:id="2782" w:name="_Toc158024990"/>
      <w:bookmarkStart w:id="2783" w:name="_Toc158085302"/>
      <w:bookmarkStart w:id="2784" w:name="_Toc158541171"/>
      <w:bookmarkStart w:id="2785" w:name="_Toc158541658"/>
      <w:bookmarkStart w:id="2786" w:name="_Toc161201475"/>
      <w:r>
        <w:t>Division 6 — Conduct of hearings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nzHeading5"/>
      </w:pPr>
      <w:bookmarkStart w:id="2787" w:name="_Toc158541659"/>
      <w:bookmarkStart w:id="2788" w:name="_Toc161201476"/>
      <w:r>
        <w:t>154.</w:t>
      </w:r>
      <w:r>
        <w:tab/>
        <w:t>Conduct of hearings generally</w:t>
      </w:r>
      <w:bookmarkEnd w:id="2787"/>
      <w:bookmarkEnd w:id="2788"/>
    </w:p>
    <w:p>
      <w:pPr>
        <w:pStyle w:val="nzSubsection"/>
      </w:pPr>
      <w:r>
        <w:tab/>
        <w:t>(1)</w:t>
      </w:r>
      <w:r>
        <w:tab/>
        <w:t>In conducting any hearing the warden —</w:t>
      </w:r>
    </w:p>
    <w:p>
      <w:pPr>
        <w:pStyle w:val="nzIndenta"/>
      </w:pPr>
      <w:r>
        <w:tab/>
        <w:t>(a)</w:t>
      </w:r>
      <w:r>
        <w:tab/>
        <w:t>is to act with as little formality as possible; and</w:t>
      </w:r>
    </w:p>
    <w:p>
      <w:pPr>
        <w:pStyle w:val="nzIndenta"/>
      </w:pPr>
      <w:r>
        <w:tab/>
        <w:t>(b)</w:t>
      </w:r>
      <w:r>
        <w:tab/>
        <w:t>is bound by the rules of natural justice; and</w:t>
      </w:r>
    </w:p>
    <w:p>
      <w:pPr>
        <w:pStyle w:val="nzIndenta"/>
      </w:pPr>
      <w:r>
        <w:tab/>
        <w:t>(c)</w:t>
      </w:r>
      <w:r>
        <w:tab/>
        <w:t>is not bound by the rules of evidence; and</w:t>
      </w:r>
    </w:p>
    <w:p>
      <w:pPr>
        <w:pStyle w:val="nzIndenta"/>
      </w:pPr>
      <w:r>
        <w:tab/>
        <w:t>(d)</w:t>
      </w:r>
      <w:r>
        <w:tab/>
        <w:t>may inform himself or herself of any matter in any manner he or she considers appropriate.</w:t>
      </w:r>
    </w:p>
    <w:p>
      <w:pPr>
        <w:pStyle w:val="nzSubsection"/>
      </w:pPr>
      <w:r>
        <w:tab/>
        <w:t>(2)</w:t>
      </w:r>
      <w:r>
        <w:tab/>
        <w:t>Subject to subregulation (3), a hearing is to be conducted in public.</w:t>
      </w:r>
    </w:p>
    <w:p>
      <w:pPr>
        <w:pStyle w:val="nz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nzSubsection"/>
      </w:pPr>
      <w:r>
        <w:tab/>
        <w:t>(4)</w:t>
      </w:r>
      <w:r>
        <w:tab/>
        <w:t>If the warden gives a direction under subregulation (3) the warden may give directions as to the persons who may be present at the hearing.</w:t>
      </w:r>
    </w:p>
    <w:p>
      <w:pPr>
        <w:pStyle w:val="nzSubsection"/>
      </w:pPr>
      <w:r>
        <w:tab/>
        <w:t>(5)</w:t>
      </w:r>
      <w:r>
        <w:tab/>
        <w:t>Irrespective of whether the warden gives a direction under subregulation (3), the warden may order that —</w:t>
      </w:r>
    </w:p>
    <w:p>
      <w:pPr>
        <w:pStyle w:val="nzIndenta"/>
      </w:pPr>
      <w:r>
        <w:tab/>
        <w:t>(a)</w:t>
      </w:r>
      <w:r>
        <w:tab/>
        <w:t>any evidence given before the warden; or</w:t>
      </w:r>
    </w:p>
    <w:p>
      <w:pPr>
        <w:pStyle w:val="nzIndenta"/>
      </w:pPr>
      <w:r>
        <w:tab/>
        <w:t>(b)</w:t>
      </w:r>
      <w:r>
        <w:tab/>
        <w:t>the content of any documents produced to the warden,</w:t>
      </w:r>
    </w:p>
    <w:p>
      <w:pPr>
        <w:pStyle w:val="nzSubsection"/>
      </w:pPr>
      <w:r>
        <w:tab/>
      </w:r>
      <w:r>
        <w:tab/>
        <w:t>during any part of the hearing is not to be published except in the manner and to the persons specified by the warden.</w:t>
      </w:r>
    </w:p>
    <w:p>
      <w:pPr>
        <w:pStyle w:val="nzHeading5"/>
      </w:pPr>
      <w:bookmarkStart w:id="2789" w:name="_Toc158541660"/>
      <w:bookmarkStart w:id="2790" w:name="_Toc161201477"/>
      <w:r>
        <w:t>155.</w:t>
      </w:r>
      <w:r>
        <w:tab/>
        <w:t>Attendance at mention hearings and interlocutory hearings</w:t>
      </w:r>
      <w:bookmarkEnd w:id="2789"/>
      <w:bookmarkEnd w:id="2790"/>
    </w:p>
    <w:p>
      <w:pPr>
        <w:pStyle w:val="nzSubsection"/>
      </w:pPr>
      <w:r>
        <w:tab/>
        <w:t>(1)</w:t>
      </w:r>
      <w:r>
        <w:tab/>
        <w:t>A party must attend a mention hearing or the hearing of an interlocutory application —</w:t>
      </w:r>
    </w:p>
    <w:p>
      <w:pPr>
        <w:pStyle w:val="nzIndenta"/>
      </w:pPr>
      <w:r>
        <w:tab/>
        <w:t>(a)</w:t>
      </w:r>
      <w:r>
        <w:tab/>
        <w:t>through a lawyer or agent; or</w:t>
      </w:r>
    </w:p>
    <w:p>
      <w:pPr>
        <w:pStyle w:val="nzIndenta"/>
      </w:pPr>
      <w:r>
        <w:tab/>
        <w:t>(b)</w:t>
      </w:r>
      <w:r>
        <w:tab/>
        <w:t>if the warden so orders — in person.</w:t>
      </w:r>
    </w:p>
    <w:p>
      <w:pPr>
        <w:pStyle w:val="nzSubsection"/>
      </w:pPr>
      <w:r>
        <w:tab/>
        <w:t>(2)</w:t>
      </w:r>
      <w:r>
        <w:tab/>
        <w:t>Despite subregulation (1), a warden may conduct a mention hearing or the hearing of an interlocutory application in the absence of a party, including any lawyer or agent of the party —</w:t>
      </w:r>
    </w:p>
    <w:p>
      <w:pPr>
        <w:pStyle w:val="nzIndenta"/>
      </w:pPr>
      <w:r>
        <w:tab/>
        <w:t>(a)</w:t>
      </w:r>
      <w:r>
        <w:tab/>
        <w:t>on an application under subregulation (3); or</w:t>
      </w:r>
    </w:p>
    <w:p>
      <w:pPr>
        <w:pStyle w:val="nzIndenta"/>
      </w:pPr>
      <w:r>
        <w:tab/>
        <w:t>(b)</w:t>
      </w:r>
      <w:r>
        <w:tab/>
        <w:t>otherwise, if the warden thinks fit.</w:t>
      </w:r>
    </w:p>
    <w:p>
      <w:pPr>
        <w:pStyle w:val="nz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nzSubsection"/>
      </w:pPr>
      <w:r>
        <w:tab/>
        <w:t>(4)</w:t>
      </w:r>
      <w:r>
        <w:tab/>
        <w:t>An application under subregulation (3) shall be —</w:t>
      </w:r>
    </w:p>
    <w:p>
      <w:pPr>
        <w:pStyle w:val="nzIndenta"/>
      </w:pPr>
      <w:r>
        <w:tab/>
        <w:t>(a)</w:t>
      </w:r>
      <w:r>
        <w:tab/>
        <w:t>lodged at least 7 days before the day of the hearing; and</w:t>
      </w:r>
    </w:p>
    <w:p>
      <w:pPr>
        <w:pStyle w:val="nzIndenta"/>
      </w:pPr>
      <w:r>
        <w:tab/>
        <w:t>(b)</w:t>
      </w:r>
      <w:r>
        <w:tab/>
        <w:t>accompanied by written submissions that are sufficient to enable the hearing to be conducted in the absence of the party.</w:t>
      </w:r>
    </w:p>
    <w:p>
      <w:pPr>
        <w:pStyle w:val="nzHeading5"/>
      </w:pPr>
      <w:bookmarkStart w:id="2791" w:name="_Toc158541661"/>
      <w:bookmarkStart w:id="2792" w:name="_Toc161201478"/>
      <w:r>
        <w:t>156.</w:t>
      </w:r>
      <w:r>
        <w:tab/>
        <w:t>Attendance at substantive hearings of proceedings</w:t>
      </w:r>
      <w:bookmarkEnd w:id="2791"/>
      <w:bookmarkEnd w:id="2792"/>
    </w:p>
    <w:p>
      <w:pPr>
        <w:pStyle w:val="nzSubsection"/>
      </w:pPr>
      <w:r>
        <w:tab/>
        <w:t>(1)</w:t>
      </w:r>
      <w:r>
        <w:tab/>
        <w:t>Unless the warden orders otherwise, a party shall attend the substantive hearing of proceedings in person, regardless of whether the party’s lawyer or agent is also present.</w:t>
      </w:r>
    </w:p>
    <w:p>
      <w:pPr>
        <w:pStyle w:val="nzSubsection"/>
      </w:pPr>
      <w:r>
        <w:tab/>
        <w:t>(2)</w:t>
      </w:r>
      <w:r>
        <w:tab/>
        <w:t>If a party is a body corporate, an officer of the body corporate who is authorised to attend on behalf of the body shall be taken to be the party for the purposes of subregulation (1).</w:t>
      </w:r>
    </w:p>
    <w:p>
      <w:pPr>
        <w:pStyle w:val="nzHeading3"/>
      </w:pPr>
      <w:bookmarkStart w:id="2793" w:name="_Toc131562116"/>
      <w:bookmarkStart w:id="2794" w:name="_Toc131562719"/>
      <w:bookmarkStart w:id="2795" w:name="_Toc131562934"/>
      <w:bookmarkStart w:id="2796" w:name="_Toc131564472"/>
      <w:bookmarkStart w:id="2797" w:name="_Toc131565706"/>
      <w:bookmarkStart w:id="2798" w:name="_Toc131844836"/>
      <w:bookmarkStart w:id="2799" w:name="_Toc131845621"/>
      <w:bookmarkStart w:id="2800" w:name="_Toc131846227"/>
      <w:bookmarkStart w:id="2801" w:name="_Toc131921339"/>
      <w:bookmarkStart w:id="2802" w:name="_Toc131921948"/>
      <w:bookmarkStart w:id="2803" w:name="_Toc141847417"/>
      <w:bookmarkStart w:id="2804" w:name="_Toc141853699"/>
      <w:bookmarkStart w:id="2805" w:name="_Toc141856194"/>
      <w:bookmarkStart w:id="2806" w:name="_Toc141862063"/>
      <w:bookmarkStart w:id="2807" w:name="_Toc141863528"/>
      <w:bookmarkStart w:id="2808" w:name="_Toc141866704"/>
      <w:bookmarkStart w:id="2809" w:name="_Toc141866828"/>
      <w:bookmarkStart w:id="2810" w:name="_Toc141868483"/>
      <w:bookmarkStart w:id="2811" w:name="_Toc142719728"/>
      <w:bookmarkStart w:id="2812" w:name="_Toc142720232"/>
      <w:bookmarkStart w:id="2813" w:name="_Toc142733086"/>
      <w:bookmarkStart w:id="2814" w:name="_Toc142794245"/>
      <w:bookmarkStart w:id="2815" w:name="_Toc142804992"/>
      <w:bookmarkStart w:id="2816" w:name="_Toc142819638"/>
      <w:bookmarkStart w:id="2817" w:name="_Toc142819755"/>
      <w:bookmarkStart w:id="2818" w:name="_Toc142886109"/>
      <w:bookmarkStart w:id="2819" w:name="_Toc142887694"/>
      <w:bookmarkStart w:id="2820" w:name="_Toc142887971"/>
      <w:bookmarkStart w:id="2821" w:name="_Toc142888795"/>
      <w:bookmarkStart w:id="2822" w:name="_Toc142889642"/>
      <w:bookmarkStart w:id="2823" w:name="_Toc143510448"/>
      <w:bookmarkStart w:id="2824" w:name="_Toc143580555"/>
      <w:bookmarkStart w:id="2825" w:name="_Toc143580702"/>
      <w:bookmarkStart w:id="2826" w:name="_Toc143580798"/>
      <w:bookmarkStart w:id="2827" w:name="_Toc143916072"/>
      <w:bookmarkStart w:id="2828" w:name="_Toc143917455"/>
      <w:bookmarkStart w:id="2829" w:name="_Toc143918651"/>
      <w:bookmarkStart w:id="2830" w:name="_Toc150596029"/>
      <w:bookmarkStart w:id="2831" w:name="_Toc150656500"/>
      <w:bookmarkStart w:id="2832" w:name="_Toc150656827"/>
      <w:bookmarkStart w:id="2833" w:name="_Toc150659059"/>
      <w:bookmarkStart w:id="2834" w:name="_Toc151544390"/>
      <w:bookmarkStart w:id="2835" w:name="_Toc151776238"/>
      <w:bookmarkStart w:id="2836" w:name="_Toc151776400"/>
      <w:bookmarkStart w:id="2837" w:name="_Toc151776645"/>
      <w:bookmarkStart w:id="2838" w:name="_Toc151778340"/>
      <w:bookmarkStart w:id="2839" w:name="_Toc156978989"/>
      <w:bookmarkStart w:id="2840" w:name="_Toc156983741"/>
      <w:bookmarkStart w:id="2841" w:name="_Toc157221600"/>
      <w:bookmarkStart w:id="2842" w:name="_Toc157221697"/>
      <w:bookmarkStart w:id="2843" w:name="_Toc157222181"/>
      <w:bookmarkStart w:id="2844" w:name="_Toc157314537"/>
      <w:bookmarkStart w:id="2845" w:name="_Toc157334702"/>
      <w:bookmarkStart w:id="2846" w:name="_Toc157334799"/>
      <w:bookmarkStart w:id="2847" w:name="_Toc157478373"/>
      <w:bookmarkStart w:id="2848" w:name="_Toc157481501"/>
      <w:bookmarkStart w:id="2849" w:name="_Toc157481729"/>
      <w:bookmarkStart w:id="2850" w:name="_Toc157486264"/>
      <w:bookmarkStart w:id="2851" w:name="_Toc157486361"/>
      <w:bookmarkStart w:id="2852" w:name="_Toc157490806"/>
      <w:bookmarkStart w:id="2853" w:name="_Toc157492042"/>
      <w:bookmarkStart w:id="2854" w:name="_Toc157496244"/>
      <w:bookmarkStart w:id="2855" w:name="_Toc157496662"/>
      <w:bookmarkStart w:id="2856" w:name="_Toc157500867"/>
      <w:bookmarkStart w:id="2857" w:name="_Toc157507617"/>
      <w:bookmarkStart w:id="2858" w:name="_Toc157833932"/>
      <w:bookmarkStart w:id="2859" w:name="_Toc157834695"/>
      <w:bookmarkStart w:id="2860" w:name="_Toc157835889"/>
      <w:bookmarkStart w:id="2861" w:name="_Toc158020338"/>
      <w:bookmarkStart w:id="2862" w:name="_Toc158024892"/>
      <w:bookmarkStart w:id="2863" w:name="_Toc158024994"/>
      <w:bookmarkStart w:id="2864" w:name="_Toc158085306"/>
      <w:bookmarkStart w:id="2865" w:name="_Toc158541175"/>
      <w:bookmarkStart w:id="2866" w:name="_Toc158541662"/>
      <w:bookmarkStart w:id="2867" w:name="_Toc161201479"/>
      <w:r>
        <w:t>Division 7 — Evidence</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nzHeading5"/>
      </w:pPr>
      <w:bookmarkStart w:id="2868" w:name="_Toc158541663"/>
      <w:bookmarkStart w:id="2869" w:name="_Toc161201480"/>
      <w:r>
        <w:t>157.</w:t>
      </w:r>
      <w:r>
        <w:tab/>
        <w:t>Summons of witness</w:t>
      </w:r>
      <w:bookmarkEnd w:id="2868"/>
      <w:bookmarkEnd w:id="2869"/>
      <w:r>
        <w:t xml:space="preserve"> </w:t>
      </w:r>
    </w:p>
    <w:p>
      <w:pPr>
        <w:pStyle w:val="nzSubsection"/>
      </w:pPr>
      <w:r>
        <w:tab/>
        <w:t>(1)</w:t>
      </w:r>
      <w:r>
        <w:tab/>
        <w:t>Each party that seeks to procure the attendance of a witness to give evidence or produce documents may do so by means of a witness summons issued by the mining registrar in the form No. 37 in the First Schedule and served personally on the witness.</w:t>
      </w:r>
    </w:p>
    <w:p>
      <w:pPr>
        <w:pStyle w:val="nzSubsection"/>
      </w:pPr>
      <w:r>
        <w:tab/>
        <w:t>(2)</w:t>
      </w:r>
      <w:r>
        <w:tab/>
        <w:t xml:space="preserve">For the purposes of subregulation (1), a witness summons is served personally on a witness if — </w:t>
      </w:r>
    </w:p>
    <w:p>
      <w:pPr>
        <w:pStyle w:val="nzIndenta"/>
      </w:pPr>
      <w:r>
        <w:tab/>
        <w:t>(a)</w:t>
      </w:r>
      <w:r>
        <w:tab/>
        <w:t>it is handed to the witness or, if the witness is a person under a legal disability, to the witness’s parent, guardian or litigation guardian; or</w:t>
      </w:r>
    </w:p>
    <w:p>
      <w:pPr>
        <w:pStyle w:val="nz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nzIndenta"/>
      </w:pPr>
      <w:r>
        <w:tab/>
        <w:t>(c)</w:t>
      </w:r>
      <w:r>
        <w:tab/>
        <w:t>it is handed to a person who is authorised in writing to receive documents on behalf of the witness; or</w:t>
      </w:r>
    </w:p>
    <w:p>
      <w:pPr>
        <w:pStyle w:val="nzIndenta"/>
      </w:pPr>
      <w:r>
        <w:tab/>
        <w:t>(d)</w:t>
      </w:r>
      <w:r>
        <w:tab/>
        <w:t>it is handed to someone at the witness’s usual or last known place of residence or business who is believed, on reasonable grounds, to have reached 18 years of age.</w:t>
      </w:r>
    </w:p>
    <w:p>
      <w:pPr>
        <w:pStyle w:val="nzSubsection"/>
      </w:pPr>
      <w:r>
        <w:tab/>
        <w:t>(3)</w:t>
      </w:r>
      <w:r>
        <w:tab/>
        <w:t>A witness who attends in answer to a summons shall be entitled to —</w:t>
      </w:r>
    </w:p>
    <w:p>
      <w:pPr>
        <w:pStyle w:val="nzIndenta"/>
      </w:pPr>
      <w:r>
        <w:tab/>
        <w:t>(a)</w:t>
      </w:r>
      <w:r>
        <w:tab/>
        <w:t>an amount that is likely to be sufficient to meet the reasonable expenses of attending before the warden; or</w:t>
      </w:r>
    </w:p>
    <w:p>
      <w:pPr>
        <w:pStyle w:val="nzIndenta"/>
      </w:pPr>
      <w:r>
        <w:tab/>
        <w:t>(b)</w:t>
      </w:r>
      <w:r>
        <w:tab/>
        <w:t>arrangements to enable the witness to attend before the warden; or</w:t>
      </w:r>
    </w:p>
    <w:p>
      <w:pPr>
        <w:pStyle w:val="nzIndenta"/>
      </w:pPr>
      <w:r>
        <w:tab/>
        <w:t>(c)</w:t>
      </w:r>
      <w:r>
        <w:tab/>
        <w:t>the means to enable the witness to attend before the warden.</w:t>
      </w:r>
    </w:p>
    <w:p>
      <w:pPr>
        <w:pStyle w:val="nzSubsection"/>
      </w:pPr>
      <w:r>
        <w:tab/>
        <w:t>(4)</w:t>
      </w:r>
      <w:r>
        <w:tab/>
        <w:t>A witness is not required to attend unless at the time of the service of the summons subregulation (3) has been complied with.</w:t>
      </w:r>
    </w:p>
    <w:p>
      <w:pPr>
        <w:pStyle w:val="nzHeading5"/>
      </w:pPr>
      <w:bookmarkStart w:id="2870" w:name="_Toc158541664"/>
      <w:bookmarkStart w:id="2871" w:name="_Toc161201481"/>
      <w:r>
        <w:t>158.</w:t>
      </w:r>
      <w:r>
        <w:tab/>
        <w:t>Time for service of summonses</w:t>
      </w:r>
      <w:bookmarkEnd w:id="2870"/>
      <w:bookmarkEnd w:id="2871"/>
    </w:p>
    <w:p>
      <w:pPr>
        <w:pStyle w:val="nzSubsection"/>
      </w:pPr>
      <w:r>
        <w:tab/>
        <w:t>(1)</w:t>
      </w:r>
      <w:r>
        <w:tab/>
        <w:t>A witness summons shall be served not less than 30 days before the date fixed for the relevant hearing.</w:t>
      </w:r>
    </w:p>
    <w:p>
      <w:pPr>
        <w:pStyle w:val="nz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nzSubsection"/>
      </w:pPr>
      <w:r>
        <w:tab/>
        <w:t>(3)</w:t>
      </w:r>
      <w:r>
        <w:tab/>
        <w:t>On an application under subregulation (2), the mining registrar may fix a new date for the hearing and issue an amended witness summons.</w:t>
      </w:r>
    </w:p>
    <w:p>
      <w:pPr>
        <w:pStyle w:val="nzHeading5"/>
      </w:pPr>
      <w:bookmarkStart w:id="2872" w:name="_Toc158541665"/>
      <w:bookmarkStart w:id="2873" w:name="_Toc161201482"/>
      <w:r>
        <w:t>159.</w:t>
      </w:r>
      <w:r>
        <w:tab/>
        <w:t>Content of an affidavit</w:t>
      </w:r>
      <w:bookmarkEnd w:id="2872"/>
      <w:bookmarkEnd w:id="2873"/>
    </w:p>
    <w:p>
      <w:pPr>
        <w:pStyle w:val="nzSubsection"/>
      </w:pPr>
      <w:r>
        <w:tab/>
        <w:t>(1)</w:t>
      </w:r>
      <w:r>
        <w:tab/>
        <w:t>Except as provided in subregulation (2), an affidavit lodged in proceedings before the warden shall be confined to facts to which the person making the affidavit is able to depose from his or her own knowledge.</w:t>
      </w:r>
    </w:p>
    <w:p>
      <w:pPr>
        <w:pStyle w:val="nzSubsection"/>
      </w:pPr>
      <w:r>
        <w:tab/>
        <w:t>(2)</w:t>
      </w:r>
      <w:r>
        <w:tab/>
        <w:t xml:space="preserve">An affidavit may contain statements based on information received by the person making the affidavit, and believed by that person to be true, if the affidavit also contains — </w:t>
      </w:r>
    </w:p>
    <w:p>
      <w:pPr>
        <w:pStyle w:val="nzIndenta"/>
      </w:pPr>
      <w:r>
        <w:tab/>
        <w:t>(a)</w:t>
      </w:r>
      <w:r>
        <w:tab/>
        <w:t>the sources of the information; and</w:t>
      </w:r>
    </w:p>
    <w:p>
      <w:pPr>
        <w:pStyle w:val="nzIndenta"/>
      </w:pPr>
      <w:r>
        <w:tab/>
        <w:t>(b)</w:t>
      </w:r>
      <w:r>
        <w:tab/>
        <w:t>the grounds for believing that the information is true.</w:t>
      </w:r>
    </w:p>
    <w:p>
      <w:pPr>
        <w:pStyle w:val="nzSubsection"/>
      </w:pPr>
      <w:r>
        <w:tab/>
        <w:t>(3)</w:t>
      </w:r>
      <w:r>
        <w:tab/>
        <w:t>Any addition, alteration or erasure in an affidavit shall be initialled by the person making the affidavit and the person before whom the affidavit was sworn or affirmed.</w:t>
      </w:r>
    </w:p>
    <w:p>
      <w:pPr>
        <w:pStyle w:val="nzHeading5"/>
      </w:pPr>
      <w:bookmarkStart w:id="2874" w:name="_Toc158541666"/>
      <w:bookmarkStart w:id="2875" w:name="_Toc161201483"/>
      <w:r>
        <w:t>160.</w:t>
      </w:r>
      <w:r>
        <w:tab/>
        <w:t>Production of documents before hearing</w:t>
      </w:r>
      <w:bookmarkEnd w:id="2874"/>
      <w:bookmarkEnd w:id="2875"/>
    </w:p>
    <w:p>
      <w:pPr>
        <w:pStyle w:val="nz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with the mining registrar at least 7 days before the first day of the hearing.</w:t>
      </w:r>
    </w:p>
    <w:p>
      <w:pPr>
        <w:pStyle w:val="nz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nzSubsection"/>
      </w:pPr>
      <w:r>
        <w:tab/>
        <w:t>(3)</w:t>
      </w:r>
      <w:r>
        <w:tab/>
        <w:t>The mining registrar may, in accordance with any directions of the warden, permit a party to inspect documents lodged by another party under subregulation (1).</w:t>
      </w:r>
    </w:p>
    <w:p>
      <w:pPr>
        <w:pStyle w:val="nzHeading5"/>
      </w:pPr>
      <w:bookmarkStart w:id="2876" w:name="_Toc158541667"/>
      <w:bookmarkStart w:id="2877" w:name="_Toc161201484"/>
      <w:r>
        <w:t>161.</w:t>
      </w:r>
      <w:r>
        <w:tab/>
        <w:t>Directions for expert witnesses</w:t>
      </w:r>
      <w:bookmarkEnd w:id="2876"/>
      <w:bookmarkEnd w:id="2877"/>
    </w:p>
    <w:p>
      <w:pPr>
        <w:pStyle w:val="nzSubsection"/>
      </w:pPr>
      <w:r>
        <w:tab/>
        <w:t>(1)</w:t>
      </w:r>
      <w:r>
        <w:tab/>
        <w:t>A party shall not adduce expert evidence at a hearing except in accordance with directions given by the warden.</w:t>
      </w:r>
    </w:p>
    <w:p>
      <w:pPr>
        <w:pStyle w:val="nzSubsection"/>
      </w:pPr>
      <w:r>
        <w:tab/>
        <w:t>(2)</w:t>
      </w:r>
      <w:r>
        <w:tab/>
        <w:t>If the warden directs a party to lodge and serve a statement of an expert witness, the statement shall set out, or be accompanied by a document setting out —</w:t>
      </w:r>
    </w:p>
    <w:p>
      <w:pPr>
        <w:pStyle w:val="nzIndenta"/>
      </w:pPr>
      <w:r>
        <w:tab/>
        <w:t>(a)</w:t>
      </w:r>
      <w:r>
        <w:tab/>
        <w:t>the full name of the expert; and</w:t>
      </w:r>
    </w:p>
    <w:p>
      <w:pPr>
        <w:pStyle w:val="nzIndenta"/>
      </w:pPr>
      <w:r>
        <w:tab/>
        <w:t>(b)</w:t>
      </w:r>
      <w:r>
        <w:tab/>
        <w:t>details of the expert’s qualifications to give the evidence; and</w:t>
      </w:r>
    </w:p>
    <w:p>
      <w:pPr>
        <w:pStyle w:val="nzIndenta"/>
      </w:pPr>
      <w:r>
        <w:tab/>
        <w:t>(c)</w:t>
      </w:r>
      <w:r>
        <w:tab/>
        <w:t>to the extent practicable, details of any material on which the expert has relied in reaching his or her opinion.</w:t>
      </w:r>
    </w:p>
    <w:p>
      <w:pPr>
        <w:pStyle w:val="nzHeading5"/>
      </w:pPr>
      <w:bookmarkStart w:id="2878" w:name="_Toc158541668"/>
      <w:bookmarkStart w:id="2879" w:name="_Toc161201485"/>
      <w:r>
        <w:t>162.</w:t>
      </w:r>
      <w:r>
        <w:tab/>
        <w:t>Party may adduce affidavit evidence</w:t>
      </w:r>
      <w:bookmarkEnd w:id="2878"/>
      <w:bookmarkEnd w:id="2879"/>
    </w:p>
    <w:p>
      <w:pPr>
        <w:pStyle w:val="nzSubsection"/>
      </w:pPr>
      <w:r>
        <w:tab/>
        <w:t>(1)</w:t>
      </w:r>
      <w:r>
        <w:tab/>
        <w:t>A party may, if the another party does not object, adduce the evidence of a witness at a hearing by tendering an affidavit of the witness.</w:t>
      </w:r>
    </w:p>
    <w:p>
      <w:pPr>
        <w:pStyle w:val="nzSubsection"/>
      </w:pPr>
      <w:r>
        <w:tab/>
        <w:t>(2)</w:t>
      </w:r>
      <w:r>
        <w:tab/>
        <w:t>A party wishing to adduce affidavit evidence under subregulation (1) shall lodge and serve the affidavit at least 14 days before the first day of the hearing.</w:t>
      </w:r>
    </w:p>
    <w:p>
      <w:pPr>
        <w:pStyle w:val="nzSubsection"/>
      </w:pPr>
      <w:r>
        <w:tab/>
        <w:t>(3)</w:t>
      </w:r>
      <w:r>
        <w:tab/>
        <w:t>The affidavit may be tendered in the absence of the deponent unless an objection is lodged under subregulation (4).</w:t>
      </w:r>
    </w:p>
    <w:p>
      <w:pPr>
        <w:pStyle w:val="nzSubsection"/>
      </w:pPr>
      <w:r>
        <w:tab/>
        <w:t>(4)</w:t>
      </w:r>
      <w:r>
        <w:tab/>
        <w:t>A party served with a copy of the affidavit may, within 7 days after that service, lodge a written objection to the affidavit being tendered in the absence of the deponent.</w:t>
      </w:r>
    </w:p>
    <w:p>
      <w:pPr>
        <w:pStyle w:val="nzHeading5"/>
      </w:pPr>
      <w:bookmarkStart w:id="2880" w:name="_Toc158541669"/>
      <w:bookmarkStart w:id="2881" w:name="_Toc161201486"/>
      <w:r>
        <w:t>163.</w:t>
      </w:r>
      <w:r>
        <w:tab/>
        <w:t>Records of evidence</w:t>
      </w:r>
      <w:bookmarkEnd w:id="2880"/>
      <w:bookmarkEnd w:id="2881"/>
    </w:p>
    <w:p>
      <w:pPr>
        <w:pStyle w:val="nzSubsection"/>
      </w:pPr>
      <w:r>
        <w:tab/>
        <w:t>(1)</w:t>
      </w:r>
      <w:r>
        <w:tab/>
        <w:t>A warden shall ensure that evidence given in proceedings is recorded electronically or by written transcript.</w:t>
      </w:r>
    </w:p>
    <w:p>
      <w:pPr>
        <w:pStyle w:val="nz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the Second Schedule.</w:t>
      </w:r>
    </w:p>
    <w:p>
      <w:pPr>
        <w:pStyle w:val="nzSubsection"/>
      </w:pPr>
      <w:r>
        <w:tab/>
        <w:t>(3)</w:t>
      </w:r>
      <w:r>
        <w:tab/>
        <w:t>Each determination of a warden, and the reasons for the determination, shall be reduced to writing, and signed by the warden, and shall be recorded in a register kept for the purpose.</w:t>
      </w:r>
    </w:p>
    <w:p>
      <w:pPr>
        <w:pStyle w:val="nzSubsection"/>
      </w:pPr>
      <w:r>
        <w:tab/>
        <w:t>(4)</w:t>
      </w:r>
      <w:r>
        <w:tab/>
        <w:t>Any person may obtain a copy of the determination referred to in subregulation (3) upon payment of the fee prescribed in the Second Schedule.</w:t>
      </w:r>
    </w:p>
    <w:p>
      <w:pPr>
        <w:pStyle w:val="nzHeading5"/>
      </w:pPr>
      <w:bookmarkStart w:id="2882" w:name="_Toc158541670"/>
      <w:bookmarkStart w:id="2883" w:name="_Toc161201487"/>
      <w:r>
        <w:t>164.</w:t>
      </w:r>
      <w:r>
        <w:tab/>
        <w:t>Return of documents and other exhibits after hearing</w:t>
      </w:r>
      <w:bookmarkEnd w:id="2882"/>
      <w:bookmarkEnd w:id="2883"/>
    </w:p>
    <w:p>
      <w:pPr>
        <w:pStyle w:val="nz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nzSubsection"/>
      </w:pPr>
      <w:r>
        <w:tab/>
        <w:t>(2)</w:t>
      </w:r>
      <w:r>
        <w:tab/>
        <w:t>If an exhibit is received into evidence at a hearing, a person who was lawfully entitled to the possession of the exhibit before it was received is not entitled to the return of that exhibit —</w:t>
      </w:r>
    </w:p>
    <w:p>
      <w:pPr>
        <w:pStyle w:val="nzIndenta"/>
      </w:pPr>
      <w:r>
        <w:tab/>
        <w:t>(a)</w:t>
      </w:r>
      <w:r>
        <w:tab/>
        <w:t>if no appeal against a determination of the warden is made, until 21 days after the day on which the determination is given; or</w:t>
      </w:r>
    </w:p>
    <w:p>
      <w:pPr>
        <w:pStyle w:val="nzIndenta"/>
      </w:pPr>
      <w:r>
        <w:tab/>
        <w:t>(b)</w:t>
      </w:r>
      <w:r>
        <w:tab/>
        <w:t>if an appeal against the determination of the warden is lodged, until the appeal has been dealt with.</w:t>
      </w:r>
    </w:p>
    <w:p>
      <w:pPr>
        <w:pStyle w:val="nzSubsection"/>
      </w:pPr>
      <w:r>
        <w:tab/>
        <w:t>(3)</w:t>
      </w:r>
      <w:r>
        <w:tab/>
        <w:t>The mining registrar shall give written notice to a person of the person’s entitlement to the return of an exhibit under subregulation (1) or (2).</w:t>
      </w:r>
    </w:p>
    <w:p>
      <w:pPr>
        <w:pStyle w:val="nzSubsection"/>
      </w:pPr>
      <w:r>
        <w:tab/>
        <w:t>(4)</w:t>
      </w:r>
      <w:r>
        <w:tab/>
        <w:t>The notice shall be given as soon as practicable after the entitlement arises.</w:t>
      </w:r>
    </w:p>
    <w:p>
      <w:pPr>
        <w:pStyle w:val="nzSubsection"/>
      </w:pPr>
      <w:r>
        <w:tab/>
        <w:t>(5)</w:t>
      </w:r>
      <w:r>
        <w:tab/>
        <w:t>If the person does not take possession of the exhibit within 30 days after the person receives the notice, the mining registrar may dispose of the exhibit as the mining registrar thinks fit.</w:t>
      </w:r>
    </w:p>
    <w:p>
      <w:pPr>
        <w:pStyle w:val="nzSubsection"/>
      </w:pPr>
      <w:r>
        <w:tab/>
        <w:t>(6)</w:t>
      </w:r>
      <w:r>
        <w:tab/>
        <w:t>A document produced at a hearing but not tendered as an exhibit shall, in accordance with the directions of the warden, be returned to the party that produced the document.</w:t>
      </w:r>
    </w:p>
    <w:p>
      <w:pPr>
        <w:pStyle w:val="nzHeading3"/>
      </w:pPr>
      <w:bookmarkStart w:id="2884" w:name="_Toc131562125"/>
      <w:bookmarkStart w:id="2885" w:name="_Toc131562728"/>
      <w:bookmarkStart w:id="2886" w:name="_Toc131562943"/>
      <w:bookmarkStart w:id="2887" w:name="_Toc131564481"/>
      <w:bookmarkStart w:id="2888" w:name="_Toc131565715"/>
      <w:bookmarkStart w:id="2889" w:name="_Toc131844845"/>
      <w:bookmarkStart w:id="2890" w:name="_Toc131845630"/>
      <w:bookmarkStart w:id="2891" w:name="_Toc131846236"/>
      <w:bookmarkStart w:id="2892" w:name="_Toc131921348"/>
      <w:bookmarkStart w:id="2893" w:name="_Toc131921957"/>
      <w:bookmarkStart w:id="2894" w:name="_Toc141847426"/>
      <w:bookmarkStart w:id="2895" w:name="_Toc141853708"/>
      <w:bookmarkStart w:id="2896" w:name="_Toc141856203"/>
      <w:bookmarkStart w:id="2897" w:name="_Toc141862072"/>
      <w:bookmarkStart w:id="2898" w:name="_Toc141863537"/>
      <w:bookmarkStart w:id="2899" w:name="_Toc141866713"/>
      <w:bookmarkStart w:id="2900" w:name="_Toc141866837"/>
      <w:bookmarkStart w:id="2901" w:name="_Toc141868492"/>
      <w:bookmarkStart w:id="2902" w:name="_Toc142719737"/>
      <w:bookmarkStart w:id="2903" w:name="_Toc142720241"/>
      <w:bookmarkStart w:id="2904" w:name="_Toc142733095"/>
      <w:bookmarkStart w:id="2905" w:name="_Toc142794254"/>
      <w:bookmarkStart w:id="2906" w:name="_Toc142805001"/>
      <w:bookmarkStart w:id="2907" w:name="_Toc142819647"/>
      <w:bookmarkStart w:id="2908" w:name="_Toc142819764"/>
      <w:bookmarkStart w:id="2909" w:name="_Toc142886118"/>
      <w:bookmarkStart w:id="2910" w:name="_Toc142887703"/>
      <w:bookmarkStart w:id="2911" w:name="_Toc142887980"/>
      <w:bookmarkStart w:id="2912" w:name="_Toc142888804"/>
      <w:bookmarkStart w:id="2913" w:name="_Toc142889651"/>
      <w:bookmarkStart w:id="2914" w:name="_Toc143510457"/>
      <w:bookmarkStart w:id="2915" w:name="_Toc143580564"/>
      <w:bookmarkStart w:id="2916" w:name="_Toc143580711"/>
      <w:bookmarkStart w:id="2917" w:name="_Toc143580807"/>
      <w:bookmarkStart w:id="2918" w:name="_Toc143916081"/>
      <w:bookmarkStart w:id="2919" w:name="_Toc143917464"/>
      <w:bookmarkStart w:id="2920" w:name="_Toc143918660"/>
      <w:bookmarkStart w:id="2921" w:name="_Toc150596038"/>
      <w:bookmarkStart w:id="2922" w:name="_Toc150656509"/>
      <w:bookmarkStart w:id="2923" w:name="_Toc150656836"/>
      <w:bookmarkStart w:id="2924" w:name="_Toc150659068"/>
      <w:bookmarkStart w:id="2925" w:name="_Toc151544399"/>
      <w:bookmarkStart w:id="2926" w:name="_Toc151776247"/>
      <w:bookmarkStart w:id="2927" w:name="_Toc151776409"/>
      <w:bookmarkStart w:id="2928" w:name="_Toc151776654"/>
      <w:bookmarkStart w:id="2929" w:name="_Toc151778349"/>
      <w:bookmarkStart w:id="2930" w:name="_Toc156978998"/>
      <w:bookmarkStart w:id="2931" w:name="_Toc156983750"/>
      <w:bookmarkStart w:id="2932" w:name="_Toc157221609"/>
      <w:bookmarkStart w:id="2933" w:name="_Toc157221706"/>
      <w:bookmarkStart w:id="2934" w:name="_Toc157222190"/>
      <w:bookmarkStart w:id="2935" w:name="_Toc157314546"/>
      <w:bookmarkStart w:id="2936" w:name="_Toc157334711"/>
      <w:bookmarkStart w:id="2937" w:name="_Toc157334808"/>
      <w:bookmarkStart w:id="2938" w:name="_Toc157478382"/>
      <w:bookmarkStart w:id="2939" w:name="_Toc157481510"/>
      <w:bookmarkStart w:id="2940" w:name="_Toc157481738"/>
      <w:bookmarkStart w:id="2941" w:name="_Toc157486273"/>
      <w:bookmarkStart w:id="2942" w:name="_Toc157486370"/>
      <w:bookmarkStart w:id="2943" w:name="_Toc157490815"/>
      <w:bookmarkStart w:id="2944" w:name="_Toc157492051"/>
      <w:bookmarkStart w:id="2945" w:name="_Toc157496253"/>
      <w:bookmarkStart w:id="2946" w:name="_Toc157496671"/>
      <w:bookmarkStart w:id="2947" w:name="_Toc157500876"/>
      <w:bookmarkStart w:id="2948" w:name="_Toc157507626"/>
      <w:bookmarkStart w:id="2949" w:name="_Toc157833941"/>
      <w:bookmarkStart w:id="2950" w:name="_Toc157834704"/>
      <w:bookmarkStart w:id="2951" w:name="_Toc157835898"/>
      <w:bookmarkStart w:id="2952" w:name="_Toc158020347"/>
      <w:bookmarkStart w:id="2953" w:name="_Toc158024901"/>
      <w:bookmarkStart w:id="2954" w:name="_Toc158025003"/>
      <w:bookmarkStart w:id="2955" w:name="_Toc158085315"/>
      <w:bookmarkStart w:id="2956" w:name="_Toc158541184"/>
      <w:bookmarkStart w:id="2957" w:name="_Toc158541671"/>
      <w:bookmarkStart w:id="2958" w:name="_Toc161201488"/>
      <w:r>
        <w:t>Division 8 — Costs</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nzHeading5"/>
      </w:pPr>
      <w:bookmarkStart w:id="2959" w:name="_Toc158541672"/>
      <w:bookmarkStart w:id="2960" w:name="_Toc161201489"/>
      <w:r>
        <w:t>165.</w:t>
      </w:r>
      <w:r>
        <w:tab/>
        <w:t>Costs</w:t>
      </w:r>
      <w:bookmarkEnd w:id="2959"/>
      <w:bookmarkEnd w:id="2960"/>
    </w:p>
    <w:p>
      <w:pPr>
        <w:pStyle w:val="nzSubsection"/>
      </w:pPr>
      <w:r>
        <w:tab/>
        <w:t>(1)</w:t>
      </w:r>
      <w:r>
        <w:tab/>
        <w:t>Except as ordered under this regulation, regulation 139 or 142, each party is to bear the party’s own costs.</w:t>
      </w:r>
    </w:p>
    <w:p>
      <w:pPr>
        <w:pStyle w:val="nz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nzSubsection"/>
      </w:pPr>
      <w:r>
        <w:tab/>
        <w:t>(3)</w:t>
      </w:r>
      <w:r>
        <w:tab/>
        <w:t>One order under subregulation (2) may be made in relation to 2 or more proceedings heard and determined on the same occasion under Division 2 even if those proceedings are not joined.</w:t>
      </w:r>
    </w:p>
    <w:p>
      <w:pPr>
        <w:pStyle w:val="nz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nzIndenta"/>
      </w:pPr>
      <w:r>
        <w:tab/>
        <w:t>(a)</w:t>
      </w:r>
      <w:r>
        <w:tab/>
        <w:t>frivolously or vexatiously commenced or defended the proceedings, or any step in the proceedings; or</w:t>
      </w:r>
    </w:p>
    <w:p>
      <w:pPr>
        <w:pStyle w:val="nzIndenta"/>
      </w:pPr>
      <w:r>
        <w:tab/>
        <w:t>(b)</w:t>
      </w:r>
      <w:r>
        <w:tab/>
        <w:t>otherwise occasioned undue delay in the proceedings.</w:t>
      </w:r>
    </w:p>
    <w:p>
      <w:pPr>
        <w:pStyle w:val="nzSubsection"/>
      </w:pPr>
      <w:r>
        <w:tab/>
        <w:t>(5)</w:t>
      </w:r>
      <w:r>
        <w:tab/>
        <w:t>One order under subregulation (4) may be made in relation to 2 or more proceedings heard and determined on the same occasion under Division 3 even if those proceedings are not joined.</w:t>
      </w:r>
    </w:p>
    <w:p>
      <w:pPr>
        <w:pStyle w:val="nzSubsection"/>
      </w:pPr>
      <w:r>
        <w:tab/>
        <w:t>(6)</w:t>
      </w:r>
      <w:r>
        <w:tab/>
        <w:t>If a warden makes an order for the payment of costs, those costs shall be in accordance with the scale of costs set out in the Fourth Schedule.</w:t>
      </w:r>
    </w:p>
    <w:p>
      <w:pPr>
        <w:pStyle w:val="nz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nzIndenta"/>
      </w:pPr>
      <w:r>
        <w:tab/>
        <w:t>(a)</w:t>
      </w:r>
      <w:r>
        <w:tab/>
        <w:t>to a case are to be read as references to proceedings under this Division; and</w:t>
      </w:r>
    </w:p>
    <w:p>
      <w:pPr>
        <w:pStyle w:val="nzIndenta"/>
      </w:pPr>
      <w:r>
        <w:tab/>
        <w:t>(b)</w:t>
      </w:r>
      <w:r>
        <w:tab/>
        <w:t>to the court are to be read as references to the warden; and</w:t>
      </w:r>
    </w:p>
    <w:p>
      <w:pPr>
        <w:pStyle w:val="nzIndenta"/>
      </w:pPr>
      <w:r>
        <w:tab/>
        <w:t>(c)</w:t>
      </w:r>
      <w:r>
        <w:tab/>
        <w:t>to the Registrar are to be read as references to the mining registrar; and</w:t>
      </w:r>
    </w:p>
    <w:p>
      <w:pPr>
        <w:pStyle w:val="nzIndenta"/>
      </w:pPr>
      <w:r>
        <w:tab/>
        <w:t>(d)</w:t>
      </w:r>
      <w:r>
        <w:tab/>
        <w:t>to a judgment are to be read as references to a determination of the warden under this Division; and</w:t>
      </w:r>
    </w:p>
    <w:p>
      <w:pPr>
        <w:pStyle w:val="nzIndenta"/>
      </w:pPr>
      <w:r>
        <w:tab/>
        <w:t>(e)</w:t>
      </w:r>
      <w:r>
        <w:tab/>
        <w:t>to an approved form are to be read as references to a written form; and</w:t>
      </w:r>
    </w:p>
    <w:p>
      <w:pPr>
        <w:pStyle w:val="nzIndenta"/>
      </w:pPr>
      <w:r>
        <w:tab/>
        <w:t>(f)</w:t>
      </w:r>
      <w:r>
        <w:tab/>
        <w:t>to court and bailiff fees are to be read as references to fees prescribed in the Second Schedule item 13.</w:t>
      </w:r>
    </w:p>
    <w:p>
      <w:pPr>
        <w:pStyle w:val="nzHeading5"/>
      </w:pPr>
      <w:bookmarkStart w:id="2961" w:name="_Toc47516572"/>
      <w:bookmarkStart w:id="2962" w:name="_Toc87753575"/>
      <w:bookmarkStart w:id="2963" w:name="_Toc124051445"/>
      <w:bookmarkStart w:id="2964" w:name="_Toc124138141"/>
      <w:bookmarkStart w:id="2965" w:name="_Toc158541673"/>
      <w:bookmarkStart w:id="2966" w:name="_Toc161201490"/>
      <w:r>
        <w:t>166.</w:t>
      </w:r>
      <w:r>
        <w:tab/>
        <w:t>Warden’s review of decisions of mining registrar</w:t>
      </w:r>
      <w:bookmarkEnd w:id="2961"/>
      <w:bookmarkEnd w:id="2962"/>
      <w:bookmarkEnd w:id="2963"/>
      <w:bookmarkEnd w:id="2964"/>
      <w:bookmarkEnd w:id="2965"/>
      <w:bookmarkEnd w:id="2966"/>
    </w:p>
    <w:p>
      <w:pPr>
        <w:pStyle w:val="nzSubsection"/>
      </w:pPr>
      <w:r>
        <w:tab/>
        <w:t>(1)</w:t>
      </w:r>
      <w:r>
        <w:tab/>
        <w:t>A person dissatisfied by an assessment of costs made by a mining registrar may apply to the warden for a review of the assessment.</w:t>
      </w:r>
    </w:p>
    <w:p>
      <w:pPr>
        <w:pStyle w:val="nzSubsection"/>
      </w:pPr>
      <w:r>
        <w:tab/>
        <w:t>(2)</w:t>
      </w:r>
      <w:r>
        <w:tab/>
        <w:t>The application must be made within 21 days after the date of the mining registrar’s assessment and be conducted as if it were an interlocutory application under this Part.</w:t>
      </w:r>
    </w:p>
    <w:p>
      <w:pPr>
        <w:pStyle w:val="nzSubsection"/>
      </w:pPr>
      <w:r>
        <w:tab/>
        <w:t>(3)</w:t>
      </w:r>
      <w:r>
        <w:tab/>
        <w:t xml:space="preserve">On a review the warden may — </w:t>
      </w:r>
    </w:p>
    <w:p>
      <w:pPr>
        <w:pStyle w:val="nzIndenta"/>
      </w:pPr>
      <w:r>
        <w:tab/>
        <w:t>(a)</w:t>
      </w:r>
      <w:r>
        <w:tab/>
        <w:t>affirm the mining registrar’s assessment; or</w:t>
      </w:r>
    </w:p>
    <w:p>
      <w:pPr>
        <w:pStyle w:val="nzIndenta"/>
      </w:pPr>
      <w:r>
        <w:tab/>
        <w:t>(b)</w:t>
      </w:r>
      <w:r>
        <w:tab/>
        <w:t>vary the mining registrar’s assessment; or</w:t>
      </w:r>
    </w:p>
    <w:p>
      <w:pPr>
        <w:pStyle w:val="nzIndenta"/>
      </w:pPr>
      <w:r>
        <w:tab/>
        <w:t>(c)</w:t>
      </w:r>
      <w:r>
        <w:tab/>
        <w:t>set aside the mining registrar’s assessment and substitute his or her own assessment.</w:t>
      </w:r>
    </w:p>
    <w:p>
      <w:pPr>
        <w:pStyle w:val="nzHeading5"/>
      </w:pPr>
      <w:bookmarkStart w:id="2967" w:name="_Toc158541674"/>
      <w:bookmarkStart w:id="2968" w:name="_Toc161201491"/>
      <w:r>
        <w:t>167.</w:t>
      </w:r>
      <w:r>
        <w:tab/>
        <w:t>Security for costs</w:t>
      </w:r>
      <w:bookmarkEnd w:id="2967"/>
      <w:bookmarkEnd w:id="2968"/>
    </w:p>
    <w:p>
      <w:pPr>
        <w:pStyle w:val="nzSubsection"/>
      </w:pPr>
      <w:r>
        <w:tab/>
        <w:t>(1)</w:t>
      </w:r>
      <w:r>
        <w:tab/>
        <w:t>A warden may, on application made by a respondent in proceedings under Division 2, order an applicant in the proceedings to give security for costs.</w:t>
      </w:r>
    </w:p>
    <w:p>
      <w:pPr>
        <w:pStyle w:val="nzSubsection"/>
      </w:pPr>
      <w:r>
        <w:tab/>
        <w:t>(2)</w:t>
      </w:r>
      <w:r>
        <w:tab/>
        <w:t>If an order is made under subregulation (1), monies comprising the security are to be paid to the Director General of Mines who shall hold the money and disburse it in accordance with any order of the warden.</w:t>
      </w:r>
    </w:p>
    <w:p>
      <w:pPr>
        <w:pStyle w:val="nzHeading5"/>
      </w:pPr>
      <w:bookmarkStart w:id="2969" w:name="_Toc158541675"/>
      <w:bookmarkStart w:id="2970" w:name="_Toc161201492"/>
      <w:r>
        <w:t>168.</w:t>
      </w:r>
      <w:r>
        <w:tab/>
        <w:t>Recovery of costs</w:t>
      </w:r>
      <w:bookmarkEnd w:id="2969"/>
      <w:bookmarkEnd w:id="2970"/>
    </w:p>
    <w:p>
      <w:pPr>
        <w:pStyle w:val="nz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nzSubsection"/>
      </w:pPr>
      <w:r>
        <w:tab/>
        <w:t>(2)</w:t>
      </w:r>
      <w:r>
        <w:tab/>
        <w:t>A certificate that is lodged with a court under subregulation (1) shall be taken to be a judgment of that court and may be enforced accordingly.</w:t>
      </w:r>
    </w:p>
    <w:p>
      <w:pPr>
        <w:pStyle w:val="nzHeading3"/>
      </w:pPr>
      <w:bookmarkStart w:id="2971" w:name="_Toc131562129"/>
      <w:bookmarkStart w:id="2972" w:name="_Toc131562732"/>
      <w:bookmarkStart w:id="2973" w:name="_Toc131562947"/>
      <w:bookmarkStart w:id="2974" w:name="_Toc131564485"/>
      <w:bookmarkStart w:id="2975" w:name="_Toc131565719"/>
      <w:bookmarkStart w:id="2976" w:name="_Toc131844849"/>
      <w:bookmarkStart w:id="2977" w:name="_Toc131845634"/>
      <w:bookmarkStart w:id="2978" w:name="_Toc131846240"/>
      <w:bookmarkStart w:id="2979" w:name="_Toc131921352"/>
      <w:bookmarkStart w:id="2980" w:name="_Toc131921961"/>
      <w:bookmarkStart w:id="2981" w:name="_Toc141847430"/>
      <w:bookmarkStart w:id="2982" w:name="_Toc141853712"/>
      <w:bookmarkStart w:id="2983" w:name="_Toc141856207"/>
      <w:bookmarkStart w:id="2984" w:name="_Toc141862076"/>
      <w:bookmarkStart w:id="2985" w:name="_Toc141863541"/>
      <w:bookmarkStart w:id="2986" w:name="_Toc141866717"/>
      <w:bookmarkStart w:id="2987" w:name="_Toc141866841"/>
      <w:bookmarkStart w:id="2988" w:name="_Toc141868496"/>
      <w:bookmarkStart w:id="2989" w:name="_Toc142719741"/>
      <w:bookmarkStart w:id="2990" w:name="_Toc142720245"/>
      <w:bookmarkStart w:id="2991" w:name="_Toc142733099"/>
      <w:bookmarkStart w:id="2992" w:name="_Toc142794258"/>
      <w:bookmarkStart w:id="2993" w:name="_Toc142805005"/>
      <w:bookmarkStart w:id="2994" w:name="_Toc142819651"/>
      <w:bookmarkStart w:id="2995" w:name="_Toc142819768"/>
      <w:bookmarkStart w:id="2996" w:name="_Toc142886122"/>
      <w:bookmarkStart w:id="2997" w:name="_Toc142887707"/>
      <w:bookmarkStart w:id="2998" w:name="_Toc142887984"/>
      <w:bookmarkStart w:id="2999" w:name="_Toc142888808"/>
      <w:bookmarkStart w:id="3000" w:name="_Toc142889655"/>
      <w:bookmarkStart w:id="3001" w:name="_Toc143510461"/>
      <w:bookmarkStart w:id="3002" w:name="_Toc143580568"/>
      <w:bookmarkStart w:id="3003" w:name="_Toc143580715"/>
      <w:bookmarkStart w:id="3004" w:name="_Toc143580811"/>
      <w:bookmarkStart w:id="3005" w:name="_Toc143916085"/>
      <w:bookmarkStart w:id="3006" w:name="_Toc143917468"/>
      <w:bookmarkStart w:id="3007" w:name="_Toc143918664"/>
      <w:bookmarkStart w:id="3008" w:name="_Toc150596043"/>
      <w:bookmarkStart w:id="3009" w:name="_Toc150656514"/>
      <w:bookmarkStart w:id="3010" w:name="_Toc150656841"/>
      <w:bookmarkStart w:id="3011" w:name="_Toc150659073"/>
      <w:bookmarkStart w:id="3012" w:name="_Toc151544404"/>
      <w:bookmarkStart w:id="3013" w:name="_Toc151776252"/>
      <w:bookmarkStart w:id="3014" w:name="_Toc151776414"/>
      <w:bookmarkStart w:id="3015" w:name="_Toc151776659"/>
      <w:bookmarkStart w:id="3016" w:name="_Toc151778354"/>
      <w:bookmarkStart w:id="3017" w:name="_Toc156979003"/>
      <w:bookmarkStart w:id="3018" w:name="_Toc156983755"/>
      <w:bookmarkStart w:id="3019" w:name="_Toc157221614"/>
      <w:bookmarkStart w:id="3020" w:name="_Toc157221711"/>
      <w:bookmarkStart w:id="3021" w:name="_Toc157222195"/>
      <w:bookmarkStart w:id="3022" w:name="_Toc157314551"/>
      <w:bookmarkStart w:id="3023" w:name="_Toc157334716"/>
      <w:bookmarkStart w:id="3024" w:name="_Toc157334813"/>
      <w:bookmarkStart w:id="3025" w:name="_Toc157478387"/>
      <w:bookmarkStart w:id="3026" w:name="_Toc157481515"/>
      <w:bookmarkStart w:id="3027" w:name="_Toc157481743"/>
      <w:bookmarkStart w:id="3028" w:name="_Toc157486278"/>
      <w:bookmarkStart w:id="3029" w:name="_Toc157486375"/>
      <w:bookmarkStart w:id="3030" w:name="_Toc157490820"/>
      <w:bookmarkStart w:id="3031" w:name="_Toc157492056"/>
      <w:bookmarkStart w:id="3032" w:name="_Toc157496258"/>
      <w:bookmarkStart w:id="3033" w:name="_Toc157496676"/>
      <w:bookmarkStart w:id="3034" w:name="_Toc157500881"/>
      <w:bookmarkStart w:id="3035" w:name="_Toc157507631"/>
      <w:bookmarkStart w:id="3036" w:name="_Toc157833946"/>
      <w:bookmarkStart w:id="3037" w:name="_Toc157834709"/>
      <w:bookmarkStart w:id="3038" w:name="_Toc157835903"/>
      <w:bookmarkStart w:id="3039" w:name="_Toc158020352"/>
      <w:bookmarkStart w:id="3040" w:name="_Toc158024906"/>
      <w:bookmarkStart w:id="3041" w:name="_Toc158025008"/>
      <w:bookmarkStart w:id="3042" w:name="_Toc158085320"/>
      <w:bookmarkStart w:id="3043" w:name="_Toc158541189"/>
      <w:bookmarkStart w:id="3044" w:name="_Toc158541676"/>
      <w:bookmarkStart w:id="3045" w:name="_Toc161201493"/>
      <w:r>
        <w:t>Division 9 — Miscellaneous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pPr>
        <w:pStyle w:val="nzHeading5"/>
      </w:pPr>
      <w:bookmarkStart w:id="3046" w:name="_Toc158541677"/>
      <w:bookmarkStart w:id="3047" w:name="_Toc161201494"/>
      <w:r>
        <w:t>169.</w:t>
      </w:r>
      <w:r>
        <w:tab/>
        <w:t>Representation</w:t>
      </w:r>
      <w:bookmarkEnd w:id="3046"/>
      <w:bookmarkEnd w:id="3047"/>
    </w:p>
    <w:p>
      <w:pPr>
        <w:pStyle w:val="nzSubsection"/>
      </w:pPr>
      <w:r>
        <w:tab/>
        <w:t>(1)</w:t>
      </w:r>
      <w:r>
        <w:tab/>
        <w:t>A party is entitled to be represented by a lawyer.</w:t>
      </w:r>
    </w:p>
    <w:p>
      <w:pPr>
        <w:pStyle w:val="nzSubsection"/>
      </w:pPr>
      <w:r>
        <w:tab/>
        <w:t>(2)</w:t>
      </w:r>
      <w:r>
        <w:tab/>
        <w:t>A warden may, if the warden is of the view that exceptional circumstances exist, give leave to a party to be represented by a person other than a lawyer.</w:t>
      </w:r>
    </w:p>
    <w:p>
      <w:pPr>
        <w:pStyle w:val="nz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nzHeading5"/>
      </w:pPr>
      <w:bookmarkStart w:id="3048" w:name="_Toc158541678"/>
      <w:bookmarkStart w:id="3049" w:name="_Toc161201495"/>
      <w:r>
        <w:t>170.</w:t>
      </w:r>
      <w:r>
        <w:tab/>
        <w:t>Warden may act on its own initiative</w:t>
      </w:r>
      <w:bookmarkEnd w:id="3048"/>
      <w:bookmarkEnd w:id="3049"/>
    </w:p>
    <w:p>
      <w:pPr>
        <w:pStyle w:val="nzSubsection"/>
      </w:pPr>
      <w:r>
        <w:tab/>
        <w:t>(1)</w:t>
      </w:r>
      <w:r>
        <w:tab/>
        <w:t>A warden hearing proceedings may exercise his or her powers on the application of a party or on his or her own initiative unless the Act or these regulations or another written law provides otherwise.</w:t>
      </w:r>
    </w:p>
    <w:p>
      <w:pPr>
        <w:pStyle w:val="nzSubsection"/>
      </w:pPr>
      <w:r>
        <w:tab/>
        <w:t>(2)</w:t>
      </w:r>
      <w:r>
        <w:tab/>
        <w:t xml:space="preserve">A warden may make an order or give a direction on his or her own initiative with or without — </w:t>
      </w:r>
    </w:p>
    <w:p>
      <w:pPr>
        <w:pStyle w:val="nzIndenta"/>
      </w:pPr>
      <w:r>
        <w:tab/>
        <w:t>(a)</w:t>
      </w:r>
      <w:r>
        <w:tab/>
        <w:t>allowing any of the parties to make submissions; or</w:t>
      </w:r>
    </w:p>
    <w:p>
      <w:pPr>
        <w:pStyle w:val="nzIndenta"/>
      </w:pPr>
      <w:r>
        <w:tab/>
        <w:t>(b)</w:t>
      </w:r>
      <w:r>
        <w:tab/>
        <w:t>hearing the parties.</w:t>
      </w:r>
    </w:p>
    <w:p>
      <w:pPr>
        <w:pStyle w:val="nz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nzSubsection"/>
      </w:pPr>
      <w:r>
        <w:tab/>
        <w:t>(4)</w:t>
      </w:r>
      <w:r>
        <w:tab/>
        <w:t>If the warden decides to hear any party before making an order on his or her own initiative, the warden shall notify each party likely to be affected by the order of the time and place of the hearing.</w:t>
      </w:r>
    </w:p>
    <w:p>
      <w:pPr>
        <w:pStyle w:val="nzHeading5"/>
      </w:pPr>
      <w:bookmarkStart w:id="3050" w:name="_Toc158541679"/>
      <w:bookmarkStart w:id="3051" w:name="_Toc161201496"/>
      <w:r>
        <w:t>171.</w:t>
      </w:r>
      <w:r>
        <w:tab/>
        <w:t>Practice directions</w:t>
      </w:r>
      <w:bookmarkEnd w:id="3050"/>
      <w:bookmarkEnd w:id="3051"/>
    </w:p>
    <w:p>
      <w:pPr>
        <w:pStyle w:val="nzSubsection"/>
      </w:pPr>
      <w:r>
        <w:tab/>
      </w:r>
      <w:r>
        <w:tab/>
        <w:t>The Chief Magistrate from time to time may issue, amend or cancel practice directions.</w:t>
      </w:r>
    </w:p>
    <w:p>
      <w:pPr>
        <w:pStyle w:val="nzHeading5"/>
      </w:pPr>
      <w:bookmarkStart w:id="3052" w:name="_Toc158541680"/>
      <w:bookmarkStart w:id="3053" w:name="_Toc161201497"/>
      <w:r>
        <w:t>172.</w:t>
      </w:r>
      <w:r>
        <w:tab/>
        <w:t>Application of sections 142 and 146</w:t>
      </w:r>
      <w:bookmarkEnd w:id="3052"/>
      <w:bookmarkEnd w:id="3053"/>
    </w:p>
    <w:p>
      <w:pPr>
        <w:pStyle w:val="nzSubsection"/>
      </w:pPr>
      <w:r>
        <w:tab/>
      </w:r>
      <w:r>
        <w:tab/>
        <w:t>Sections 142 and 146 apply in relation to proceedings and, for that purpose, references in those sections —</w:t>
      </w:r>
    </w:p>
    <w:p>
      <w:pPr>
        <w:pStyle w:val="nzIndenta"/>
      </w:pPr>
      <w:r>
        <w:tab/>
        <w:t>(a)</w:t>
      </w:r>
      <w:r>
        <w:tab/>
        <w:t>to proceedings in the warden’s court are to be taken to include references to proceedings under this Part; and</w:t>
      </w:r>
    </w:p>
    <w:p>
      <w:pPr>
        <w:pStyle w:val="nzIndenta"/>
      </w:pPr>
      <w:r>
        <w:tab/>
        <w:t>(b)</w:t>
      </w:r>
      <w:r>
        <w:tab/>
        <w:t>to the warden’s court are to be taken to include references to the warden.</w:t>
      </w:r>
    </w:p>
    <w:p>
      <w:pPr>
        <w:pStyle w:val="nzHeading5"/>
      </w:pPr>
      <w:bookmarkStart w:id="3054" w:name="_Toc158541681"/>
      <w:bookmarkStart w:id="3055" w:name="_Toc161201498"/>
      <w:r>
        <w:t>173.</w:t>
      </w:r>
      <w:r>
        <w:tab/>
        <w:t>Copy of determination</w:t>
      </w:r>
      <w:bookmarkEnd w:id="3054"/>
      <w:bookmarkEnd w:id="3055"/>
    </w:p>
    <w:p>
      <w:pPr>
        <w:pStyle w:val="nzSubsection"/>
      </w:pPr>
      <w:r>
        <w:tab/>
        <w:t>(1)</w:t>
      </w:r>
      <w:r>
        <w:tab/>
        <w:t>When a determination of any proceedings has been made by a warden, a determination in the form No. 38 in the First Schedule may be signed by the warden or mining registrar.</w:t>
      </w:r>
    </w:p>
    <w:p>
      <w:pPr>
        <w:pStyle w:val="nzSubsection"/>
      </w:pPr>
      <w:r>
        <w:tab/>
        <w:t>(2)</w:t>
      </w:r>
      <w:r>
        <w:tab/>
        <w:t>A copy of the determination shall, on payment of the prescribed fee, be delivered to any person applying for it.</w:t>
      </w:r>
    </w:p>
    <w:p>
      <w:pPr>
        <w:pStyle w:val="nzHeading5"/>
      </w:pPr>
      <w:bookmarkStart w:id="3056" w:name="_Toc158541682"/>
      <w:bookmarkStart w:id="3057" w:name="_Toc161201499"/>
      <w:r>
        <w:t>174.</w:t>
      </w:r>
      <w:r>
        <w:tab/>
        <w:t>Offences</w:t>
      </w:r>
      <w:bookmarkEnd w:id="3056"/>
      <w:bookmarkEnd w:id="3057"/>
    </w:p>
    <w:p>
      <w:pPr>
        <w:pStyle w:val="nzSubsection"/>
      </w:pPr>
      <w:r>
        <w:tab/>
      </w:r>
      <w:r>
        <w:tab/>
        <w:t xml:space="preserve">A person who — </w:t>
      </w:r>
    </w:p>
    <w:p>
      <w:pPr>
        <w:pStyle w:val="nzIndenta"/>
      </w:pPr>
      <w:r>
        <w:tab/>
        <w:t>(a)</w:t>
      </w:r>
      <w:r>
        <w:tab/>
        <w:t>having been served with a summons to attend before the warden, fails without reasonable excuse to attend in obedience to the summons; or</w:t>
      </w:r>
    </w:p>
    <w:p>
      <w:pPr>
        <w:pStyle w:val="nzIndenta"/>
      </w:pPr>
      <w:r>
        <w:tab/>
        <w:t>(b)</w:t>
      </w:r>
      <w:r>
        <w:tab/>
        <w:t>having been served with a summons to produce before the warden any document, fails without reasonable excuse to comply with the summons; or</w:t>
      </w:r>
    </w:p>
    <w:p>
      <w:pPr>
        <w:pStyle w:val="nzIndenta"/>
      </w:pPr>
      <w:r>
        <w:tab/>
        <w:t>(c)</w:t>
      </w:r>
      <w:r>
        <w:tab/>
        <w:t>misbehaves before the warden, wilfully insults the warden, or wilfully interrupts proceedings before the warden; or</w:t>
      </w:r>
    </w:p>
    <w:p>
      <w:pPr>
        <w:pStyle w:val="nzIndenta"/>
      </w:pPr>
      <w:r>
        <w:tab/>
        <w:t>(d)</w:t>
      </w:r>
      <w:r>
        <w:tab/>
        <w:t xml:space="preserve">makes, before the warden, a statement that — </w:t>
      </w:r>
    </w:p>
    <w:p>
      <w:pPr>
        <w:pStyle w:val="nzIndenti"/>
      </w:pPr>
      <w:r>
        <w:tab/>
        <w:t>(i)</w:t>
      </w:r>
      <w:r>
        <w:tab/>
        <w:t>the person knows, or ought to know, is false or misleading in a material particular; or</w:t>
      </w:r>
    </w:p>
    <w:p>
      <w:pPr>
        <w:pStyle w:val="nzIndenti"/>
      </w:pPr>
      <w:r>
        <w:tab/>
        <w:t>(ii)</w:t>
      </w:r>
      <w:r>
        <w:tab/>
        <w:t>omits anything without which the statement is, so far as the person knows or ought to know, misleading in a material particular;</w:t>
      </w:r>
    </w:p>
    <w:p>
      <w:pPr>
        <w:pStyle w:val="nzIndenta"/>
      </w:pPr>
      <w:r>
        <w:tab/>
      </w:r>
      <w:r>
        <w:tab/>
        <w:t>or</w:t>
      </w:r>
    </w:p>
    <w:p>
      <w:pPr>
        <w:pStyle w:val="nzIndenta"/>
      </w:pPr>
      <w:r>
        <w:tab/>
        <w:t>(e)</w:t>
      </w:r>
      <w:r>
        <w:tab/>
        <w:t>refuses to comply with a requirement of the warden under regulation 152(2)(c),</w:t>
      </w:r>
    </w:p>
    <w:p>
      <w:pPr>
        <w:pStyle w:val="nzSubsection"/>
      </w:pPr>
      <w:r>
        <w:tab/>
      </w:r>
      <w:r>
        <w:tab/>
        <w:t>commits an offence.</w:t>
      </w:r>
    </w:p>
    <w:p>
      <w:pPr>
        <w:pStyle w:val="nzPenstart"/>
      </w:pPr>
      <w:r>
        <w:tab/>
        <w:t>Penalty: a fine of $10 000.</w:t>
      </w:r>
    </w:p>
    <w:p>
      <w:pPr>
        <w:pStyle w:val="MiscClose"/>
        <w:ind w:right="618"/>
      </w:pPr>
      <w:r>
        <w:t xml:space="preserve">     ”.</w:t>
      </w:r>
    </w:p>
    <w:p>
      <w:pPr>
        <w:pStyle w:val="nzHeading5"/>
      </w:pPr>
      <w:bookmarkStart w:id="3058" w:name="_Toc158541683"/>
      <w:bookmarkStart w:id="3059" w:name="_Toc161201500"/>
      <w:r>
        <w:rPr>
          <w:rStyle w:val="CharSectno"/>
        </w:rPr>
        <w:t>31</w:t>
      </w:r>
      <w:r>
        <w:t>.</w:t>
      </w:r>
      <w:r>
        <w:tab/>
        <w:t>First Schedule amended</w:t>
      </w:r>
      <w:bookmarkEnd w:id="3058"/>
      <w:bookmarkEnd w:id="3059"/>
    </w:p>
    <w:p>
      <w:pPr>
        <w:pStyle w:val="nzSubsection"/>
      </w:pPr>
      <w:r>
        <w:tab/>
        <w:t>(1)</w:t>
      </w:r>
      <w:r>
        <w:tab/>
        <w:t>The First Schedule is amended in the list of Forms at the beginning of the Schedule as follows:</w:t>
      </w:r>
    </w:p>
    <w:p>
      <w:pPr>
        <w:pStyle w:val="nzIndenta"/>
      </w:pPr>
      <w:r>
        <w:tab/>
        <w:t>(a)</w:t>
      </w:r>
      <w:r>
        <w:tab/>
        <w:t>in item 15 by inserting after “Forfeiture” —</w:t>
      </w:r>
    </w:p>
    <w:p>
      <w:pPr>
        <w:pStyle w:val="nzIndenta"/>
      </w:pPr>
      <w:r>
        <w:tab/>
      </w:r>
      <w:r>
        <w:tab/>
        <w:t xml:space="preserve">“    </w:t>
      </w:r>
      <w:r>
        <w:rPr>
          <w:sz w:val="22"/>
        </w:rPr>
        <w:t>under section 96(1)(a)</w:t>
      </w:r>
      <w:r>
        <w:t xml:space="preserve">    ”;</w:t>
      </w:r>
    </w:p>
    <w:p>
      <w:pPr>
        <w:pStyle w:val="nzIndenta"/>
      </w:pPr>
      <w:r>
        <w:tab/>
        <w:t>(b)</w:t>
      </w:r>
      <w:r>
        <w:tab/>
        <w:t>by deleting items 36 to 41 and inserting instead —</w:t>
      </w:r>
    </w:p>
    <w:p>
      <w:pPr>
        <w:pStyle w:val="MiscOpen"/>
      </w:pPr>
      <w:r>
        <w:t xml:space="preserve">“    </w:t>
      </w:r>
    </w:p>
    <w:p>
      <w:pPr>
        <w:pStyle w:val="nzNumberedItem"/>
      </w:pPr>
      <w:r>
        <w:t>35A.</w:t>
      </w:r>
      <w:r>
        <w:tab/>
        <w:t>Application for Forfeiture under section 96(1)(b) or 98.</w:t>
      </w:r>
    </w:p>
    <w:p>
      <w:pPr>
        <w:pStyle w:val="nzNumberedItem"/>
      </w:pPr>
      <w:r>
        <w:t>36.</w:t>
      </w:r>
      <w:r>
        <w:tab/>
        <w:t>Response.</w:t>
      </w:r>
    </w:p>
    <w:p>
      <w:pPr>
        <w:pStyle w:val="nzNumberedItem"/>
      </w:pPr>
      <w:r>
        <w:t xml:space="preserve">37. </w:t>
      </w:r>
      <w:r>
        <w:tab/>
        <w:t>Summons to Witness.</w:t>
      </w:r>
    </w:p>
    <w:p>
      <w:pPr>
        <w:pStyle w:val="nzNumberedItem"/>
      </w:pPr>
      <w:r>
        <w:t xml:space="preserve">38. </w:t>
      </w:r>
      <w:r>
        <w:tab/>
        <w:t>Judgment of a Warden’s Court / Determination of a Warden.</w:t>
      </w:r>
    </w:p>
    <w:p>
      <w:pPr>
        <w:pStyle w:val="MiscClose"/>
        <w:ind w:right="618"/>
      </w:pPr>
      <w:r>
        <w:t xml:space="preserve">    ”.</w:t>
      </w:r>
    </w:p>
    <w:p>
      <w:pPr>
        <w:pStyle w:val="nzSubsection"/>
      </w:pPr>
      <w:r>
        <w:tab/>
        <w:t>(2)</w:t>
      </w:r>
      <w:r>
        <w:tab/>
        <w:t>The First Schedule is amended in Form 15 by inserting after “FORFEITURE” —</w:t>
      </w:r>
    </w:p>
    <w:p>
      <w:pPr>
        <w:pStyle w:val="nzSubsection"/>
      </w:pPr>
      <w:r>
        <w:tab/>
      </w:r>
      <w:r>
        <w:tab/>
        <w:t xml:space="preserve">“    </w:t>
      </w:r>
      <w:r>
        <w:rPr>
          <w:b/>
          <w:snapToGrid w:val="0"/>
          <w:sz w:val="18"/>
        </w:rPr>
        <w:t>UNDER SECTION 96(1)(b)</w:t>
      </w:r>
      <w:r>
        <w:t xml:space="preserve">    ”.</w:t>
      </w:r>
    </w:p>
    <w:p>
      <w:pPr>
        <w:pStyle w:val="nzSubsection"/>
      </w:pPr>
      <w:r>
        <w:tab/>
        <w:t>(3)</w:t>
      </w:r>
      <w:r>
        <w:tab/>
        <w:t>The First Schedule is amended by deleting Form 16 and inserting instead —</w:t>
      </w:r>
    </w:p>
    <w:p>
      <w:pPr>
        <w:pStyle w:val="MiscOpen"/>
        <w:ind w:left="20"/>
      </w:pPr>
      <w:r>
        <w:t xml:space="preserve">“    </w:t>
      </w:r>
    </w:p>
    <w:tbl>
      <w:tblPr>
        <w:tblW w:w="0" w:type="auto"/>
        <w:tblInd w:w="971" w:type="dxa"/>
        <w:tblLayout w:type="fixed"/>
        <w:tblCellMar>
          <w:left w:w="120" w:type="dxa"/>
          <w:right w:w="120" w:type="dxa"/>
        </w:tblCellMar>
        <w:tblLook w:val="0000" w:firstRow="0" w:lastRow="0" w:firstColumn="0" w:lastColumn="0" w:noHBand="0" w:noVBand="0"/>
      </w:tblPr>
      <w:tblGrid>
        <w:gridCol w:w="1800"/>
        <w:gridCol w:w="610"/>
        <w:gridCol w:w="3861"/>
      </w:tblGrid>
      <w:tr>
        <w:trPr>
          <w:cantSplit/>
        </w:trPr>
        <w:tc>
          <w:tcPr>
            <w:tcW w:w="2410" w:type="dxa"/>
            <w:gridSpan w:val="2"/>
          </w:tcPr>
          <w:p>
            <w:pPr>
              <w:pStyle w:val="nzTable"/>
            </w:pPr>
            <w:r>
              <w:rPr>
                <w:spacing w:val="-2"/>
                <w:sz w:val="18"/>
              </w:rPr>
              <w:t>Form 16</w:t>
            </w:r>
          </w:p>
        </w:tc>
        <w:tc>
          <w:tcPr>
            <w:tcW w:w="3861" w:type="dxa"/>
          </w:tcPr>
          <w:p>
            <w:pPr>
              <w:pStyle w:val="nzTable"/>
            </w:pPr>
            <w:r>
              <w:rPr>
                <w:spacing w:val="-2"/>
                <w:sz w:val="18"/>
              </w:rPr>
              <w:t>WESTERN AUSTRALIA</w:t>
            </w:r>
          </w:p>
          <w:p>
            <w:pPr>
              <w:pStyle w:val="nzTable"/>
            </w:pPr>
            <w:r>
              <w:rPr>
                <w:i/>
              </w:rPr>
              <w:t>Mining Act 1978</w:t>
            </w:r>
          </w:p>
          <w:p>
            <w:pPr>
              <w:pStyle w:val="nzTable"/>
            </w:pPr>
            <w:r>
              <w:t>(s. 42, 59, 70D, 75, 97A and r. 120A, 146)</w:t>
            </w:r>
          </w:p>
        </w:tc>
      </w:tr>
      <w:tr>
        <w:trPr>
          <w:cantSplit/>
        </w:trPr>
        <w:tc>
          <w:tcPr>
            <w:tcW w:w="2410" w:type="dxa"/>
            <w:gridSpan w:val="2"/>
          </w:tcPr>
          <w:p>
            <w:pPr>
              <w:pStyle w:val="yTable"/>
              <w:spacing w:line="180" w:lineRule="atLeast"/>
              <w:ind w:left="-120"/>
              <w:rPr>
                <w:spacing w:val="-2"/>
                <w:sz w:val="18"/>
              </w:rPr>
            </w:pPr>
          </w:p>
        </w:tc>
        <w:tc>
          <w:tcPr>
            <w:tcW w:w="3861" w:type="dxa"/>
          </w:tcPr>
          <w:p>
            <w:pPr>
              <w:pStyle w:val="nzTable"/>
            </w:pPr>
            <w:r>
              <w:rPr>
                <w:b/>
                <w:spacing w:val="-3"/>
              </w:rPr>
              <w:t>OBJECTION</w:t>
            </w:r>
            <w:r>
              <w:rPr>
                <w:spacing w:val="-2"/>
                <w:sz w:val="18"/>
              </w:rPr>
              <w:tab/>
              <w:t>No.</w:t>
            </w:r>
          </w:p>
          <w:p>
            <w:pPr>
              <w:pStyle w:val="nzTable"/>
            </w:pPr>
            <w:r>
              <w:t>To:  The Warden</w:t>
            </w:r>
          </w:p>
        </w:tc>
      </w:tr>
      <w:tr>
        <w:trPr>
          <w:cantSplit/>
        </w:trPr>
        <w:tc>
          <w:tcPr>
            <w:tcW w:w="2410" w:type="dxa"/>
            <w:gridSpan w:val="2"/>
          </w:tcPr>
          <w:p>
            <w:pPr>
              <w:pStyle w:val="nzTable"/>
              <w:tabs>
                <w:tab w:val="left" w:pos="349"/>
              </w:tabs>
              <w:ind w:left="349" w:hanging="349"/>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3861" w:type="dxa"/>
          </w:tcPr>
          <w:p>
            <w:pPr>
              <w:pStyle w:val="nzTable"/>
              <w:tabs>
                <w:tab w:val="left" w:pos="2139"/>
              </w:tabs>
            </w:pPr>
            <w:r>
              <w:rPr>
                <w:spacing w:val="-2"/>
                <w:sz w:val="18"/>
              </w:rPr>
              <w:t>(a)</w:t>
            </w:r>
            <w:r>
              <w:rPr>
                <w:spacing w:val="-2"/>
                <w:sz w:val="18"/>
              </w:rPr>
              <w:tab/>
              <w:t>Mineral Field……</w:t>
            </w:r>
          </w:p>
          <w:p>
            <w:pPr>
              <w:pStyle w:val="nzTable"/>
            </w:pPr>
            <w:r>
              <w:t>The undersigned objects to</w:t>
            </w:r>
          </w:p>
        </w:tc>
      </w:tr>
      <w:tr>
        <w:trPr>
          <w:cantSplit/>
        </w:trPr>
        <w:tc>
          <w:tcPr>
            <w:tcW w:w="2410" w:type="dxa"/>
            <w:gridSpan w:val="2"/>
          </w:tcPr>
          <w:p>
            <w:pPr>
              <w:pStyle w:val="nzTable"/>
              <w:tabs>
                <w:tab w:val="left" w:pos="349"/>
              </w:tabs>
              <w:ind w:left="349" w:hanging="349"/>
            </w:pPr>
            <w:r>
              <w:rPr>
                <w:spacing w:val="-2"/>
                <w:sz w:val="18"/>
              </w:rPr>
              <w:t>(b)</w:t>
            </w:r>
            <w:r>
              <w:rPr>
                <w:spacing w:val="-2"/>
                <w:sz w:val="18"/>
              </w:rPr>
              <w:tab/>
              <w:t>Insert particulars of the matter objected to and mining tenement application affected</w:t>
            </w:r>
          </w:p>
        </w:tc>
        <w:tc>
          <w:tcPr>
            <w:tcW w:w="3861" w:type="dxa"/>
          </w:tcPr>
          <w:p>
            <w:pPr>
              <w:pStyle w:val="nzTable"/>
            </w:pPr>
            <w:r>
              <w:rPr>
                <w:spacing w:val="-2"/>
                <w:sz w:val="18"/>
              </w:rPr>
              <w:t>(b)</w:t>
            </w:r>
          </w:p>
          <w:p>
            <w:pPr>
              <w:pStyle w:val="nzTable"/>
            </w:pPr>
          </w:p>
          <w:p>
            <w:pPr>
              <w:pStyle w:val="nzTable"/>
            </w:pPr>
            <w:r>
              <w:t>for the following reasons </w:t>
            </w:r>
            <w:r>
              <w:rPr>
                <w:snapToGrid w:val="0"/>
              </w:rPr>
              <w:t>—</w:t>
            </w:r>
            <w:r>
              <w:t> </w:t>
            </w:r>
          </w:p>
        </w:tc>
      </w:tr>
      <w:tr>
        <w:trPr>
          <w:cantSplit/>
        </w:trPr>
        <w:tc>
          <w:tcPr>
            <w:tcW w:w="2410" w:type="dxa"/>
            <w:gridSpan w:val="2"/>
          </w:tcPr>
          <w:p>
            <w:pPr>
              <w:pStyle w:val="nzTable"/>
              <w:tabs>
                <w:tab w:val="left" w:pos="349"/>
              </w:tabs>
              <w:ind w:left="349" w:hanging="349"/>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3861" w:type="dxa"/>
          </w:tcPr>
          <w:p>
            <w:pPr>
              <w:pStyle w:val="nzTable"/>
            </w:pPr>
            <w:r>
              <w:rPr>
                <w:spacing w:val="-2"/>
                <w:sz w:val="18"/>
              </w:rPr>
              <w:t>(c)</w:t>
            </w:r>
          </w:p>
          <w:p>
            <w:pPr>
              <w:pStyle w:val="nzTable"/>
            </w:pPr>
          </w:p>
        </w:tc>
      </w:tr>
      <w:tr>
        <w:trPr>
          <w:cantSplit/>
        </w:trPr>
        <w:tc>
          <w:tcPr>
            <w:tcW w:w="2410" w:type="dxa"/>
            <w:gridSpan w:val="2"/>
          </w:tcPr>
          <w:p>
            <w:pPr>
              <w:pStyle w:val="nzTable"/>
              <w:tabs>
                <w:tab w:val="left" w:pos="349"/>
              </w:tabs>
              <w:ind w:left="349" w:hanging="349"/>
            </w:pPr>
            <w:r>
              <w:rPr>
                <w:spacing w:val="-2"/>
                <w:sz w:val="18"/>
              </w:rPr>
              <w:t>(d)</w:t>
            </w:r>
            <w:r>
              <w:rPr>
                <w:spacing w:val="-2"/>
                <w:sz w:val="18"/>
              </w:rPr>
              <w:tab/>
              <w:t>Particulars of objector:</w:t>
            </w:r>
          </w:p>
          <w:p>
            <w:pPr>
              <w:pStyle w:val="nzTable"/>
              <w:tabs>
                <w:tab w:val="left" w:pos="349"/>
              </w:tabs>
              <w:ind w:left="349" w:hanging="349"/>
              <w:rPr>
                <w:sz w:val="18"/>
              </w:rPr>
            </w:pPr>
            <w:r>
              <w:rPr>
                <w:sz w:val="18"/>
              </w:rPr>
              <w:tab/>
              <w:t>(i)</w:t>
            </w:r>
            <w:r>
              <w:rPr>
                <w:sz w:val="18"/>
              </w:rPr>
              <w:tab/>
            </w:r>
            <w:r>
              <w:rPr>
                <w:spacing w:val="-2"/>
                <w:sz w:val="18"/>
              </w:rPr>
              <w:t>F</w:t>
            </w:r>
            <w:r>
              <w:rPr>
                <w:sz w:val="18"/>
              </w:rPr>
              <w:t>ull name</w:t>
            </w:r>
          </w:p>
          <w:p>
            <w:pPr>
              <w:pStyle w:val="nzTable"/>
              <w:tabs>
                <w:tab w:val="left" w:pos="349"/>
              </w:tabs>
              <w:ind w:left="352" w:hanging="352"/>
              <w:rPr>
                <w:sz w:val="18"/>
              </w:rPr>
            </w:pPr>
            <w:r>
              <w:rPr>
                <w:sz w:val="18"/>
              </w:rPr>
              <w:tab/>
              <w:t>(ii)</w:t>
            </w:r>
            <w:r>
              <w:rPr>
                <w:sz w:val="18"/>
              </w:rPr>
              <w:tab/>
              <w:t>Residential or</w:t>
            </w:r>
          </w:p>
          <w:p>
            <w:pPr>
              <w:pStyle w:val="nzTable"/>
              <w:tabs>
                <w:tab w:val="left" w:pos="349"/>
              </w:tabs>
              <w:ind w:left="349" w:hanging="349"/>
              <w:rPr>
                <w:sz w:val="18"/>
              </w:rPr>
            </w:pPr>
            <w:r>
              <w:rPr>
                <w:sz w:val="18"/>
              </w:rPr>
              <w:tab/>
            </w:r>
            <w:r>
              <w:rPr>
                <w:sz w:val="18"/>
              </w:rPr>
              <w:tab/>
              <w:t>business address</w:t>
            </w:r>
          </w:p>
          <w:p>
            <w:pPr>
              <w:pStyle w:val="nzTable"/>
              <w:tabs>
                <w:tab w:val="left" w:pos="349"/>
              </w:tabs>
              <w:spacing w:before="20"/>
              <w:ind w:left="352" w:hanging="352"/>
              <w:rPr>
                <w:sz w:val="18"/>
              </w:rPr>
            </w:pPr>
            <w:r>
              <w:rPr>
                <w:sz w:val="18"/>
              </w:rPr>
              <w:tab/>
              <w:t>(iii)</w:t>
            </w:r>
            <w:r>
              <w:rPr>
                <w:sz w:val="18"/>
              </w:rPr>
              <w:tab/>
              <w:t>Phone / Fax No</w:t>
            </w:r>
          </w:p>
          <w:p>
            <w:pPr>
              <w:pStyle w:val="nzTable"/>
              <w:tabs>
                <w:tab w:val="left" w:pos="349"/>
              </w:tabs>
              <w:spacing w:before="20"/>
              <w:ind w:left="352" w:hanging="352"/>
            </w:pPr>
            <w:r>
              <w:rPr>
                <w:sz w:val="18"/>
              </w:rPr>
              <w:tab/>
              <w:t>(iv)</w:t>
            </w:r>
            <w:r>
              <w:rPr>
                <w:sz w:val="18"/>
              </w:rPr>
              <w:tab/>
              <w:t>Reference</w:t>
            </w:r>
          </w:p>
        </w:tc>
        <w:tc>
          <w:tcPr>
            <w:tcW w:w="3861" w:type="dxa"/>
          </w:tcPr>
          <w:p>
            <w:pPr>
              <w:pStyle w:val="nzTable"/>
            </w:pPr>
            <w:r>
              <w:rPr>
                <w:spacing w:val="-2"/>
                <w:sz w:val="18"/>
              </w:rPr>
              <w:t>(d)</w:t>
            </w:r>
          </w:p>
          <w:p>
            <w:pPr>
              <w:pStyle w:val="nzTable"/>
              <w:tabs>
                <w:tab w:val="left" w:pos="349"/>
              </w:tabs>
              <w:ind w:left="349" w:hanging="349"/>
            </w:pPr>
            <w:r>
              <w:tab/>
              <w:t>(i)</w:t>
            </w:r>
            <w:r>
              <w:tab/>
            </w:r>
          </w:p>
          <w:p>
            <w:pPr>
              <w:pStyle w:val="nzTable"/>
              <w:tabs>
                <w:tab w:val="left" w:pos="349"/>
              </w:tabs>
              <w:ind w:left="349" w:hanging="349"/>
            </w:pPr>
            <w:r>
              <w:tab/>
              <w:t>(ii)</w:t>
            </w:r>
            <w:r>
              <w:tab/>
              <w:t xml:space="preserve"> </w:t>
            </w:r>
          </w:p>
          <w:p>
            <w:pPr>
              <w:pStyle w:val="nzTable"/>
              <w:tabs>
                <w:tab w:val="left" w:pos="349"/>
              </w:tabs>
              <w:ind w:left="352" w:hanging="352"/>
            </w:pPr>
          </w:p>
          <w:p>
            <w:pPr>
              <w:pStyle w:val="nzTable"/>
              <w:tabs>
                <w:tab w:val="left" w:pos="349"/>
              </w:tabs>
              <w:ind w:left="352" w:hanging="352"/>
            </w:pPr>
            <w:r>
              <w:tab/>
              <w:t>(iii)</w:t>
            </w:r>
            <w:r>
              <w:tab/>
            </w:r>
          </w:p>
          <w:p>
            <w:pPr>
              <w:pStyle w:val="nzTable"/>
              <w:tabs>
                <w:tab w:val="left" w:pos="349"/>
              </w:tabs>
              <w:ind w:left="352" w:hanging="352"/>
            </w:pPr>
            <w:r>
              <w:tab/>
              <w:t>(iv)</w:t>
            </w:r>
            <w:r>
              <w:tab/>
            </w:r>
          </w:p>
        </w:tc>
      </w:tr>
      <w:tr>
        <w:trPr>
          <w:cantSplit/>
        </w:trPr>
        <w:tc>
          <w:tcPr>
            <w:tcW w:w="2410" w:type="dxa"/>
            <w:gridSpan w:val="2"/>
          </w:tcPr>
          <w:p>
            <w:pPr>
              <w:pStyle w:val="nzTable"/>
              <w:tabs>
                <w:tab w:val="left" w:pos="349"/>
              </w:tabs>
              <w:ind w:left="349" w:hanging="349"/>
            </w:pPr>
            <w:r>
              <w:rPr>
                <w:spacing w:val="-2"/>
                <w:sz w:val="18"/>
              </w:rPr>
              <w:t>(e)</w:t>
            </w:r>
            <w:r>
              <w:rPr>
                <w:spacing w:val="-2"/>
                <w:sz w:val="18"/>
              </w:rPr>
              <w:tab/>
              <w:t>Signature of objector/agent/lawyer</w:t>
            </w:r>
          </w:p>
        </w:tc>
        <w:tc>
          <w:tcPr>
            <w:tcW w:w="3861" w:type="dxa"/>
          </w:tcPr>
          <w:p>
            <w:pPr>
              <w:pStyle w:val="nzTable"/>
            </w:pPr>
            <w:r>
              <w:rPr>
                <w:spacing w:val="-2"/>
                <w:sz w:val="18"/>
              </w:rPr>
              <w:t>DATED this ..……… day of ………… 20………</w:t>
            </w:r>
          </w:p>
          <w:p>
            <w:pPr>
              <w:pStyle w:val="nzTable"/>
            </w:pPr>
            <w:r>
              <w:t>(e) ............................................................</w:t>
            </w:r>
          </w:p>
        </w:tc>
      </w:tr>
      <w:tr>
        <w:trPr>
          <w:cantSplit/>
        </w:trPr>
        <w:tc>
          <w:tcPr>
            <w:tcW w:w="6271" w:type="dxa"/>
            <w:gridSpan w:val="3"/>
          </w:tcPr>
          <w:p>
            <w:pPr>
              <w:pStyle w:val="nzTable"/>
              <w:spacing w:before="40"/>
            </w:pPr>
            <w:r>
              <w:rPr>
                <w:spacing w:val="-2"/>
                <w:sz w:val="18"/>
              </w:rPr>
              <w:t>THE TENEMENT APPLICANT AND OBJECTOR WILL BE ADVISED OF THE DATE SET BY THE MINING REGISTRAR FOR THE MENTION HEARING FOR THE APPLICATION  (See Note).</w:t>
            </w:r>
          </w:p>
        </w:tc>
      </w:tr>
      <w:tr>
        <w:trPr>
          <w:cantSplit/>
        </w:trPr>
        <w:tc>
          <w:tcPr>
            <w:tcW w:w="1800" w:type="dxa"/>
          </w:tcPr>
          <w:p>
            <w:pPr>
              <w:pStyle w:val="nzTable"/>
            </w:pPr>
            <w:r>
              <w:rPr>
                <w:spacing w:val="-2"/>
                <w:sz w:val="18"/>
              </w:rPr>
              <w:t>OFFICIAL USE</w:t>
            </w:r>
          </w:p>
        </w:tc>
        <w:tc>
          <w:tcPr>
            <w:tcW w:w="4471" w:type="dxa"/>
            <w:gridSpan w:val="2"/>
          </w:tcPr>
          <w:p>
            <w:pPr>
              <w:pStyle w:val="nzTable"/>
            </w:pPr>
            <w:r>
              <w:rPr>
                <w:spacing w:val="-2"/>
                <w:sz w:val="18"/>
              </w:rPr>
              <w:t>Received at ………a.m./p.m. on ……………… 20……......</w:t>
            </w:r>
          </w:p>
          <w:p>
            <w:pPr>
              <w:pStyle w:val="nzTable"/>
            </w:pPr>
            <w:r>
              <w:t>....................................................................................</w:t>
            </w:r>
          </w:p>
          <w:p>
            <w:pPr>
              <w:pStyle w:val="nzTable"/>
              <w:jc w:val="right"/>
            </w:pPr>
            <w:r>
              <w:t>Mining Registrar</w:t>
            </w:r>
          </w:p>
        </w:tc>
      </w:tr>
      <w:tr>
        <w:trPr>
          <w:cantSplit/>
        </w:trPr>
        <w:tc>
          <w:tcPr>
            <w:tcW w:w="6271" w:type="dxa"/>
            <w:gridSpan w:val="3"/>
          </w:tcPr>
          <w:p>
            <w:pPr>
              <w:pStyle w:val="nzTable"/>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nonattendance.</w:t>
            </w:r>
          </w:p>
        </w:tc>
      </w:tr>
    </w:tbl>
    <w:p>
      <w:pPr>
        <w:pStyle w:val="MiscClose"/>
        <w:ind w:right="618"/>
      </w:pPr>
      <w:r>
        <w:t xml:space="preserve">    ”.</w:t>
      </w:r>
    </w:p>
    <w:p>
      <w:pPr>
        <w:pStyle w:val="nzSubsection"/>
      </w:pPr>
      <w:r>
        <w:tab/>
        <w:t>(4)</w:t>
      </w:r>
      <w:r>
        <w:tab/>
        <w:t>The First Schedule is amended in Form 23 by deleting “&amp; 134”.</w:t>
      </w:r>
    </w:p>
    <w:p>
      <w:pPr>
        <w:pStyle w:val="nzSubsection"/>
      </w:pPr>
      <w:r>
        <w:tab/>
        <w:t>(5)</w:t>
      </w:r>
      <w:r>
        <w:tab/>
        <w:t>The First Schedule Form 33 is amended as follows:</w:t>
      </w:r>
    </w:p>
    <w:p>
      <w:pPr>
        <w:pStyle w:val="nzIndenta"/>
      </w:pPr>
      <w:r>
        <w:tab/>
        <w:t>(a)</w:t>
      </w:r>
      <w:r>
        <w:tab/>
        <w:t>by deleting “(Regs. 48 &amp; 121)” and inserting instead —</w:t>
      </w:r>
    </w:p>
    <w:p>
      <w:pPr>
        <w:pStyle w:val="nzIndenta"/>
      </w:pPr>
      <w:r>
        <w:tab/>
      </w:r>
      <w:r>
        <w:tab/>
        <w:t xml:space="preserve">“    </w:t>
      </w:r>
      <w:r>
        <w:rPr>
          <w:sz w:val="18"/>
        </w:rPr>
        <w:t>(r. 121)</w:t>
      </w:r>
      <w:r>
        <w:t xml:space="preserve">    ”;</w:t>
      </w:r>
    </w:p>
    <w:p>
      <w:pPr>
        <w:pStyle w:val="nzIndenta"/>
      </w:pPr>
      <w:r>
        <w:tab/>
        <w:t>(b)</w:t>
      </w:r>
      <w:r>
        <w:tab/>
        <w:t>by deleting “defendant” and inserting instead —</w:t>
      </w:r>
    </w:p>
    <w:p>
      <w:pPr>
        <w:pStyle w:val="nzIndenta"/>
      </w:pPr>
      <w:r>
        <w:tab/>
      </w:r>
      <w:r>
        <w:tab/>
        <w:t xml:space="preserve">“    </w:t>
      </w:r>
      <w:r>
        <w:rPr>
          <w:sz w:val="18"/>
        </w:rPr>
        <w:t>respondent</w:t>
      </w:r>
      <w:r>
        <w:t xml:space="preserve">    ”;</w:t>
      </w:r>
    </w:p>
    <w:p>
      <w:pPr>
        <w:pStyle w:val="nzIndenta"/>
      </w:pPr>
      <w:r>
        <w:tab/>
        <w:t>(c)</w:t>
      </w:r>
      <w:r>
        <w:tab/>
        <w:t>by deleting “Defendant” and inserting instead —</w:t>
      </w:r>
    </w:p>
    <w:p>
      <w:pPr>
        <w:pStyle w:val="nzIndenta"/>
      </w:pPr>
      <w:r>
        <w:tab/>
      </w:r>
      <w:r>
        <w:tab/>
        <w:t xml:space="preserve">“    </w:t>
      </w:r>
      <w:r>
        <w:rPr>
          <w:sz w:val="18"/>
        </w:rPr>
        <w:t>Respondent</w:t>
      </w:r>
      <w:r>
        <w:t xml:space="preserve">    ”;</w:t>
      </w:r>
    </w:p>
    <w:p>
      <w:pPr>
        <w:pStyle w:val="nzIndenta"/>
      </w:pPr>
      <w:r>
        <w:tab/>
        <w:t>(d)</w:t>
      </w:r>
      <w:r>
        <w:tab/>
        <w:t>by deleting “Subpoena” and inserting instead —</w:t>
      </w:r>
    </w:p>
    <w:p>
      <w:pPr>
        <w:pStyle w:val="nzIndenta"/>
      </w:pPr>
      <w:r>
        <w:tab/>
      </w:r>
      <w:r>
        <w:tab/>
        <w:t xml:space="preserve">“    </w:t>
      </w:r>
      <w:r>
        <w:rPr>
          <w:sz w:val="18"/>
        </w:rPr>
        <w:t>Summons to Witness</w:t>
      </w:r>
      <w:r>
        <w:t xml:space="preserve">    ”.</w:t>
      </w:r>
    </w:p>
    <w:p>
      <w:pPr>
        <w:pStyle w:val="nzSubsection"/>
      </w:pPr>
      <w:r>
        <w:tab/>
        <w:t>(6)</w:t>
      </w:r>
      <w:r>
        <w:tab/>
        <w:t>The First Schedule Form 34 is amended as follows:</w:t>
      </w:r>
    </w:p>
    <w:p>
      <w:pPr>
        <w:pStyle w:val="nzIndenta"/>
      </w:pPr>
      <w:r>
        <w:tab/>
        <w:t>(a)</w:t>
      </w:r>
      <w:r>
        <w:tab/>
        <w:t>by deleting “Defendant” and inserting instead —</w:t>
      </w:r>
    </w:p>
    <w:p>
      <w:pPr>
        <w:pStyle w:val="nzIndenta"/>
      </w:pPr>
      <w:r>
        <w:tab/>
      </w:r>
      <w:r>
        <w:tab/>
        <w:t xml:space="preserve">“    </w:t>
      </w:r>
      <w:r>
        <w:rPr>
          <w:sz w:val="18"/>
        </w:rPr>
        <w:t>Respondent</w:t>
      </w:r>
      <w:r>
        <w:t xml:space="preserve">    ”;</w:t>
      </w:r>
    </w:p>
    <w:p>
      <w:pPr>
        <w:pStyle w:val="nzIndenta"/>
      </w:pPr>
      <w:r>
        <w:tab/>
        <w:t>(b)</w:t>
      </w:r>
      <w:r>
        <w:tab/>
        <w:t>by deleting “subpoena” and inserting instead —</w:t>
      </w:r>
    </w:p>
    <w:p>
      <w:pPr>
        <w:pStyle w:val="nzIndenta"/>
      </w:pPr>
      <w:r>
        <w:tab/>
      </w:r>
      <w:r>
        <w:tab/>
        <w:t xml:space="preserve">“    </w:t>
      </w:r>
      <w:r>
        <w:rPr>
          <w:sz w:val="18"/>
        </w:rPr>
        <w:t>summons</w:t>
      </w:r>
      <w:r>
        <w:t xml:space="preserve">    ”;</w:t>
      </w:r>
    </w:p>
    <w:p>
      <w:pPr>
        <w:pStyle w:val="nzIndenta"/>
      </w:pPr>
      <w:r>
        <w:tab/>
        <w:t>(c)</w:t>
      </w:r>
      <w:r>
        <w:tab/>
        <w:t>by deleting “If you intend to dispute the plaintiff‘s claim you must file a notice of defence in accordance with regulation 126” and inserting instead —</w:t>
      </w:r>
    </w:p>
    <w:p>
      <w:pPr>
        <w:pStyle w:val="MiscOpen"/>
        <w:ind w:left="1620"/>
      </w:pPr>
      <w:r>
        <w:t xml:space="preserve">“    </w:t>
      </w:r>
    </w:p>
    <w:p>
      <w:pPr>
        <w:pStyle w:val="nzIndenta"/>
      </w:pPr>
      <w:r>
        <w:tab/>
      </w:r>
      <w:r>
        <w:tab/>
      </w:r>
      <w:r>
        <w:rPr>
          <w:sz w:val="18"/>
        </w:rPr>
        <w:t>IF YOU INTEND TO DISPUTE THE PLAINTIFF’S CLAIM YOU MUST LODGE A NOTICE OF RESPONSE IN ACCORDANCE WITH REGULATION 126.</w:t>
      </w:r>
    </w:p>
    <w:p>
      <w:pPr>
        <w:pStyle w:val="MiscClose"/>
        <w:ind w:right="618"/>
      </w:pPr>
      <w:r>
        <w:t xml:space="preserve">    ”.</w:t>
      </w:r>
    </w:p>
    <w:p>
      <w:pPr>
        <w:pStyle w:val="nzSubsection"/>
      </w:pPr>
      <w:r>
        <w:tab/>
        <w:t>(7)</w:t>
      </w:r>
      <w:r>
        <w:tab/>
        <w:t>The First Schedule is amended by deleting Forms 35 to 38 and inserting instead —</w:t>
      </w:r>
    </w:p>
    <w:p>
      <w:pPr>
        <w:pStyle w:val="MiscOpen"/>
        <w:ind w:left="20"/>
      </w:pPr>
      <w:r>
        <w:t xml:space="preserve">“    </w:t>
      </w:r>
    </w:p>
    <w:tbl>
      <w:tblPr>
        <w:tblW w:w="0" w:type="auto"/>
        <w:tblInd w:w="971" w:type="dxa"/>
        <w:tblLayout w:type="fixed"/>
        <w:tblCellMar>
          <w:left w:w="120" w:type="dxa"/>
          <w:right w:w="120" w:type="dxa"/>
        </w:tblCellMar>
        <w:tblLook w:val="0000" w:firstRow="0" w:lastRow="0" w:firstColumn="0" w:lastColumn="0" w:noHBand="0" w:noVBand="0"/>
      </w:tblPr>
      <w:tblGrid>
        <w:gridCol w:w="1843"/>
        <w:gridCol w:w="2835"/>
        <w:gridCol w:w="1559"/>
      </w:tblGrid>
      <w:tr>
        <w:trPr>
          <w:cantSplit/>
        </w:trPr>
        <w:tc>
          <w:tcPr>
            <w:tcW w:w="1843" w:type="dxa"/>
          </w:tcPr>
          <w:p>
            <w:pPr>
              <w:pStyle w:val="nzTable"/>
            </w:pPr>
            <w:r>
              <w:br w:type="page"/>
            </w:r>
            <w:r>
              <w:rPr>
                <w:sz w:val="18"/>
              </w:rPr>
              <w:t>Form 35</w:t>
            </w:r>
          </w:p>
        </w:tc>
        <w:tc>
          <w:tcPr>
            <w:tcW w:w="4394" w:type="dxa"/>
            <w:gridSpan w:val="2"/>
          </w:tcPr>
          <w:p>
            <w:pPr>
              <w:pStyle w:val="nzTable"/>
            </w:pPr>
            <w:r>
              <w:rPr>
                <w:sz w:val="18"/>
              </w:rPr>
              <w:t>WESTERN AUSTRALIA</w:t>
            </w:r>
          </w:p>
          <w:p>
            <w:pPr>
              <w:pStyle w:val="nzTable"/>
            </w:pPr>
            <w:r>
              <w:rPr>
                <w:i/>
              </w:rPr>
              <w:t>Mining Act 1978</w:t>
            </w:r>
          </w:p>
          <w:p>
            <w:pPr>
              <w:pStyle w:val="nzTable"/>
            </w:pPr>
            <w:r>
              <w:t>(r. 127D, 150)</w:t>
            </w:r>
          </w:p>
          <w:p>
            <w:pPr>
              <w:pStyle w:val="nzTable"/>
            </w:pPr>
          </w:p>
          <w:p>
            <w:pPr>
              <w:pStyle w:val="nzTable"/>
            </w:pPr>
            <w:r>
              <w:rPr>
                <w:b/>
              </w:rPr>
              <w:t>AFFIDAVIT OF SERVICE</w:t>
            </w:r>
          </w:p>
          <w:p>
            <w:pPr>
              <w:pStyle w:val="nzTable"/>
            </w:pPr>
          </w:p>
          <w:p>
            <w:pPr>
              <w:pStyle w:val="nzTable"/>
            </w:pPr>
            <w:r>
              <w:t>In the Warden’s Court at</w:t>
            </w:r>
          </w:p>
          <w:p>
            <w:pPr>
              <w:pStyle w:val="nzTable"/>
            </w:pPr>
            <w:r>
              <w:t>Before the Warden at</w:t>
            </w:r>
          </w:p>
          <w:p>
            <w:pPr>
              <w:pStyle w:val="nzTable"/>
            </w:pPr>
            <w:r>
              <w:rPr>
                <w:i/>
              </w:rPr>
              <w:t>(delete whichever is not applicable)</w:t>
            </w:r>
          </w:p>
        </w:tc>
      </w:tr>
      <w:tr>
        <w:trPr>
          <w:cantSplit/>
        </w:trPr>
        <w:tc>
          <w:tcPr>
            <w:tcW w:w="1843" w:type="dxa"/>
          </w:tcPr>
          <w:p>
            <w:pPr>
              <w:pStyle w:val="nzTable"/>
              <w:tabs>
                <w:tab w:val="left" w:pos="349"/>
              </w:tabs>
              <w:ind w:left="349" w:hanging="349"/>
            </w:pPr>
            <w:r>
              <w:rPr>
                <w:sz w:val="18"/>
              </w:rPr>
              <w:t>(a)</w:t>
            </w:r>
            <w:r>
              <w:rPr>
                <w:sz w:val="18"/>
              </w:rPr>
              <w:tab/>
              <w:t>Select an option or specify other document being served</w:t>
            </w:r>
          </w:p>
        </w:tc>
        <w:tc>
          <w:tcPr>
            <w:tcW w:w="2835" w:type="dxa"/>
          </w:tcPr>
          <w:p>
            <w:pPr>
              <w:pStyle w:val="nzTable"/>
            </w:pPr>
          </w:p>
          <w:p>
            <w:pPr>
              <w:pStyle w:val="nzTable"/>
              <w:tabs>
                <w:tab w:val="left" w:pos="349"/>
              </w:tabs>
              <w:ind w:left="349" w:hanging="349"/>
            </w:pPr>
            <w:r>
              <w:t>(a)</w:t>
            </w:r>
            <w: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nzTable"/>
            </w:pPr>
          </w:p>
          <w:p>
            <w:pPr>
              <w:pStyle w:val="nzTable"/>
            </w:pPr>
            <w:r>
              <w:t>No ........ / .........</w:t>
            </w:r>
          </w:p>
        </w:tc>
      </w:tr>
      <w:tr>
        <w:trPr>
          <w:cantSplit/>
          <w:trHeight w:hRule="exact" w:val="198"/>
        </w:trPr>
        <w:tc>
          <w:tcPr>
            <w:tcW w:w="1843" w:type="dxa"/>
          </w:tcPr>
          <w:p>
            <w:pPr>
              <w:pStyle w:val="yTable"/>
              <w:spacing w:line="180" w:lineRule="atLeast"/>
              <w:ind w:left="-120"/>
              <w:rPr>
                <w:sz w:val="18"/>
              </w:rPr>
            </w:pPr>
          </w:p>
        </w:tc>
        <w:tc>
          <w:tcPr>
            <w:tcW w:w="4394" w:type="dxa"/>
            <w:gridSpan w:val="2"/>
          </w:tcPr>
          <w:p>
            <w:pPr>
              <w:pStyle w:val="nzTable"/>
            </w:pPr>
          </w:p>
        </w:tc>
      </w:tr>
      <w:tr>
        <w:trPr>
          <w:cantSplit/>
        </w:trPr>
        <w:tc>
          <w:tcPr>
            <w:tcW w:w="1843" w:type="dxa"/>
          </w:tcPr>
          <w:p>
            <w:pPr>
              <w:pStyle w:val="nzTable"/>
              <w:tabs>
                <w:tab w:val="left" w:pos="349"/>
              </w:tabs>
              <w:ind w:left="349" w:hanging="349"/>
            </w:pPr>
            <w:r>
              <w:rPr>
                <w:sz w:val="18"/>
              </w:rPr>
              <w:t>(b)</w:t>
            </w:r>
            <w:r>
              <w:rPr>
                <w:sz w:val="18"/>
              </w:rPr>
              <w:tab/>
              <w:t xml:space="preserve">Name and address </w:t>
            </w:r>
          </w:p>
        </w:tc>
        <w:tc>
          <w:tcPr>
            <w:tcW w:w="4394" w:type="dxa"/>
            <w:gridSpan w:val="2"/>
            <w:tcBorders>
              <w:top w:val="single" w:sz="7" w:space="0" w:color="auto"/>
              <w:left w:val="single" w:sz="7" w:space="0" w:color="auto"/>
              <w:bottom w:val="single" w:sz="7" w:space="0" w:color="auto"/>
              <w:right w:val="single" w:sz="7" w:space="0" w:color="auto"/>
            </w:tcBorders>
          </w:tcPr>
          <w:p>
            <w:pPr>
              <w:pStyle w:val="nzTable"/>
            </w:pPr>
            <w:r>
              <w:rPr>
                <w:b/>
                <w:sz w:val="18"/>
              </w:rPr>
              <w:t>Plaintiff / Applicant</w:t>
            </w:r>
          </w:p>
          <w:p>
            <w:pPr>
              <w:pStyle w:val="nzTable"/>
            </w:pPr>
            <w:r>
              <w:t>(b)</w:t>
            </w:r>
          </w:p>
          <w:p>
            <w:pPr>
              <w:pStyle w:val="nzTable"/>
            </w:pPr>
          </w:p>
        </w:tc>
      </w:tr>
      <w:tr>
        <w:trPr>
          <w:cantSplit/>
          <w:trHeight w:hRule="exact" w:val="339"/>
        </w:trPr>
        <w:tc>
          <w:tcPr>
            <w:tcW w:w="1843" w:type="dxa"/>
          </w:tcPr>
          <w:p>
            <w:pPr>
              <w:pStyle w:val="yTable"/>
              <w:spacing w:line="180" w:lineRule="atLeast"/>
              <w:ind w:left="306" w:hanging="426"/>
              <w:rPr>
                <w:sz w:val="18"/>
              </w:rPr>
            </w:pPr>
          </w:p>
        </w:tc>
        <w:tc>
          <w:tcPr>
            <w:tcW w:w="4394" w:type="dxa"/>
            <w:gridSpan w:val="2"/>
          </w:tcPr>
          <w:p>
            <w:pPr>
              <w:pStyle w:val="nzTable"/>
              <w:jc w:val="center"/>
            </w:pPr>
            <w:r>
              <w:rPr>
                <w:sz w:val="18"/>
              </w:rPr>
              <w:t>AND</w:t>
            </w:r>
          </w:p>
        </w:tc>
      </w:tr>
      <w:tr>
        <w:trPr>
          <w:cantSplit/>
        </w:trPr>
        <w:tc>
          <w:tcPr>
            <w:tcW w:w="1843" w:type="dxa"/>
          </w:tcPr>
          <w:p>
            <w:pPr>
              <w:pStyle w:val="nzTable"/>
              <w:tabs>
                <w:tab w:val="left" w:pos="349"/>
              </w:tabs>
              <w:ind w:left="349" w:hanging="349"/>
            </w:pPr>
            <w:r>
              <w:rPr>
                <w:sz w:val="18"/>
              </w:rPr>
              <w:t>(c)</w:t>
            </w:r>
            <w:r>
              <w:rPr>
                <w:sz w:val="18"/>
              </w:rPr>
              <w:tab/>
              <w:t>Name and address of tenement holder (for service)</w:t>
            </w:r>
          </w:p>
        </w:tc>
        <w:tc>
          <w:tcPr>
            <w:tcW w:w="4394" w:type="dxa"/>
            <w:gridSpan w:val="2"/>
            <w:tcBorders>
              <w:top w:val="single" w:sz="7" w:space="0" w:color="auto"/>
              <w:left w:val="single" w:sz="7" w:space="0" w:color="auto"/>
              <w:bottom w:val="single" w:sz="7" w:space="0" w:color="auto"/>
              <w:right w:val="single" w:sz="7" w:space="0" w:color="auto"/>
            </w:tcBorders>
          </w:tcPr>
          <w:p>
            <w:pPr>
              <w:pStyle w:val="nzTable"/>
            </w:pPr>
            <w:r>
              <w:rPr>
                <w:b/>
                <w:sz w:val="18"/>
              </w:rPr>
              <w:t>Respondent / Objector</w:t>
            </w:r>
          </w:p>
          <w:p>
            <w:pPr>
              <w:pStyle w:val="nzTable"/>
            </w:pPr>
            <w:r>
              <w:t>(c)</w:t>
            </w:r>
          </w:p>
          <w:p>
            <w:pPr>
              <w:pStyle w:val="nzTable"/>
            </w:pPr>
          </w:p>
        </w:tc>
      </w:tr>
      <w:tr>
        <w:trPr>
          <w:cantSplit/>
        </w:trPr>
        <w:tc>
          <w:tcPr>
            <w:tcW w:w="1843" w:type="dxa"/>
          </w:tcPr>
          <w:p>
            <w:pPr>
              <w:pStyle w:val="nzTable"/>
              <w:tabs>
                <w:tab w:val="left" w:pos="349"/>
              </w:tabs>
              <w:ind w:left="349" w:hanging="349"/>
            </w:pPr>
            <w:r>
              <w:rPr>
                <w:sz w:val="18"/>
              </w:rPr>
              <w:t>(d)</w:t>
            </w:r>
            <w:r>
              <w:rPr>
                <w:sz w:val="18"/>
              </w:rPr>
              <w:tab/>
              <w:t>Full name and address</w:t>
            </w:r>
          </w:p>
        </w:tc>
        <w:tc>
          <w:tcPr>
            <w:tcW w:w="4394" w:type="dxa"/>
            <w:gridSpan w:val="2"/>
          </w:tcPr>
          <w:p>
            <w:pPr>
              <w:pStyle w:val="nzTable"/>
              <w:tabs>
                <w:tab w:val="left" w:pos="349"/>
              </w:tabs>
              <w:ind w:left="349" w:hanging="349"/>
            </w:pPr>
            <w:r>
              <w:rPr>
                <w:sz w:val="18"/>
              </w:rPr>
              <w:t>(d)</w:t>
            </w:r>
            <w:r>
              <w:rPr>
                <w:sz w:val="18"/>
              </w:rPr>
              <w:tab/>
              <w:t xml:space="preserve">I, </w:t>
            </w:r>
          </w:p>
          <w:p>
            <w:pPr>
              <w:pStyle w:val="nzTable"/>
            </w:pPr>
          </w:p>
          <w:p>
            <w:pPr>
              <w:pStyle w:val="nzTable"/>
            </w:pPr>
          </w:p>
          <w:p>
            <w:pPr>
              <w:pStyle w:val="nzTable"/>
            </w:pPr>
          </w:p>
        </w:tc>
      </w:tr>
      <w:tr>
        <w:trPr>
          <w:cantSplit/>
        </w:trPr>
        <w:tc>
          <w:tcPr>
            <w:tcW w:w="1843" w:type="dxa"/>
          </w:tcPr>
          <w:p>
            <w:pPr>
              <w:pStyle w:val="yTable"/>
              <w:spacing w:line="180" w:lineRule="atLeast"/>
              <w:ind w:left="-120"/>
              <w:rPr>
                <w:sz w:val="18"/>
              </w:rPr>
            </w:pPr>
          </w:p>
        </w:tc>
        <w:tc>
          <w:tcPr>
            <w:tcW w:w="4394" w:type="dxa"/>
            <w:gridSpan w:val="2"/>
          </w:tcPr>
          <w:p>
            <w:pPr>
              <w:pStyle w:val="nzTable"/>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1843" w:type="dxa"/>
          </w:tcPr>
          <w:p>
            <w:pPr>
              <w:pStyle w:val="yTable"/>
              <w:spacing w:line="180" w:lineRule="atLeast"/>
              <w:ind w:left="-120"/>
              <w:rPr>
                <w:sz w:val="18"/>
              </w:rPr>
            </w:pPr>
          </w:p>
        </w:tc>
        <w:tc>
          <w:tcPr>
            <w:tcW w:w="4394" w:type="dxa"/>
            <w:gridSpan w:val="2"/>
          </w:tcPr>
          <w:p>
            <w:pPr>
              <w:pStyle w:val="nzTable"/>
            </w:pPr>
            <w:r>
              <w:rPr>
                <w:sz w:val="18"/>
              </w:rPr>
              <w:t>Full name of person on whom service effected:</w:t>
            </w:r>
          </w:p>
          <w:p>
            <w:pPr>
              <w:pStyle w:val="nzTable"/>
            </w:pPr>
            <w:r>
              <w:rPr>
                <w:spacing w:val="-2"/>
              </w:rPr>
              <w:t>……………………………………………………</w:t>
            </w:r>
          </w:p>
          <w:p>
            <w:pPr>
              <w:pStyle w:val="nzTable"/>
            </w:pPr>
            <w:r>
              <w:t>Manner of service:</w:t>
            </w:r>
          </w:p>
          <w:p>
            <w:pPr>
              <w:pStyle w:val="nzTable"/>
            </w:pPr>
            <w:r>
              <w:rPr>
                <w:spacing w:val="-2"/>
              </w:rPr>
              <w:t>……………………………………………………</w:t>
            </w:r>
          </w:p>
          <w:p>
            <w:pPr>
              <w:pStyle w:val="nzTable"/>
            </w:pPr>
            <w:r>
              <w:t>Address where service effected:</w:t>
            </w:r>
          </w:p>
          <w:p>
            <w:pPr>
              <w:pStyle w:val="nzTable"/>
            </w:pPr>
            <w:r>
              <w:rPr>
                <w:spacing w:val="-2"/>
              </w:rPr>
              <w:t>……………………………………………………</w:t>
            </w:r>
          </w:p>
          <w:p>
            <w:pPr>
              <w:pStyle w:val="nzTable"/>
            </w:pPr>
            <w:r>
              <w:t>Sworn before me at</w:t>
            </w:r>
          </w:p>
          <w:p>
            <w:pPr>
              <w:pStyle w:val="nzTable"/>
            </w:pPr>
          </w:p>
          <w:p>
            <w:pPr>
              <w:pStyle w:val="nzTable"/>
            </w:pPr>
            <w:r>
              <w:t>this ......</w:t>
            </w:r>
            <w:r>
              <w:rPr>
                <w:spacing w:val="-2"/>
              </w:rPr>
              <w:t xml:space="preserve">…… </w:t>
            </w:r>
            <w:r>
              <w:t>day of ..</w:t>
            </w:r>
            <w:r>
              <w:rPr>
                <w:spacing w:val="-2"/>
              </w:rPr>
              <w:t xml:space="preserve">……………… </w:t>
            </w:r>
            <w:r>
              <w:t>20</w:t>
            </w:r>
            <w:r>
              <w:rPr>
                <w:spacing w:val="-2"/>
              </w:rPr>
              <w:t>………</w:t>
            </w:r>
          </w:p>
          <w:p>
            <w:pPr>
              <w:pStyle w:val="nzTable"/>
              <w:rPr>
                <w:sz w:val="14"/>
              </w:rPr>
            </w:pPr>
          </w:p>
          <w:p>
            <w:pPr>
              <w:pStyle w:val="nzTable"/>
            </w:pPr>
            <w:r>
              <w:t>...................................................................................</w:t>
            </w:r>
          </w:p>
          <w:p>
            <w:pPr>
              <w:pStyle w:val="nzTable"/>
            </w:pPr>
            <w:r>
              <w:t>(Experienced lawyer/Warden/Mining Registrar/Justice of the Peace.)</w:t>
            </w:r>
          </w:p>
        </w:tc>
      </w:tr>
    </w:tbl>
    <w:p>
      <w:pPr>
        <w:pStyle w:val="nzSubsection"/>
      </w:pPr>
    </w:p>
    <w:tbl>
      <w:tblPr>
        <w:tblW w:w="0" w:type="auto"/>
        <w:tblInd w:w="971" w:type="dxa"/>
        <w:tblLayout w:type="fixed"/>
        <w:tblCellMar>
          <w:left w:w="120" w:type="dxa"/>
          <w:right w:w="120" w:type="dxa"/>
        </w:tblCellMar>
        <w:tblLook w:val="0000" w:firstRow="0" w:lastRow="0" w:firstColumn="0" w:lastColumn="0" w:noHBand="0" w:noVBand="0"/>
      </w:tblPr>
      <w:tblGrid>
        <w:gridCol w:w="1843"/>
        <w:gridCol w:w="4394"/>
      </w:tblGrid>
      <w:tr>
        <w:tc>
          <w:tcPr>
            <w:tcW w:w="1843" w:type="dxa"/>
          </w:tcPr>
          <w:p>
            <w:pPr>
              <w:pStyle w:val="nzTable"/>
            </w:pPr>
            <w:r>
              <w:rPr>
                <w:sz w:val="18"/>
              </w:rPr>
              <w:t>Form 35A</w:t>
            </w:r>
          </w:p>
        </w:tc>
        <w:tc>
          <w:tcPr>
            <w:tcW w:w="4394" w:type="dxa"/>
          </w:tcPr>
          <w:p>
            <w:pPr>
              <w:pStyle w:val="nzTable"/>
            </w:pPr>
            <w:r>
              <w:rPr>
                <w:sz w:val="18"/>
              </w:rPr>
              <w:t>WESTERN AUSTRALIA</w:t>
            </w:r>
          </w:p>
          <w:p>
            <w:pPr>
              <w:pStyle w:val="nzTable"/>
            </w:pPr>
            <w:r>
              <w:rPr>
                <w:i/>
              </w:rPr>
              <w:t>Mining Act 1978</w:t>
            </w:r>
          </w:p>
          <w:p>
            <w:pPr>
              <w:pStyle w:val="nzTable"/>
            </w:pPr>
            <w:r>
              <w:t>(r. 140)</w:t>
            </w:r>
          </w:p>
        </w:tc>
      </w:tr>
      <w:tr>
        <w:tc>
          <w:tcPr>
            <w:tcW w:w="1843" w:type="dxa"/>
          </w:tcPr>
          <w:p>
            <w:pPr>
              <w:pStyle w:val="nzTable"/>
            </w:pPr>
            <w:r>
              <w:rPr>
                <w:sz w:val="18"/>
              </w:rPr>
              <w:fldChar w:fldCharType="begin"/>
            </w:r>
            <w:r>
              <w:rPr>
                <w:sz w:val="18"/>
              </w:rPr>
              <w:instrText>ADVANCE \U 2.80</w:instrText>
            </w:r>
            <w:r>
              <w:rPr>
                <w:sz w:val="18"/>
              </w:rPr>
              <w:fldChar w:fldCharType="end"/>
            </w:r>
          </w:p>
        </w:tc>
        <w:tc>
          <w:tcPr>
            <w:tcW w:w="4394" w:type="dxa"/>
          </w:tcPr>
          <w:p>
            <w:pPr>
              <w:pStyle w:val="nzTable"/>
            </w:pPr>
            <w:r>
              <w:rPr>
                <w:b/>
              </w:rPr>
              <w:t>APPLICATION FOR FORFEITURE UNDER SECTION 96(1)(b) OR 98</w:t>
            </w:r>
          </w:p>
          <w:p>
            <w:pPr>
              <w:pStyle w:val="nzTable"/>
              <w:rPr>
                <w:sz w:val="18"/>
              </w:rPr>
            </w:pPr>
            <w:r>
              <w:rPr>
                <w:sz w:val="18"/>
              </w:rPr>
              <w:t xml:space="preserve">No. </w:t>
            </w:r>
          </w:p>
          <w:p>
            <w:pPr>
              <w:pStyle w:val="nzTable"/>
              <w:rPr>
                <w:sz w:val="18"/>
              </w:rPr>
            </w:pPr>
            <w:r>
              <w:rPr>
                <w:sz w:val="18"/>
              </w:rPr>
              <w:t xml:space="preserve">Before the Warden at </w:t>
            </w:r>
          </w:p>
        </w:tc>
      </w:tr>
      <w:tr>
        <w:tc>
          <w:tcPr>
            <w:tcW w:w="1843" w:type="dxa"/>
          </w:tcPr>
          <w:p>
            <w:pPr>
              <w:pStyle w:val="nzTable"/>
              <w:tabs>
                <w:tab w:val="left" w:pos="349"/>
              </w:tabs>
              <w:ind w:left="349" w:hanging="349"/>
            </w:pPr>
            <w:r>
              <w:rPr>
                <w:sz w:val="18"/>
              </w:rPr>
              <w:t>(a)</w:t>
            </w:r>
            <w:r>
              <w:rPr>
                <w:sz w:val="18"/>
              </w:rPr>
              <w:tab/>
              <w:t>Name and address of applicant</w:t>
            </w:r>
          </w:p>
        </w:tc>
        <w:tc>
          <w:tcPr>
            <w:tcW w:w="4394" w:type="dxa"/>
            <w:tcBorders>
              <w:top w:val="single" w:sz="7" w:space="0" w:color="auto"/>
              <w:left w:val="single" w:sz="7" w:space="0" w:color="auto"/>
              <w:bottom w:val="single" w:sz="7" w:space="0" w:color="auto"/>
              <w:right w:val="single" w:sz="7" w:space="0" w:color="auto"/>
            </w:tcBorders>
          </w:tcPr>
          <w:p>
            <w:pPr>
              <w:pStyle w:val="nzTable"/>
            </w:pPr>
            <w:r>
              <w:rPr>
                <w:b/>
                <w:sz w:val="18"/>
              </w:rPr>
              <w:t>Applicant for forfeiture</w:t>
            </w:r>
          </w:p>
          <w:p>
            <w:pPr>
              <w:pStyle w:val="nzTable"/>
            </w:pPr>
            <w:r>
              <w:t>(a)</w:t>
            </w:r>
          </w:p>
          <w:p>
            <w:pPr>
              <w:pStyle w:val="nzTable"/>
            </w:pPr>
          </w:p>
        </w:tc>
      </w:tr>
      <w:tr>
        <w:trPr>
          <w:trHeight w:hRule="exact" w:val="339"/>
        </w:trPr>
        <w:tc>
          <w:tcPr>
            <w:tcW w:w="1843" w:type="dxa"/>
          </w:tcPr>
          <w:p>
            <w:pPr>
              <w:pStyle w:val="yTable"/>
              <w:spacing w:line="180" w:lineRule="atLeast"/>
              <w:ind w:left="306" w:hanging="426"/>
              <w:rPr>
                <w:sz w:val="18"/>
              </w:rPr>
            </w:pPr>
          </w:p>
        </w:tc>
        <w:tc>
          <w:tcPr>
            <w:tcW w:w="4394" w:type="dxa"/>
          </w:tcPr>
          <w:p>
            <w:pPr>
              <w:pStyle w:val="nzTable"/>
              <w:jc w:val="center"/>
            </w:pPr>
            <w:r>
              <w:rPr>
                <w:sz w:val="18"/>
              </w:rPr>
              <w:t>V</w:t>
            </w:r>
          </w:p>
        </w:tc>
      </w:tr>
      <w:tr>
        <w:tc>
          <w:tcPr>
            <w:tcW w:w="1843" w:type="dxa"/>
          </w:tcPr>
          <w:p>
            <w:pPr>
              <w:pStyle w:val="nzTable"/>
              <w:tabs>
                <w:tab w:val="left" w:pos="349"/>
              </w:tabs>
              <w:ind w:left="349" w:hanging="349"/>
            </w:pPr>
            <w:r>
              <w:rPr>
                <w:sz w:val="18"/>
              </w:rPr>
              <w:t>(b)</w:t>
            </w:r>
            <w:r>
              <w:rPr>
                <w:sz w:val="18"/>
              </w:rPr>
              <w:tab/>
              <w:t>Name and address of tenement holder (for service)</w:t>
            </w:r>
          </w:p>
        </w:tc>
        <w:tc>
          <w:tcPr>
            <w:tcW w:w="4394" w:type="dxa"/>
            <w:tcBorders>
              <w:top w:val="single" w:sz="7" w:space="0" w:color="auto"/>
              <w:left w:val="single" w:sz="7" w:space="0" w:color="auto"/>
              <w:bottom w:val="single" w:sz="7" w:space="0" w:color="auto"/>
              <w:right w:val="single" w:sz="7" w:space="0" w:color="auto"/>
            </w:tcBorders>
          </w:tcPr>
          <w:p>
            <w:pPr>
              <w:pStyle w:val="nzTable"/>
            </w:pPr>
            <w:r>
              <w:rPr>
                <w:b/>
                <w:sz w:val="18"/>
              </w:rPr>
              <w:t>Respondent</w:t>
            </w:r>
          </w:p>
          <w:p>
            <w:pPr>
              <w:pStyle w:val="nzTable"/>
            </w:pPr>
            <w:r>
              <w:t>(b)</w:t>
            </w:r>
          </w:p>
          <w:p>
            <w:pPr>
              <w:pStyle w:val="nzTable"/>
            </w:pPr>
          </w:p>
        </w:tc>
      </w:tr>
      <w:tr>
        <w:tc>
          <w:tcPr>
            <w:tcW w:w="1843" w:type="dxa"/>
          </w:tcPr>
          <w:p>
            <w:pPr>
              <w:pStyle w:val="nzTable"/>
              <w:tabs>
                <w:tab w:val="left" w:pos="349"/>
              </w:tabs>
              <w:ind w:left="349" w:hanging="349"/>
            </w:pPr>
            <w:r>
              <w:rPr>
                <w:sz w:val="18"/>
              </w:rPr>
              <w:t>(c)</w:t>
            </w:r>
            <w:r>
              <w:rPr>
                <w:sz w:val="18"/>
              </w:rPr>
              <w:tab/>
              <w:t>Mining tenement number</w:t>
            </w:r>
          </w:p>
        </w:tc>
        <w:tc>
          <w:tcPr>
            <w:tcW w:w="4394" w:type="dxa"/>
          </w:tcPr>
          <w:p>
            <w:pPr>
              <w:pStyle w:val="nzTable"/>
            </w:pPr>
            <w:r>
              <w:rPr>
                <w:sz w:val="18"/>
              </w:rPr>
              <w:t>The Applicant claims that</w:t>
            </w:r>
            <w:r>
              <w:rPr>
                <w:snapToGrid w:val="0"/>
                <w:sz w:val="18"/>
              </w:rPr>
              <w:t xml:space="preserve"> the Respondent has failed to comply with the expenditure conditions in relation to </w:t>
            </w:r>
          </w:p>
          <w:p>
            <w:pPr>
              <w:pStyle w:val="nzTable"/>
            </w:pPr>
            <w:r>
              <w:t>(c)</w:t>
            </w:r>
          </w:p>
          <w:p>
            <w:pPr>
              <w:pStyle w:val="nzTable"/>
            </w:pPr>
          </w:p>
        </w:tc>
      </w:tr>
      <w:tr>
        <w:tc>
          <w:tcPr>
            <w:tcW w:w="1843" w:type="dxa"/>
          </w:tcPr>
          <w:p>
            <w:pPr>
              <w:pStyle w:val="nzTable"/>
              <w:tabs>
                <w:tab w:val="left" w:pos="349"/>
              </w:tabs>
              <w:ind w:left="349" w:hanging="349"/>
            </w:pPr>
            <w:r>
              <w:rPr>
                <w:sz w:val="18"/>
              </w:rPr>
              <w:t>(d)</w:t>
            </w:r>
            <w:r>
              <w:rPr>
                <w:sz w:val="18"/>
              </w:rPr>
              <w:tab/>
              <w:t>Relevant year</w:t>
            </w:r>
          </w:p>
        </w:tc>
        <w:tc>
          <w:tcPr>
            <w:tcW w:w="4394" w:type="dxa"/>
          </w:tcPr>
          <w:p>
            <w:pPr>
              <w:pStyle w:val="nzTable"/>
            </w:pPr>
            <w:r>
              <w:rPr>
                <w:sz w:val="18"/>
              </w:rPr>
              <w:t>for the year ending </w:t>
            </w:r>
            <w:r>
              <w:rPr>
                <w:snapToGrid w:val="0"/>
                <w:sz w:val="18"/>
              </w:rPr>
              <w:t>—</w:t>
            </w:r>
            <w:r>
              <w:rPr>
                <w:sz w:val="18"/>
              </w:rPr>
              <w:t xml:space="preserve">  </w:t>
            </w:r>
          </w:p>
          <w:p>
            <w:pPr>
              <w:pStyle w:val="nzTable"/>
            </w:pPr>
            <w:r>
              <w:t>(d)</w:t>
            </w:r>
          </w:p>
          <w:p>
            <w:pPr>
              <w:pStyle w:val="nzTable"/>
            </w:pPr>
            <w:r>
              <w:t>and applies for the mining tenement to be forfeited.</w:t>
            </w:r>
          </w:p>
        </w:tc>
      </w:tr>
      <w:tr>
        <w:tc>
          <w:tcPr>
            <w:tcW w:w="1843" w:type="dxa"/>
          </w:tcPr>
          <w:p>
            <w:pPr>
              <w:pStyle w:val="yTable"/>
              <w:spacing w:line="180" w:lineRule="atLeast"/>
              <w:ind w:left="306" w:hanging="426"/>
              <w:rPr>
                <w:sz w:val="18"/>
              </w:rPr>
            </w:pPr>
          </w:p>
        </w:tc>
        <w:tc>
          <w:tcPr>
            <w:tcW w:w="4394" w:type="dxa"/>
          </w:tcPr>
          <w:p>
            <w:pPr>
              <w:pStyle w:val="nzTable"/>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1843" w:type="dxa"/>
          </w:tcPr>
          <w:p>
            <w:pPr>
              <w:pStyle w:val="nzTable"/>
              <w:tabs>
                <w:tab w:val="left" w:pos="349"/>
              </w:tabs>
              <w:ind w:left="349" w:hanging="349"/>
            </w:pPr>
            <w:r>
              <w:rPr>
                <w:sz w:val="18"/>
              </w:rPr>
              <w:t>(e)</w:t>
            </w:r>
            <w:r>
              <w:rPr>
                <w:sz w:val="18"/>
              </w:rPr>
              <w:tab/>
              <w:t>Signature of applicant/lawyer/authorised representative</w:t>
            </w:r>
          </w:p>
        </w:tc>
        <w:tc>
          <w:tcPr>
            <w:tcW w:w="4394" w:type="dxa"/>
          </w:tcPr>
          <w:p>
            <w:pPr>
              <w:pStyle w:val="nzTable"/>
            </w:pPr>
            <w:r>
              <w:rPr>
                <w:sz w:val="18"/>
              </w:rPr>
              <w:br/>
            </w:r>
            <w:r>
              <w:rPr>
                <w:sz w:val="18"/>
              </w:rPr>
              <w:br/>
            </w:r>
            <w:r>
              <w:rPr>
                <w:sz w:val="18"/>
              </w:rPr>
              <w:br/>
              <w:t>(e) ......................................................................................</w:t>
            </w:r>
          </w:p>
        </w:tc>
      </w:tr>
      <w:tr>
        <w:tc>
          <w:tcPr>
            <w:tcW w:w="1843" w:type="dxa"/>
          </w:tcPr>
          <w:p>
            <w:pPr>
              <w:pStyle w:val="nzTable"/>
            </w:pPr>
            <w:r>
              <w:rPr>
                <w:sz w:val="18"/>
              </w:rPr>
              <w:t>OFFICIAL USE</w:t>
            </w:r>
          </w:p>
          <w:p>
            <w:pPr>
              <w:pStyle w:val="yTable"/>
              <w:spacing w:line="180" w:lineRule="atLeast"/>
              <w:ind w:left="-120"/>
              <w:rPr>
                <w:sz w:val="18"/>
              </w:rPr>
            </w:pPr>
          </w:p>
        </w:tc>
        <w:tc>
          <w:tcPr>
            <w:tcW w:w="4394" w:type="dxa"/>
          </w:tcPr>
          <w:p>
            <w:pPr>
              <w:pStyle w:val="nzTable"/>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w:t>
            </w:r>
          </w:p>
          <w:p>
            <w:pPr>
              <w:pStyle w:val="nzTable"/>
            </w:pPr>
            <w:r>
              <w:t>with the prescribed application fee.</w:t>
            </w:r>
          </w:p>
          <w:p>
            <w:pPr>
              <w:pStyle w:val="nzTable"/>
            </w:pPr>
          </w:p>
          <w:p>
            <w:pPr>
              <w:pStyle w:val="nzTable"/>
              <w:jc w:val="center"/>
            </w:pPr>
            <w:r>
              <w:t>……………………………………………….</w:t>
            </w:r>
          </w:p>
          <w:p>
            <w:pPr>
              <w:pStyle w:val="nzTable"/>
              <w:jc w:val="center"/>
            </w:pPr>
            <w:r>
              <w:t>Mining Registrar</w:t>
            </w:r>
          </w:p>
        </w:tc>
      </w:tr>
      <w:tr>
        <w:tc>
          <w:tcPr>
            <w:tcW w:w="1843" w:type="dxa"/>
          </w:tcPr>
          <w:p>
            <w:pPr>
              <w:pStyle w:val="yTable"/>
              <w:spacing w:line="180" w:lineRule="atLeast"/>
              <w:ind w:left="-120"/>
              <w:rPr>
                <w:sz w:val="18"/>
              </w:rPr>
            </w:pPr>
          </w:p>
        </w:tc>
        <w:tc>
          <w:tcPr>
            <w:tcW w:w="4394" w:type="dxa"/>
          </w:tcPr>
          <w:p>
            <w:pPr>
              <w:pStyle w:val="nzTable"/>
            </w:pPr>
            <w:r>
              <w:rPr>
                <w:b/>
                <w:bCs/>
                <w:sz w:val="18"/>
              </w:rPr>
              <w:t>SUMMONS TO RESPONDENT:</w:t>
            </w:r>
          </w:p>
          <w:p>
            <w:pPr>
              <w:pStyle w:val="nzTable"/>
              <w:spacing w:before="60"/>
            </w:pPr>
            <w:r>
              <w:t>YOU ARE HEREBY REQUIRED TO ATTEND A MENTION HEARING (see Note) before the Warden at ………........... at ............……a.m./p.m. on the ……….. day of …………………… 20 ..........</w:t>
            </w:r>
          </w:p>
          <w:p>
            <w:pPr>
              <w:pStyle w:val="nzTable"/>
            </w:pPr>
            <w:r>
              <w:t>to answer the application for forfeiture as outlined above.</w:t>
            </w:r>
          </w:p>
        </w:tc>
      </w:tr>
      <w:tr>
        <w:tc>
          <w:tcPr>
            <w:tcW w:w="1843" w:type="dxa"/>
          </w:tcPr>
          <w:p>
            <w:pPr>
              <w:pStyle w:val="yTable"/>
              <w:spacing w:line="180" w:lineRule="atLeast"/>
              <w:ind w:left="-120"/>
              <w:rPr>
                <w:sz w:val="18"/>
              </w:rPr>
            </w:pPr>
          </w:p>
        </w:tc>
        <w:tc>
          <w:tcPr>
            <w:tcW w:w="4394" w:type="dxa"/>
          </w:tcPr>
          <w:p>
            <w:pPr>
              <w:pStyle w:val="nzTable"/>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nzTable"/>
            </w:pPr>
            <w:r>
              <w:rPr>
                <w:caps/>
              </w:rPr>
              <w:t>If you intend to dispute the applicant’s claim</w:t>
            </w:r>
            <w:r>
              <w:t xml:space="preserve"> you must file a response in accordance with regulation 141.</w:t>
            </w:r>
          </w:p>
        </w:tc>
      </w:tr>
      <w:tr>
        <w:tc>
          <w:tcPr>
            <w:tcW w:w="1843" w:type="dxa"/>
            <w:tcBorders>
              <w:top w:val="single" w:sz="4" w:space="0" w:color="auto"/>
              <w:left w:val="single" w:sz="4" w:space="0" w:color="auto"/>
              <w:bottom w:val="single" w:sz="4" w:space="0" w:color="auto"/>
              <w:right w:val="single" w:sz="4" w:space="0" w:color="auto"/>
            </w:tcBorders>
          </w:tcPr>
          <w:p>
            <w:pPr>
              <w:pStyle w:val="nzTable"/>
              <w:jc w:val="center"/>
            </w:pPr>
            <w:r>
              <w:rPr>
                <w:sz w:val="18"/>
              </w:rPr>
              <w:t>STAMP</w:t>
            </w:r>
            <w:r>
              <w:rPr>
                <w:sz w:val="18"/>
              </w:rPr>
              <w:br/>
              <w:t>OF</w:t>
            </w:r>
            <w:r>
              <w:rPr>
                <w:sz w:val="18"/>
              </w:rPr>
              <w:br/>
              <w:t>MINING REGISTRAR</w:t>
            </w:r>
          </w:p>
        </w:tc>
        <w:tc>
          <w:tcPr>
            <w:tcW w:w="4394" w:type="dxa"/>
            <w:tcBorders>
              <w:left w:val="single" w:sz="4" w:space="0" w:color="auto"/>
            </w:tcBorders>
          </w:tcPr>
          <w:p>
            <w:pPr>
              <w:pStyle w:val="nzTable"/>
            </w:pPr>
            <w:r>
              <w:rPr>
                <w:sz w:val="18"/>
              </w:rPr>
              <w:t>Dated this ….... day of ……………………….... 20........</w:t>
            </w:r>
          </w:p>
          <w:p>
            <w:pPr>
              <w:pStyle w:val="nzTable"/>
            </w:pPr>
          </w:p>
          <w:p>
            <w:pPr>
              <w:pStyle w:val="nzTable"/>
              <w:jc w:val="right"/>
            </w:pPr>
            <w:r>
              <w:t xml:space="preserve">……………………………………………….. </w:t>
            </w:r>
          </w:p>
          <w:p>
            <w:pPr>
              <w:pStyle w:val="nzTable"/>
              <w:jc w:val="center"/>
            </w:pPr>
            <w:r>
              <w:t>Mining Registrar</w:t>
            </w:r>
          </w:p>
        </w:tc>
      </w:tr>
      <w:tr>
        <w:trPr>
          <w:cantSplit/>
        </w:trPr>
        <w:tc>
          <w:tcPr>
            <w:tcW w:w="6237" w:type="dxa"/>
            <w:gridSpan w:val="2"/>
          </w:tcPr>
          <w:p>
            <w:pPr>
              <w:pStyle w:val="nzTable"/>
              <w:ind w:left="709" w:hanging="480"/>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1843" w:type="dxa"/>
          </w:tcPr>
          <w:p>
            <w:pPr>
              <w:pStyle w:val="ABillFor"/>
              <w:spacing w:after="0" w:line="180" w:lineRule="atLeast"/>
              <w:rPr>
                <w:sz w:val="18"/>
              </w:rPr>
            </w:pPr>
          </w:p>
        </w:tc>
        <w:tc>
          <w:tcPr>
            <w:tcW w:w="4394" w:type="dxa"/>
          </w:tcPr>
          <w:p>
            <w:pPr>
              <w:pStyle w:val="nzTable"/>
              <w:jc w:val="center"/>
            </w:pPr>
            <w:r>
              <w:rPr>
                <w:b/>
                <w:sz w:val="18"/>
              </w:rPr>
              <w:t>ENDORSEMENT</w:t>
            </w:r>
          </w:p>
          <w:p>
            <w:pPr>
              <w:pStyle w:val="nzTable"/>
            </w:pPr>
            <w:r>
              <w:t>This is the document marked “A” referred to in the annexed affidavit of</w:t>
            </w:r>
          </w:p>
          <w:p>
            <w:pPr>
              <w:pStyle w:val="nzTable"/>
            </w:pPr>
            <w:r>
              <w:t>sworn before me at ..................................................</w:t>
            </w:r>
          </w:p>
          <w:p>
            <w:pPr>
              <w:pStyle w:val="nzTable"/>
            </w:pPr>
            <w:r>
              <w:t xml:space="preserve">this </w:t>
            </w:r>
            <w:r>
              <w:rPr>
                <w:spacing w:val="-2"/>
              </w:rPr>
              <w:t xml:space="preserve">………… </w:t>
            </w:r>
            <w:r>
              <w:t xml:space="preserve">day of </w:t>
            </w:r>
            <w:r>
              <w:rPr>
                <w:spacing w:val="-2"/>
              </w:rPr>
              <w:t>……………………</w:t>
            </w:r>
            <w:r>
              <w:t xml:space="preserve"> 20</w:t>
            </w:r>
            <w:r>
              <w:rPr>
                <w:spacing w:val="-2"/>
              </w:rPr>
              <w:t>…....</w:t>
            </w:r>
          </w:p>
          <w:p>
            <w:pPr>
              <w:pStyle w:val="nzTable"/>
            </w:pPr>
          </w:p>
          <w:p>
            <w:pPr>
              <w:pStyle w:val="nzTable"/>
              <w:jc w:val="center"/>
            </w:pPr>
            <w:r>
              <w:t>.........................................................................</w:t>
            </w:r>
          </w:p>
        </w:tc>
      </w:tr>
    </w:tbl>
    <w:p>
      <w:pPr>
        <w:pStyle w:val="nzSubsection"/>
      </w:pPr>
    </w:p>
    <w:tbl>
      <w:tblPr>
        <w:tblW w:w="0" w:type="auto"/>
        <w:tblInd w:w="971" w:type="dxa"/>
        <w:tblLayout w:type="fixed"/>
        <w:tblCellMar>
          <w:left w:w="120" w:type="dxa"/>
          <w:right w:w="120" w:type="dxa"/>
        </w:tblCellMar>
        <w:tblLook w:val="0000" w:firstRow="0" w:lastRow="0" w:firstColumn="0" w:lastColumn="0" w:noHBand="0" w:noVBand="0"/>
      </w:tblPr>
      <w:tblGrid>
        <w:gridCol w:w="1843"/>
        <w:gridCol w:w="1984"/>
        <w:gridCol w:w="2410"/>
      </w:tblGrid>
      <w:tr>
        <w:trPr>
          <w:cantSplit/>
        </w:trPr>
        <w:tc>
          <w:tcPr>
            <w:tcW w:w="1843" w:type="dxa"/>
          </w:tcPr>
          <w:p>
            <w:pPr>
              <w:pStyle w:val="nzTable"/>
            </w:pPr>
            <w:r>
              <w:rPr>
                <w:sz w:val="18"/>
              </w:rPr>
              <w:t>Form 36</w:t>
            </w:r>
          </w:p>
        </w:tc>
        <w:tc>
          <w:tcPr>
            <w:tcW w:w="4394" w:type="dxa"/>
            <w:gridSpan w:val="2"/>
          </w:tcPr>
          <w:p>
            <w:pPr>
              <w:pStyle w:val="nzTable"/>
            </w:pPr>
            <w:r>
              <w:rPr>
                <w:sz w:val="18"/>
              </w:rPr>
              <w:t>WESTERN AUSTRALIA</w:t>
            </w:r>
          </w:p>
          <w:p>
            <w:pPr>
              <w:pStyle w:val="nzTable"/>
            </w:pPr>
            <w:r>
              <w:rPr>
                <w:i/>
              </w:rPr>
              <w:t>Mining Act 1978</w:t>
            </w:r>
          </w:p>
          <w:p>
            <w:pPr>
              <w:pStyle w:val="nzTable"/>
            </w:pPr>
            <w:r>
              <w:t>(r. 126, 141)</w:t>
            </w:r>
          </w:p>
          <w:p>
            <w:pPr>
              <w:pStyle w:val="nzTable"/>
              <w:spacing w:before="40" w:after="40"/>
            </w:pPr>
            <w:r>
              <w:rPr>
                <w:b/>
              </w:rPr>
              <w:t>RESPONSE</w:t>
            </w:r>
          </w:p>
          <w:p>
            <w:pPr>
              <w:pStyle w:val="nzTable"/>
            </w:pPr>
            <w:r>
              <w:t>In the Warden’s Court at</w:t>
            </w:r>
          </w:p>
          <w:p>
            <w:pPr>
              <w:pStyle w:val="nzTable"/>
            </w:pPr>
            <w:r>
              <w:t>Before the Warden at</w:t>
            </w:r>
          </w:p>
          <w:p>
            <w:pPr>
              <w:pStyle w:val="nzTable"/>
            </w:pPr>
            <w:r>
              <w:rPr>
                <w:i/>
              </w:rPr>
              <w:t>(delete whichever is not applicable)</w:t>
            </w:r>
          </w:p>
        </w:tc>
      </w:tr>
      <w:tr>
        <w:trPr>
          <w:cantSplit/>
        </w:trPr>
        <w:tc>
          <w:tcPr>
            <w:tcW w:w="1843" w:type="dxa"/>
            <w:tcBorders>
              <w:right w:val="single" w:sz="8" w:space="0" w:color="auto"/>
            </w:tcBorders>
          </w:tcPr>
          <w:p>
            <w:pPr>
              <w:pStyle w:val="nzTable"/>
              <w:tabs>
                <w:tab w:val="left" w:pos="349"/>
              </w:tabs>
              <w:ind w:left="349" w:hanging="349"/>
            </w:pPr>
            <w:r>
              <w:rPr>
                <w:sz w:val="18"/>
              </w:rPr>
              <w:t>(a)</w:t>
            </w:r>
            <w:r>
              <w:rPr>
                <w:sz w:val="18"/>
              </w:rPr>
              <w:tab/>
              <w:t>Select an option</w:t>
            </w:r>
          </w:p>
          <w:p>
            <w:pPr>
              <w:pStyle w:val="nzTable"/>
            </w:pPr>
            <w:r>
              <w:t xml:space="preserve"> </w:t>
            </w:r>
          </w:p>
        </w:tc>
        <w:tc>
          <w:tcPr>
            <w:tcW w:w="1984" w:type="dxa"/>
            <w:tcBorders>
              <w:top w:val="single" w:sz="8" w:space="0" w:color="auto"/>
              <w:left w:val="single" w:sz="8" w:space="0" w:color="auto"/>
              <w:bottom w:val="single" w:sz="8" w:space="0" w:color="auto"/>
              <w:right w:val="single" w:sz="8" w:space="0" w:color="auto"/>
            </w:tcBorders>
          </w:tcPr>
          <w:p>
            <w:pPr>
              <w:pStyle w:val="nzTable"/>
              <w:tabs>
                <w:tab w:val="left" w:pos="349"/>
              </w:tabs>
              <w:ind w:left="349" w:hanging="349"/>
            </w:pPr>
            <w:r>
              <w:rPr>
                <w:sz w:val="18"/>
              </w:rPr>
              <w:t>(a)</w:t>
            </w:r>
            <w:r>
              <w:rPr>
                <w:sz w:val="18"/>
              </w:rPr>
              <w:tab/>
              <w:t>Plaint / Application for forfeiture</w:t>
            </w:r>
          </w:p>
          <w:p>
            <w:pPr>
              <w:pStyle w:val="nzTable"/>
              <w:tabs>
                <w:tab w:val="left" w:pos="349"/>
              </w:tabs>
              <w:ind w:left="349" w:hanging="349"/>
            </w:pPr>
            <w:r>
              <w:tab/>
              <w:t>No. ……./……..</w:t>
            </w:r>
          </w:p>
        </w:tc>
        <w:tc>
          <w:tcPr>
            <w:tcW w:w="2410" w:type="dxa"/>
            <w:tcBorders>
              <w:top w:val="single" w:sz="7" w:space="0" w:color="auto"/>
              <w:left w:val="single" w:sz="8" w:space="0" w:color="auto"/>
              <w:bottom w:val="single" w:sz="7" w:space="0" w:color="auto"/>
              <w:right w:val="single" w:sz="7" w:space="0" w:color="auto"/>
            </w:tcBorders>
          </w:tcPr>
          <w:p>
            <w:pPr>
              <w:pStyle w:val="nzTable"/>
            </w:pPr>
            <w:r>
              <w:rPr>
                <w:sz w:val="18"/>
              </w:rPr>
              <w:t xml:space="preserve">Affecting tenement </w:t>
            </w:r>
          </w:p>
          <w:p>
            <w:pPr>
              <w:pStyle w:val="nzTable"/>
            </w:pPr>
            <w:r>
              <w:t>........../.....…....</w:t>
            </w:r>
          </w:p>
        </w:tc>
      </w:tr>
      <w:tr>
        <w:trPr>
          <w:cantSplit/>
          <w:trHeight w:hRule="exact" w:val="198"/>
        </w:trPr>
        <w:tc>
          <w:tcPr>
            <w:tcW w:w="1843" w:type="dxa"/>
          </w:tcPr>
          <w:p>
            <w:pPr>
              <w:pStyle w:val="yTable"/>
              <w:spacing w:line="180" w:lineRule="atLeast"/>
              <w:ind w:left="-120"/>
              <w:rPr>
                <w:sz w:val="18"/>
              </w:rPr>
            </w:pPr>
          </w:p>
        </w:tc>
        <w:tc>
          <w:tcPr>
            <w:tcW w:w="4394" w:type="dxa"/>
            <w:gridSpan w:val="2"/>
          </w:tcPr>
          <w:p>
            <w:pPr>
              <w:pStyle w:val="nzTable"/>
            </w:pPr>
          </w:p>
        </w:tc>
      </w:tr>
      <w:tr>
        <w:trPr>
          <w:cantSplit/>
        </w:trPr>
        <w:tc>
          <w:tcPr>
            <w:tcW w:w="1843" w:type="dxa"/>
          </w:tcPr>
          <w:p>
            <w:pPr>
              <w:pStyle w:val="nzTable"/>
              <w:tabs>
                <w:tab w:val="left" w:pos="349"/>
              </w:tabs>
              <w:ind w:left="349" w:hanging="349"/>
            </w:pPr>
            <w:r>
              <w:rPr>
                <w:sz w:val="18"/>
              </w:rPr>
              <w:t>(b)</w:t>
            </w:r>
            <w:r>
              <w:rPr>
                <w:sz w:val="18"/>
              </w:rPr>
              <w:tab/>
              <w:t xml:space="preserve">Name and address </w:t>
            </w:r>
          </w:p>
        </w:tc>
        <w:tc>
          <w:tcPr>
            <w:tcW w:w="4394" w:type="dxa"/>
            <w:gridSpan w:val="2"/>
            <w:tcBorders>
              <w:top w:val="single" w:sz="7" w:space="0" w:color="auto"/>
              <w:left w:val="single" w:sz="7" w:space="0" w:color="auto"/>
              <w:bottom w:val="single" w:sz="7" w:space="0" w:color="auto"/>
              <w:right w:val="single" w:sz="7" w:space="0" w:color="auto"/>
            </w:tcBorders>
          </w:tcPr>
          <w:p>
            <w:pPr>
              <w:pStyle w:val="nzTable"/>
            </w:pPr>
            <w:r>
              <w:rPr>
                <w:b/>
                <w:sz w:val="18"/>
              </w:rPr>
              <w:t>Plaintiff / Applicant for forfeiture</w:t>
            </w:r>
          </w:p>
          <w:p>
            <w:pPr>
              <w:pStyle w:val="nzTable"/>
            </w:pPr>
            <w:r>
              <w:t>(b)</w:t>
            </w:r>
          </w:p>
        </w:tc>
      </w:tr>
      <w:tr>
        <w:trPr>
          <w:cantSplit/>
          <w:trHeight w:hRule="exact" w:val="339"/>
        </w:trPr>
        <w:tc>
          <w:tcPr>
            <w:tcW w:w="1843" w:type="dxa"/>
          </w:tcPr>
          <w:p>
            <w:pPr>
              <w:pStyle w:val="yTable"/>
              <w:spacing w:line="180" w:lineRule="atLeast"/>
              <w:ind w:left="306" w:hanging="426"/>
              <w:rPr>
                <w:sz w:val="18"/>
              </w:rPr>
            </w:pPr>
          </w:p>
        </w:tc>
        <w:tc>
          <w:tcPr>
            <w:tcW w:w="4394" w:type="dxa"/>
            <w:gridSpan w:val="2"/>
          </w:tcPr>
          <w:p>
            <w:pPr>
              <w:pStyle w:val="nzTable"/>
            </w:pPr>
            <w:r>
              <w:rPr>
                <w:sz w:val="18"/>
              </w:rPr>
              <w:t>AND</w:t>
            </w:r>
          </w:p>
        </w:tc>
      </w:tr>
      <w:tr>
        <w:trPr>
          <w:cantSplit/>
        </w:trPr>
        <w:tc>
          <w:tcPr>
            <w:tcW w:w="1843" w:type="dxa"/>
          </w:tcPr>
          <w:p>
            <w:pPr>
              <w:pStyle w:val="nzTable"/>
              <w:tabs>
                <w:tab w:val="left" w:pos="349"/>
              </w:tabs>
              <w:ind w:left="349" w:hanging="349"/>
            </w:pPr>
            <w:r>
              <w:rPr>
                <w:sz w:val="18"/>
              </w:rPr>
              <w:t>(c)</w:t>
            </w:r>
            <w:r>
              <w:rPr>
                <w:sz w:val="18"/>
              </w:rPr>
              <w:tab/>
              <w:t>Name and address of tenement holder</w:t>
            </w:r>
          </w:p>
        </w:tc>
        <w:tc>
          <w:tcPr>
            <w:tcW w:w="4394" w:type="dxa"/>
            <w:gridSpan w:val="2"/>
            <w:tcBorders>
              <w:top w:val="single" w:sz="7" w:space="0" w:color="auto"/>
              <w:left w:val="single" w:sz="7" w:space="0" w:color="auto"/>
              <w:bottom w:val="single" w:sz="7" w:space="0" w:color="auto"/>
              <w:right w:val="single" w:sz="7" w:space="0" w:color="auto"/>
            </w:tcBorders>
          </w:tcPr>
          <w:p>
            <w:pPr>
              <w:pStyle w:val="nzTable"/>
            </w:pPr>
            <w:r>
              <w:rPr>
                <w:b/>
                <w:sz w:val="18"/>
              </w:rPr>
              <w:t>Respondent</w:t>
            </w:r>
          </w:p>
          <w:p>
            <w:pPr>
              <w:pStyle w:val="nzTable"/>
            </w:pPr>
            <w:r>
              <w:t>(c)</w:t>
            </w:r>
          </w:p>
          <w:p>
            <w:pPr>
              <w:pStyle w:val="nzTable"/>
            </w:pPr>
          </w:p>
        </w:tc>
      </w:tr>
      <w:tr>
        <w:trPr>
          <w:cantSplit/>
        </w:trPr>
        <w:tc>
          <w:tcPr>
            <w:tcW w:w="1843" w:type="dxa"/>
          </w:tcPr>
          <w:p>
            <w:pPr>
              <w:pStyle w:val="nzTable"/>
              <w:tabs>
                <w:tab w:val="left" w:pos="349"/>
              </w:tabs>
              <w:ind w:left="349" w:hanging="349"/>
            </w:pPr>
            <w:r>
              <w:rPr>
                <w:sz w:val="18"/>
              </w:rPr>
              <w:t>(d)</w:t>
            </w:r>
            <w:r>
              <w:rPr>
                <w:sz w:val="18"/>
              </w:rPr>
              <w:tab/>
              <w:t>Grounds of defence</w:t>
            </w:r>
          </w:p>
        </w:tc>
        <w:tc>
          <w:tcPr>
            <w:tcW w:w="4394" w:type="dxa"/>
            <w:gridSpan w:val="2"/>
          </w:tcPr>
          <w:p>
            <w:pPr>
              <w:pStyle w:val="nzTable"/>
            </w:pPr>
            <w:r>
              <w:rPr>
                <w:sz w:val="18"/>
              </w:rPr>
              <w:t>TAKE NOTICE that I intend to defend the plaint/application in this proceeding on the following grounds </w:t>
            </w:r>
            <w:r>
              <w:rPr>
                <w:snapToGrid w:val="0"/>
                <w:sz w:val="18"/>
              </w:rPr>
              <w:t>—</w:t>
            </w:r>
            <w:r>
              <w:rPr>
                <w:sz w:val="18"/>
              </w:rPr>
              <w:t> </w:t>
            </w:r>
          </w:p>
          <w:p>
            <w:pPr>
              <w:pStyle w:val="nzTable"/>
            </w:pPr>
            <w:r>
              <w:t>(d)</w:t>
            </w:r>
          </w:p>
          <w:p>
            <w:pPr>
              <w:pStyle w:val="nzTable"/>
            </w:pPr>
          </w:p>
          <w:p>
            <w:pPr>
              <w:pStyle w:val="nzTable"/>
            </w:pPr>
          </w:p>
        </w:tc>
      </w:tr>
      <w:tr>
        <w:trPr>
          <w:cantSplit/>
        </w:trPr>
        <w:tc>
          <w:tcPr>
            <w:tcW w:w="1843" w:type="dxa"/>
          </w:tcPr>
          <w:p>
            <w:pPr>
              <w:pStyle w:val="yTable"/>
              <w:spacing w:line="180" w:lineRule="atLeast"/>
              <w:ind w:left="306" w:hanging="425"/>
              <w:rPr>
                <w:sz w:val="18"/>
              </w:rPr>
            </w:pPr>
          </w:p>
        </w:tc>
        <w:tc>
          <w:tcPr>
            <w:tcW w:w="4394" w:type="dxa"/>
            <w:gridSpan w:val="2"/>
          </w:tcPr>
          <w:p>
            <w:pPr>
              <w:pStyle w:val="nzTable"/>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w:t>
            </w:r>
            <w:r>
              <w:rPr>
                <w:sz w:val="18"/>
              </w:rPr>
              <w:t>20</w:t>
            </w:r>
            <w:r>
              <w:rPr>
                <w:spacing w:val="-2"/>
                <w:sz w:val="18"/>
              </w:rPr>
              <w:t>……</w:t>
            </w:r>
          </w:p>
        </w:tc>
      </w:tr>
      <w:tr>
        <w:trPr>
          <w:cantSplit/>
        </w:trPr>
        <w:tc>
          <w:tcPr>
            <w:tcW w:w="1843" w:type="dxa"/>
          </w:tcPr>
          <w:p>
            <w:pPr>
              <w:pStyle w:val="nzTable"/>
              <w:tabs>
                <w:tab w:val="left" w:pos="349"/>
              </w:tabs>
              <w:ind w:left="349" w:hanging="349"/>
            </w:pPr>
            <w:r>
              <w:rPr>
                <w:sz w:val="18"/>
              </w:rPr>
              <w:t>(e)</w:t>
            </w:r>
            <w:r>
              <w:rPr>
                <w:sz w:val="18"/>
              </w:rPr>
              <w:tab/>
              <w:t>Signature of applicant/lawyer/authorised representative</w:t>
            </w:r>
          </w:p>
        </w:tc>
        <w:tc>
          <w:tcPr>
            <w:tcW w:w="4394" w:type="dxa"/>
            <w:gridSpan w:val="2"/>
          </w:tcPr>
          <w:p>
            <w:pPr>
              <w:pStyle w:val="nzTable"/>
            </w:pPr>
            <w:r>
              <w:rPr>
                <w:sz w:val="18"/>
              </w:rPr>
              <w:br/>
            </w:r>
            <w:r>
              <w:rPr>
                <w:sz w:val="18"/>
              </w:rPr>
              <w:br/>
            </w:r>
            <w:r>
              <w:rPr>
                <w:sz w:val="18"/>
              </w:rPr>
              <w:br/>
              <w:t>(e) ......................................................................................</w:t>
            </w:r>
          </w:p>
        </w:tc>
      </w:tr>
      <w:tr>
        <w:trPr>
          <w:cantSplit/>
        </w:trPr>
        <w:tc>
          <w:tcPr>
            <w:tcW w:w="1843" w:type="dxa"/>
          </w:tcPr>
          <w:p>
            <w:pPr>
              <w:pStyle w:val="nzTable"/>
            </w:pPr>
            <w:r>
              <w:rPr>
                <w:sz w:val="18"/>
              </w:rPr>
              <w:t>OFFICIAL USE</w:t>
            </w:r>
          </w:p>
        </w:tc>
        <w:tc>
          <w:tcPr>
            <w:tcW w:w="4394" w:type="dxa"/>
            <w:gridSpan w:val="2"/>
          </w:tcPr>
          <w:p>
            <w:pPr>
              <w:pStyle w:val="nzTable"/>
            </w:pPr>
            <w:r>
              <w:rPr>
                <w:sz w:val="18"/>
              </w:rPr>
              <w:t>Received at .......................a.m./p.m. on ............................</w:t>
            </w:r>
          </w:p>
          <w:p>
            <w:pPr>
              <w:pStyle w:val="nzTable"/>
            </w:pPr>
            <w:r>
              <w:t>with fee of $.......................</w:t>
            </w:r>
          </w:p>
          <w:p>
            <w:pPr>
              <w:pStyle w:val="nzTable"/>
            </w:pPr>
          </w:p>
          <w:p>
            <w:pPr>
              <w:pStyle w:val="nzTable"/>
              <w:jc w:val="center"/>
            </w:pPr>
            <w:r>
              <w:t>..............................................................................</w:t>
            </w:r>
          </w:p>
          <w:p>
            <w:pPr>
              <w:pStyle w:val="nzTable"/>
              <w:jc w:val="center"/>
            </w:pPr>
            <w:r>
              <w:t>Mining Registrar</w:t>
            </w:r>
          </w:p>
        </w:tc>
      </w:tr>
      <w:tr>
        <w:trPr>
          <w:cantSplit/>
        </w:trPr>
        <w:tc>
          <w:tcPr>
            <w:tcW w:w="1843" w:type="dxa"/>
          </w:tcPr>
          <w:p>
            <w:pPr>
              <w:pStyle w:val="ABillFor"/>
              <w:widowControl w:val="0"/>
              <w:spacing w:line="180" w:lineRule="atLeast"/>
              <w:rPr>
                <w:sz w:val="18"/>
              </w:rPr>
            </w:pPr>
          </w:p>
        </w:tc>
        <w:tc>
          <w:tcPr>
            <w:tcW w:w="4394" w:type="dxa"/>
            <w:gridSpan w:val="2"/>
          </w:tcPr>
          <w:p>
            <w:pPr>
              <w:pStyle w:val="nzTable"/>
              <w:jc w:val="center"/>
            </w:pPr>
            <w:r>
              <w:rPr>
                <w:b/>
                <w:sz w:val="18"/>
              </w:rPr>
              <w:t>ENDORSEMENT</w:t>
            </w:r>
          </w:p>
          <w:p>
            <w:pPr>
              <w:pStyle w:val="nzTable"/>
            </w:pPr>
            <w:r>
              <w:t>This is the document marked “A” referred to in the annexed affidavit of</w:t>
            </w:r>
          </w:p>
          <w:p>
            <w:pPr>
              <w:pStyle w:val="nzTable"/>
            </w:pPr>
            <w:r>
              <w:t>sworn before me at ..................................................</w:t>
            </w:r>
          </w:p>
          <w:p>
            <w:pPr>
              <w:pStyle w:val="nzTable"/>
              <w:rPr>
                <w:spacing w:val="-2"/>
              </w:rPr>
            </w:pPr>
            <w:r>
              <w:t xml:space="preserve">this </w:t>
            </w:r>
            <w:r>
              <w:rPr>
                <w:spacing w:val="-2"/>
              </w:rPr>
              <w:t xml:space="preserve">………… </w:t>
            </w:r>
            <w:r>
              <w:t xml:space="preserve">day of </w:t>
            </w:r>
            <w:r>
              <w:rPr>
                <w:spacing w:val="-2"/>
              </w:rPr>
              <w:t>……………………</w:t>
            </w:r>
            <w:r>
              <w:t xml:space="preserve"> 20</w:t>
            </w:r>
            <w:r>
              <w:rPr>
                <w:spacing w:val="-2"/>
              </w:rPr>
              <w:t>…....</w:t>
            </w:r>
          </w:p>
          <w:p>
            <w:pPr>
              <w:pStyle w:val="nzTable"/>
            </w:pPr>
          </w:p>
          <w:p>
            <w:pPr>
              <w:pStyle w:val="nzTable"/>
              <w:jc w:val="right"/>
            </w:pPr>
            <w:r>
              <w:t>...............................................................</w:t>
            </w:r>
          </w:p>
        </w:tc>
      </w:tr>
    </w:tbl>
    <w:p>
      <w:pPr>
        <w:pStyle w:val="nzSubsection"/>
      </w:pPr>
    </w:p>
    <w:tbl>
      <w:tblPr>
        <w:tblW w:w="0" w:type="auto"/>
        <w:tblInd w:w="971" w:type="dxa"/>
        <w:tblLayout w:type="fixed"/>
        <w:tblCellMar>
          <w:left w:w="120" w:type="dxa"/>
          <w:right w:w="120" w:type="dxa"/>
        </w:tblCellMar>
        <w:tblLook w:val="0000" w:firstRow="0" w:lastRow="0" w:firstColumn="0" w:lastColumn="0" w:noHBand="0" w:noVBand="0"/>
      </w:tblPr>
      <w:tblGrid>
        <w:gridCol w:w="1843"/>
        <w:gridCol w:w="4394"/>
      </w:tblGrid>
      <w:tr>
        <w:trPr>
          <w:cantSplit/>
        </w:trPr>
        <w:tc>
          <w:tcPr>
            <w:tcW w:w="1843" w:type="dxa"/>
          </w:tcPr>
          <w:p>
            <w:pPr>
              <w:pStyle w:val="nzTable"/>
            </w:pPr>
            <w:r>
              <w:br w:type="page"/>
            </w:r>
            <w:r>
              <w:rPr>
                <w:sz w:val="18"/>
              </w:rPr>
              <w:t>Form 36A</w:t>
            </w:r>
          </w:p>
        </w:tc>
        <w:tc>
          <w:tcPr>
            <w:tcW w:w="4394" w:type="dxa"/>
          </w:tcPr>
          <w:p>
            <w:pPr>
              <w:pStyle w:val="nzTable"/>
            </w:pPr>
            <w:r>
              <w:rPr>
                <w:sz w:val="18"/>
              </w:rPr>
              <w:t>WESTERN AUSTRALIA</w:t>
            </w:r>
          </w:p>
          <w:p>
            <w:pPr>
              <w:pStyle w:val="nzTable"/>
            </w:pPr>
            <w:r>
              <w:rPr>
                <w:i/>
              </w:rPr>
              <w:t>Mining Act 1978</w:t>
            </w:r>
          </w:p>
          <w:p>
            <w:pPr>
              <w:pStyle w:val="nzTable"/>
            </w:pPr>
            <w:r>
              <w:t>(r. 127E, 151, 154)</w:t>
            </w:r>
          </w:p>
        </w:tc>
      </w:tr>
      <w:tr>
        <w:trPr>
          <w:cantSplit/>
        </w:trPr>
        <w:tc>
          <w:tcPr>
            <w:tcW w:w="1843" w:type="dxa"/>
          </w:tcPr>
          <w:p>
            <w:pPr>
              <w:pStyle w:val="nzTable"/>
            </w:pPr>
            <w:r>
              <w:rPr>
                <w:sz w:val="18"/>
              </w:rPr>
              <w:t>Tenement No. .……</w:t>
            </w:r>
          </w:p>
        </w:tc>
        <w:tc>
          <w:tcPr>
            <w:tcW w:w="4394" w:type="dxa"/>
          </w:tcPr>
          <w:p>
            <w:pPr>
              <w:pStyle w:val="nzTable"/>
            </w:pPr>
            <w:r>
              <w:rPr>
                <w:b/>
              </w:rPr>
              <w:t>INTERLOCUTORY APPLICATION</w:t>
            </w:r>
            <w:r>
              <w:rPr>
                <w:sz w:val="18"/>
              </w:rPr>
              <w:t xml:space="preserve"> </w:t>
            </w:r>
            <w:r>
              <w:rPr>
                <w:sz w:val="18"/>
              </w:rPr>
              <w:br/>
              <w:t>In the Warden’s Court at ...................................................</w:t>
            </w:r>
          </w:p>
          <w:p>
            <w:pPr>
              <w:pStyle w:val="nzTable"/>
            </w:pPr>
            <w:r>
              <w:t>Before the warden at ................................................</w:t>
            </w:r>
          </w:p>
          <w:p>
            <w:pPr>
              <w:pStyle w:val="nzTable"/>
            </w:pPr>
            <w:r>
              <w:rPr>
                <w:i/>
              </w:rPr>
              <w:t>(delete whichever is not applicable)</w:t>
            </w:r>
          </w:p>
        </w:tc>
      </w:tr>
      <w:tr>
        <w:trPr>
          <w:cantSplit/>
        </w:trPr>
        <w:tc>
          <w:tcPr>
            <w:tcW w:w="1843" w:type="dxa"/>
          </w:tcPr>
          <w:p>
            <w:pPr>
              <w:pStyle w:val="nzTable"/>
              <w:tabs>
                <w:tab w:val="left" w:pos="349"/>
              </w:tabs>
              <w:ind w:left="349" w:hanging="349"/>
            </w:pPr>
            <w:r>
              <w:rPr>
                <w:sz w:val="18"/>
              </w:rPr>
              <w:t>(a)</w:t>
            </w:r>
            <w:r>
              <w:rPr>
                <w:sz w:val="18"/>
              </w:rPr>
              <w:tab/>
              <w:t>Insert number of plaint/application/objection</w:t>
            </w:r>
          </w:p>
        </w:tc>
        <w:tc>
          <w:tcPr>
            <w:tcW w:w="4394" w:type="dxa"/>
          </w:tcPr>
          <w:p>
            <w:pPr>
              <w:pStyle w:val="nzTable"/>
            </w:pPr>
            <w:r>
              <w:rPr>
                <w:sz w:val="18"/>
              </w:rPr>
              <w:t>(a)</w:t>
            </w:r>
          </w:p>
          <w:p>
            <w:pPr>
              <w:pStyle w:val="nzTable"/>
            </w:pPr>
            <w:r>
              <w:rPr>
                <w:spacing w:val="-2"/>
              </w:rPr>
              <w:t>……………………………</w:t>
            </w:r>
            <w:r>
              <w:t>……………………</w:t>
            </w:r>
          </w:p>
          <w:p>
            <w:pPr>
              <w:pStyle w:val="nzTable"/>
            </w:pPr>
            <w:r>
              <w:rPr>
                <w:spacing w:val="-2"/>
              </w:rPr>
              <w:t>………………………………</w:t>
            </w:r>
            <w:r>
              <w:t>……………………</w:t>
            </w:r>
          </w:p>
          <w:p>
            <w:pPr>
              <w:pStyle w:val="nzTable"/>
            </w:pPr>
            <w:r>
              <w:rPr>
                <w:spacing w:val="-2"/>
              </w:rPr>
              <w:t>……………………………………………………</w:t>
            </w:r>
          </w:p>
        </w:tc>
      </w:tr>
      <w:tr>
        <w:trPr>
          <w:cantSplit/>
        </w:trPr>
        <w:tc>
          <w:tcPr>
            <w:tcW w:w="1843" w:type="dxa"/>
          </w:tcPr>
          <w:p>
            <w:pPr>
              <w:pStyle w:val="yTable"/>
              <w:spacing w:line="180" w:lineRule="atLeast"/>
              <w:rPr>
                <w:sz w:val="18"/>
              </w:rPr>
            </w:pPr>
          </w:p>
        </w:tc>
        <w:tc>
          <w:tcPr>
            <w:tcW w:w="4394" w:type="dxa"/>
            <w:tcBorders>
              <w:bottom w:val="single" w:sz="4" w:space="0" w:color="auto"/>
            </w:tcBorders>
          </w:tcPr>
          <w:p>
            <w:pPr>
              <w:pStyle w:val="nzTable"/>
            </w:pPr>
            <w:r>
              <w:rPr>
                <w:sz w:val="18"/>
              </w:rPr>
              <w:t>In the matter of:</w:t>
            </w:r>
          </w:p>
        </w:tc>
      </w:tr>
      <w:tr>
        <w:trPr>
          <w:cantSplit/>
        </w:trPr>
        <w:tc>
          <w:tcPr>
            <w:tcW w:w="1843" w:type="dxa"/>
            <w:tcBorders>
              <w:right w:val="single" w:sz="4" w:space="0" w:color="auto"/>
            </w:tcBorders>
          </w:tcPr>
          <w:p>
            <w:pPr>
              <w:pStyle w:val="nzTable"/>
              <w:tabs>
                <w:tab w:val="left" w:pos="349"/>
              </w:tabs>
              <w:ind w:left="349" w:hanging="349"/>
            </w:pPr>
            <w:r>
              <w:rPr>
                <w:sz w:val="18"/>
              </w:rPr>
              <w:t>(b)</w:t>
            </w:r>
            <w:r>
              <w:rPr>
                <w:sz w:val="18"/>
              </w:rPr>
              <w:tab/>
              <w:t>Names of parties</w:t>
            </w:r>
          </w:p>
          <w:p>
            <w:pPr>
              <w:pStyle w:val="yTable"/>
              <w:spacing w:line="180" w:lineRule="atLeast"/>
              <w:ind w:left="164" w:hanging="284"/>
              <w:rPr>
                <w:sz w:val="18"/>
              </w:rPr>
            </w:pPr>
          </w:p>
        </w:tc>
        <w:tc>
          <w:tcPr>
            <w:tcW w:w="4394" w:type="dxa"/>
            <w:tcBorders>
              <w:top w:val="single" w:sz="4" w:space="0" w:color="auto"/>
              <w:left w:val="single" w:sz="4" w:space="0" w:color="auto"/>
              <w:bottom w:val="single" w:sz="4" w:space="0" w:color="auto"/>
              <w:right w:val="single" w:sz="4" w:space="0" w:color="auto"/>
            </w:tcBorders>
          </w:tcPr>
          <w:p>
            <w:pPr>
              <w:pStyle w:val="nzTable"/>
            </w:pPr>
            <w:r>
              <w:rPr>
                <w:sz w:val="18"/>
              </w:rPr>
              <w:t>(b)</w:t>
            </w:r>
          </w:p>
        </w:tc>
      </w:tr>
      <w:tr>
        <w:trPr>
          <w:cantSplit/>
        </w:trPr>
        <w:tc>
          <w:tcPr>
            <w:tcW w:w="1843" w:type="dxa"/>
          </w:tcPr>
          <w:p>
            <w:pPr>
              <w:pStyle w:val="yTable"/>
              <w:spacing w:line="180" w:lineRule="atLeast"/>
              <w:ind w:left="164" w:hanging="284"/>
              <w:rPr>
                <w:sz w:val="18"/>
              </w:rPr>
            </w:pPr>
          </w:p>
        </w:tc>
        <w:tc>
          <w:tcPr>
            <w:tcW w:w="4394" w:type="dxa"/>
            <w:tcBorders>
              <w:top w:val="single" w:sz="4" w:space="0" w:color="auto"/>
              <w:bottom w:val="single" w:sz="4" w:space="0" w:color="auto"/>
            </w:tcBorders>
          </w:tcPr>
          <w:p>
            <w:pPr>
              <w:pStyle w:val="nzTable"/>
            </w:pPr>
            <w:r>
              <w:rPr>
                <w:sz w:val="18"/>
              </w:rPr>
              <w:t>AND</w:t>
            </w:r>
          </w:p>
        </w:tc>
      </w:tr>
      <w:tr>
        <w:trPr>
          <w:cantSplit/>
        </w:trPr>
        <w:tc>
          <w:tcPr>
            <w:tcW w:w="1843" w:type="dxa"/>
            <w:tcBorders>
              <w:right w:val="single" w:sz="4" w:space="0" w:color="auto"/>
            </w:tcBorders>
          </w:tcPr>
          <w:p>
            <w:pPr>
              <w:pStyle w:val="yTable"/>
              <w:spacing w:line="180" w:lineRule="atLeast"/>
              <w:ind w:left="164" w:hanging="284"/>
              <w:rPr>
                <w:sz w:val="18"/>
              </w:rPr>
            </w:pPr>
          </w:p>
        </w:tc>
        <w:tc>
          <w:tcPr>
            <w:tcW w:w="4394" w:type="dxa"/>
            <w:tcBorders>
              <w:top w:val="single" w:sz="4" w:space="0" w:color="auto"/>
              <w:left w:val="single" w:sz="4" w:space="0" w:color="auto"/>
              <w:bottom w:val="single" w:sz="4" w:space="0" w:color="auto"/>
              <w:right w:val="single" w:sz="4" w:space="0" w:color="auto"/>
            </w:tcBorders>
          </w:tcPr>
          <w:p>
            <w:pPr>
              <w:pStyle w:val="nzTable"/>
            </w:pPr>
            <w:r>
              <w:rPr>
                <w:sz w:val="18"/>
              </w:rPr>
              <w:t>(b)</w:t>
            </w:r>
          </w:p>
        </w:tc>
      </w:tr>
      <w:tr>
        <w:trPr>
          <w:cantSplit/>
        </w:trPr>
        <w:tc>
          <w:tcPr>
            <w:tcW w:w="1843" w:type="dxa"/>
          </w:tcPr>
          <w:p>
            <w:pPr>
              <w:pStyle w:val="nzTable"/>
              <w:tabs>
                <w:tab w:val="left" w:pos="349"/>
              </w:tabs>
              <w:ind w:left="349" w:hanging="349"/>
            </w:pPr>
            <w:r>
              <w:rPr>
                <w:sz w:val="18"/>
              </w:rPr>
              <w:t>(c)</w:t>
            </w:r>
            <w:r>
              <w:rPr>
                <w:sz w:val="18"/>
              </w:rPr>
              <w:tab/>
              <w:t>Name of party making the application</w:t>
            </w:r>
          </w:p>
          <w:p>
            <w:pPr>
              <w:pStyle w:val="yTable"/>
              <w:spacing w:before="0" w:line="180" w:lineRule="atLeast"/>
              <w:ind w:left="164" w:hanging="284"/>
              <w:rPr>
                <w:sz w:val="18"/>
              </w:rPr>
            </w:pPr>
          </w:p>
        </w:tc>
        <w:tc>
          <w:tcPr>
            <w:tcW w:w="4394" w:type="dxa"/>
            <w:tcBorders>
              <w:top w:val="single" w:sz="4" w:space="0" w:color="auto"/>
            </w:tcBorders>
          </w:tcPr>
          <w:p>
            <w:pPr>
              <w:pStyle w:val="nzTable"/>
            </w:pPr>
            <w:r>
              <w:rPr>
                <w:sz w:val="18"/>
              </w:rPr>
              <w:t>(c) I / WE</w:t>
            </w:r>
          </w:p>
          <w:p>
            <w:pPr>
              <w:pStyle w:val="nzTable"/>
            </w:pPr>
            <w:r>
              <w:t>……………………………………………………………………………………………………………………………………………………………..</w:t>
            </w:r>
          </w:p>
        </w:tc>
      </w:tr>
      <w:tr>
        <w:trPr>
          <w:cantSplit/>
        </w:trPr>
        <w:tc>
          <w:tcPr>
            <w:tcW w:w="1843" w:type="dxa"/>
          </w:tcPr>
          <w:p>
            <w:pPr>
              <w:pStyle w:val="nzTable"/>
              <w:tabs>
                <w:tab w:val="left" w:pos="349"/>
              </w:tabs>
              <w:ind w:left="349" w:hanging="349"/>
            </w:pPr>
            <w:r>
              <w:rPr>
                <w:sz w:val="18"/>
              </w:rPr>
              <w:t>(d)</w:t>
            </w:r>
            <w:r>
              <w:rPr>
                <w:sz w:val="18"/>
              </w:rPr>
              <w:tab/>
              <w:t>State order sought</w:t>
            </w:r>
          </w:p>
        </w:tc>
        <w:tc>
          <w:tcPr>
            <w:tcW w:w="4394" w:type="dxa"/>
          </w:tcPr>
          <w:p>
            <w:pPr>
              <w:pStyle w:val="nzTable"/>
            </w:pPr>
            <w:r>
              <w:rPr>
                <w:sz w:val="18"/>
              </w:rPr>
              <w:t>(d) (see Note 1)</w:t>
            </w:r>
          </w:p>
        </w:tc>
      </w:tr>
      <w:tr>
        <w:trPr>
          <w:cantSplit/>
        </w:trPr>
        <w:tc>
          <w:tcPr>
            <w:tcW w:w="1843" w:type="dxa"/>
          </w:tcPr>
          <w:p>
            <w:pPr>
              <w:pStyle w:val="nzTable"/>
              <w:tabs>
                <w:tab w:val="left" w:pos="349"/>
              </w:tabs>
              <w:ind w:left="349" w:hanging="349"/>
            </w:pPr>
            <w:r>
              <w:rPr>
                <w:sz w:val="18"/>
              </w:rPr>
              <w:t>(e)</w:t>
            </w:r>
            <w:r>
              <w:rPr>
                <w:sz w:val="18"/>
              </w:rPr>
              <w:tab/>
              <w:t>Applicant’s details OR lawyer/agent acting on behalf</w:t>
            </w:r>
          </w:p>
        </w:tc>
        <w:tc>
          <w:tcPr>
            <w:tcW w:w="4394" w:type="dxa"/>
          </w:tcPr>
          <w:p>
            <w:pPr>
              <w:pStyle w:val="nzTable"/>
            </w:pPr>
            <w:r>
              <w:rPr>
                <w:sz w:val="18"/>
              </w:rPr>
              <w:t>(e)</w:t>
            </w:r>
          </w:p>
          <w:p>
            <w:pPr>
              <w:pStyle w:val="nzTable"/>
            </w:pPr>
            <w:r>
              <w:t>Residential or business address: ……………………………..……………………………………………………………………………</w:t>
            </w:r>
          </w:p>
          <w:p>
            <w:pPr>
              <w:pStyle w:val="nzTable"/>
            </w:pPr>
            <w:r>
              <w:t>Tel No: …………………………..……………....</w:t>
            </w:r>
          </w:p>
          <w:p>
            <w:pPr>
              <w:pStyle w:val="nzTable"/>
            </w:pPr>
            <w:r>
              <w:t>Fax No: ………………………………………….</w:t>
            </w:r>
          </w:p>
          <w:p>
            <w:pPr>
              <w:pStyle w:val="nzTable"/>
            </w:pPr>
            <w:r>
              <w:t>Email: ……………………………………………</w:t>
            </w:r>
          </w:p>
          <w:p>
            <w:pPr>
              <w:pStyle w:val="nzTable"/>
            </w:pPr>
            <w:r>
              <w:t>Reference (if any): ………………………………</w:t>
            </w:r>
          </w:p>
        </w:tc>
      </w:tr>
      <w:tr>
        <w:trPr>
          <w:cantSplit/>
        </w:trPr>
        <w:tc>
          <w:tcPr>
            <w:tcW w:w="1843" w:type="dxa"/>
          </w:tcPr>
          <w:p>
            <w:pPr>
              <w:pStyle w:val="nzTable"/>
              <w:tabs>
                <w:tab w:val="left" w:pos="349"/>
              </w:tabs>
              <w:ind w:left="349" w:hanging="349"/>
            </w:pPr>
            <w:r>
              <w:rPr>
                <w:sz w:val="18"/>
              </w:rPr>
              <w:t>(f)</w:t>
            </w:r>
            <w:r>
              <w:rPr>
                <w:sz w:val="18"/>
              </w:rPr>
              <w:tab/>
              <w:t>Address for service by other party/parties</w:t>
            </w:r>
          </w:p>
        </w:tc>
        <w:tc>
          <w:tcPr>
            <w:tcW w:w="4394" w:type="dxa"/>
          </w:tcPr>
          <w:p>
            <w:pPr>
              <w:pStyle w:val="nzTable"/>
            </w:pPr>
            <w:r>
              <w:rPr>
                <w:sz w:val="18"/>
              </w:rPr>
              <w:t>(f) (see Note 2)</w:t>
            </w:r>
          </w:p>
          <w:p>
            <w:pPr>
              <w:pStyle w:val="nzTable"/>
            </w:pPr>
            <w:r>
              <w:t>Residential or business address: ……………………………..…………………………………..…………………………………………</w:t>
            </w:r>
          </w:p>
        </w:tc>
      </w:tr>
      <w:tr>
        <w:trPr>
          <w:cantSplit/>
        </w:trPr>
        <w:tc>
          <w:tcPr>
            <w:tcW w:w="1843" w:type="dxa"/>
          </w:tcPr>
          <w:p>
            <w:pPr>
              <w:pStyle w:val="nzTable"/>
              <w:tabs>
                <w:tab w:val="left" w:pos="349"/>
              </w:tabs>
              <w:ind w:left="349" w:hanging="349"/>
            </w:pPr>
            <w:r>
              <w:rPr>
                <w:sz w:val="18"/>
              </w:rPr>
              <w:t>(g)</w:t>
            </w:r>
            <w:r>
              <w:rPr>
                <w:sz w:val="18"/>
              </w:rPr>
              <w:tab/>
              <w:t>Signature of applicant or lawyer/agent</w:t>
            </w:r>
          </w:p>
        </w:tc>
        <w:tc>
          <w:tcPr>
            <w:tcW w:w="4394" w:type="dxa"/>
          </w:tcPr>
          <w:p>
            <w:pPr>
              <w:pStyle w:val="nzTable"/>
            </w:pPr>
            <w:r>
              <w:rPr>
                <w:sz w:val="18"/>
              </w:rPr>
              <w:t>(g)</w:t>
            </w:r>
          </w:p>
          <w:p>
            <w:pPr>
              <w:pStyle w:val="nzTable"/>
            </w:pPr>
            <w:r>
              <w:t>………………….……….. Date …………….......</w:t>
            </w:r>
          </w:p>
        </w:tc>
      </w:tr>
      <w:tr>
        <w:trPr>
          <w:cantSplit/>
        </w:trPr>
        <w:tc>
          <w:tcPr>
            <w:tcW w:w="1843" w:type="dxa"/>
          </w:tcPr>
          <w:p>
            <w:pPr>
              <w:pStyle w:val="nzTable"/>
            </w:pPr>
            <w:r>
              <w:rPr>
                <w:sz w:val="18"/>
              </w:rPr>
              <w:t>OFFICIAL USE</w:t>
            </w:r>
          </w:p>
        </w:tc>
        <w:tc>
          <w:tcPr>
            <w:tcW w:w="4394" w:type="dxa"/>
          </w:tcPr>
          <w:p>
            <w:pPr>
              <w:pStyle w:val="nzTable"/>
            </w:pPr>
            <w:r>
              <w:rPr>
                <w:sz w:val="18"/>
              </w:rPr>
              <w:t>Received at……..… this ….. day of …………… 20 ..</w:t>
            </w:r>
          </w:p>
          <w:p>
            <w:pPr>
              <w:pStyle w:val="nzTable"/>
            </w:pPr>
            <w:r>
              <w:t>With fee of $ ..……</w:t>
            </w:r>
          </w:p>
        </w:tc>
      </w:tr>
      <w:tr>
        <w:trPr>
          <w:cantSplit/>
        </w:trPr>
        <w:tc>
          <w:tcPr>
            <w:tcW w:w="6237" w:type="dxa"/>
            <w:gridSpan w:val="2"/>
          </w:tcPr>
          <w:p>
            <w:pPr>
              <w:pStyle w:val="nzTable"/>
              <w:ind w:left="709" w:hanging="709"/>
            </w:pPr>
            <w:r>
              <w:rPr>
                <w:b/>
                <w:bCs/>
                <w:sz w:val="18"/>
              </w:rPr>
              <w:t>Note 1:</w:t>
            </w:r>
            <w:r>
              <w:rPr>
                <w:sz w:val="18"/>
              </w:rPr>
              <w:t xml:space="preserve"> </w:t>
            </w:r>
            <w:r>
              <w:rPr>
                <w:sz w:val="18"/>
              </w:rPr>
              <w:tab/>
              <w:t>This application is to be supported by affidavit outlining the reasons the order is sought, including the relevant facts.</w:t>
            </w:r>
          </w:p>
          <w:p>
            <w:pPr>
              <w:pStyle w:val="nzTable"/>
              <w:ind w:left="720" w:hanging="720"/>
            </w:pPr>
            <w:r>
              <w:rPr>
                <w:b/>
                <w:bCs/>
              </w:rPr>
              <w:t>Note 2:</w:t>
            </w:r>
            <w:r>
              <w:t xml:space="preserve"> </w:t>
            </w:r>
            <w:r>
              <w:rPr>
                <w:sz w:val="18"/>
              </w:rPr>
              <w:t>This application must be served on the other party/parties and an affidavit</w:t>
            </w:r>
            <w:r>
              <w:t xml:space="preserve"> as proof of service must be lodged.</w:t>
            </w:r>
          </w:p>
        </w:tc>
      </w:tr>
      <w:tr>
        <w:trPr>
          <w:cantSplit/>
        </w:trPr>
        <w:tc>
          <w:tcPr>
            <w:tcW w:w="1843" w:type="dxa"/>
          </w:tcPr>
          <w:p>
            <w:pPr>
              <w:pStyle w:val="ABillFor"/>
              <w:spacing w:after="0" w:line="180" w:lineRule="atLeast"/>
              <w:rPr>
                <w:sz w:val="18"/>
              </w:rPr>
            </w:pPr>
          </w:p>
        </w:tc>
        <w:tc>
          <w:tcPr>
            <w:tcW w:w="4394" w:type="dxa"/>
          </w:tcPr>
          <w:p>
            <w:pPr>
              <w:pStyle w:val="nzTable"/>
              <w:jc w:val="center"/>
            </w:pPr>
            <w:r>
              <w:rPr>
                <w:b/>
                <w:sz w:val="18"/>
              </w:rPr>
              <w:t>ENDORSEMENT</w:t>
            </w:r>
          </w:p>
          <w:p>
            <w:pPr>
              <w:pStyle w:val="nzTable"/>
            </w:pPr>
            <w:r>
              <w:t>This is the document marked “A” referred to in the annexed affidavit of ...........................................................</w:t>
            </w:r>
          </w:p>
          <w:p>
            <w:pPr>
              <w:pStyle w:val="nzTable"/>
            </w:pPr>
            <w:r>
              <w:t>sworn before me at ............................................................</w:t>
            </w:r>
          </w:p>
          <w:p>
            <w:pPr>
              <w:pStyle w:val="nzTable"/>
            </w:pPr>
            <w:r>
              <w:t xml:space="preserve">this </w:t>
            </w:r>
            <w:r>
              <w:rPr>
                <w:spacing w:val="-2"/>
              </w:rPr>
              <w:t xml:space="preserve">………… </w:t>
            </w:r>
            <w:r>
              <w:t xml:space="preserve">day of </w:t>
            </w:r>
            <w:r>
              <w:rPr>
                <w:spacing w:val="-2"/>
              </w:rPr>
              <w:t>……………………</w:t>
            </w:r>
            <w:r>
              <w:t xml:space="preserve"> 20</w:t>
            </w:r>
            <w:r>
              <w:rPr>
                <w:spacing w:val="-2"/>
              </w:rPr>
              <w:t>…....</w:t>
            </w:r>
          </w:p>
          <w:p>
            <w:pPr>
              <w:pStyle w:val="nzTable"/>
            </w:pPr>
          </w:p>
          <w:p>
            <w:pPr>
              <w:pStyle w:val="nzTable"/>
              <w:jc w:val="right"/>
            </w:pPr>
            <w:r>
              <w:t>...............................................................</w:t>
            </w:r>
          </w:p>
        </w:tc>
      </w:tr>
    </w:tbl>
    <w:p>
      <w:pPr>
        <w:pStyle w:val="nzSubsection"/>
      </w:pPr>
    </w:p>
    <w:tbl>
      <w:tblPr>
        <w:tblW w:w="6237" w:type="dxa"/>
        <w:tblInd w:w="971" w:type="dxa"/>
        <w:tblLayout w:type="fixed"/>
        <w:tblCellMar>
          <w:left w:w="120" w:type="dxa"/>
          <w:right w:w="120" w:type="dxa"/>
        </w:tblCellMar>
        <w:tblLook w:val="0000" w:firstRow="0" w:lastRow="0" w:firstColumn="0" w:lastColumn="0" w:noHBand="0" w:noVBand="0"/>
      </w:tblPr>
      <w:tblGrid>
        <w:gridCol w:w="1843"/>
        <w:gridCol w:w="2693"/>
        <w:gridCol w:w="1701"/>
      </w:tblGrid>
      <w:tr>
        <w:trPr>
          <w:cantSplit/>
        </w:trPr>
        <w:tc>
          <w:tcPr>
            <w:tcW w:w="1843" w:type="dxa"/>
          </w:tcPr>
          <w:p>
            <w:pPr>
              <w:pStyle w:val="nzTable"/>
            </w:pPr>
            <w:r>
              <w:br w:type="page"/>
            </w:r>
            <w:r>
              <w:rPr>
                <w:sz w:val="18"/>
              </w:rPr>
              <w:t>Form 37</w:t>
            </w:r>
          </w:p>
        </w:tc>
        <w:tc>
          <w:tcPr>
            <w:tcW w:w="4394" w:type="dxa"/>
            <w:gridSpan w:val="2"/>
          </w:tcPr>
          <w:p>
            <w:pPr>
              <w:pStyle w:val="nzTable"/>
            </w:pPr>
            <w:r>
              <w:rPr>
                <w:sz w:val="18"/>
              </w:rPr>
              <w:t>WESTERN AUSTRALIA</w:t>
            </w:r>
          </w:p>
          <w:p>
            <w:pPr>
              <w:pStyle w:val="nzTable"/>
            </w:pPr>
            <w:r>
              <w:rPr>
                <w:i/>
              </w:rPr>
              <w:t>Mining Regulations 1981</w:t>
            </w:r>
          </w:p>
          <w:p>
            <w:pPr>
              <w:pStyle w:val="nzTable"/>
            </w:pPr>
            <w:r>
              <w:t>(r. 127, 157)</w:t>
            </w:r>
          </w:p>
        </w:tc>
      </w:tr>
      <w:tr>
        <w:trPr>
          <w:cantSplit/>
        </w:trPr>
        <w:tc>
          <w:tcPr>
            <w:tcW w:w="1843" w:type="dxa"/>
          </w:tcPr>
          <w:p>
            <w:pPr>
              <w:pStyle w:val="nzTable"/>
            </w:pPr>
          </w:p>
          <w:p>
            <w:pPr>
              <w:pStyle w:val="yTable"/>
              <w:tabs>
                <w:tab w:val="left" w:pos="306"/>
              </w:tabs>
              <w:spacing w:line="180" w:lineRule="atLeast"/>
              <w:ind w:left="306" w:hanging="426"/>
              <w:rPr>
                <w:sz w:val="18"/>
              </w:rPr>
            </w:pPr>
          </w:p>
        </w:tc>
        <w:tc>
          <w:tcPr>
            <w:tcW w:w="4394" w:type="dxa"/>
            <w:gridSpan w:val="2"/>
          </w:tcPr>
          <w:p>
            <w:pPr>
              <w:pStyle w:val="nzTable"/>
            </w:pPr>
            <w:r>
              <w:rPr>
                <w:b/>
              </w:rPr>
              <w:t>SUMMONS TO WITNESS</w:t>
            </w:r>
          </w:p>
          <w:p>
            <w:pPr>
              <w:pStyle w:val="nzTable"/>
              <w:rPr>
                <w:sz w:val="18"/>
              </w:rPr>
            </w:pPr>
            <w:r>
              <w:rPr>
                <w:sz w:val="18"/>
              </w:rPr>
              <w:t>In the Warden’s Court at ...................................................</w:t>
            </w:r>
          </w:p>
          <w:p>
            <w:pPr>
              <w:pStyle w:val="nzTable"/>
              <w:rPr>
                <w:sz w:val="18"/>
              </w:rPr>
            </w:pPr>
            <w:r>
              <w:rPr>
                <w:sz w:val="18"/>
              </w:rPr>
              <w:t>Before the warden at .........................................................</w:t>
            </w:r>
          </w:p>
          <w:p>
            <w:pPr>
              <w:pStyle w:val="nzTable"/>
              <w:rPr>
                <w:sz w:val="18"/>
              </w:rPr>
            </w:pPr>
            <w:r>
              <w:rPr>
                <w:i/>
                <w:sz w:val="18"/>
              </w:rPr>
              <w:t>(delete whichever is not applicable)</w:t>
            </w:r>
          </w:p>
        </w:tc>
      </w:tr>
      <w:tr>
        <w:trPr>
          <w:cantSplit/>
        </w:trPr>
        <w:tc>
          <w:tcPr>
            <w:tcW w:w="1843" w:type="dxa"/>
          </w:tcPr>
          <w:p>
            <w:pPr>
              <w:pStyle w:val="nzTable"/>
              <w:tabs>
                <w:tab w:val="left" w:pos="349"/>
              </w:tabs>
              <w:ind w:left="349" w:hanging="349"/>
            </w:pPr>
            <w:r>
              <w:rPr>
                <w:sz w:val="18"/>
              </w:rPr>
              <w:t>(a)</w:t>
            </w:r>
            <w:r>
              <w:rPr>
                <w:sz w:val="18"/>
              </w:rPr>
              <w:tab/>
              <w:t>Tenement or tenement application No.</w:t>
            </w:r>
          </w:p>
        </w:tc>
        <w:tc>
          <w:tcPr>
            <w:tcW w:w="2693" w:type="dxa"/>
          </w:tcPr>
          <w:p>
            <w:pPr>
              <w:pStyle w:val="yTable"/>
              <w:spacing w:line="180" w:lineRule="atLeast"/>
              <w:rPr>
                <w:b/>
                <w:sz w:val="20"/>
              </w:rPr>
            </w:pPr>
          </w:p>
        </w:tc>
        <w:tc>
          <w:tcPr>
            <w:tcW w:w="1701" w:type="dxa"/>
          </w:tcPr>
          <w:p>
            <w:pPr>
              <w:pStyle w:val="nzTable"/>
            </w:pPr>
            <w:r>
              <w:rPr>
                <w:sz w:val="18"/>
              </w:rPr>
              <w:t>(a) No. ....... / ..........</w:t>
            </w:r>
          </w:p>
        </w:tc>
      </w:tr>
      <w:tr>
        <w:trPr>
          <w:cantSplit/>
        </w:trPr>
        <w:tc>
          <w:tcPr>
            <w:tcW w:w="1843" w:type="dxa"/>
          </w:tcPr>
          <w:p>
            <w:pPr>
              <w:pStyle w:val="nzTable"/>
              <w:tabs>
                <w:tab w:val="left" w:pos="349"/>
              </w:tabs>
              <w:ind w:left="349" w:hanging="349"/>
            </w:pPr>
            <w:r>
              <w:rPr>
                <w:sz w:val="18"/>
              </w:rPr>
              <w:t>(b)</w:t>
            </w:r>
            <w:r>
              <w:rPr>
                <w:sz w:val="18"/>
              </w:rPr>
              <w:tab/>
              <w:t xml:space="preserve">Name and address </w:t>
            </w:r>
            <w:r>
              <w:rPr>
                <w:i/>
                <w:iCs/>
                <w:sz w:val="18"/>
              </w:rPr>
              <w:t>(delete inapplicable)</w:t>
            </w:r>
          </w:p>
        </w:tc>
        <w:tc>
          <w:tcPr>
            <w:tcW w:w="4394" w:type="dxa"/>
            <w:gridSpan w:val="2"/>
            <w:tcBorders>
              <w:top w:val="single" w:sz="7" w:space="0" w:color="auto"/>
              <w:left w:val="single" w:sz="7" w:space="0" w:color="auto"/>
              <w:bottom w:val="single" w:sz="7" w:space="0" w:color="auto"/>
              <w:right w:val="single" w:sz="7" w:space="0" w:color="auto"/>
            </w:tcBorders>
          </w:tcPr>
          <w:p>
            <w:pPr>
              <w:pStyle w:val="nzTable"/>
            </w:pPr>
            <w:r>
              <w:rPr>
                <w:b/>
                <w:sz w:val="18"/>
              </w:rPr>
              <w:t xml:space="preserve">Plaintiff / Applicant / Objector </w:t>
            </w:r>
          </w:p>
          <w:p>
            <w:pPr>
              <w:pStyle w:val="nzTable"/>
            </w:pPr>
            <w:r>
              <w:t>(b)</w:t>
            </w:r>
          </w:p>
          <w:p>
            <w:pPr>
              <w:pStyle w:val="nzTable"/>
            </w:pPr>
          </w:p>
        </w:tc>
      </w:tr>
      <w:tr>
        <w:trPr>
          <w:cantSplit/>
          <w:trHeight w:hRule="exact" w:val="339"/>
        </w:trPr>
        <w:tc>
          <w:tcPr>
            <w:tcW w:w="1843" w:type="dxa"/>
          </w:tcPr>
          <w:p>
            <w:pPr>
              <w:pStyle w:val="yTable"/>
              <w:spacing w:line="180" w:lineRule="atLeast"/>
              <w:ind w:left="306" w:hanging="426"/>
              <w:rPr>
                <w:sz w:val="18"/>
              </w:rPr>
            </w:pPr>
          </w:p>
        </w:tc>
        <w:tc>
          <w:tcPr>
            <w:tcW w:w="4394" w:type="dxa"/>
            <w:gridSpan w:val="2"/>
          </w:tcPr>
          <w:p>
            <w:pPr>
              <w:pStyle w:val="nzTable"/>
              <w:jc w:val="center"/>
            </w:pPr>
            <w:r>
              <w:rPr>
                <w:sz w:val="18"/>
              </w:rPr>
              <w:t>AND</w:t>
            </w:r>
          </w:p>
        </w:tc>
      </w:tr>
      <w:tr>
        <w:trPr>
          <w:cantSplit/>
        </w:trPr>
        <w:tc>
          <w:tcPr>
            <w:tcW w:w="1843" w:type="dxa"/>
          </w:tcPr>
          <w:p>
            <w:pPr>
              <w:pStyle w:val="nzTable"/>
              <w:tabs>
                <w:tab w:val="left" w:pos="349"/>
              </w:tabs>
              <w:ind w:left="349" w:hanging="349"/>
            </w:pPr>
            <w:r>
              <w:rPr>
                <w:sz w:val="18"/>
              </w:rPr>
              <w:t>(c)</w:t>
            </w:r>
            <w:r>
              <w:rPr>
                <w:sz w:val="18"/>
              </w:rPr>
              <w:tab/>
              <w:t xml:space="preserve">Name and address  </w:t>
            </w:r>
            <w:r>
              <w:rPr>
                <w:i/>
                <w:iCs/>
                <w:sz w:val="18"/>
              </w:rPr>
              <w:t>(delete inapplicable)</w:t>
            </w:r>
          </w:p>
        </w:tc>
        <w:tc>
          <w:tcPr>
            <w:tcW w:w="4394" w:type="dxa"/>
            <w:gridSpan w:val="2"/>
            <w:tcBorders>
              <w:top w:val="single" w:sz="7" w:space="0" w:color="auto"/>
              <w:left w:val="single" w:sz="7" w:space="0" w:color="auto"/>
              <w:bottom w:val="single" w:sz="7" w:space="0" w:color="auto"/>
              <w:right w:val="single" w:sz="7" w:space="0" w:color="auto"/>
            </w:tcBorders>
          </w:tcPr>
          <w:p>
            <w:pPr>
              <w:pStyle w:val="nzTable"/>
            </w:pPr>
            <w:r>
              <w:rPr>
                <w:b/>
                <w:sz w:val="18"/>
              </w:rPr>
              <w:t>Tenement Holder (Respondent) / Tenement Applicant</w:t>
            </w:r>
          </w:p>
          <w:p>
            <w:pPr>
              <w:pStyle w:val="nzTable"/>
            </w:pPr>
            <w:r>
              <w:t>(c)</w:t>
            </w:r>
          </w:p>
          <w:p>
            <w:pPr>
              <w:pStyle w:val="nzTable"/>
            </w:pPr>
          </w:p>
        </w:tc>
      </w:tr>
      <w:tr>
        <w:trPr>
          <w:cantSplit/>
        </w:trPr>
        <w:tc>
          <w:tcPr>
            <w:tcW w:w="1843" w:type="dxa"/>
          </w:tcPr>
          <w:p>
            <w:pPr>
              <w:pStyle w:val="nzTable"/>
              <w:rPr>
                <w:sz w:val="18"/>
              </w:rPr>
            </w:pPr>
          </w:p>
          <w:p>
            <w:pPr>
              <w:pStyle w:val="nzTable"/>
              <w:tabs>
                <w:tab w:val="left" w:pos="349"/>
              </w:tabs>
              <w:ind w:left="349" w:hanging="349"/>
              <w:rPr>
                <w:sz w:val="18"/>
              </w:rPr>
            </w:pPr>
            <w:r>
              <w:rPr>
                <w:sz w:val="18"/>
              </w:rPr>
              <w:t>(d)</w:t>
            </w:r>
            <w:r>
              <w:rPr>
                <w:sz w:val="18"/>
              </w:rPr>
              <w:tab/>
              <w:t>Full name and address of person being summoned</w:t>
            </w:r>
          </w:p>
        </w:tc>
        <w:tc>
          <w:tcPr>
            <w:tcW w:w="4394" w:type="dxa"/>
            <w:gridSpan w:val="2"/>
          </w:tcPr>
          <w:p>
            <w:pPr>
              <w:pStyle w:val="nzTable"/>
            </w:pPr>
            <w:r>
              <w:rPr>
                <w:b/>
                <w:sz w:val="18"/>
              </w:rPr>
              <w:t>TO:</w:t>
            </w:r>
          </w:p>
          <w:p>
            <w:pPr>
              <w:pStyle w:val="nzTable"/>
            </w:pPr>
            <w:r>
              <w:t>(d)</w:t>
            </w:r>
          </w:p>
          <w:p>
            <w:pPr>
              <w:pStyle w:val="nzTable"/>
            </w:pPr>
          </w:p>
          <w:p>
            <w:pPr>
              <w:pStyle w:val="nzTable"/>
            </w:pPr>
          </w:p>
        </w:tc>
      </w:tr>
      <w:tr>
        <w:trPr>
          <w:cantSplit/>
        </w:trPr>
        <w:tc>
          <w:tcPr>
            <w:tcW w:w="1843" w:type="dxa"/>
          </w:tcPr>
          <w:p>
            <w:pPr>
              <w:pStyle w:val="yTable"/>
              <w:spacing w:line="180" w:lineRule="atLeast"/>
              <w:ind w:left="-120"/>
              <w:rPr>
                <w:sz w:val="18"/>
              </w:rPr>
            </w:pPr>
          </w:p>
        </w:tc>
        <w:tc>
          <w:tcPr>
            <w:tcW w:w="4394" w:type="dxa"/>
            <w:gridSpan w:val="2"/>
          </w:tcPr>
          <w:p>
            <w:pPr>
              <w:pStyle w:val="nzTable"/>
            </w:pPr>
            <w:r>
              <w:rPr>
                <w:sz w:val="18"/>
              </w:rPr>
              <w:t>YOU are hereby summoned (see Note 1) to attend before the warden/Warden’s Court at</w:t>
            </w:r>
          </w:p>
        </w:tc>
      </w:tr>
      <w:tr>
        <w:trPr>
          <w:cantSplit/>
        </w:trPr>
        <w:tc>
          <w:tcPr>
            <w:tcW w:w="1843" w:type="dxa"/>
          </w:tcPr>
          <w:p>
            <w:pPr>
              <w:pStyle w:val="nzTable"/>
              <w:tabs>
                <w:tab w:val="left" w:pos="349"/>
              </w:tabs>
              <w:ind w:left="349" w:hanging="349"/>
            </w:pPr>
            <w:r>
              <w:rPr>
                <w:sz w:val="18"/>
              </w:rPr>
              <w:t>(e)</w:t>
            </w:r>
            <w:r>
              <w:rPr>
                <w:sz w:val="18"/>
              </w:rPr>
              <w:tab/>
              <w:t>Place of hearing</w:t>
            </w:r>
          </w:p>
        </w:tc>
        <w:tc>
          <w:tcPr>
            <w:tcW w:w="4394" w:type="dxa"/>
            <w:gridSpan w:val="2"/>
          </w:tcPr>
          <w:p>
            <w:pPr>
              <w:pStyle w:val="nzTable"/>
            </w:pPr>
            <w:r>
              <w:rPr>
                <w:sz w:val="18"/>
              </w:rPr>
              <w:t>(e)</w:t>
            </w:r>
          </w:p>
          <w:p>
            <w:pPr>
              <w:pStyle w:val="nzTable"/>
            </w:pPr>
          </w:p>
        </w:tc>
      </w:tr>
      <w:tr>
        <w:trPr>
          <w:cantSplit/>
        </w:trPr>
        <w:tc>
          <w:tcPr>
            <w:tcW w:w="1843" w:type="dxa"/>
          </w:tcPr>
          <w:p>
            <w:pPr>
              <w:pStyle w:val="nzTable"/>
              <w:tabs>
                <w:tab w:val="left" w:pos="349"/>
              </w:tabs>
              <w:ind w:left="349" w:hanging="349"/>
            </w:pPr>
            <w:r>
              <w:rPr>
                <w:sz w:val="18"/>
              </w:rPr>
              <w:t>(f)</w:t>
            </w:r>
            <w:r>
              <w:rPr>
                <w:sz w:val="18"/>
              </w:rPr>
              <w:tab/>
              <w:t>Time and Date of hearing</w:t>
            </w:r>
          </w:p>
        </w:tc>
        <w:tc>
          <w:tcPr>
            <w:tcW w:w="4394" w:type="dxa"/>
            <w:gridSpan w:val="2"/>
          </w:tcPr>
          <w:p>
            <w:pPr>
              <w:pStyle w:val="nzTable"/>
            </w:pPr>
            <w:r>
              <w:rPr>
                <w:sz w:val="18"/>
              </w:rPr>
              <w:t>at (f) ………….a.m./p.m. on the ........……day of……………....................... 20…….................</w:t>
            </w:r>
          </w:p>
        </w:tc>
      </w:tr>
      <w:tr>
        <w:trPr>
          <w:cantSplit/>
        </w:trPr>
        <w:tc>
          <w:tcPr>
            <w:tcW w:w="1843" w:type="dxa"/>
          </w:tcPr>
          <w:p>
            <w:pPr>
              <w:pStyle w:val="nzTable"/>
              <w:tabs>
                <w:tab w:val="left" w:pos="349"/>
              </w:tabs>
              <w:ind w:left="349" w:hanging="349"/>
            </w:pPr>
            <w:r>
              <w:rPr>
                <w:sz w:val="18"/>
              </w:rPr>
              <w:t>(g)</w:t>
            </w:r>
            <w:r>
              <w:rPr>
                <w:sz w:val="18"/>
              </w:rPr>
              <w:tab/>
              <w:t>Objector</w:t>
            </w:r>
            <w:r>
              <w:rPr>
                <w:sz w:val="18"/>
              </w:rPr>
              <w:br/>
              <w:t>/applicant/</w:t>
            </w:r>
            <w:r>
              <w:rPr>
                <w:sz w:val="18"/>
              </w:rPr>
              <w:br/>
              <w:t>plaintiff/</w:t>
            </w:r>
            <w:r>
              <w:rPr>
                <w:sz w:val="18"/>
              </w:rPr>
              <w:br/>
              <w:t>respondent</w:t>
            </w:r>
          </w:p>
        </w:tc>
        <w:tc>
          <w:tcPr>
            <w:tcW w:w="4394" w:type="dxa"/>
            <w:gridSpan w:val="2"/>
          </w:tcPr>
          <w:p>
            <w:pPr>
              <w:pStyle w:val="nzTable"/>
            </w:pPr>
            <w:r>
              <w:rPr>
                <w:sz w:val="18"/>
              </w:rPr>
              <w:t>to give evidence on behalf of the</w:t>
            </w:r>
            <w:r>
              <w:rPr>
                <w:sz w:val="18"/>
              </w:rPr>
              <w:br/>
              <w:t>(g) .………………………….</w:t>
            </w:r>
          </w:p>
        </w:tc>
      </w:tr>
      <w:tr>
        <w:tc>
          <w:tcPr>
            <w:tcW w:w="1843" w:type="dxa"/>
          </w:tcPr>
          <w:p>
            <w:pPr>
              <w:pStyle w:val="nzTable"/>
              <w:tabs>
                <w:tab w:val="left" w:pos="349"/>
              </w:tabs>
              <w:ind w:left="349" w:hanging="349"/>
            </w:pPr>
            <w:r>
              <w:rPr>
                <w:sz w:val="18"/>
              </w:rPr>
              <w:t>(h)</w:t>
            </w:r>
            <w:r>
              <w:rPr>
                <w:sz w:val="18"/>
              </w:rPr>
              <w:tab/>
              <w:t>State the particular documents required to be produced</w:t>
            </w:r>
          </w:p>
        </w:tc>
        <w:tc>
          <w:tcPr>
            <w:tcW w:w="4394" w:type="dxa"/>
            <w:gridSpan w:val="2"/>
          </w:tcPr>
          <w:p>
            <w:pPr>
              <w:pStyle w:val="nzTable"/>
            </w:pPr>
            <w:r>
              <w:rPr>
                <w:sz w:val="18"/>
              </w:rPr>
              <w:t>(h) and to produce at the hearing ……………………………………………………………</w:t>
            </w:r>
          </w:p>
          <w:p>
            <w:pPr>
              <w:pStyle w:val="nzTable"/>
            </w:pPr>
            <w:r>
              <w:t>……………………………………………………</w:t>
            </w:r>
          </w:p>
          <w:p>
            <w:pPr>
              <w:pStyle w:val="nzTable"/>
            </w:pPr>
            <w:r>
              <w:t>……………………………………………………</w:t>
            </w:r>
          </w:p>
          <w:p>
            <w:pPr>
              <w:pStyle w:val="nzTable"/>
            </w:pPr>
            <w:r>
              <w:t>……………………………………………………</w:t>
            </w:r>
          </w:p>
        </w:tc>
      </w:tr>
      <w:tr>
        <w:tc>
          <w:tcPr>
            <w:tcW w:w="1843" w:type="dxa"/>
          </w:tcPr>
          <w:p>
            <w:pPr>
              <w:pStyle w:val="nzTable"/>
              <w:tabs>
                <w:tab w:val="left" w:pos="349"/>
              </w:tabs>
              <w:ind w:left="349" w:hanging="349"/>
            </w:pPr>
            <w:r>
              <w:rPr>
                <w:sz w:val="18"/>
              </w:rPr>
              <w:t>(i)</w:t>
            </w:r>
            <w:r>
              <w:rPr>
                <w:sz w:val="18"/>
              </w:rPr>
              <w:tab/>
              <w:t>Nature of claim as stated in application or objection</w:t>
            </w:r>
          </w:p>
        </w:tc>
        <w:tc>
          <w:tcPr>
            <w:tcW w:w="4394" w:type="dxa"/>
            <w:gridSpan w:val="2"/>
          </w:tcPr>
          <w:p>
            <w:pPr>
              <w:pStyle w:val="nzTable"/>
            </w:pPr>
            <w:r>
              <w:rPr>
                <w:sz w:val="18"/>
              </w:rPr>
              <w:t>(i)</w:t>
            </w:r>
          </w:p>
          <w:p>
            <w:pPr>
              <w:pStyle w:val="nzTable"/>
            </w:pPr>
            <w:r>
              <w:t>……………………………………………………</w:t>
            </w:r>
          </w:p>
          <w:p>
            <w:pPr>
              <w:pStyle w:val="nzTable"/>
            </w:pPr>
            <w:r>
              <w:t>……………………………………………………</w:t>
            </w:r>
          </w:p>
          <w:p>
            <w:pPr>
              <w:pStyle w:val="nzTable"/>
            </w:pPr>
            <w:r>
              <w:t>……………………………………………………</w:t>
            </w:r>
          </w:p>
        </w:tc>
      </w:tr>
      <w:tr>
        <w:tc>
          <w:tcPr>
            <w:tcW w:w="1843" w:type="dxa"/>
          </w:tcPr>
          <w:p>
            <w:pPr>
              <w:pStyle w:val="nzTable"/>
              <w:tabs>
                <w:tab w:val="left" w:pos="349"/>
              </w:tabs>
              <w:ind w:left="349" w:hanging="349"/>
            </w:pPr>
            <w:r>
              <w:rPr>
                <w:sz w:val="18"/>
              </w:rPr>
              <w:t>(j)</w:t>
            </w:r>
            <w:r>
              <w:rPr>
                <w:sz w:val="18"/>
              </w:rPr>
              <w:tab/>
              <w:t>Phone / fax / or other contact for party initiating the summons</w:t>
            </w:r>
          </w:p>
        </w:tc>
        <w:tc>
          <w:tcPr>
            <w:tcW w:w="4394" w:type="dxa"/>
            <w:gridSpan w:val="2"/>
          </w:tcPr>
          <w:p>
            <w:pPr>
              <w:pStyle w:val="nzTable"/>
            </w:pPr>
            <w:r>
              <w:rPr>
                <w:sz w:val="18"/>
              </w:rPr>
              <w:t>(j)</w:t>
            </w:r>
          </w:p>
          <w:p>
            <w:pPr>
              <w:pStyle w:val="nzTable"/>
            </w:pPr>
            <w:r>
              <w:t>…………………………………………………</w:t>
            </w:r>
          </w:p>
          <w:p>
            <w:pPr>
              <w:pStyle w:val="nzTable"/>
            </w:pPr>
            <w:r>
              <w:t>……………………………………………………</w:t>
            </w:r>
          </w:p>
        </w:tc>
      </w:tr>
      <w:tr>
        <w:tc>
          <w:tcPr>
            <w:tcW w:w="1843" w:type="dxa"/>
            <w:tcBorders>
              <w:bottom w:val="single" w:sz="4" w:space="0" w:color="auto"/>
            </w:tcBorders>
          </w:tcPr>
          <w:p>
            <w:pPr>
              <w:pStyle w:val="yTable"/>
              <w:spacing w:line="180" w:lineRule="atLeast"/>
              <w:ind w:left="306" w:hanging="426"/>
              <w:rPr>
                <w:sz w:val="18"/>
              </w:rPr>
            </w:pPr>
          </w:p>
        </w:tc>
        <w:tc>
          <w:tcPr>
            <w:tcW w:w="4394" w:type="dxa"/>
            <w:gridSpan w:val="2"/>
          </w:tcPr>
          <w:p>
            <w:pPr>
              <w:pStyle w:val="nzTable"/>
            </w:pPr>
            <w:r>
              <w:rPr>
                <w:sz w:val="18"/>
              </w:rPr>
              <w:t>(see Note 2)</w:t>
            </w:r>
          </w:p>
        </w:tc>
      </w:tr>
      <w:tr>
        <w:trPr>
          <w:cantSplit/>
        </w:trPr>
        <w:tc>
          <w:tcPr>
            <w:tcW w:w="1843" w:type="dxa"/>
            <w:vMerge w:val="restart"/>
            <w:tcBorders>
              <w:top w:val="single" w:sz="4" w:space="0" w:color="auto"/>
              <w:left w:val="single" w:sz="4" w:space="0" w:color="auto"/>
              <w:bottom w:val="single" w:sz="4" w:space="0" w:color="auto"/>
              <w:right w:val="single" w:sz="4" w:space="0" w:color="auto"/>
            </w:tcBorders>
          </w:tcPr>
          <w:p>
            <w:pPr>
              <w:pStyle w:val="nzTable"/>
            </w:pPr>
          </w:p>
          <w:p>
            <w:pPr>
              <w:pStyle w:val="nzTable"/>
            </w:pPr>
            <w:r>
              <w:t>SEAL OF WARDEN’S COURT /</w:t>
            </w:r>
            <w:r>
              <w:br/>
              <w:t>STAMP OF MINING REGISTRAR</w:t>
            </w:r>
          </w:p>
          <w:p>
            <w:pPr>
              <w:pStyle w:val="yTable"/>
              <w:spacing w:line="180" w:lineRule="atLeast"/>
              <w:jc w:val="center"/>
              <w:rPr>
                <w:sz w:val="18"/>
              </w:rPr>
            </w:pPr>
          </w:p>
        </w:tc>
        <w:tc>
          <w:tcPr>
            <w:tcW w:w="4394" w:type="dxa"/>
            <w:gridSpan w:val="2"/>
            <w:tcBorders>
              <w:left w:val="single" w:sz="4" w:space="0" w:color="auto"/>
            </w:tcBorders>
          </w:tcPr>
          <w:p>
            <w:pPr>
              <w:pStyle w:val="nzTable"/>
            </w:pPr>
            <w:r>
              <w:rPr>
                <w:sz w:val="18"/>
              </w:rPr>
              <w:t>Dated at ……………………… this …………… day of ......…………………… 20……</w:t>
            </w:r>
          </w:p>
        </w:tc>
      </w:tr>
      <w:tr>
        <w:trPr>
          <w:cantSplit/>
        </w:trPr>
        <w:tc>
          <w:tcPr>
            <w:tcW w:w="1843" w:type="dxa"/>
            <w:vMerge/>
            <w:tcBorders>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4394" w:type="dxa"/>
            <w:gridSpan w:val="2"/>
          </w:tcPr>
          <w:p>
            <w:pPr>
              <w:pStyle w:val="nzTable"/>
            </w:pPr>
          </w:p>
          <w:p>
            <w:pPr>
              <w:pStyle w:val="nzTable"/>
            </w:pPr>
            <w:r>
              <w:t>..................................................... Mining Registrar</w:t>
            </w:r>
          </w:p>
          <w:p>
            <w:pPr>
              <w:pStyle w:val="nzTable"/>
            </w:pPr>
            <w:r>
              <w:t>......................................................... Mineral Field</w:t>
            </w:r>
          </w:p>
          <w:p>
            <w:pPr>
              <w:pStyle w:val="nzTable"/>
            </w:pPr>
          </w:p>
        </w:tc>
      </w:tr>
      <w:tr>
        <w:trPr>
          <w:cantSplit/>
        </w:trPr>
        <w:tc>
          <w:tcPr>
            <w:tcW w:w="6237" w:type="dxa"/>
            <w:gridSpan w:val="3"/>
          </w:tcPr>
          <w:p>
            <w:pPr>
              <w:pStyle w:val="nzTable"/>
              <w:tabs>
                <w:tab w:val="left" w:pos="709"/>
              </w:tabs>
              <w:ind w:left="709" w:hanging="709"/>
            </w:pPr>
            <w:r>
              <w:rPr>
                <w:b/>
                <w:bCs/>
                <w:sz w:val="18"/>
              </w:rPr>
              <w:t>Note 1:</w:t>
            </w:r>
            <w:r>
              <w:rPr>
                <w:sz w:val="18"/>
              </w:rPr>
              <w:t xml:space="preserve">  </w:t>
            </w:r>
            <w:r>
              <w:rPr>
                <w:sz w:val="18"/>
              </w:rPr>
              <w:tab/>
              <w:t>A person failing to attend as directed is liable to a fine of $10 000.</w:t>
            </w:r>
          </w:p>
          <w:p>
            <w:pPr>
              <w:pStyle w:val="nzTable"/>
              <w:tabs>
                <w:tab w:val="left" w:pos="709"/>
              </w:tabs>
              <w:ind w:left="709" w:hanging="709"/>
            </w:pPr>
            <w:r>
              <w:rPr>
                <w:b/>
                <w:bCs/>
              </w:rPr>
              <w:t>Note 2:</w:t>
            </w:r>
            <w: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1843" w:type="dxa"/>
            <w:vMerge w:val="restart"/>
          </w:tcPr>
          <w:p>
            <w:pPr>
              <w:pStyle w:val="ABillFor"/>
              <w:spacing w:after="0" w:line="180" w:lineRule="atLeast"/>
              <w:jc w:val="left"/>
              <w:rPr>
                <w:sz w:val="18"/>
              </w:rPr>
            </w:pPr>
            <w:r>
              <w:rPr>
                <w:sz w:val="18"/>
              </w:rPr>
              <w:t>_____________________________________________________________________________________</w:t>
            </w:r>
          </w:p>
        </w:tc>
        <w:tc>
          <w:tcPr>
            <w:tcW w:w="4394" w:type="dxa"/>
            <w:gridSpan w:val="2"/>
          </w:tcPr>
          <w:p>
            <w:pPr>
              <w:pStyle w:val="nzTable"/>
            </w:pPr>
            <w:r>
              <w:rPr>
                <w:sz w:val="18"/>
              </w:rPr>
              <w:t>Received $ ................. Conduct money</w:t>
            </w:r>
          </w:p>
          <w:p>
            <w:pPr>
              <w:pStyle w:val="nzTable"/>
              <w:jc w:val="right"/>
            </w:pPr>
            <w:r>
              <w:t>...........................................</w:t>
            </w:r>
          </w:p>
          <w:p>
            <w:pPr>
              <w:pStyle w:val="nzTable"/>
              <w:jc w:val="right"/>
            </w:pPr>
            <w:r>
              <w:t>Signature</w:t>
            </w:r>
          </w:p>
        </w:tc>
      </w:tr>
      <w:tr>
        <w:trPr>
          <w:cantSplit/>
        </w:trPr>
        <w:tc>
          <w:tcPr>
            <w:tcW w:w="1843" w:type="dxa"/>
            <w:vMerge/>
          </w:tcPr>
          <w:p>
            <w:pPr>
              <w:pStyle w:val="ABillFor"/>
              <w:spacing w:after="0" w:line="180" w:lineRule="atLeast"/>
              <w:rPr>
                <w:sz w:val="18"/>
              </w:rPr>
            </w:pPr>
          </w:p>
        </w:tc>
        <w:tc>
          <w:tcPr>
            <w:tcW w:w="4394" w:type="dxa"/>
            <w:gridSpan w:val="2"/>
          </w:tcPr>
          <w:p>
            <w:pPr>
              <w:pStyle w:val="nzTable"/>
              <w:jc w:val="center"/>
            </w:pPr>
            <w:r>
              <w:rPr>
                <w:b/>
                <w:sz w:val="18"/>
              </w:rPr>
              <w:t>ENDORSEMENT</w:t>
            </w:r>
          </w:p>
          <w:p>
            <w:pPr>
              <w:pStyle w:val="nzTable"/>
            </w:pPr>
            <w:r>
              <w:t>This is the document marked “A” referred to in the annexed affidavit of ................................................</w:t>
            </w:r>
          </w:p>
          <w:p>
            <w:pPr>
              <w:pStyle w:val="nzTable"/>
            </w:pPr>
            <w:r>
              <w:t>sworn before me at ...................................................</w:t>
            </w:r>
          </w:p>
          <w:p>
            <w:pPr>
              <w:pStyle w:val="nzTable"/>
            </w:pPr>
            <w:r>
              <w:t xml:space="preserve">this </w:t>
            </w:r>
            <w:r>
              <w:rPr>
                <w:spacing w:val="-2"/>
              </w:rPr>
              <w:t xml:space="preserve">………… </w:t>
            </w:r>
            <w:r>
              <w:t xml:space="preserve">day of </w:t>
            </w:r>
            <w:r>
              <w:rPr>
                <w:spacing w:val="-2"/>
              </w:rPr>
              <w:t>……………………</w:t>
            </w:r>
            <w:r>
              <w:t xml:space="preserve"> 20</w:t>
            </w:r>
            <w:r>
              <w:rPr>
                <w:spacing w:val="-2"/>
              </w:rPr>
              <w:t>…....</w:t>
            </w:r>
          </w:p>
          <w:p>
            <w:pPr>
              <w:pStyle w:val="nzTable"/>
            </w:pPr>
          </w:p>
          <w:p>
            <w:pPr>
              <w:pStyle w:val="nzTable"/>
              <w:jc w:val="right"/>
            </w:pPr>
            <w:r>
              <w:t>...............................................................</w:t>
            </w:r>
          </w:p>
        </w:tc>
      </w:tr>
    </w:tbl>
    <w:p>
      <w:pPr>
        <w:pStyle w:val="nzSubsection"/>
      </w:pPr>
    </w:p>
    <w:tbl>
      <w:tblPr>
        <w:tblW w:w="0" w:type="auto"/>
        <w:tblInd w:w="971" w:type="dxa"/>
        <w:tblLayout w:type="fixed"/>
        <w:tblCellMar>
          <w:left w:w="120" w:type="dxa"/>
          <w:right w:w="120" w:type="dxa"/>
        </w:tblCellMar>
        <w:tblLook w:val="0000" w:firstRow="0" w:lastRow="0" w:firstColumn="0" w:lastColumn="0" w:noHBand="0" w:noVBand="0"/>
      </w:tblPr>
      <w:tblGrid>
        <w:gridCol w:w="1843"/>
        <w:gridCol w:w="2693"/>
        <w:gridCol w:w="1701"/>
      </w:tblGrid>
      <w:tr>
        <w:tc>
          <w:tcPr>
            <w:tcW w:w="1843" w:type="dxa"/>
          </w:tcPr>
          <w:p>
            <w:pPr>
              <w:pStyle w:val="nzTable"/>
              <w:keepNext/>
            </w:pPr>
            <w:r>
              <w:br w:type="page"/>
            </w:r>
            <w:r>
              <w:rPr>
                <w:sz w:val="18"/>
              </w:rPr>
              <w:t>Form 38</w:t>
            </w:r>
          </w:p>
          <w:p>
            <w:pPr>
              <w:pStyle w:val="nzTable"/>
              <w:keepNext/>
            </w:pPr>
          </w:p>
          <w:p>
            <w:pPr>
              <w:pStyle w:val="nzTable"/>
              <w:keepNext/>
            </w:pPr>
          </w:p>
          <w:p>
            <w:pPr>
              <w:pStyle w:val="nzTable"/>
              <w:keepNext/>
            </w:pPr>
          </w:p>
          <w:p>
            <w:pPr>
              <w:pStyle w:val="nzTable"/>
              <w:keepNext/>
            </w:pPr>
          </w:p>
          <w:p>
            <w:pPr>
              <w:pStyle w:val="nzTable"/>
              <w:keepNext/>
            </w:pPr>
            <w:r>
              <w:t>Tenement No. .…...</w:t>
            </w:r>
          </w:p>
        </w:tc>
        <w:tc>
          <w:tcPr>
            <w:tcW w:w="4394" w:type="dxa"/>
            <w:gridSpan w:val="2"/>
          </w:tcPr>
          <w:p>
            <w:pPr>
              <w:pStyle w:val="nzTable"/>
              <w:keepNext/>
            </w:pPr>
            <w:r>
              <w:rPr>
                <w:sz w:val="18"/>
              </w:rPr>
              <w:t>WESTERN AUSTRALIA</w:t>
            </w:r>
          </w:p>
          <w:p>
            <w:pPr>
              <w:pStyle w:val="nzTable"/>
              <w:keepNext/>
            </w:pPr>
            <w:r>
              <w:rPr>
                <w:i/>
              </w:rPr>
              <w:t>Mining Regulations 1981</w:t>
            </w:r>
          </w:p>
          <w:p>
            <w:pPr>
              <w:pStyle w:val="nzTable"/>
              <w:keepNext/>
            </w:pPr>
            <w:r>
              <w:t>(r. 129, 173)</w:t>
            </w:r>
          </w:p>
          <w:p>
            <w:pPr>
              <w:pStyle w:val="nzTable"/>
              <w:keepNext/>
            </w:pPr>
            <w:r>
              <w:rPr>
                <w:b/>
              </w:rPr>
              <w:t>JUDGMENT OF A WARDEN’S COURT / DETERMINATION OF A WARDEN</w:t>
            </w:r>
          </w:p>
          <w:p>
            <w:pPr>
              <w:pStyle w:val="nzTable"/>
              <w:keepNext/>
            </w:pPr>
            <w:r>
              <w:t>In the Warden’s Court at .........................................</w:t>
            </w:r>
          </w:p>
          <w:p>
            <w:pPr>
              <w:pStyle w:val="nzTable"/>
              <w:keepNext/>
            </w:pPr>
            <w:r>
              <w:t>Before the Warden at ...............................................</w:t>
            </w:r>
          </w:p>
          <w:p>
            <w:pPr>
              <w:pStyle w:val="nzTable"/>
              <w:keepNext/>
            </w:pPr>
            <w:r>
              <w:rPr>
                <w:i/>
              </w:rPr>
              <w:t>(delete whichever is not applicable)</w:t>
            </w:r>
          </w:p>
        </w:tc>
      </w:tr>
      <w:tr>
        <w:tc>
          <w:tcPr>
            <w:tcW w:w="1843" w:type="dxa"/>
          </w:tcPr>
          <w:p>
            <w:pPr>
              <w:pStyle w:val="nzTable"/>
              <w:tabs>
                <w:tab w:val="left" w:pos="349"/>
              </w:tabs>
              <w:ind w:left="349" w:hanging="349"/>
            </w:pPr>
            <w:r>
              <w:rPr>
                <w:sz w:val="18"/>
              </w:rPr>
              <w:t>(a)</w:t>
            </w:r>
            <w:r>
              <w:rPr>
                <w:sz w:val="18"/>
              </w:rPr>
              <w:tab/>
              <w:t>Specify either the application for forfeiture or plaint number</w:t>
            </w:r>
          </w:p>
        </w:tc>
        <w:tc>
          <w:tcPr>
            <w:tcW w:w="2693"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nzTable"/>
            </w:pPr>
            <w:r>
              <w:rPr>
                <w:sz w:val="18"/>
              </w:rPr>
              <w:t>(a)</w:t>
            </w:r>
          </w:p>
          <w:p>
            <w:pPr>
              <w:pStyle w:val="nzTable"/>
            </w:pPr>
          </w:p>
          <w:p>
            <w:pPr>
              <w:pStyle w:val="nzTable"/>
            </w:pPr>
            <w:r>
              <w:t>No. ........ / .….....</w:t>
            </w:r>
          </w:p>
        </w:tc>
      </w:tr>
      <w:tr>
        <w:trPr>
          <w:trHeight w:hRule="exact" w:val="198"/>
        </w:trPr>
        <w:tc>
          <w:tcPr>
            <w:tcW w:w="1843" w:type="dxa"/>
          </w:tcPr>
          <w:p>
            <w:pPr>
              <w:pStyle w:val="yTable"/>
              <w:spacing w:line="180" w:lineRule="atLeast"/>
              <w:ind w:left="-120"/>
              <w:rPr>
                <w:sz w:val="18"/>
              </w:rPr>
            </w:pPr>
          </w:p>
        </w:tc>
        <w:tc>
          <w:tcPr>
            <w:tcW w:w="4394" w:type="dxa"/>
            <w:gridSpan w:val="2"/>
          </w:tcPr>
          <w:p>
            <w:pPr>
              <w:pStyle w:val="nzTable"/>
            </w:pPr>
          </w:p>
        </w:tc>
      </w:tr>
      <w:tr>
        <w:tc>
          <w:tcPr>
            <w:tcW w:w="1843" w:type="dxa"/>
          </w:tcPr>
          <w:p>
            <w:pPr>
              <w:pStyle w:val="nzTable"/>
              <w:tabs>
                <w:tab w:val="left" w:pos="349"/>
              </w:tabs>
              <w:ind w:left="349" w:hanging="349"/>
            </w:pPr>
            <w:r>
              <w:rPr>
                <w:sz w:val="18"/>
              </w:rPr>
              <w:t>(b)</w:t>
            </w:r>
            <w:r>
              <w:rPr>
                <w:sz w:val="18"/>
              </w:rPr>
              <w:tab/>
              <w:t>Specify full name and address of either forfeiture applicant or plaintiff</w:t>
            </w:r>
          </w:p>
        </w:tc>
        <w:tc>
          <w:tcPr>
            <w:tcW w:w="4394" w:type="dxa"/>
            <w:gridSpan w:val="2"/>
            <w:tcBorders>
              <w:top w:val="single" w:sz="7" w:space="0" w:color="auto"/>
              <w:left w:val="single" w:sz="7" w:space="0" w:color="auto"/>
              <w:bottom w:val="single" w:sz="7" w:space="0" w:color="auto"/>
              <w:right w:val="single" w:sz="7" w:space="0" w:color="auto"/>
            </w:tcBorders>
          </w:tcPr>
          <w:p>
            <w:pPr>
              <w:pStyle w:val="nzTable"/>
            </w:pPr>
            <w:r>
              <w:rPr>
                <w:sz w:val="18"/>
              </w:rPr>
              <w:t>(b)</w:t>
            </w:r>
          </w:p>
          <w:p>
            <w:pPr>
              <w:pStyle w:val="nzTable"/>
            </w:pPr>
          </w:p>
        </w:tc>
      </w:tr>
      <w:tr>
        <w:trPr>
          <w:trHeight w:hRule="exact" w:val="283"/>
        </w:trPr>
        <w:tc>
          <w:tcPr>
            <w:tcW w:w="1843" w:type="dxa"/>
          </w:tcPr>
          <w:p>
            <w:pPr>
              <w:pStyle w:val="yTable"/>
              <w:spacing w:line="180" w:lineRule="atLeast"/>
              <w:ind w:left="306" w:hanging="426"/>
              <w:rPr>
                <w:sz w:val="18"/>
              </w:rPr>
            </w:pPr>
          </w:p>
        </w:tc>
        <w:tc>
          <w:tcPr>
            <w:tcW w:w="4394" w:type="dxa"/>
            <w:gridSpan w:val="2"/>
          </w:tcPr>
          <w:p>
            <w:pPr>
              <w:pStyle w:val="nzTable"/>
              <w:jc w:val="center"/>
            </w:pPr>
            <w:r>
              <w:rPr>
                <w:sz w:val="18"/>
              </w:rPr>
              <w:fldChar w:fldCharType="begin"/>
            </w:r>
            <w:r>
              <w:rPr>
                <w:sz w:val="18"/>
              </w:rPr>
              <w:instrText>ADVANCE \U 2.80</w:instrText>
            </w:r>
            <w:r>
              <w:rPr>
                <w:sz w:val="18"/>
              </w:rPr>
              <w:fldChar w:fldCharType="end"/>
            </w:r>
            <w:r>
              <w:rPr>
                <w:sz w:val="18"/>
              </w:rPr>
              <w:t>AND</w:t>
            </w:r>
          </w:p>
        </w:tc>
      </w:tr>
      <w:tr>
        <w:tc>
          <w:tcPr>
            <w:tcW w:w="1843" w:type="dxa"/>
          </w:tcPr>
          <w:p>
            <w:pPr>
              <w:pStyle w:val="nzTable"/>
              <w:tabs>
                <w:tab w:val="left" w:pos="349"/>
              </w:tabs>
              <w:ind w:left="349" w:hanging="349"/>
            </w:pPr>
            <w:r>
              <w:rPr>
                <w:sz w:val="18"/>
              </w:rPr>
              <w:t>(c)</w:t>
            </w:r>
            <w:r>
              <w:rPr>
                <w:sz w:val="18"/>
              </w:rPr>
              <w:tab/>
              <w:t>Specify full name and address of tenement holder</w:t>
            </w:r>
          </w:p>
        </w:tc>
        <w:tc>
          <w:tcPr>
            <w:tcW w:w="4394" w:type="dxa"/>
            <w:gridSpan w:val="2"/>
            <w:tcBorders>
              <w:top w:val="single" w:sz="7" w:space="0" w:color="auto"/>
              <w:left w:val="single" w:sz="7" w:space="0" w:color="auto"/>
              <w:bottom w:val="single" w:sz="7" w:space="0" w:color="auto"/>
              <w:right w:val="single" w:sz="7" w:space="0" w:color="auto"/>
            </w:tcBorders>
          </w:tcPr>
          <w:p>
            <w:pPr>
              <w:pStyle w:val="nzTable"/>
            </w:pPr>
            <w:r>
              <w:rPr>
                <w:sz w:val="18"/>
              </w:rPr>
              <w:t>(c)</w:t>
            </w:r>
          </w:p>
          <w:p>
            <w:pPr>
              <w:pStyle w:val="nzTable"/>
            </w:pPr>
          </w:p>
          <w:p>
            <w:pPr>
              <w:pStyle w:val="nzTable"/>
              <w:rPr>
                <w:sz w:val="12"/>
              </w:rPr>
            </w:pPr>
          </w:p>
          <w:p>
            <w:pPr>
              <w:pStyle w:val="nzTable"/>
            </w:pPr>
          </w:p>
        </w:tc>
      </w:tr>
      <w:tr>
        <w:tc>
          <w:tcPr>
            <w:tcW w:w="1843" w:type="dxa"/>
          </w:tcPr>
          <w:p>
            <w:pPr>
              <w:pStyle w:val="nzTable"/>
              <w:tabs>
                <w:tab w:val="left" w:pos="349"/>
              </w:tabs>
              <w:ind w:left="349" w:hanging="349"/>
              <w:rPr>
                <w:sz w:val="18"/>
              </w:rPr>
            </w:pPr>
            <w:r>
              <w:rPr>
                <w:sz w:val="18"/>
              </w:rPr>
              <w:t>(d)</w:t>
            </w:r>
            <w:r>
              <w:rPr>
                <w:sz w:val="18"/>
              </w:rPr>
              <w:tab/>
              <w:t>Insert result</w:t>
            </w:r>
          </w:p>
          <w:p>
            <w:pPr>
              <w:pStyle w:val="nzTable"/>
              <w:rPr>
                <w:sz w:val="18"/>
              </w:rPr>
            </w:pPr>
          </w:p>
          <w:p>
            <w:pPr>
              <w:pStyle w:val="nzTable"/>
              <w:rPr>
                <w:sz w:val="18"/>
              </w:rPr>
            </w:pPr>
          </w:p>
          <w:p>
            <w:pPr>
              <w:pStyle w:val="nzTable"/>
              <w:rPr>
                <w:sz w:val="18"/>
              </w:rPr>
            </w:pPr>
          </w:p>
          <w:p>
            <w:pPr>
              <w:pStyle w:val="nzTable"/>
              <w:rPr>
                <w:sz w:val="18"/>
              </w:rPr>
            </w:pPr>
          </w:p>
          <w:p>
            <w:pPr>
              <w:pStyle w:val="nzTable"/>
              <w:tabs>
                <w:tab w:val="left" w:pos="349"/>
              </w:tabs>
              <w:ind w:left="349" w:hanging="349"/>
              <w:rPr>
                <w:sz w:val="18"/>
              </w:rPr>
            </w:pPr>
            <w:r>
              <w:rPr>
                <w:sz w:val="18"/>
              </w:rPr>
              <w:t>(e)</w:t>
            </w:r>
            <w:r>
              <w:rPr>
                <w:sz w:val="18"/>
              </w:rPr>
              <w:tab/>
              <w:t>Set forth the decision in full (or attach)</w:t>
            </w:r>
          </w:p>
          <w:p>
            <w:pPr>
              <w:pStyle w:val="nzTable"/>
              <w:rPr>
                <w:sz w:val="18"/>
              </w:rPr>
            </w:pPr>
          </w:p>
          <w:p>
            <w:pPr>
              <w:pStyle w:val="yTable"/>
              <w:spacing w:before="0" w:line="180" w:lineRule="atLeast"/>
              <w:rPr>
                <w:sz w:val="18"/>
              </w:rPr>
            </w:pPr>
          </w:p>
        </w:tc>
        <w:tc>
          <w:tcPr>
            <w:tcW w:w="4394" w:type="dxa"/>
            <w:gridSpan w:val="2"/>
          </w:tcPr>
          <w:p>
            <w:pPr>
              <w:pStyle w:val="nzTable"/>
            </w:pPr>
            <w:r>
              <w:rPr>
                <w:sz w:val="18"/>
              </w:rPr>
              <w:t>(d)</w:t>
            </w:r>
          </w:p>
          <w:p>
            <w:pPr>
              <w:pStyle w:val="nzTable"/>
            </w:pPr>
          </w:p>
          <w:p>
            <w:pPr>
              <w:pStyle w:val="nzTable"/>
            </w:pPr>
          </w:p>
          <w:p>
            <w:pPr>
              <w:pStyle w:val="nzTable"/>
            </w:pPr>
            <w:r>
              <w:t>AND the Court / Warden directs </w:t>
            </w:r>
            <w:r>
              <w:rPr>
                <w:snapToGrid w:val="0"/>
              </w:rPr>
              <w:t>—</w:t>
            </w:r>
            <w:r>
              <w:t> </w:t>
            </w:r>
          </w:p>
          <w:p>
            <w:pPr>
              <w:pStyle w:val="nzTable"/>
            </w:pPr>
          </w:p>
          <w:p>
            <w:pPr>
              <w:pStyle w:val="nzTable"/>
            </w:pPr>
            <w:r>
              <w:t>(e)</w:t>
            </w:r>
          </w:p>
          <w:p>
            <w:pPr>
              <w:pStyle w:val="nzTable"/>
            </w:pPr>
          </w:p>
          <w:p>
            <w:pPr>
              <w:pStyle w:val="nzTable"/>
            </w:pPr>
          </w:p>
          <w:p>
            <w:pPr>
              <w:pStyle w:val="nzTable"/>
            </w:pPr>
          </w:p>
          <w:p>
            <w:pPr>
              <w:pStyle w:val="nzTable"/>
            </w:pPr>
            <w:r>
              <w:t>DATED at ................................................................</w:t>
            </w:r>
          </w:p>
          <w:p>
            <w:pPr>
              <w:pStyle w:val="nzTable"/>
            </w:pPr>
          </w:p>
          <w:p>
            <w:pPr>
              <w:pStyle w:val="nzTable"/>
              <w:rPr>
                <w:rStyle w:val="CharDefText"/>
              </w:rPr>
            </w:pPr>
            <w:r>
              <w:t>this ...................... day of ................................ 20….</w:t>
            </w:r>
          </w:p>
        </w:tc>
      </w:tr>
      <w:tr>
        <w:trPr>
          <w:cantSplit/>
          <w:trHeight w:val="1200"/>
        </w:trPr>
        <w:tc>
          <w:tcPr>
            <w:tcW w:w="1843" w:type="dxa"/>
            <w:tcBorders>
              <w:top w:val="single" w:sz="4" w:space="0" w:color="auto"/>
              <w:left w:val="single" w:sz="4" w:space="0" w:color="auto"/>
              <w:bottom w:val="single" w:sz="4" w:space="0" w:color="auto"/>
              <w:right w:val="single" w:sz="4" w:space="0" w:color="auto"/>
            </w:tcBorders>
          </w:tcPr>
          <w:p>
            <w:pPr>
              <w:pStyle w:val="nzTable"/>
            </w:pPr>
          </w:p>
          <w:p>
            <w:pPr>
              <w:pStyle w:val="nzTable"/>
              <w:jc w:val="center"/>
            </w:pPr>
            <w:r>
              <w:t>SEAL</w:t>
            </w:r>
          </w:p>
          <w:p>
            <w:pPr>
              <w:pStyle w:val="nzTable"/>
              <w:jc w:val="center"/>
            </w:pPr>
            <w:r>
              <w:t>OF WARDEN’S</w:t>
            </w:r>
          </w:p>
          <w:p>
            <w:pPr>
              <w:pStyle w:val="nzTable"/>
              <w:jc w:val="center"/>
            </w:pPr>
            <w:r>
              <w:t>COURT /</w:t>
            </w:r>
          </w:p>
          <w:p>
            <w:pPr>
              <w:pStyle w:val="nzTable"/>
              <w:jc w:val="center"/>
            </w:pPr>
            <w:r>
              <w:t>STAMP OF</w:t>
            </w:r>
          </w:p>
          <w:p>
            <w:pPr>
              <w:pStyle w:val="nzTable"/>
              <w:jc w:val="center"/>
            </w:pPr>
            <w:r>
              <w:t>MINING REGISTRAR</w:t>
            </w:r>
          </w:p>
        </w:tc>
        <w:tc>
          <w:tcPr>
            <w:tcW w:w="4394" w:type="dxa"/>
            <w:gridSpan w:val="2"/>
            <w:tcBorders>
              <w:left w:val="nil"/>
            </w:tcBorders>
          </w:tcPr>
          <w:p>
            <w:pPr>
              <w:pStyle w:val="nzTable"/>
            </w:pPr>
          </w:p>
          <w:p>
            <w:pPr>
              <w:pStyle w:val="nzTable"/>
            </w:pPr>
          </w:p>
          <w:p>
            <w:pPr>
              <w:pStyle w:val="nzTable"/>
            </w:pPr>
          </w:p>
          <w:p>
            <w:pPr>
              <w:pStyle w:val="nzTable"/>
            </w:pPr>
          </w:p>
          <w:p>
            <w:pPr>
              <w:pStyle w:val="nzTable"/>
            </w:pPr>
            <w:r>
              <w:t>........................................Warden/Mining Registrar</w:t>
            </w:r>
          </w:p>
        </w:tc>
      </w:tr>
    </w:tbl>
    <w:p>
      <w:pPr>
        <w:pStyle w:val="MiscClose"/>
        <w:ind w:right="618"/>
      </w:pPr>
      <w:r>
        <w:t xml:space="preserve">    ”.</w:t>
      </w:r>
    </w:p>
    <w:p>
      <w:pPr>
        <w:pStyle w:val="nzSubsection"/>
        <w:keepNext/>
      </w:pPr>
      <w:r>
        <w:tab/>
        <w:t>(8)</w:t>
      </w:r>
      <w:r>
        <w:tab/>
        <w:t>The First Schedule is amended by deleting Forms 39 to 41.</w:t>
      </w:r>
    </w:p>
    <w:p>
      <w:pPr>
        <w:pStyle w:val="nzHeading5"/>
      </w:pPr>
      <w:bookmarkStart w:id="3060" w:name="_Toc158541684"/>
      <w:bookmarkStart w:id="3061" w:name="_Toc161201501"/>
      <w:r>
        <w:rPr>
          <w:rStyle w:val="CharSectno"/>
        </w:rPr>
        <w:t>32</w:t>
      </w:r>
      <w:r>
        <w:t>.</w:t>
      </w:r>
      <w:r>
        <w:tab/>
        <w:t>Second Schedule amended</w:t>
      </w:r>
      <w:bookmarkEnd w:id="3060"/>
      <w:bookmarkEnd w:id="3061"/>
    </w:p>
    <w:p>
      <w:pPr>
        <w:pStyle w:val="nzSubsection"/>
      </w:pPr>
      <w:r>
        <w:tab/>
        <w:t>(1)</w:t>
      </w:r>
      <w:r>
        <w:tab/>
        <w:t>The Second Schedule item 13 is amended by deleting “Warden’s Court Fees” and inserting instead —</w:t>
      </w:r>
    </w:p>
    <w:p>
      <w:pPr>
        <w:pStyle w:val="nzSubsection"/>
      </w:pPr>
      <w:r>
        <w:tab/>
      </w:r>
      <w:r>
        <w:tab/>
        <w:t xml:space="preserve">“    </w:t>
      </w:r>
      <w:r>
        <w:rPr>
          <w:sz w:val="18"/>
        </w:rPr>
        <w:t>Fees relating to proceedings under Parts VII and VIII</w:t>
      </w:r>
      <w:r>
        <w:t xml:space="preserve">    ”.</w:t>
      </w:r>
    </w:p>
    <w:p>
      <w:pPr>
        <w:pStyle w:val="nzSubsection"/>
      </w:pPr>
      <w:r>
        <w:tab/>
        <w:t>(2)</w:t>
      </w:r>
      <w:r>
        <w:tab/>
        <w:t>The Second Schedule item 13 is amended as follows:</w:t>
      </w:r>
    </w:p>
    <w:p>
      <w:pPr>
        <w:pStyle w:val="nzIndenta"/>
      </w:pPr>
      <w:r>
        <w:tab/>
        <w:t>(a)</w:t>
      </w:r>
      <w:r>
        <w:tab/>
        <w:t>in paragraph (i) by inserting after “a plaint” —</w:t>
      </w:r>
    </w:p>
    <w:p>
      <w:pPr>
        <w:pStyle w:val="nzIndenta"/>
      </w:pPr>
      <w:r>
        <w:tab/>
      </w:r>
      <w:r>
        <w:tab/>
        <w:t xml:space="preserve">“    </w:t>
      </w:r>
      <w:r>
        <w:rPr>
          <w:sz w:val="18"/>
        </w:rPr>
        <w:t>or an application</w:t>
      </w:r>
      <w:r>
        <w:t xml:space="preserve">    ”;</w:t>
      </w:r>
    </w:p>
    <w:p>
      <w:pPr>
        <w:pStyle w:val="nzIndenta"/>
      </w:pPr>
      <w:r>
        <w:tab/>
        <w:t>(b)</w:t>
      </w:r>
      <w:r>
        <w:tab/>
        <w:t>in paragraph (i) by deleting “defendant” and inserting instead —</w:t>
      </w:r>
    </w:p>
    <w:p>
      <w:pPr>
        <w:pStyle w:val="nzIndenta"/>
      </w:pPr>
      <w:r>
        <w:tab/>
      </w:r>
      <w:r>
        <w:tab/>
        <w:t xml:space="preserve">“    </w:t>
      </w:r>
      <w:r>
        <w:rPr>
          <w:sz w:val="18"/>
        </w:rPr>
        <w:t>respondent</w:t>
      </w:r>
      <w:r>
        <w:t xml:space="preserve">    ”;</w:t>
      </w:r>
    </w:p>
    <w:p>
      <w:pPr>
        <w:pStyle w:val="nzIndenta"/>
      </w:pPr>
      <w:r>
        <w:tab/>
        <w:t>(c)</w:t>
      </w:r>
      <w:r>
        <w:tab/>
        <w:t>in paragraph (i) by deleting “subpoenas” and inserting instead —</w:t>
      </w:r>
    </w:p>
    <w:p>
      <w:pPr>
        <w:pStyle w:val="nzIndenta"/>
      </w:pPr>
      <w:r>
        <w:tab/>
      </w:r>
      <w:r>
        <w:tab/>
        <w:t xml:space="preserve">“    </w:t>
      </w:r>
      <w:r>
        <w:rPr>
          <w:sz w:val="18"/>
        </w:rPr>
        <w:t>summonses</w:t>
      </w:r>
      <w:r>
        <w:t xml:space="preserve">    ”;</w:t>
      </w:r>
    </w:p>
    <w:p>
      <w:pPr>
        <w:pStyle w:val="nzIndenta"/>
      </w:pPr>
      <w:r>
        <w:tab/>
        <w:t>(d)</w:t>
      </w:r>
      <w:r>
        <w:tab/>
        <w:t>in paragraph (ii) by deleting “Defence, including notice of defence” and inserting instead —</w:t>
      </w:r>
    </w:p>
    <w:p>
      <w:pPr>
        <w:pStyle w:val="nzIndenta"/>
      </w:pPr>
      <w:r>
        <w:tab/>
      </w:r>
      <w:r>
        <w:tab/>
        <w:t xml:space="preserve">“    </w:t>
      </w:r>
      <w:r>
        <w:rPr>
          <w:sz w:val="18"/>
        </w:rPr>
        <w:t>Response</w:t>
      </w:r>
      <w:r>
        <w:t xml:space="preserve">    ”;</w:t>
      </w:r>
    </w:p>
    <w:p>
      <w:pPr>
        <w:pStyle w:val="nzIndenta"/>
      </w:pPr>
      <w:r>
        <w:tab/>
        <w:t>(e)</w:t>
      </w:r>
      <w:r>
        <w:tab/>
        <w:t>in paragraph (ii) by deleting “subpoenas” and inserting instead —</w:t>
      </w:r>
    </w:p>
    <w:p>
      <w:pPr>
        <w:pStyle w:val="nzIndenta"/>
      </w:pPr>
      <w:r>
        <w:tab/>
      </w:r>
      <w:r>
        <w:tab/>
        <w:t xml:space="preserve">“    </w:t>
      </w:r>
      <w:r>
        <w:rPr>
          <w:sz w:val="18"/>
        </w:rPr>
        <w:t>summonses</w:t>
      </w:r>
      <w:r>
        <w:t xml:space="preserve">    ”;</w:t>
      </w:r>
    </w:p>
    <w:p>
      <w:pPr>
        <w:pStyle w:val="nzIndenta"/>
      </w:pPr>
      <w:r>
        <w:tab/>
        <w:t>(f)</w:t>
      </w:r>
      <w:r>
        <w:tab/>
        <w:t>by deleting paragraph (v);</w:t>
      </w:r>
    </w:p>
    <w:p>
      <w:pPr>
        <w:pStyle w:val="nzIndenta"/>
      </w:pPr>
      <w:r>
        <w:tab/>
        <w:t>(g)</w:t>
      </w:r>
      <w:r>
        <w:tab/>
        <w:t xml:space="preserve">in paragraph (vii) by deleting “filed” in both places where it occurs and inserting instead — </w:t>
      </w:r>
    </w:p>
    <w:p>
      <w:pPr>
        <w:pStyle w:val="nzIndenta"/>
      </w:pPr>
      <w:r>
        <w:tab/>
      </w:r>
      <w:r>
        <w:tab/>
        <w:t xml:space="preserve">“    </w:t>
      </w:r>
      <w:r>
        <w:rPr>
          <w:sz w:val="18"/>
        </w:rPr>
        <w:t>lodged</w:t>
      </w:r>
      <w:r>
        <w:t xml:space="preserve">    ”.</w:t>
      </w:r>
    </w:p>
    <w:p>
      <w:pPr>
        <w:pStyle w:val="nzHeading5"/>
      </w:pPr>
      <w:bookmarkStart w:id="3062" w:name="_Toc158541685"/>
      <w:bookmarkStart w:id="3063" w:name="_Toc161201502"/>
      <w:r>
        <w:rPr>
          <w:rStyle w:val="CharSectno"/>
        </w:rPr>
        <w:t>33</w:t>
      </w:r>
      <w:r>
        <w:t>.</w:t>
      </w:r>
      <w:r>
        <w:tab/>
        <w:t>Fourth Schedule inserted</w:t>
      </w:r>
      <w:bookmarkEnd w:id="3062"/>
      <w:bookmarkEnd w:id="3063"/>
    </w:p>
    <w:p>
      <w:pPr>
        <w:pStyle w:val="nzSubsection"/>
      </w:pPr>
      <w:r>
        <w:tab/>
      </w:r>
      <w:r>
        <w:tab/>
        <w:t>After the Third Schedule the following Schedule is inserted —</w:t>
      </w:r>
    </w:p>
    <w:p>
      <w:pPr>
        <w:pStyle w:val="MiscOpen"/>
      </w:pPr>
      <w:r>
        <w:t xml:space="preserve">“    </w:t>
      </w:r>
    </w:p>
    <w:p>
      <w:pPr>
        <w:pStyle w:val="nzHeading2"/>
      </w:pPr>
      <w:bookmarkStart w:id="3064" w:name="_Toc131562139"/>
      <w:bookmarkStart w:id="3065" w:name="_Toc131562742"/>
      <w:bookmarkStart w:id="3066" w:name="_Toc131562957"/>
      <w:bookmarkStart w:id="3067" w:name="_Toc131564495"/>
      <w:bookmarkStart w:id="3068" w:name="_Toc131565729"/>
      <w:bookmarkStart w:id="3069" w:name="_Toc131844859"/>
      <w:bookmarkStart w:id="3070" w:name="_Toc131845644"/>
      <w:bookmarkStart w:id="3071" w:name="_Toc131846250"/>
      <w:bookmarkStart w:id="3072" w:name="_Toc131921362"/>
      <w:bookmarkStart w:id="3073" w:name="_Toc131921971"/>
      <w:bookmarkStart w:id="3074" w:name="_Toc141847440"/>
      <w:bookmarkStart w:id="3075" w:name="_Toc141853722"/>
      <w:bookmarkStart w:id="3076" w:name="_Toc141856217"/>
      <w:bookmarkStart w:id="3077" w:name="_Toc141862086"/>
      <w:bookmarkStart w:id="3078" w:name="_Toc141863551"/>
      <w:bookmarkStart w:id="3079" w:name="_Toc141866727"/>
      <w:bookmarkStart w:id="3080" w:name="_Toc141866851"/>
      <w:bookmarkStart w:id="3081" w:name="_Toc141868506"/>
      <w:bookmarkStart w:id="3082" w:name="_Toc142719751"/>
      <w:bookmarkStart w:id="3083" w:name="_Toc142720255"/>
      <w:bookmarkStart w:id="3084" w:name="_Toc142733109"/>
      <w:bookmarkStart w:id="3085" w:name="_Toc142794268"/>
      <w:bookmarkStart w:id="3086" w:name="_Toc142805015"/>
      <w:bookmarkStart w:id="3087" w:name="_Toc142819661"/>
      <w:bookmarkStart w:id="3088" w:name="_Toc142819778"/>
      <w:bookmarkStart w:id="3089" w:name="_Toc142886132"/>
      <w:bookmarkStart w:id="3090" w:name="_Toc142887717"/>
      <w:bookmarkStart w:id="3091" w:name="_Toc142887994"/>
      <w:bookmarkStart w:id="3092" w:name="_Toc142888818"/>
      <w:bookmarkStart w:id="3093" w:name="_Toc142889665"/>
      <w:bookmarkStart w:id="3094" w:name="_Toc143510471"/>
      <w:bookmarkStart w:id="3095" w:name="_Toc143580578"/>
      <w:bookmarkStart w:id="3096" w:name="_Toc143580725"/>
      <w:bookmarkStart w:id="3097" w:name="_Toc143580821"/>
      <w:bookmarkStart w:id="3098" w:name="_Toc143916095"/>
      <w:bookmarkStart w:id="3099" w:name="_Toc143917478"/>
      <w:bookmarkStart w:id="3100" w:name="_Toc143918674"/>
      <w:bookmarkStart w:id="3101" w:name="_Toc150596053"/>
      <w:bookmarkStart w:id="3102" w:name="_Toc150656524"/>
      <w:bookmarkStart w:id="3103" w:name="_Toc150656851"/>
      <w:bookmarkStart w:id="3104" w:name="_Toc150659083"/>
      <w:bookmarkStart w:id="3105" w:name="_Toc151544414"/>
      <w:bookmarkStart w:id="3106" w:name="_Toc151776262"/>
      <w:bookmarkStart w:id="3107" w:name="_Toc151776424"/>
      <w:bookmarkStart w:id="3108" w:name="_Toc151776669"/>
      <w:bookmarkStart w:id="3109" w:name="_Toc151778364"/>
      <w:bookmarkStart w:id="3110" w:name="_Toc156979013"/>
      <w:bookmarkStart w:id="3111" w:name="_Toc156983765"/>
      <w:bookmarkStart w:id="3112" w:name="_Toc157221624"/>
      <w:bookmarkStart w:id="3113" w:name="_Toc157221721"/>
      <w:bookmarkStart w:id="3114" w:name="_Toc157222205"/>
      <w:bookmarkStart w:id="3115" w:name="_Toc157314561"/>
      <w:bookmarkStart w:id="3116" w:name="_Toc157334726"/>
      <w:bookmarkStart w:id="3117" w:name="_Toc157334823"/>
      <w:bookmarkStart w:id="3118" w:name="_Toc157478397"/>
      <w:bookmarkStart w:id="3119" w:name="_Toc157481525"/>
      <w:bookmarkStart w:id="3120" w:name="_Toc157481753"/>
      <w:bookmarkStart w:id="3121" w:name="_Toc157486288"/>
      <w:bookmarkStart w:id="3122" w:name="_Toc157486385"/>
      <w:bookmarkStart w:id="3123" w:name="_Toc157490830"/>
      <w:bookmarkStart w:id="3124" w:name="_Toc157492066"/>
      <w:bookmarkStart w:id="3125" w:name="_Toc157496268"/>
      <w:bookmarkStart w:id="3126" w:name="_Toc157496686"/>
      <w:bookmarkStart w:id="3127" w:name="_Toc157500891"/>
      <w:bookmarkStart w:id="3128" w:name="_Toc157507641"/>
      <w:bookmarkStart w:id="3129" w:name="_Toc157833956"/>
      <w:bookmarkStart w:id="3130" w:name="_Toc157834719"/>
      <w:bookmarkStart w:id="3131" w:name="_Toc157835913"/>
      <w:bookmarkStart w:id="3132" w:name="_Toc158020362"/>
      <w:bookmarkStart w:id="3133" w:name="_Toc158024916"/>
      <w:bookmarkStart w:id="3134" w:name="_Toc158025018"/>
      <w:bookmarkStart w:id="3135" w:name="_Toc158085330"/>
      <w:bookmarkStart w:id="3136" w:name="_Toc158541199"/>
      <w:bookmarkStart w:id="3137" w:name="_Toc158541686"/>
      <w:bookmarkStart w:id="3138" w:name="_Toc161201503"/>
      <w:r>
        <w:t>Schedule 4 — Scale of costs for proceedings under Part IV of the Act</w:t>
      </w:r>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nzMiscellaneousBody"/>
        <w:jc w:val="right"/>
      </w:pPr>
      <w:r>
        <w:t>[r. 165(6)]</w:t>
      </w:r>
    </w:p>
    <w:p>
      <w:pPr>
        <w:pStyle w:val="nzHeading5"/>
      </w:pPr>
      <w:bookmarkStart w:id="3139" w:name="_Toc158541687"/>
      <w:bookmarkStart w:id="3140" w:name="_Toc161201504"/>
      <w:bookmarkStart w:id="3141" w:name="_Toc107897184"/>
      <w:r>
        <w:t>1.</w:t>
      </w:r>
      <w:r>
        <w:rPr>
          <w:b w:val="0"/>
        </w:rPr>
        <w:tab/>
      </w:r>
      <w:r>
        <w:t>Interpretation</w:t>
      </w:r>
      <w:bookmarkEnd w:id="3139"/>
      <w:bookmarkEnd w:id="3140"/>
    </w:p>
    <w:p>
      <w:pPr>
        <w:pStyle w:val="nzSubsection"/>
      </w:pPr>
      <w:r>
        <w:tab/>
      </w:r>
      <w:r>
        <w:tab/>
        <w:t xml:space="preserve">In this Schedule — </w:t>
      </w:r>
    </w:p>
    <w:p>
      <w:pPr>
        <w:pStyle w:val="nzDefstart"/>
      </w:pPr>
      <w:r>
        <w:tab/>
      </w:r>
      <w:r>
        <w:rPr>
          <w:b/>
        </w:rPr>
        <w:t>“</w:t>
      </w:r>
      <w:r>
        <w:rPr>
          <w:rStyle w:val="CharDefText"/>
        </w:rPr>
        <w:t>C</w:t>
      </w:r>
      <w:r>
        <w:rPr>
          <w:b/>
        </w:rPr>
        <w:t>”</w:t>
      </w:r>
      <w:r>
        <w:t xml:space="preserve"> stands for counsel;</w:t>
      </w:r>
    </w:p>
    <w:p>
      <w:pPr>
        <w:pStyle w:val="nzDefstart"/>
      </w:pPr>
      <w:r>
        <w:tab/>
      </w:r>
      <w:r>
        <w:rPr>
          <w:b/>
        </w:rPr>
        <w:t>“</w:t>
      </w:r>
      <w:r>
        <w:rPr>
          <w:rStyle w:val="CharDefText"/>
        </w:rPr>
        <w:t>counsel</w:t>
      </w:r>
      <w:r>
        <w:rPr>
          <w:b/>
        </w:rPr>
        <w:t>”</w:t>
      </w:r>
      <w:r>
        <w:t xml:space="preserve"> means a lawyer, other than a senior counsel, acting as a barrister;</w:t>
      </w:r>
    </w:p>
    <w:p>
      <w:pPr>
        <w:pStyle w:val="nzDefstart"/>
        <w:rPr>
          <w:bCs/>
        </w:rPr>
      </w:pPr>
      <w:r>
        <w:tab/>
      </w:r>
      <w:r>
        <w:rPr>
          <w:b/>
        </w:rPr>
        <w:t>“</w:t>
      </w:r>
      <w:r>
        <w:rPr>
          <w:rStyle w:val="CharDefText"/>
        </w:rPr>
        <w:t>junior lawyer</w:t>
      </w:r>
      <w:r>
        <w:rPr>
          <w:b/>
        </w:rPr>
        <w:t>”</w:t>
      </w:r>
      <w:r>
        <w:t xml:space="preserve"> </w:t>
      </w:r>
      <w:r>
        <w:rPr>
          <w:bCs/>
        </w:rPr>
        <w:t>means a lawyer who has been admitted for less than 5 years in any jurisdiction in Australia;</w:t>
      </w:r>
    </w:p>
    <w:p>
      <w:pPr>
        <w:pStyle w:val="nzDefstart"/>
      </w:pPr>
      <w:r>
        <w:tab/>
      </w:r>
      <w:r>
        <w:rPr>
          <w:b/>
        </w:rPr>
        <w:t>“</w:t>
      </w:r>
      <w:r>
        <w:rPr>
          <w:rStyle w:val="CharDefText"/>
        </w:rPr>
        <w:t>JL</w:t>
      </w:r>
      <w:r>
        <w:rPr>
          <w:b/>
        </w:rPr>
        <w:t>”</w:t>
      </w:r>
      <w:r>
        <w:t xml:space="preserve"> stands for junior lawyer;</w:t>
      </w:r>
    </w:p>
    <w:p>
      <w:pPr>
        <w:pStyle w:val="nzDefstart"/>
      </w:pPr>
      <w:r>
        <w:tab/>
      </w:r>
      <w:r>
        <w:rPr>
          <w:b/>
        </w:rPr>
        <w:t>“</w:t>
      </w:r>
      <w:r>
        <w:rPr>
          <w:rStyle w:val="CharDefText"/>
        </w:rPr>
        <w:t>PL</w:t>
      </w:r>
      <w:r>
        <w:rPr>
          <w:b/>
        </w:rPr>
        <w:t>”</w:t>
      </w:r>
      <w:r>
        <w:t xml:space="preserve"> stands for paralegal;</w:t>
      </w:r>
    </w:p>
    <w:p>
      <w:pPr>
        <w:pStyle w:val="nzDefstart"/>
      </w:pPr>
      <w:r>
        <w:tab/>
      </w:r>
      <w:r>
        <w:rPr>
          <w:b/>
        </w:rPr>
        <w:t>“</w:t>
      </w:r>
      <w:r>
        <w:rPr>
          <w:rStyle w:val="CharDefText"/>
        </w:rPr>
        <w:t>SC</w:t>
      </w:r>
      <w:r>
        <w:rPr>
          <w:b/>
        </w:rPr>
        <w:t>”</w:t>
      </w:r>
      <w:r>
        <w:t xml:space="preserve"> stands for senior counsel;</w:t>
      </w:r>
    </w:p>
    <w:p>
      <w:pPr>
        <w:pStyle w:val="nzDefstart"/>
      </w:pPr>
      <w:r>
        <w:tab/>
      </w:r>
      <w:r>
        <w:rPr>
          <w:b/>
        </w:rPr>
        <w:t>“</w:t>
      </w:r>
      <w:r>
        <w:rPr>
          <w:rStyle w:val="CharDefText"/>
        </w:rPr>
        <w:t>senior counsel</w:t>
      </w:r>
      <w:r>
        <w:rPr>
          <w:b/>
        </w:rPr>
        <w:t>”</w:t>
      </w:r>
      <w:r>
        <w:t xml:space="preserve"> means a lawyer who has been appointed a Senior Counsel or Queen’s Counsel in an Australian jurisdiction and whose appointment is afforded recognition by the Chief Justice of the Supreme Court of Western Australia;</w:t>
      </w:r>
    </w:p>
    <w:p>
      <w:pPr>
        <w:pStyle w:val="nzDefstart"/>
        <w:rPr>
          <w:bCs/>
        </w:rPr>
      </w:pPr>
      <w:r>
        <w:tab/>
      </w:r>
      <w:r>
        <w:rPr>
          <w:b/>
        </w:rPr>
        <w:t>“</w:t>
      </w:r>
      <w:r>
        <w:rPr>
          <w:rStyle w:val="CharDefText"/>
        </w:rPr>
        <w:t>senior lawyer</w:t>
      </w:r>
      <w:r>
        <w:rPr>
          <w:b/>
        </w:rPr>
        <w:t>”</w:t>
      </w:r>
      <w:r>
        <w:t xml:space="preserve"> </w:t>
      </w:r>
      <w:r>
        <w:rPr>
          <w:bCs/>
        </w:rPr>
        <w:t>means a lawyer who has been admitted for 5 years or more in any jurisdiction in Australia;</w:t>
      </w:r>
    </w:p>
    <w:p>
      <w:pPr>
        <w:pStyle w:val="nzDefstart"/>
      </w:pPr>
      <w:r>
        <w:tab/>
      </w:r>
      <w:r>
        <w:rPr>
          <w:b/>
        </w:rPr>
        <w:t>“</w:t>
      </w:r>
      <w:r>
        <w:rPr>
          <w:rStyle w:val="CharDefText"/>
        </w:rPr>
        <w:t>SL</w:t>
      </w:r>
      <w:r>
        <w:rPr>
          <w:b/>
        </w:rPr>
        <w:t>”</w:t>
      </w:r>
      <w:r>
        <w:t xml:space="preserve"> stands for senior lawyer.</w:t>
      </w:r>
    </w:p>
    <w:p>
      <w:pPr>
        <w:pStyle w:val="nzHeading5"/>
      </w:pPr>
      <w:bookmarkStart w:id="3142" w:name="_Toc158541688"/>
      <w:bookmarkStart w:id="3143" w:name="_Toc161201505"/>
      <w:r>
        <w:rPr>
          <w:rStyle w:val="CharSClsNo"/>
        </w:rPr>
        <w:t>2</w:t>
      </w:r>
      <w:r>
        <w:t>.</w:t>
      </w:r>
      <w:r>
        <w:tab/>
        <w:t>Hourly rates</w:t>
      </w:r>
      <w:bookmarkEnd w:id="3141"/>
      <w:bookmarkEnd w:id="3142"/>
      <w:bookmarkEnd w:id="3143"/>
    </w:p>
    <w:p>
      <w:pPr>
        <w:pStyle w:val="nz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nzMiscellaneousHeading"/>
      </w:pPr>
      <w:r>
        <w:rPr>
          <w:b/>
          <w:bCs/>
        </w:rPr>
        <w:t>Table — Hourly and daily rates</w:t>
      </w:r>
    </w:p>
    <w:p>
      <w:pPr>
        <w:pStyle w:val="nzMiscellaneousHeading"/>
      </w:pPr>
    </w:p>
    <w:tbl>
      <w:tblPr>
        <w:tblW w:w="5386" w:type="dxa"/>
        <w:tblInd w:w="1526" w:type="dxa"/>
        <w:tblLayout w:type="fixed"/>
        <w:tblLook w:val="0000" w:firstRow="0" w:lastRow="0" w:firstColumn="0" w:lastColumn="0" w:noHBand="0" w:noVBand="0"/>
      </w:tblPr>
      <w:tblGrid>
        <w:gridCol w:w="2551"/>
        <w:gridCol w:w="1418"/>
        <w:gridCol w:w="1417"/>
      </w:tblGrid>
      <w:tr>
        <w:tc>
          <w:tcPr>
            <w:tcW w:w="2551" w:type="dxa"/>
            <w:tcBorders>
              <w:top w:val="single" w:sz="4" w:space="0" w:color="auto"/>
              <w:bottom w:val="single" w:sz="4" w:space="0" w:color="auto"/>
            </w:tcBorders>
            <w:vAlign w:val="center"/>
          </w:tcPr>
          <w:p>
            <w:pPr>
              <w:pStyle w:val="nzTable"/>
            </w:pPr>
            <w:r>
              <w:rPr>
                <w:b/>
                <w:bCs/>
              </w:rPr>
              <w:t>Fee Earner</w:t>
            </w:r>
          </w:p>
        </w:tc>
        <w:tc>
          <w:tcPr>
            <w:tcW w:w="1418" w:type="dxa"/>
            <w:tcBorders>
              <w:top w:val="single" w:sz="4" w:space="0" w:color="auto"/>
              <w:bottom w:val="single" w:sz="4" w:space="0" w:color="auto"/>
            </w:tcBorders>
          </w:tcPr>
          <w:p>
            <w:pPr>
              <w:pStyle w:val="yTable"/>
              <w:jc w:val="center"/>
              <w:rPr>
                <w:b/>
                <w:bCs/>
              </w:rPr>
            </w:pPr>
          </w:p>
        </w:tc>
        <w:tc>
          <w:tcPr>
            <w:tcW w:w="1417" w:type="dxa"/>
            <w:tcBorders>
              <w:top w:val="single" w:sz="4" w:space="0" w:color="auto"/>
              <w:bottom w:val="single" w:sz="4" w:space="0" w:color="auto"/>
            </w:tcBorders>
          </w:tcPr>
          <w:p>
            <w:pPr>
              <w:pStyle w:val="nzTable"/>
            </w:pPr>
            <w:r>
              <w:rPr>
                <w:b/>
                <w:bCs/>
              </w:rPr>
              <w:t>Maximum allowable hourly rates</w:t>
            </w:r>
          </w:p>
        </w:tc>
      </w:tr>
      <w:tr>
        <w:tc>
          <w:tcPr>
            <w:tcW w:w="2551" w:type="dxa"/>
            <w:tcBorders>
              <w:top w:val="single" w:sz="4" w:space="0" w:color="auto"/>
            </w:tcBorders>
          </w:tcPr>
          <w:p>
            <w:pPr>
              <w:pStyle w:val="nzTable"/>
            </w:pPr>
            <w:r>
              <w:t>Senior Lawyer</w:t>
            </w:r>
          </w:p>
        </w:tc>
        <w:tc>
          <w:tcPr>
            <w:tcW w:w="1418" w:type="dxa"/>
            <w:tcBorders>
              <w:top w:val="single" w:sz="4" w:space="0" w:color="auto"/>
            </w:tcBorders>
          </w:tcPr>
          <w:p>
            <w:pPr>
              <w:pStyle w:val="nzTable"/>
            </w:pPr>
            <w:r>
              <w:t>hourly rate</w:t>
            </w:r>
          </w:p>
        </w:tc>
        <w:tc>
          <w:tcPr>
            <w:tcW w:w="1417" w:type="dxa"/>
            <w:tcBorders>
              <w:top w:val="single" w:sz="4" w:space="0" w:color="auto"/>
            </w:tcBorders>
          </w:tcPr>
          <w:p>
            <w:pPr>
              <w:pStyle w:val="nzTable"/>
              <w:tabs>
                <w:tab w:val="left" w:pos="265"/>
              </w:tabs>
            </w:pPr>
            <w:r>
              <w:tab/>
              <w:t>$297</w:t>
            </w:r>
          </w:p>
        </w:tc>
      </w:tr>
      <w:tr>
        <w:tc>
          <w:tcPr>
            <w:tcW w:w="2551" w:type="dxa"/>
          </w:tcPr>
          <w:p>
            <w:pPr>
              <w:pStyle w:val="nzTable"/>
            </w:pPr>
            <w:r>
              <w:t>Junior Lawyer</w:t>
            </w:r>
          </w:p>
        </w:tc>
        <w:tc>
          <w:tcPr>
            <w:tcW w:w="1418" w:type="dxa"/>
          </w:tcPr>
          <w:p>
            <w:pPr>
              <w:pStyle w:val="nzTable"/>
            </w:pPr>
            <w:r>
              <w:t>hourly rate</w:t>
            </w:r>
          </w:p>
        </w:tc>
        <w:tc>
          <w:tcPr>
            <w:tcW w:w="1417" w:type="dxa"/>
          </w:tcPr>
          <w:p>
            <w:pPr>
              <w:pStyle w:val="nzTable"/>
              <w:tabs>
                <w:tab w:val="left" w:pos="265"/>
              </w:tabs>
            </w:pPr>
            <w:r>
              <w:tab/>
              <w:t>$209</w:t>
            </w:r>
          </w:p>
        </w:tc>
      </w:tr>
      <w:tr>
        <w:tc>
          <w:tcPr>
            <w:tcW w:w="2551" w:type="dxa"/>
          </w:tcPr>
          <w:p>
            <w:pPr>
              <w:pStyle w:val="nzTable"/>
            </w:pPr>
            <w:r>
              <w:t>Clerk/Paralegal</w:t>
            </w:r>
          </w:p>
        </w:tc>
        <w:tc>
          <w:tcPr>
            <w:tcW w:w="1418" w:type="dxa"/>
          </w:tcPr>
          <w:p>
            <w:pPr>
              <w:pStyle w:val="nzTable"/>
            </w:pPr>
            <w:r>
              <w:t>hourly rate</w:t>
            </w:r>
          </w:p>
        </w:tc>
        <w:tc>
          <w:tcPr>
            <w:tcW w:w="1417" w:type="dxa"/>
          </w:tcPr>
          <w:p>
            <w:pPr>
              <w:pStyle w:val="nzTable"/>
              <w:tabs>
                <w:tab w:val="left" w:pos="265"/>
              </w:tabs>
            </w:pPr>
            <w:r>
              <w:tab/>
              <w:t>$99</w:t>
            </w:r>
          </w:p>
        </w:tc>
      </w:tr>
      <w:tr>
        <w:trPr>
          <w:cantSplit/>
        </w:trPr>
        <w:tc>
          <w:tcPr>
            <w:tcW w:w="3969" w:type="dxa"/>
            <w:gridSpan w:val="2"/>
          </w:tcPr>
          <w:p>
            <w:pPr>
              <w:pStyle w:val="nzTable"/>
            </w:pPr>
            <w:r>
              <w:rPr>
                <w:b/>
                <w:bCs/>
              </w:rPr>
              <w:t>Counsel fees charged as a disbursement</w:t>
            </w:r>
            <w:r>
              <w:rPr>
                <w:b/>
                <w:bCs/>
              </w:rPr>
              <w:br/>
              <w:t>to lawyers or charged by in</w:t>
            </w:r>
            <w:r>
              <w:rPr>
                <w:b/>
                <w:bCs/>
              </w:rPr>
              <w:noBreakHyphen/>
              <w:t>house</w:t>
            </w:r>
            <w:r>
              <w:rPr>
                <w:b/>
                <w:bCs/>
              </w:rPr>
              <w:br/>
              <w:t>Counsel:</w:t>
            </w:r>
          </w:p>
        </w:tc>
        <w:tc>
          <w:tcPr>
            <w:tcW w:w="1417" w:type="dxa"/>
          </w:tcPr>
          <w:p>
            <w:pPr>
              <w:pStyle w:val="nzTable"/>
              <w:tabs>
                <w:tab w:val="left" w:pos="265"/>
              </w:tabs>
            </w:pPr>
          </w:p>
        </w:tc>
      </w:tr>
      <w:tr>
        <w:tc>
          <w:tcPr>
            <w:tcW w:w="2551" w:type="dxa"/>
          </w:tcPr>
          <w:p>
            <w:pPr>
              <w:pStyle w:val="nzTable"/>
              <w:tabs>
                <w:tab w:val="left" w:pos="1474"/>
              </w:tabs>
            </w:pPr>
            <w:r>
              <w:t>Counsel</w:t>
            </w:r>
            <w:r>
              <w:tab/>
              <w:t>(C)</w:t>
            </w:r>
          </w:p>
        </w:tc>
        <w:tc>
          <w:tcPr>
            <w:tcW w:w="1418" w:type="dxa"/>
          </w:tcPr>
          <w:p>
            <w:pPr>
              <w:pStyle w:val="nzTable"/>
            </w:pPr>
            <w:r>
              <w:t>hourly rate</w:t>
            </w:r>
          </w:p>
          <w:p>
            <w:pPr>
              <w:pStyle w:val="nzTable"/>
            </w:pPr>
            <w:r>
              <w:t>daily rate</w:t>
            </w:r>
          </w:p>
        </w:tc>
        <w:tc>
          <w:tcPr>
            <w:tcW w:w="1417" w:type="dxa"/>
          </w:tcPr>
          <w:p>
            <w:pPr>
              <w:pStyle w:val="nzTable"/>
              <w:tabs>
                <w:tab w:val="left" w:pos="265"/>
              </w:tabs>
            </w:pPr>
            <w:r>
              <w:tab/>
              <w:t>$231</w:t>
            </w:r>
          </w:p>
          <w:p>
            <w:pPr>
              <w:pStyle w:val="nzTable"/>
              <w:tabs>
                <w:tab w:val="left" w:pos="265"/>
              </w:tabs>
            </w:pPr>
            <w:r>
              <w:tab/>
              <w:t>$1 606</w:t>
            </w:r>
          </w:p>
        </w:tc>
      </w:tr>
      <w:tr>
        <w:tc>
          <w:tcPr>
            <w:tcW w:w="2551" w:type="dxa"/>
            <w:tcBorders>
              <w:bottom w:val="single" w:sz="4" w:space="0" w:color="auto"/>
            </w:tcBorders>
          </w:tcPr>
          <w:p>
            <w:pPr>
              <w:pStyle w:val="nzTable"/>
              <w:tabs>
                <w:tab w:val="left" w:pos="1474"/>
              </w:tabs>
            </w:pPr>
            <w:r>
              <w:t>Senior Counsel</w:t>
            </w:r>
            <w:r>
              <w:tab/>
              <w:t>(SC)</w:t>
            </w:r>
          </w:p>
        </w:tc>
        <w:tc>
          <w:tcPr>
            <w:tcW w:w="1418" w:type="dxa"/>
            <w:tcBorders>
              <w:bottom w:val="single" w:sz="4" w:space="0" w:color="auto"/>
            </w:tcBorders>
          </w:tcPr>
          <w:p>
            <w:pPr>
              <w:pStyle w:val="nzTable"/>
            </w:pPr>
            <w:r>
              <w:t>hourly rate</w:t>
            </w:r>
          </w:p>
          <w:p>
            <w:pPr>
              <w:pStyle w:val="nzTable"/>
            </w:pPr>
            <w:r>
              <w:t>daily rate</w:t>
            </w:r>
          </w:p>
        </w:tc>
        <w:tc>
          <w:tcPr>
            <w:tcW w:w="1417" w:type="dxa"/>
            <w:tcBorders>
              <w:bottom w:val="single" w:sz="4" w:space="0" w:color="auto"/>
            </w:tcBorders>
          </w:tcPr>
          <w:p>
            <w:pPr>
              <w:pStyle w:val="nzTable"/>
              <w:tabs>
                <w:tab w:val="left" w:pos="265"/>
              </w:tabs>
            </w:pPr>
            <w:r>
              <w:tab/>
              <w:t>$385</w:t>
            </w:r>
          </w:p>
          <w:p>
            <w:pPr>
              <w:pStyle w:val="nzTable"/>
              <w:tabs>
                <w:tab w:val="left" w:pos="265"/>
              </w:tabs>
            </w:pPr>
            <w:r>
              <w:tab/>
              <w:t>$2 662</w:t>
            </w:r>
          </w:p>
        </w:tc>
      </w:tr>
    </w:tbl>
    <w:p>
      <w:pPr>
        <w:pStyle w:val="nzHeading5"/>
      </w:pPr>
      <w:bookmarkStart w:id="3144" w:name="_Toc107897185"/>
      <w:bookmarkStart w:id="3145" w:name="_Toc158541689"/>
      <w:bookmarkStart w:id="3146" w:name="_Toc161201506"/>
      <w:r>
        <w:rPr>
          <w:rStyle w:val="CharSClsNo"/>
        </w:rPr>
        <w:t>3</w:t>
      </w:r>
      <w:r>
        <w:t>.</w:t>
      </w:r>
      <w:r>
        <w:tab/>
        <w:t>Scale of costs</w:t>
      </w:r>
      <w:bookmarkEnd w:id="3144"/>
      <w:bookmarkEnd w:id="3145"/>
      <w:bookmarkEnd w:id="3146"/>
    </w:p>
    <w:p>
      <w:pPr>
        <w:pStyle w:val="nzSubsection"/>
      </w:pPr>
      <w:r>
        <w:tab/>
      </w:r>
      <w:r>
        <w:tab/>
        <w:t xml:space="preserve">Unless a lawyer has made a written agreement as to costs with a client under the provisions of the </w:t>
      </w:r>
      <w:r>
        <w:rPr>
          <w:i/>
        </w:rPr>
        <w:t>Legal Practice Act </w:t>
      </w:r>
      <w:r>
        <w:rPr>
          <w:i/>
          <w:iCs/>
        </w:rPr>
        <w:t>2003</w:t>
      </w:r>
      <w:r>
        <w:t xml:space="preserve"> section 221, the costs of or in relation to a party to proceedings (inclusive of GST and counsel fees but exclusive of other disbursements) — </w:t>
      </w:r>
    </w:p>
    <w:p>
      <w:pPr>
        <w:pStyle w:val="nzIndenta"/>
      </w:pPr>
      <w:r>
        <w:tab/>
        <w:t>(a)</w:t>
      </w:r>
      <w:r>
        <w:tab/>
        <w:t>recoverable from one party by another party; or</w:t>
      </w:r>
    </w:p>
    <w:p>
      <w:pPr>
        <w:pStyle w:val="nzIndenta"/>
      </w:pPr>
      <w:r>
        <w:tab/>
        <w:t>(b)</w:t>
      </w:r>
      <w:r>
        <w:tab/>
        <w:t>payable by a party to that party’s own lawyer,</w:t>
      </w:r>
    </w:p>
    <w:p>
      <w:pPr>
        <w:pStyle w:val="nzSubsection"/>
      </w:pPr>
      <w:r>
        <w:tab/>
      </w:r>
      <w:r>
        <w:tab/>
        <w:t>shall not exceed the amounts set out in the Table to this clause.</w:t>
      </w:r>
    </w:p>
    <w:p>
      <w:pPr>
        <w:pStyle w:val="nzMiscellaneousHeading"/>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nzTable"/>
              <w:keepNext/>
              <w:rPr>
                <w:sz w:val="16"/>
              </w:rPr>
            </w:pPr>
            <w:r>
              <w:rPr>
                <w:b/>
                <w:bCs/>
                <w:sz w:val="16"/>
              </w:rPr>
              <w:t>Item</w:t>
            </w:r>
          </w:p>
        </w:tc>
        <w:tc>
          <w:tcPr>
            <w:tcW w:w="2693" w:type="dxa"/>
            <w:vAlign w:val="center"/>
          </w:tcPr>
          <w:p>
            <w:pPr>
              <w:pStyle w:val="yTable"/>
              <w:keepNext/>
              <w:spacing w:before="0"/>
              <w:jc w:val="center"/>
              <w:rPr>
                <w:b/>
                <w:bCs/>
                <w:sz w:val="16"/>
              </w:rPr>
            </w:pPr>
          </w:p>
        </w:tc>
        <w:tc>
          <w:tcPr>
            <w:tcW w:w="1102" w:type="dxa"/>
            <w:vAlign w:val="center"/>
          </w:tcPr>
          <w:p>
            <w:pPr>
              <w:pStyle w:val="nzTable"/>
              <w:keepNext/>
              <w:rPr>
                <w:sz w:val="16"/>
              </w:rPr>
            </w:pPr>
            <w:r>
              <w:rPr>
                <w:b/>
                <w:bCs/>
                <w:sz w:val="16"/>
              </w:rPr>
              <w:t>Time</w:t>
            </w:r>
          </w:p>
        </w:tc>
        <w:tc>
          <w:tcPr>
            <w:tcW w:w="882" w:type="dxa"/>
            <w:vAlign w:val="center"/>
          </w:tcPr>
          <w:p>
            <w:pPr>
              <w:pStyle w:val="nzTable"/>
              <w:keepNext/>
              <w:rPr>
                <w:sz w:val="16"/>
              </w:rPr>
            </w:pPr>
            <w:r>
              <w:rPr>
                <w:b/>
                <w:bCs/>
                <w:sz w:val="16"/>
              </w:rPr>
              <w:t>Fee Earner</w:t>
            </w:r>
          </w:p>
        </w:tc>
        <w:tc>
          <w:tcPr>
            <w:tcW w:w="1418" w:type="dxa"/>
            <w:vAlign w:val="center"/>
          </w:tcPr>
          <w:p>
            <w:pPr>
              <w:pStyle w:val="nzTable"/>
              <w:keepNext/>
              <w:rPr>
                <w:sz w:val="16"/>
              </w:rPr>
            </w:pPr>
            <w:r>
              <w:rPr>
                <w:b/>
                <w:bCs/>
                <w:sz w:val="16"/>
              </w:rPr>
              <w:t>Maximum Amount</w:t>
            </w:r>
            <w:r>
              <w:rPr>
                <w:b/>
                <w:bCs/>
                <w:sz w:val="16"/>
              </w:rPr>
              <w:br/>
              <w:t>$</w:t>
            </w:r>
          </w:p>
        </w:tc>
      </w:tr>
      <w:tr>
        <w:trPr>
          <w:cantSplit/>
        </w:trPr>
        <w:tc>
          <w:tcPr>
            <w:tcW w:w="567" w:type="dxa"/>
          </w:tcPr>
          <w:p>
            <w:pPr>
              <w:pStyle w:val="nzTable"/>
              <w:rPr>
                <w:sz w:val="16"/>
              </w:rPr>
            </w:pPr>
            <w:r>
              <w:rPr>
                <w:sz w:val="16"/>
              </w:rPr>
              <w:t>1.</w:t>
            </w:r>
          </w:p>
        </w:tc>
        <w:tc>
          <w:tcPr>
            <w:tcW w:w="2693" w:type="dxa"/>
          </w:tcPr>
          <w:p>
            <w:pPr>
              <w:pStyle w:val="nzTable"/>
              <w:rPr>
                <w:sz w:val="16"/>
              </w:rPr>
            </w:pPr>
            <w:r>
              <w:rPr>
                <w:bCs/>
                <w:sz w:val="16"/>
              </w:rPr>
              <w:t>Commencing proceedings</w:t>
            </w:r>
            <w:r>
              <w:rPr>
                <w:b/>
                <w:sz w:val="16"/>
              </w:rPr>
              <w:t> </w:t>
            </w:r>
            <w:r>
              <w:rPr>
                <w:bCs/>
                <w:sz w:val="16"/>
              </w:rPr>
              <w:t>—</w:t>
            </w:r>
          </w:p>
          <w:p>
            <w:pPr>
              <w:pStyle w:val="nzTable"/>
              <w:tabs>
                <w:tab w:val="left" w:pos="327"/>
              </w:tabs>
              <w:ind w:left="327" w:hanging="327"/>
              <w:rPr>
                <w:sz w:val="16"/>
              </w:rPr>
            </w:pPr>
            <w:r>
              <w:rPr>
                <w:sz w:val="16"/>
              </w:rPr>
              <w:t>(a)</w:t>
            </w:r>
            <w:r>
              <w:rPr>
                <w:sz w:val="16"/>
              </w:rPr>
              <w:tab/>
              <w:t xml:space="preserve">Application or objection, including instructions </w:t>
            </w:r>
          </w:p>
          <w:p>
            <w:pPr>
              <w:pStyle w:val="nzTable"/>
              <w:tabs>
                <w:tab w:val="left" w:pos="327"/>
              </w:tabs>
              <w:ind w:left="327" w:hanging="327"/>
              <w:rPr>
                <w:sz w:val="16"/>
              </w:rPr>
            </w:pPr>
            <w:r>
              <w:rPr>
                <w:sz w:val="16"/>
              </w:rPr>
              <w:tab/>
              <w:t>For each additional respondent</w:t>
            </w:r>
          </w:p>
          <w:p>
            <w:pPr>
              <w:pStyle w:val="nzTable"/>
              <w:tabs>
                <w:tab w:val="left" w:pos="327"/>
              </w:tabs>
              <w:ind w:left="327" w:hanging="327"/>
              <w:rPr>
                <w:sz w:val="16"/>
              </w:rPr>
            </w:pPr>
            <w:r>
              <w:rPr>
                <w:sz w:val="16"/>
              </w:rPr>
              <w:t>(b)</w:t>
            </w:r>
            <w:r>
              <w:rPr>
                <w:sz w:val="16"/>
              </w:rPr>
              <w:tab/>
              <w:t>Particulars (including preparation and lodgment)</w:t>
            </w:r>
          </w:p>
        </w:tc>
        <w:tc>
          <w:tcPr>
            <w:tcW w:w="1102" w:type="dxa"/>
            <w:vAlign w:val="bottom"/>
          </w:tcPr>
          <w:p>
            <w:pPr>
              <w:pStyle w:val="nzTable"/>
              <w:rPr>
                <w:sz w:val="16"/>
              </w:rPr>
            </w:pPr>
            <w:r>
              <w:rPr>
                <w:sz w:val="16"/>
              </w:rPr>
              <w:t>8 hours</w:t>
            </w:r>
          </w:p>
        </w:tc>
        <w:tc>
          <w:tcPr>
            <w:tcW w:w="882" w:type="dxa"/>
            <w:vAlign w:val="bottom"/>
          </w:tcPr>
          <w:p>
            <w:pPr>
              <w:pStyle w:val="nzTable"/>
              <w:rPr>
                <w:sz w:val="16"/>
              </w:rPr>
            </w:pPr>
            <w:r>
              <w:rPr>
                <w:sz w:val="16"/>
              </w:rPr>
              <w:t>SL</w:t>
            </w:r>
          </w:p>
        </w:tc>
        <w:tc>
          <w:tcPr>
            <w:tcW w:w="1418" w:type="dxa"/>
          </w:tcPr>
          <w:p>
            <w:pPr>
              <w:pStyle w:val="nzTable"/>
              <w:rPr>
                <w:sz w:val="16"/>
              </w:rPr>
            </w:pPr>
          </w:p>
          <w:p>
            <w:pPr>
              <w:pStyle w:val="nzTable"/>
              <w:rPr>
                <w:sz w:val="16"/>
              </w:rPr>
            </w:pPr>
          </w:p>
          <w:p>
            <w:pPr>
              <w:pStyle w:val="nzTable"/>
              <w:rPr>
                <w:sz w:val="16"/>
              </w:rPr>
            </w:pPr>
            <w:r>
              <w:rPr>
                <w:sz w:val="16"/>
              </w:rPr>
              <w:t>297</w:t>
            </w:r>
          </w:p>
          <w:p>
            <w:pPr>
              <w:pStyle w:val="nzTable"/>
              <w:rPr>
                <w:i/>
                <w:iCs/>
                <w:sz w:val="16"/>
              </w:rPr>
            </w:pPr>
            <w:r>
              <w:rPr>
                <w:sz w:val="16"/>
              </w:rPr>
              <w:t>33</w:t>
            </w:r>
          </w:p>
          <w:p>
            <w:pPr>
              <w:pStyle w:val="nzTable"/>
              <w:rPr>
                <w:sz w:val="16"/>
              </w:rPr>
            </w:pPr>
          </w:p>
          <w:p>
            <w:pPr>
              <w:pStyle w:val="nzTable"/>
              <w:rPr>
                <w:sz w:val="16"/>
              </w:rPr>
            </w:pPr>
            <w:r>
              <w:rPr>
                <w:sz w:val="16"/>
              </w:rPr>
              <w:t>2 376</w:t>
            </w:r>
          </w:p>
        </w:tc>
      </w:tr>
      <w:tr>
        <w:trPr>
          <w:cantSplit/>
        </w:trPr>
        <w:tc>
          <w:tcPr>
            <w:tcW w:w="567" w:type="dxa"/>
          </w:tcPr>
          <w:p>
            <w:pPr>
              <w:pStyle w:val="nzTable"/>
              <w:rPr>
                <w:sz w:val="16"/>
              </w:rPr>
            </w:pPr>
            <w:r>
              <w:rPr>
                <w:sz w:val="16"/>
              </w:rPr>
              <w:t>2.</w:t>
            </w:r>
          </w:p>
        </w:tc>
        <w:tc>
          <w:tcPr>
            <w:tcW w:w="2693" w:type="dxa"/>
          </w:tcPr>
          <w:p>
            <w:pPr>
              <w:pStyle w:val="nzTable"/>
              <w:rPr>
                <w:sz w:val="16"/>
              </w:rPr>
            </w:pPr>
            <w:r>
              <w:rPr>
                <w:bCs/>
                <w:sz w:val="16"/>
              </w:rPr>
              <w:t>Response</w:t>
            </w:r>
            <w:r>
              <w:rPr>
                <w:b/>
                <w:sz w:val="16"/>
              </w:rPr>
              <w:t> </w:t>
            </w:r>
            <w:r>
              <w:rPr>
                <w:bCs/>
                <w:sz w:val="16"/>
              </w:rPr>
              <w:t>—</w:t>
            </w:r>
          </w:p>
          <w:p>
            <w:pPr>
              <w:pStyle w:val="nzTable"/>
              <w:tabs>
                <w:tab w:val="left" w:pos="327"/>
              </w:tabs>
              <w:ind w:left="327" w:hanging="327"/>
              <w:rPr>
                <w:sz w:val="16"/>
              </w:rPr>
            </w:pPr>
            <w:r>
              <w:rPr>
                <w:sz w:val="16"/>
              </w:rPr>
              <w:t>(a)</w:t>
            </w:r>
            <w:r>
              <w:rPr>
                <w:sz w:val="16"/>
              </w:rPr>
              <w:tab/>
              <w:t>Lodging a response</w:t>
            </w:r>
          </w:p>
          <w:p>
            <w:pPr>
              <w:pStyle w:val="nzTable"/>
              <w:tabs>
                <w:tab w:val="left" w:pos="327"/>
              </w:tabs>
              <w:ind w:left="327" w:hanging="327"/>
              <w:rPr>
                <w:sz w:val="16"/>
              </w:rPr>
            </w:pPr>
            <w:r>
              <w:rPr>
                <w:sz w:val="16"/>
              </w:rPr>
              <w:t>(b)</w:t>
            </w:r>
            <w:r>
              <w:rPr>
                <w:sz w:val="16"/>
              </w:rPr>
              <w:tab/>
              <w:t>Particulars (including preparation and lodgment)</w:t>
            </w:r>
          </w:p>
        </w:tc>
        <w:tc>
          <w:tcPr>
            <w:tcW w:w="1102" w:type="dxa"/>
          </w:tcPr>
          <w:p>
            <w:pPr>
              <w:pStyle w:val="nzTable"/>
              <w:rPr>
                <w:sz w:val="16"/>
              </w:rPr>
            </w:pPr>
            <w:r>
              <w:rPr>
                <w:sz w:val="16"/>
              </w:rPr>
              <w:br/>
            </w:r>
            <w:r>
              <w:rPr>
                <w:sz w:val="16"/>
              </w:rPr>
              <w:br/>
            </w:r>
            <w:r>
              <w:rPr>
                <w:sz w:val="16"/>
              </w:rPr>
              <w:br/>
              <w:t>8 hours</w:t>
            </w:r>
          </w:p>
        </w:tc>
        <w:tc>
          <w:tcPr>
            <w:tcW w:w="882" w:type="dxa"/>
          </w:tcPr>
          <w:p>
            <w:pPr>
              <w:pStyle w:val="nzTable"/>
              <w:rPr>
                <w:sz w:val="16"/>
              </w:rPr>
            </w:pPr>
            <w:r>
              <w:rPr>
                <w:sz w:val="16"/>
              </w:rPr>
              <w:br/>
            </w:r>
            <w:r>
              <w:rPr>
                <w:sz w:val="16"/>
              </w:rPr>
              <w:br/>
            </w:r>
            <w:r>
              <w:rPr>
                <w:sz w:val="16"/>
              </w:rPr>
              <w:br/>
              <w:t>SL</w:t>
            </w:r>
          </w:p>
        </w:tc>
        <w:tc>
          <w:tcPr>
            <w:tcW w:w="1418" w:type="dxa"/>
          </w:tcPr>
          <w:p>
            <w:pPr>
              <w:pStyle w:val="nzTable"/>
              <w:rPr>
                <w:sz w:val="16"/>
              </w:rPr>
            </w:pPr>
            <w:r>
              <w:rPr>
                <w:sz w:val="16"/>
              </w:rPr>
              <w:br/>
              <w:t>154</w:t>
            </w:r>
            <w:r>
              <w:rPr>
                <w:sz w:val="16"/>
              </w:rPr>
              <w:br/>
            </w:r>
            <w:r>
              <w:rPr>
                <w:sz w:val="16"/>
              </w:rPr>
              <w:br/>
              <w:t>2 376</w:t>
            </w:r>
          </w:p>
        </w:tc>
      </w:tr>
      <w:tr>
        <w:trPr>
          <w:cantSplit/>
        </w:trPr>
        <w:tc>
          <w:tcPr>
            <w:tcW w:w="567" w:type="dxa"/>
          </w:tcPr>
          <w:p>
            <w:pPr>
              <w:pStyle w:val="nzTable"/>
              <w:rPr>
                <w:sz w:val="16"/>
              </w:rPr>
            </w:pPr>
            <w:r>
              <w:rPr>
                <w:sz w:val="16"/>
              </w:rPr>
              <w:t>3.</w:t>
            </w:r>
          </w:p>
        </w:tc>
        <w:tc>
          <w:tcPr>
            <w:tcW w:w="2693" w:type="dxa"/>
          </w:tcPr>
          <w:p>
            <w:pPr>
              <w:pStyle w:val="nzTable"/>
              <w:rPr>
                <w:sz w:val="16"/>
              </w:rPr>
            </w:pPr>
            <w:r>
              <w:rPr>
                <w:bCs/>
                <w:sz w:val="16"/>
              </w:rPr>
              <w:t>Disclosure</w:t>
            </w:r>
            <w:r>
              <w:rPr>
                <w:b/>
                <w:sz w:val="16"/>
              </w:rPr>
              <w:t> </w:t>
            </w:r>
            <w:r>
              <w:rPr>
                <w:bCs/>
                <w:sz w:val="16"/>
              </w:rPr>
              <w:t>—</w:t>
            </w:r>
          </w:p>
          <w:p>
            <w:pPr>
              <w:pStyle w:val="nzTable"/>
              <w:rPr>
                <w:sz w:val="16"/>
              </w:rPr>
            </w:pPr>
            <w:r>
              <w:rPr>
                <w:sz w:val="16"/>
              </w:rPr>
              <w:t>Giving additional disclosure where ordered by the warden</w:t>
            </w:r>
          </w:p>
        </w:tc>
        <w:tc>
          <w:tcPr>
            <w:tcW w:w="1102" w:type="dxa"/>
            <w:vAlign w:val="bottom"/>
          </w:tcPr>
          <w:p>
            <w:pPr>
              <w:pStyle w:val="nzTable"/>
              <w:rPr>
                <w:sz w:val="16"/>
              </w:rPr>
            </w:pPr>
            <w:r>
              <w:rPr>
                <w:sz w:val="16"/>
              </w:rPr>
              <w:t>3 hours</w:t>
            </w:r>
          </w:p>
        </w:tc>
        <w:tc>
          <w:tcPr>
            <w:tcW w:w="882" w:type="dxa"/>
            <w:vAlign w:val="bottom"/>
          </w:tcPr>
          <w:p>
            <w:pPr>
              <w:pStyle w:val="nzTable"/>
              <w:rPr>
                <w:sz w:val="16"/>
              </w:rPr>
            </w:pPr>
            <w:r>
              <w:rPr>
                <w:sz w:val="16"/>
              </w:rPr>
              <w:t>JL</w:t>
            </w:r>
          </w:p>
        </w:tc>
        <w:tc>
          <w:tcPr>
            <w:tcW w:w="1418" w:type="dxa"/>
            <w:vAlign w:val="bottom"/>
          </w:tcPr>
          <w:p>
            <w:pPr>
              <w:pStyle w:val="nzTable"/>
              <w:rPr>
                <w:sz w:val="16"/>
              </w:rPr>
            </w:pPr>
            <w:r>
              <w:rPr>
                <w:sz w:val="16"/>
              </w:rPr>
              <w:t>627</w:t>
            </w:r>
          </w:p>
        </w:tc>
      </w:tr>
      <w:tr>
        <w:trPr>
          <w:cantSplit/>
        </w:trPr>
        <w:tc>
          <w:tcPr>
            <w:tcW w:w="567" w:type="dxa"/>
          </w:tcPr>
          <w:p>
            <w:pPr>
              <w:pStyle w:val="nzTable"/>
              <w:rPr>
                <w:sz w:val="16"/>
              </w:rPr>
            </w:pPr>
            <w:r>
              <w:rPr>
                <w:sz w:val="16"/>
              </w:rPr>
              <w:t>4.</w:t>
            </w:r>
          </w:p>
        </w:tc>
        <w:tc>
          <w:tcPr>
            <w:tcW w:w="2693" w:type="dxa"/>
          </w:tcPr>
          <w:p>
            <w:pPr>
              <w:pStyle w:val="nzTable"/>
              <w:rPr>
                <w:sz w:val="16"/>
              </w:rPr>
            </w:pPr>
            <w:r>
              <w:rPr>
                <w:bCs/>
                <w:sz w:val="16"/>
              </w:rPr>
              <w:t>Inspection</w:t>
            </w:r>
            <w:r>
              <w:rPr>
                <w:b/>
                <w:sz w:val="16"/>
              </w:rPr>
              <w:t> </w:t>
            </w:r>
            <w:r>
              <w:rPr>
                <w:bCs/>
                <w:sz w:val="16"/>
              </w:rPr>
              <w:t>—</w:t>
            </w:r>
          </w:p>
          <w:p>
            <w:pPr>
              <w:pStyle w:val="nzTable"/>
              <w:rPr>
                <w:sz w:val="16"/>
              </w:rPr>
            </w:pPr>
            <w:r>
              <w:rPr>
                <w:sz w:val="16"/>
              </w:rPr>
              <w:t>Inspection and giving inspection</w:t>
            </w:r>
          </w:p>
        </w:tc>
        <w:tc>
          <w:tcPr>
            <w:tcW w:w="1102" w:type="dxa"/>
            <w:vAlign w:val="bottom"/>
          </w:tcPr>
          <w:p>
            <w:pPr>
              <w:pStyle w:val="nzTable"/>
              <w:rPr>
                <w:sz w:val="16"/>
              </w:rPr>
            </w:pPr>
            <w:r>
              <w:rPr>
                <w:sz w:val="16"/>
              </w:rPr>
              <w:t>per hour</w:t>
            </w:r>
          </w:p>
        </w:tc>
        <w:tc>
          <w:tcPr>
            <w:tcW w:w="882" w:type="dxa"/>
            <w:vAlign w:val="bottom"/>
          </w:tcPr>
          <w:p>
            <w:pPr>
              <w:pStyle w:val="nzTable"/>
              <w:rPr>
                <w:sz w:val="16"/>
              </w:rPr>
            </w:pPr>
            <w:r>
              <w:rPr>
                <w:sz w:val="16"/>
              </w:rPr>
              <w:t>JL</w:t>
            </w:r>
          </w:p>
        </w:tc>
        <w:tc>
          <w:tcPr>
            <w:tcW w:w="1418" w:type="dxa"/>
            <w:vAlign w:val="bottom"/>
          </w:tcPr>
          <w:p>
            <w:pPr>
              <w:pStyle w:val="nzTable"/>
              <w:rPr>
                <w:sz w:val="16"/>
              </w:rPr>
            </w:pPr>
            <w:r>
              <w:rPr>
                <w:sz w:val="16"/>
              </w:rPr>
              <w:t>209</w:t>
            </w:r>
          </w:p>
        </w:tc>
      </w:tr>
      <w:tr>
        <w:trPr>
          <w:cantSplit/>
        </w:trPr>
        <w:tc>
          <w:tcPr>
            <w:tcW w:w="567" w:type="dxa"/>
          </w:tcPr>
          <w:p>
            <w:pPr>
              <w:pStyle w:val="nzTable"/>
              <w:rPr>
                <w:sz w:val="16"/>
              </w:rPr>
            </w:pPr>
            <w:r>
              <w:rPr>
                <w:sz w:val="16"/>
              </w:rPr>
              <w:t>5.</w:t>
            </w:r>
          </w:p>
        </w:tc>
        <w:tc>
          <w:tcPr>
            <w:tcW w:w="2693" w:type="dxa"/>
          </w:tcPr>
          <w:p>
            <w:pPr>
              <w:pStyle w:val="nzTable"/>
              <w:rPr>
                <w:sz w:val="16"/>
              </w:rPr>
            </w:pPr>
            <w:r>
              <w:rPr>
                <w:sz w:val="16"/>
              </w:rPr>
              <w:t xml:space="preserve">Interlocutory applications — </w:t>
            </w:r>
          </w:p>
          <w:p>
            <w:pPr>
              <w:pStyle w:val="nzTable"/>
              <w:rPr>
                <w:sz w:val="16"/>
              </w:rPr>
            </w:pPr>
            <w:r>
              <w:rPr>
                <w:sz w:val="16"/>
              </w:rPr>
              <w:t>Proceedings and/or responses to applications (including all documentation and preparation for hearing)</w:t>
            </w:r>
            <w:r>
              <w:rPr>
                <w:sz w:val="16"/>
              </w:rPr>
              <w:br/>
            </w:r>
          </w:p>
          <w:p>
            <w:pPr>
              <w:pStyle w:val="nzTable"/>
              <w:rPr>
                <w:sz w:val="16"/>
              </w:rPr>
            </w:pPr>
            <w:r>
              <w:rPr>
                <w:i/>
                <w:iCs/>
                <w:sz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nzTable"/>
              <w:jc w:val="center"/>
              <w:rPr>
                <w:sz w:val="16"/>
              </w:rPr>
            </w:pPr>
            <w:r>
              <w:rPr>
                <w:sz w:val="16"/>
              </w:rPr>
              <w:br/>
              <w:t>1 day preparation</w:t>
            </w:r>
            <w:r>
              <w:rPr>
                <w:sz w:val="16"/>
              </w:rPr>
              <w:br/>
              <w:t>½ day hearing</w:t>
            </w:r>
          </w:p>
        </w:tc>
        <w:tc>
          <w:tcPr>
            <w:tcW w:w="882" w:type="dxa"/>
          </w:tcPr>
          <w:p>
            <w:pPr>
              <w:pStyle w:val="nzTable"/>
              <w:rPr>
                <w:sz w:val="16"/>
              </w:rPr>
            </w:pPr>
            <w:r>
              <w:rPr>
                <w:sz w:val="16"/>
              </w:rPr>
              <w:br/>
            </w:r>
            <w:r>
              <w:rPr>
                <w:sz w:val="16"/>
              </w:rPr>
              <w:br/>
            </w:r>
            <w:r>
              <w:rPr>
                <w:sz w:val="16"/>
              </w:rPr>
              <w:br/>
            </w:r>
            <w:r>
              <w:rPr>
                <w:sz w:val="16"/>
              </w:rPr>
              <w:br/>
              <w:t>C</w:t>
            </w:r>
          </w:p>
        </w:tc>
        <w:tc>
          <w:tcPr>
            <w:tcW w:w="1418" w:type="dxa"/>
          </w:tcPr>
          <w:p>
            <w:pPr>
              <w:pStyle w:val="nzTable"/>
              <w:rPr>
                <w:sz w:val="16"/>
              </w:rPr>
            </w:pPr>
            <w:r>
              <w:rPr>
                <w:sz w:val="16"/>
              </w:rPr>
              <w:br/>
            </w:r>
            <w:r>
              <w:rPr>
                <w:sz w:val="16"/>
              </w:rPr>
              <w:br/>
            </w:r>
            <w:r>
              <w:rPr>
                <w:sz w:val="16"/>
              </w:rPr>
              <w:br/>
            </w:r>
            <w:r>
              <w:rPr>
                <w:sz w:val="16"/>
              </w:rPr>
              <w:br/>
              <w:t>2 409</w:t>
            </w:r>
          </w:p>
        </w:tc>
      </w:tr>
      <w:tr>
        <w:trPr>
          <w:cantSplit/>
        </w:trPr>
        <w:tc>
          <w:tcPr>
            <w:tcW w:w="567" w:type="dxa"/>
          </w:tcPr>
          <w:p>
            <w:pPr>
              <w:pStyle w:val="nzTable"/>
              <w:rPr>
                <w:sz w:val="16"/>
              </w:rPr>
            </w:pPr>
            <w:r>
              <w:rPr>
                <w:sz w:val="16"/>
              </w:rPr>
              <w:t>6.</w:t>
            </w:r>
          </w:p>
        </w:tc>
        <w:tc>
          <w:tcPr>
            <w:tcW w:w="2693" w:type="dxa"/>
          </w:tcPr>
          <w:p>
            <w:pPr>
              <w:pStyle w:val="nzTable"/>
              <w:rPr>
                <w:sz w:val="16"/>
              </w:rPr>
            </w:pPr>
            <w:r>
              <w:rPr>
                <w:sz w:val="16"/>
              </w:rPr>
              <w:t>Applications and attendances before the warden</w:t>
            </w:r>
          </w:p>
        </w:tc>
        <w:tc>
          <w:tcPr>
            <w:tcW w:w="1102" w:type="dxa"/>
            <w:vAlign w:val="bottom"/>
          </w:tcPr>
          <w:p>
            <w:pPr>
              <w:pStyle w:val="nzTable"/>
              <w:rPr>
                <w:sz w:val="16"/>
              </w:rPr>
            </w:pPr>
            <w:r>
              <w:rPr>
                <w:sz w:val="16"/>
              </w:rPr>
              <w:t>1 hour</w:t>
            </w:r>
          </w:p>
        </w:tc>
        <w:tc>
          <w:tcPr>
            <w:tcW w:w="882" w:type="dxa"/>
            <w:vAlign w:val="bottom"/>
          </w:tcPr>
          <w:p>
            <w:pPr>
              <w:pStyle w:val="nzTable"/>
              <w:rPr>
                <w:sz w:val="16"/>
              </w:rPr>
            </w:pPr>
            <w:r>
              <w:rPr>
                <w:sz w:val="16"/>
              </w:rPr>
              <w:t>SL</w:t>
            </w:r>
          </w:p>
        </w:tc>
        <w:tc>
          <w:tcPr>
            <w:tcW w:w="1418" w:type="dxa"/>
            <w:vAlign w:val="bottom"/>
          </w:tcPr>
          <w:p>
            <w:pPr>
              <w:pStyle w:val="nzTable"/>
              <w:rPr>
                <w:sz w:val="16"/>
              </w:rPr>
            </w:pPr>
            <w:r>
              <w:rPr>
                <w:sz w:val="16"/>
              </w:rPr>
              <w:t>297</w:t>
            </w:r>
          </w:p>
        </w:tc>
      </w:tr>
      <w:tr>
        <w:trPr>
          <w:cantSplit/>
        </w:trPr>
        <w:tc>
          <w:tcPr>
            <w:tcW w:w="567" w:type="dxa"/>
            <w:tcBorders>
              <w:bottom w:val="nil"/>
            </w:tcBorders>
          </w:tcPr>
          <w:p>
            <w:pPr>
              <w:pStyle w:val="nzTable"/>
              <w:rPr>
                <w:sz w:val="16"/>
              </w:rPr>
            </w:pPr>
            <w:r>
              <w:rPr>
                <w:sz w:val="16"/>
              </w:rPr>
              <w:t>7.</w:t>
            </w:r>
          </w:p>
        </w:tc>
        <w:tc>
          <w:tcPr>
            <w:tcW w:w="2693" w:type="dxa"/>
            <w:tcBorders>
              <w:bottom w:val="nil"/>
            </w:tcBorders>
          </w:tcPr>
          <w:p>
            <w:pPr>
              <w:pStyle w:val="nzTable"/>
              <w:rPr>
                <w:sz w:val="16"/>
              </w:rPr>
            </w:pPr>
            <w:r>
              <w:rPr>
                <w:bCs/>
                <w:sz w:val="16"/>
              </w:rPr>
              <w:t>Offers of settlement, notices, practice directions, applications, declarations, memoranda, affidavits —</w:t>
            </w:r>
          </w:p>
          <w:p>
            <w:pPr>
              <w:pStyle w:val="nzTable"/>
              <w:tabs>
                <w:tab w:val="left" w:pos="327"/>
              </w:tabs>
              <w:ind w:left="327" w:hanging="327"/>
              <w:rPr>
                <w:sz w:val="16"/>
              </w:rPr>
            </w:pPr>
            <w:r>
              <w:rPr>
                <w:sz w:val="16"/>
              </w:rPr>
              <w:t>(a)</w:t>
            </w:r>
            <w:r>
              <w:rPr>
                <w:sz w:val="16"/>
              </w:rPr>
              <w:tab/>
              <w:t>Offers of settlement</w:t>
            </w:r>
          </w:p>
          <w:p>
            <w:pPr>
              <w:pStyle w:val="nzTable"/>
              <w:tabs>
                <w:tab w:val="left" w:pos="327"/>
              </w:tabs>
              <w:ind w:left="327" w:hanging="327"/>
              <w:rPr>
                <w:sz w:val="16"/>
              </w:rPr>
            </w:pPr>
            <w:r>
              <w:rPr>
                <w:sz w:val="16"/>
              </w:rPr>
              <w:t>(b)</w:t>
            </w:r>
            <w:r>
              <w:rPr>
                <w:sz w:val="16"/>
              </w:rPr>
              <w:tab/>
              <w:t>Acceptance of offer of settlement</w:t>
            </w:r>
          </w:p>
        </w:tc>
        <w:tc>
          <w:tcPr>
            <w:tcW w:w="1102" w:type="dxa"/>
            <w:tcBorders>
              <w:bottom w:val="nil"/>
            </w:tcBorders>
          </w:tcPr>
          <w:p>
            <w:pPr>
              <w:pStyle w:val="nzTable"/>
              <w:rPr>
                <w:sz w:val="16"/>
              </w:rPr>
            </w:pPr>
            <w:r>
              <w:rPr>
                <w:sz w:val="16"/>
              </w:rPr>
              <w:br/>
            </w:r>
            <w:r>
              <w:rPr>
                <w:sz w:val="16"/>
              </w:rPr>
              <w:br/>
            </w:r>
            <w:r>
              <w:rPr>
                <w:sz w:val="16"/>
              </w:rPr>
              <w:br/>
              <w:t>2 hours</w:t>
            </w:r>
            <w:r>
              <w:rPr>
                <w:sz w:val="16"/>
              </w:rPr>
              <w:br/>
            </w:r>
            <w:r>
              <w:rPr>
                <w:sz w:val="16"/>
              </w:rPr>
              <w:br/>
              <w:t>2 hours</w:t>
            </w:r>
          </w:p>
        </w:tc>
        <w:tc>
          <w:tcPr>
            <w:tcW w:w="882" w:type="dxa"/>
            <w:tcBorders>
              <w:bottom w:val="nil"/>
            </w:tcBorders>
          </w:tcPr>
          <w:p>
            <w:pPr>
              <w:pStyle w:val="nzTable"/>
              <w:rPr>
                <w:sz w:val="16"/>
              </w:rPr>
            </w:pPr>
            <w:r>
              <w:rPr>
                <w:sz w:val="16"/>
              </w:rPr>
              <w:br/>
            </w:r>
            <w:r>
              <w:rPr>
                <w:sz w:val="16"/>
              </w:rPr>
              <w:br/>
            </w:r>
            <w:r>
              <w:rPr>
                <w:sz w:val="16"/>
              </w:rPr>
              <w:br/>
              <w:t>SL</w:t>
            </w:r>
            <w:r>
              <w:rPr>
                <w:sz w:val="16"/>
              </w:rPr>
              <w:br/>
            </w:r>
            <w:r>
              <w:rPr>
                <w:sz w:val="16"/>
              </w:rPr>
              <w:br/>
              <w:t>SL</w:t>
            </w:r>
          </w:p>
        </w:tc>
        <w:tc>
          <w:tcPr>
            <w:tcW w:w="1418" w:type="dxa"/>
            <w:tcBorders>
              <w:bottom w:val="nil"/>
            </w:tcBorders>
          </w:tcPr>
          <w:p>
            <w:pPr>
              <w:pStyle w:val="nzTable"/>
              <w:rPr>
                <w:sz w:val="16"/>
              </w:rPr>
            </w:pPr>
            <w:r>
              <w:rPr>
                <w:sz w:val="16"/>
              </w:rPr>
              <w:br/>
            </w:r>
            <w:r>
              <w:rPr>
                <w:sz w:val="16"/>
              </w:rPr>
              <w:br/>
            </w:r>
            <w:r>
              <w:rPr>
                <w:sz w:val="16"/>
              </w:rPr>
              <w:br/>
              <w:t>594</w:t>
            </w:r>
            <w:r>
              <w:rPr>
                <w:sz w:val="16"/>
              </w:rPr>
              <w:br/>
            </w:r>
            <w:r>
              <w:rPr>
                <w:sz w:val="16"/>
              </w:rPr>
              <w:br/>
              <w:t>594</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nzTable"/>
              <w:tabs>
                <w:tab w:val="left" w:pos="327"/>
              </w:tabs>
              <w:ind w:left="327" w:hanging="327"/>
              <w:rPr>
                <w:sz w:val="16"/>
              </w:rPr>
            </w:pPr>
            <w:r>
              <w:rPr>
                <w:sz w:val="16"/>
              </w:rPr>
              <w:t>(c)</w:t>
            </w:r>
            <w:r>
              <w:rPr>
                <w:sz w:val="16"/>
              </w:rPr>
              <w:tab/>
              <w:t>Other notices referred to or required by regulations or practice directions not otherwise specified in this scale</w:t>
            </w:r>
          </w:p>
          <w:p>
            <w:pPr>
              <w:pStyle w:val="nzTable"/>
              <w:tabs>
                <w:tab w:val="left" w:pos="327"/>
              </w:tabs>
              <w:ind w:left="327" w:hanging="327"/>
              <w:rPr>
                <w:bCs/>
                <w:sz w:val="16"/>
              </w:rPr>
            </w:pPr>
            <w:r>
              <w:rPr>
                <w:sz w:val="16"/>
              </w:rPr>
              <w:t>(d)</w:t>
            </w:r>
            <w:r>
              <w:rPr>
                <w:sz w:val="16"/>
              </w:rPr>
              <w:tab/>
              <w:t>Preparation lodging and service of affidavits and statutory declarations not otherwise provided for</w:t>
            </w:r>
          </w:p>
        </w:tc>
        <w:tc>
          <w:tcPr>
            <w:tcW w:w="1102" w:type="dxa"/>
            <w:tcBorders>
              <w:top w:val="nil"/>
              <w:bottom w:val="nil"/>
            </w:tcBorders>
          </w:tcPr>
          <w:p>
            <w:pPr>
              <w:pStyle w:val="nzTable"/>
              <w:rPr>
                <w:sz w:val="16"/>
              </w:rPr>
            </w:pPr>
            <w:r>
              <w:rPr>
                <w:sz w:val="16"/>
              </w:rPr>
              <w:br/>
            </w: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nzTable"/>
              <w:rPr>
                <w:sz w:val="16"/>
              </w:rPr>
            </w:pPr>
            <w:r>
              <w:rPr>
                <w:sz w:val="16"/>
              </w:rPr>
              <w:br/>
            </w:r>
            <w:r>
              <w:rPr>
                <w:sz w:val="16"/>
              </w:rPr>
              <w:br/>
            </w:r>
            <w:r>
              <w:rPr>
                <w:sz w:val="16"/>
              </w:rPr>
              <w:br/>
            </w:r>
            <w:r>
              <w:rPr>
                <w:sz w:val="16"/>
              </w:rPr>
              <w:br/>
            </w:r>
            <w:r>
              <w:rPr>
                <w:sz w:val="16"/>
              </w:rPr>
              <w:br/>
            </w:r>
            <w:r>
              <w:rPr>
                <w:sz w:val="16"/>
              </w:rPr>
              <w:br/>
            </w:r>
            <w:r>
              <w:rPr>
                <w:sz w:val="16"/>
              </w:rPr>
              <w:br/>
              <w:t>SL</w:t>
            </w:r>
          </w:p>
        </w:tc>
        <w:tc>
          <w:tcPr>
            <w:tcW w:w="1418" w:type="dxa"/>
            <w:tcBorders>
              <w:top w:val="nil"/>
              <w:bottom w:val="nil"/>
            </w:tcBorders>
          </w:tcPr>
          <w:p>
            <w:pPr>
              <w:pStyle w:val="nzTable"/>
              <w:rPr>
                <w:sz w:val="16"/>
              </w:rPr>
            </w:pPr>
            <w:r>
              <w:rPr>
                <w:sz w:val="16"/>
              </w:rPr>
              <w:br/>
            </w:r>
            <w:r>
              <w:rPr>
                <w:sz w:val="16"/>
              </w:rPr>
              <w:br/>
            </w:r>
            <w:r>
              <w:rPr>
                <w:sz w:val="16"/>
              </w:rPr>
              <w:br/>
              <w:t>99</w:t>
            </w:r>
            <w:r>
              <w:rPr>
                <w:sz w:val="16"/>
              </w:rPr>
              <w:br/>
            </w:r>
            <w:r>
              <w:rPr>
                <w:sz w:val="16"/>
              </w:rPr>
              <w:br/>
            </w:r>
            <w:r>
              <w:rPr>
                <w:sz w:val="16"/>
              </w:rPr>
              <w:br/>
            </w:r>
            <w:r>
              <w:rPr>
                <w:sz w:val="16"/>
              </w:rPr>
              <w:br/>
              <w:t>297</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nzTable"/>
              <w:rPr>
                <w:sz w:val="16"/>
              </w:rPr>
            </w:pPr>
            <w:r>
              <w:rPr>
                <w:sz w:val="16"/>
              </w:rPr>
              <w:t>(e)</w:t>
            </w:r>
            <w:r>
              <w:rPr>
                <w:sz w:val="16"/>
              </w:rPr>
              <w:tab/>
              <w:t>Drawing and serving of interlocutory orders (where ordered or required)</w:t>
            </w:r>
          </w:p>
        </w:tc>
        <w:tc>
          <w:tcPr>
            <w:tcW w:w="1102" w:type="dxa"/>
            <w:tcBorders>
              <w:top w:val="nil"/>
              <w:bottom w:val="nil"/>
            </w:tcBorders>
          </w:tcPr>
          <w:p>
            <w:pPr>
              <w:pStyle w:val="nzTable"/>
              <w:rPr>
                <w:sz w:val="16"/>
              </w:rPr>
            </w:pPr>
            <w:r>
              <w:rPr>
                <w:sz w:val="16"/>
              </w:rPr>
              <w:br/>
            </w:r>
            <w:r>
              <w:rPr>
                <w:sz w:val="16"/>
              </w:rPr>
              <w:br/>
              <w:t>2 hours</w:t>
            </w:r>
          </w:p>
        </w:tc>
        <w:tc>
          <w:tcPr>
            <w:tcW w:w="882" w:type="dxa"/>
            <w:tcBorders>
              <w:top w:val="nil"/>
              <w:bottom w:val="nil"/>
            </w:tcBorders>
          </w:tcPr>
          <w:p>
            <w:pPr>
              <w:pStyle w:val="nzTable"/>
              <w:rPr>
                <w:sz w:val="16"/>
              </w:rPr>
            </w:pPr>
            <w:r>
              <w:rPr>
                <w:sz w:val="16"/>
              </w:rPr>
              <w:br/>
            </w:r>
            <w:r>
              <w:rPr>
                <w:sz w:val="16"/>
              </w:rPr>
              <w:br/>
              <w:t>JL</w:t>
            </w:r>
          </w:p>
        </w:tc>
        <w:tc>
          <w:tcPr>
            <w:tcW w:w="1418" w:type="dxa"/>
            <w:tcBorders>
              <w:top w:val="nil"/>
              <w:bottom w:val="nil"/>
            </w:tcBorders>
          </w:tcPr>
          <w:p>
            <w:pPr>
              <w:pStyle w:val="nzTable"/>
              <w:rPr>
                <w:sz w:val="16"/>
              </w:rPr>
            </w:pPr>
            <w:r>
              <w:rPr>
                <w:sz w:val="16"/>
              </w:rPr>
              <w:br/>
            </w:r>
            <w:r>
              <w:rPr>
                <w:sz w:val="16"/>
              </w:rPr>
              <w:br/>
              <w:t>418</w:t>
            </w:r>
          </w:p>
        </w:tc>
      </w:tr>
      <w:tr>
        <w:trPr>
          <w:cantSplit/>
        </w:trPr>
        <w:tc>
          <w:tcPr>
            <w:tcW w:w="567" w:type="dxa"/>
          </w:tcPr>
          <w:p>
            <w:pPr>
              <w:pStyle w:val="nzTable"/>
              <w:rPr>
                <w:sz w:val="16"/>
              </w:rPr>
            </w:pPr>
            <w:r>
              <w:rPr>
                <w:sz w:val="16"/>
              </w:rPr>
              <w:t>8.</w:t>
            </w:r>
          </w:p>
        </w:tc>
        <w:tc>
          <w:tcPr>
            <w:tcW w:w="2693" w:type="dxa"/>
          </w:tcPr>
          <w:p>
            <w:pPr>
              <w:pStyle w:val="nzTable"/>
              <w:rPr>
                <w:sz w:val="16"/>
              </w:rPr>
            </w:pPr>
            <w:r>
              <w:rPr>
                <w:bCs/>
                <w:sz w:val="16"/>
              </w:rPr>
              <w:t>Getting up —</w:t>
            </w:r>
          </w:p>
          <w:p>
            <w:pPr>
              <w:pStyle w:val="nzTable"/>
              <w:rPr>
                <w:sz w:val="16"/>
              </w:rPr>
            </w:pPr>
            <w:r>
              <w:rPr>
                <w:sz w:val="16"/>
              </w:rPr>
              <w:t>Preparation for hearing (includes work reasonably and necessarily undertaken prior to commencement of proceedings)</w:t>
            </w:r>
          </w:p>
        </w:tc>
        <w:tc>
          <w:tcPr>
            <w:tcW w:w="1102" w:type="dxa"/>
            <w:vAlign w:val="bottom"/>
          </w:tcPr>
          <w:p>
            <w:pPr>
              <w:pStyle w:val="nzTable"/>
              <w:rPr>
                <w:sz w:val="16"/>
              </w:rPr>
            </w:pPr>
            <w:r>
              <w:rPr>
                <w:sz w:val="16"/>
              </w:rPr>
              <w:t>50 hours</w:t>
            </w:r>
          </w:p>
        </w:tc>
        <w:tc>
          <w:tcPr>
            <w:tcW w:w="882" w:type="dxa"/>
            <w:vAlign w:val="bottom"/>
          </w:tcPr>
          <w:p>
            <w:pPr>
              <w:pStyle w:val="nzTable"/>
              <w:rPr>
                <w:sz w:val="16"/>
              </w:rPr>
            </w:pPr>
            <w:r>
              <w:rPr>
                <w:sz w:val="16"/>
              </w:rPr>
              <w:t>SL</w:t>
            </w:r>
          </w:p>
        </w:tc>
        <w:tc>
          <w:tcPr>
            <w:tcW w:w="1418" w:type="dxa"/>
            <w:vAlign w:val="bottom"/>
          </w:tcPr>
          <w:p>
            <w:pPr>
              <w:pStyle w:val="nzTable"/>
              <w:rPr>
                <w:sz w:val="16"/>
              </w:rPr>
            </w:pPr>
            <w:r>
              <w:rPr>
                <w:sz w:val="16"/>
              </w:rPr>
              <w:t>14 850</w:t>
            </w:r>
          </w:p>
        </w:tc>
      </w:tr>
      <w:tr>
        <w:trPr>
          <w:cantSplit/>
        </w:trPr>
        <w:tc>
          <w:tcPr>
            <w:tcW w:w="567" w:type="dxa"/>
            <w:tcBorders>
              <w:bottom w:val="nil"/>
            </w:tcBorders>
          </w:tcPr>
          <w:p>
            <w:pPr>
              <w:pStyle w:val="nzTable"/>
              <w:rPr>
                <w:sz w:val="16"/>
              </w:rPr>
            </w:pPr>
            <w:r>
              <w:rPr>
                <w:sz w:val="16"/>
              </w:rPr>
              <w:t>9.</w:t>
            </w:r>
          </w:p>
        </w:tc>
        <w:tc>
          <w:tcPr>
            <w:tcW w:w="2693" w:type="dxa"/>
            <w:tcBorders>
              <w:bottom w:val="nil"/>
            </w:tcBorders>
          </w:tcPr>
          <w:p>
            <w:pPr>
              <w:pStyle w:val="nzTable"/>
              <w:rPr>
                <w:sz w:val="16"/>
              </w:rPr>
            </w:pPr>
            <w:r>
              <w:rPr>
                <w:bCs/>
                <w:sz w:val="16"/>
              </w:rPr>
              <w:t>Hearing —</w:t>
            </w:r>
          </w:p>
          <w:p>
            <w:pPr>
              <w:pStyle w:val="nzTable"/>
              <w:tabs>
                <w:tab w:val="left" w:pos="327"/>
              </w:tabs>
              <w:ind w:left="327" w:hanging="327"/>
              <w:rPr>
                <w:sz w:val="16"/>
              </w:rPr>
            </w:pPr>
            <w:r>
              <w:rPr>
                <w:sz w:val="16"/>
              </w:rPr>
              <w:t>(a)</w:t>
            </w:r>
            <w:r>
              <w:rPr>
                <w:sz w:val="16"/>
              </w:rPr>
              <w:tab/>
              <w:t>Fee on brief for Counsel i.e. first day of hearing and preparation</w:t>
            </w:r>
          </w:p>
        </w:tc>
        <w:tc>
          <w:tcPr>
            <w:tcW w:w="1102" w:type="dxa"/>
            <w:tcBorders>
              <w:bottom w:val="nil"/>
            </w:tcBorders>
          </w:tcPr>
          <w:p>
            <w:pPr>
              <w:pStyle w:val="nzTable"/>
              <w:jc w:val="center"/>
              <w:rPr>
                <w:sz w:val="16"/>
              </w:rPr>
            </w:pPr>
            <w:r>
              <w:rPr>
                <w:sz w:val="16"/>
              </w:rPr>
              <w:br/>
              <w:t>2 days preparation 1st day of trial</w:t>
            </w:r>
          </w:p>
        </w:tc>
        <w:tc>
          <w:tcPr>
            <w:tcW w:w="882" w:type="dxa"/>
            <w:tcBorders>
              <w:bottom w:val="nil"/>
            </w:tcBorders>
          </w:tcPr>
          <w:p>
            <w:pPr>
              <w:pStyle w:val="nzTable"/>
              <w:rPr>
                <w:sz w:val="16"/>
              </w:rPr>
            </w:pPr>
            <w:r>
              <w:rPr>
                <w:sz w:val="16"/>
              </w:rPr>
              <w:br/>
            </w:r>
            <w:r>
              <w:rPr>
                <w:sz w:val="16"/>
              </w:rPr>
              <w:br/>
              <w:t>C</w:t>
            </w:r>
          </w:p>
        </w:tc>
        <w:tc>
          <w:tcPr>
            <w:tcW w:w="1418" w:type="dxa"/>
            <w:tcBorders>
              <w:bottom w:val="nil"/>
            </w:tcBorders>
          </w:tcPr>
          <w:p>
            <w:pPr>
              <w:pStyle w:val="nzTable"/>
              <w:rPr>
                <w:sz w:val="16"/>
              </w:rPr>
            </w:pPr>
            <w:r>
              <w:rPr>
                <w:sz w:val="16"/>
              </w:rPr>
              <w:br/>
            </w:r>
            <w:r>
              <w:rPr>
                <w:sz w:val="16"/>
              </w:rPr>
              <w:br/>
              <w:t>4 818</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nzTable"/>
              <w:tabs>
                <w:tab w:val="left" w:pos="327"/>
              </w:tabs>
              <w:ind w:left="327" w:hanging="327"/>
              <w:rPr>
                <w:sz w:val="16"/>
              </w:rPr>
            </w:pPr>
            <w:r>
              <w:rPr>
                <w:sz w:val="16"/>
              </w:rPr>
              <w:t>(b)</w:t>
            </w:r>
            <w:r>
              <w:rPr>
                <w:sz w:val="16"/>
              </w:rPr>
              <w:tab/>
              <w:t>Fee on brief for Senior Counsel i.e. first day of hearing and preparation (where 2 or more Counsel are certified for)</w:t>
            </w:r>
          </w:p>
          <w:p>
            <w:pPr>
              <w:pStyle w:val="nzTable"/>
              <w:tabs>
                <w:tab w:val="left" w:pos="327"/>
              </w:tabs>
              <w:ind w:left="327" w:hanging="327"/>
              <w:rPr>
                <w:sz w:val="16"/>
              </w:rPr>
            </w:pPr>
            <w:r>
              <w:rPr>
                <w:sz w:val="16"/>
              </w:rPr>
              <w:t>(c)</w:t>
            </w:r>
            <w:r>
              <w:rPr>
                <w:sz w:val="16"/>
              </w:rPr>
              <w:tab/>
              <w:t>Counsel fee for the second and each successive day of hearing</w:t>
            </w:r>
          </w:p>
        </w:tc>
        <w:tc>
          <w:tcPr>
            <w:tcW w:w="1102" w:type="dxa"/>
            <w:tcBorders>
              <w:top w:val="nil"/>
              <w:bottom w:val="nil"/>
            </w:tcBorders>
          </w:tcPr>
          <w:p>
            <w:pPr>
              <w:pStyle w:val="nzTable"/>
              <w:jc w:val="center"/>
              <w:rPr>
                <w:sz w:val="16"/>
              </w:rPr>
            </w:pPr>
            <w:r>
              <w:rPr>
                <w:sz w:val="16"/>
              </w:rPr>
              <w:t>2 days preparation 1st day of trial</w:t>
            </w:r>
          </w:p>
        </w:tc>
        <w:tc>
          <w:tcPr>
            <w:tcW w:w="882" w:type="dxa"/>
            <w:tcBorders>
              <w:top w:val="nil"/>
              <w:bottom w:val="nil"/>
            </w:tcBorders>
          </w:tcPr>
          <w:p>
            <w:pPr>
              <w:pStyle w:val="nzTable"/>
              <w:rPr>
                <w:sz w:val="16"/>
              </w:rPr>
            </w:pPr>
            <w:r>
              <w:rPr>
                <w:sz w:val="16"/>
              </w:rPr>
              <w:br/>
            </w:r>
            <w:r>
              <w:rPr>
                <w:sz w:val="16"/>
              </w:rPr>
              <w:br/>
            </w:r>
            <w:r>
              <w:rPr>
                <w:sz w:val="16"/>
              </w:rPr>
              <w:br/>
              <w:t>SC</w:t>
            </w:r>
            <w:r>
              <w:rPr>
                <w:sz w:val="16"/>
              </w:rPr>
              <w:br/>
            </w:r>
            <w:r>
              <w:rPr>
                <w:sz w:val="16"/>
              </w:rPr>
              <w:br/>
              <w:t>C</w:t>
            </w:r>
          </w:p>
        </w:tc>
        <w:tc>
          <w:tcPr>
            <w:tcW w:w="1418" w:type="dxa"/>
            <w:tcBorders>
              <w:top w:val="nil"/>
              <w:bottom w:val="nil"/>
            </w:tcBorders>
          </w:tcPr>
          <w:p>
            <w:pPr>
              <w:pStyle w:val="nzTable"/>
              <w:rPr>
                <w:sz w:val="16"/>
              </w:rPr>
            </w:pPr>
            <w:r>
              <w:rPr>
                <w:sz w:val="16"/>
              </w:rPr>
              <w:br/>
            </w:r>
            <w:r>
              <w:rPr>
                <w:sz w:val="16"/>
              </w:rPr>
              <w:br/>
            </w:r>
            <w:r>
              <w:rPr>
                <w:sz w:val="16"/>
              </w:rPr>
              <w:br/>
              <w:t>7 986</w:t>
            </w:r>
            <w:r>
              <w:rPr>
                <w:sz w:val="16"/>
              </w:rPr>
              <w:br/>
            </w:r>
            <w:r>
              <w:rPr>
                <w:sz w:val="16"/>
              </w:rPr>
              <w:br/>
              <w:t>1 606</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nzTable"/>
              <w:tabs>
                <w:tab w:val="left" w:pos="327"/>
              </w:tabs>
              <w:ind w:left="327" w:hanging="327"/>
              <w:rPr>
                <w:sz w:val="16"/>
              </w:rPr>
            </w:pPr>
            <w:r>
              <w:rPr>
                <w:sz w:val="16"/>
              </w:rPr>
              <w:t>(d)</w:t>
            </w:r>
            <w:r>
              <w:rPr>
                <w:sz w:val="16"/>
              </w:rPr>
              <w:tab/>
              <w:t>Counsel fee for Senior Counsel for second and each successive day of hearing (where 2 or more Counsel are certified for)</w:t>
            </w:r>
          </w:p>
          <w:p>
            <w:pPr>
              <w:pStyle w:val="nzTable"/>
              <w:tabs>
                <w:tab w:val="left" w:pos="327"/>
              </w:tabs>
              <w:ind w:left="327" w:hanging="327"/>
              <w:rPr>
                <w:sz w:val="16"/>
              </w:rPr>
            </w:pPr>
            <w:r>
              <w:rPr>
                <w:sz w:val="16"/>
              </w:rPr>
              <w:t>(e)</w:t>
            </w:r>
            <w:r>
              <w:rPr>
                <w:sz w:val="16"/>
              </w:rPr>
              <w:tab/>
              <w:t>Instructing lawyer attending hearing, where certified for</w:t>
            </w:r>
          </w:p>
          <w:p>
            <w:pPr>
              <w:pStyle w:val="nzTable"/>
              <w:tabs>
                <w:tab w:val="left" w:pos="327"/>
              </w:tabs>
              <w:ind w:left="327" w:hanging="327"/>
              <w:rPr>
                <w:sz w:val="16"/>
              </w:rPr>
            </w:pPr>
            <w:r>
              <w:rPr>
                <w:sz w:val="16"/>
              </w:rPr>
              <w:t>(f)</w:t>
            </w:r>
            <w:r>
              <w:rPr>
                <w:sz w:val="16"/>
              </w:rPr>
              <w:tab/>
              <w:t>Clerk attending hearing</w:t>
            </w:r>
          </w:p>
        </w:tc>
        <w:tc>
          <w:tcPr>
            <w:tcW w:w="1102" w:type="dxa"/>
            <w:tcBorders>
              <w:top w:val="nil"/>
              <w:bottom w:val="nil"/>
            </w:tcBorders>
          </w:tcPr>
          <w:p>
            <w:pPr>
              <w:pStyle w:val="nzTable"/>
              <w:rPr>
                <w:sz w:val="16"/>
              </w:rPr>
            </w:pPr>
            <w:r>
              <w:rPr>
                <w:sz w:val="16"/>
              </w:rPr>
              <w:br/>
            </w:r>
            <w:r>
              <w:rPr>
                <w:sz w:val="16"/>
              </w:rPr>
              <w:br/>
            </w:r>
            <w:r>
              <w:rPr>
                <w:sz w:val="16"/>
              </w:rPr>
              <w:br/>
            </w:r>
            <w:r>
              <w:rPr>
                <w:sz w:val="16"/>
              </w:rPr>
              <w:br/>
            </w:r>
            <w:r>
              <w:rPr>
                <w:sz w:val="16"/>
              </w:rPr>
              <w:br/>
            </w:r>
            <w:r>
              <w:rPr>
                <w:sz w:val="16"/>
              </w:rPr>
              <w:br/>
              <w:t>per hour</w:t>
            </w:r>
          </w:p>
        </w:tc>
        <w:tc>
          <w:tcPr>
            <w:tcW w:w="882" w:type="dxa"/>
            <w:tcBorders>
              <w:top w:val="nil"/>
              <w:bottom w:val="nil"/>
            </w:tcBorders>
          </w:tcPr>
          <w:p>
            <w:pPr>
              <w:pStyle w:val="nzTable"/>
              <w:rPr>
                <w:sz w:val="16"/>
              </w:rPr>
            </w:pPr>
            <w:r>
              <w:rPr>
                <w:sz w:val="16"/>
              </w:rPr>
              <w:br/>
            </w:r>
            <w:r>
              <w:rPr>
                <w:sz w:val="16"/>
              </w:rPr>
              <w:br/>
            </w:r>
            <w:r>
              <w:rPr>
                <w:sz w:val="16"/>
              </w:rPr>
              <w:br/>
              <w:t>SC</w:t>
            </w:r>
            <w:r>
              <w:rPr>
                <w:sz w:val="16"/>
              </w:rPr>
              <w:br/>
            </w:r>
            <w:r>
              <w:rPr>
                <w:sz w:val="16"/>
              </w:rPr>
              <w:br/>
            </w:r>
            <w:r>
              <w:rPr>
                <w:sz w:val="16"/>
              </w:rPr>
              <w:br/>
              <w:t>JL</w:t>
            </w:r>
          </w:p>
        </w:tc>
        <w:tc>
          <w:tcPr>
            <w:tcW w:w="1418" w:type="dxa"/>
            <w:tcBorders>
              <w:top w:val="nil"/>
              <w:bottom w:val="nil"/>
            </w:tcBorders>
          </w:tcPr>
          <w:p>
            <w:pPr>
              <w:pStyle w:val="nzTable"/>
              <w:rPr>
                <w:sz w:val="16"/>
              </w:rPr>
            </w:pPr>
            <w:r>
              <w:rPr>
                <w:sz w:val="16"/>
              </w:rPr>
              <w:br/>
            </w:r>
            <w:r>
              <w:rPr>
                <w:sz w:val="16"/>
              </w:rPr>
              <w:br/>
            </w:r>
            <w:r>
              <w:rPr>
                <w:sz w:val="16"/>
              </w:rPr>
              <w:br/>
              <w:t>2 662</w:t>
            </w:r>
            <w:r>
              <w:rPr>
                <w:sz w:val="16"/>
              </w:rPr>
              <w:br/>
            </w:r>
            <w:r>
              <w:rPr>
                <w:sz w:val="16"/>
              </w:rPr>
              <w:br/>
            </w:r>
            <w:r>
              <w:rPr>
                <w:sz w:val="16"/>
              </w:rPr>
              <w:br/>
              <w:t>209</w:t>
            </w:r>
          </w:p>
        </w:tc>
      </w:tr>
      <w:tr>
        <w:trPr>
          <w:cantSplit/>
        </w:trPr>
        <w:tc>
          <w:tcPr>
            <w:tcW w:w="567" w:type="dxa"/>
            <w:tcBorders>
              <w:top w:val="nil"/>
              <w:bottom w:val="nil"/>
            </w:tcBorders>
          </w:tcPr>
          <w:p>
            <w:pPr>
              <w:pStyle w:val="yTable"/>
              <w:spacing w:before="0"/>
              <w:rPr>
                <w:sz w:val="16"/>
              </w:rPr>
            </w:pPr>
          </w:p>
        </w:tc>
        <w:tc>
          <w:tcPr>
            <w:tcW w:w="2693" w:type="dxa"/>
            <w:tcBorders>
              <w:top w:val="nil"/>
              <w:bottom w:val="nil"/>
            </w:tcBorders>
          </w:tcPr>
          <w:p>
            <w:pPr>
              <w:pStyle w:val="nzTable"/>
              <w:rPr>
                <w:sz w:val="16"/>
              </w:rPr>
            </w:pPr>
            <w:r>
              <w:rPr>
                <w:bCs/>
                <w:i/>
                <w:iCs/>
                <w:sz w:val="16"/>
              </w:rPr>
              <w:t xml:space="preserve">Note: In relation to paragraphs </w:t>
            </w:r>
            <w:r>
              <w:rPr>
                <w:bCs/>
                <w:i/>
                <w:iCs/>
                <w:sz w:val="16"/>
              </w:rPr>
              <w:br/>
              <w:t>(a) — (f) if —</w:t>
            </w:r>
          </w:p>
          <w:p>
            <w:pPr>
              <w:pStyle w:val="nzTable"/>
              <w:tabs>
                <w:tab w:val="left" w:pos="327"/>
              </w:tabs>
              <w:ind w:left="327" w:hanging="327"/>
              <w:rPr>
                <w:sz w:val="16"/>
              </w:rPr>
            </w:pPr>
            <w:r>
              <w:rPr>
                <w:sz w:val="16"/>
              </w:rPr>
              <w:t>(1)</w:t>
            </w:r>
            <w:r>
              <w:rPr>
                <w:sz w:val="16"/>
              </w:rPr>
              <w:tab/>
              <w:t>The hearing lasts less than 2 hours; or</w:t>
            </w:r>
          </w:p>
          <w:p>
            <w:pPr>
              <w:pStyle w:val="nzTable"/>
              <w:tabs>
                <w:tab w:val="left" w:pos="327"/>
              </w:tabs>
              <w:ind w:left="327" w:hanging="327"/>
              <w:rPr>
                <w:sz w:val="16"/>
              </w:rPr>
            </w:pPr>
            <w:r>
              <w:rPr>
                <w:sz w:val="16"/>
              </w:rPr>
              <w:t>(2)</w:t>
            </w:r>
            <w:r>
              <w:rPr>
                <w:sz w:val="16"/>
              </w:rPr>
              <w:tab/>
              <w:t>The hearing does not commence and settles or adjourns on the day of the hearing,</w:t>
            </w:r>
          </w:p>
          <w:p>
            <w:pPr>
              <w:pStyle w:val="nzTable"/>
              <w:rPr>
                <w:sz w:val="16"/>
              </w:rPr>
            </w:pPr>
            <w:r>
              <w:rPr>
                <w:sz w:val="16"/>
              </w:rPr>
              <w:t>then the Assessing Officer shall allow such amount as is reasonable in the circumstances.</w:t>
            </w:r>
          </w:p>
        </w:tc>
        <w:tc>
          <w:tcPr>
            <w:tcW w:w="1102" w:type="dxa"/>
            <w:tcBorders>
              <w:top w:val="nil"/>
              <w:bottom w:val="nil"/>
            </w:tcBorders>
          </w:tcPr>
          <w:p>
            <w:pPr>
              <w:pStyle w:val="yTable"/>
              <w:spacing w:before="0"/>
              <w:jc w:val="center"/>
              <w:rPr>
                <w:sz w:val="16"/>
              </w:rPr>
            </w:pPr>
          </w:p>
        </w:tc>
        <w:tc>
          <w:tcPr>
            <w:tcW w:w="882" w:type="dxa"/>
            <w:tcBorders>
              <w:top w:val="nil"/>
              <w:bottom w:val="nil"/>
            </w:tcBorders>
          </w:tcPr>
          <w:p>
            <w:pPr>
              <w:pStyle w:val="yTable"/>
              <w:spacing w:before="0"/>
              <w:jc w:val="center"/>
              <w:rPr>
                <w:sz w:val="16"/>
              </w:rPr>
            </w:pPr>
          </w:p>
        </w:tc>
        <w:tc>
          <w:tcPr>
            <w:tcW w:w="1418" w:type="dxa"/>
            <w:tcBorders>
              <w:top w:val="nil"/>
              <w:bottom w:val="nil"/>
            </w:tcBorders>
          </w:tcPr>
          <w:p>
            <w:pPr>
              <w:pStyle w:val="nzTable"/>
              <w:rPr>
                <w:sz w:val="16"/>
              </w:rPr>
            </w:pPr>
          </w:p>
        </w:tc>
      </w:tr>
      <w:tr>
        <w:trPr>
          <w:cantSplit/>
        </w:trPr>
        <w:tc>
          <w:tcPr>
            <w:tcW w:w="567" w:type="dxa"/>
            <w:tcBorders>
              <w:top w:val="nil"/>
            </w:tcBorders>
          </w:tcPr>
          <w:p>
            <w:pPr>
              <w:pStyle w:val="yTable"/>
              <w:spacing w:before="0"/>
              <w:rPr>
                <w:sz w:val="16"/>
              </w:rPr>
            </w:pPr>
          </w:p>
        </w:tc>
        <w:tc>
          <w:tcPr>
            <w:tcW w:w="2693" w:type="dxa"/>
            <w:tcBorders>
              <w:top w:val="nil"/>
            </w:tcBorders>
          </w:tcPr>
          <w:p>
            <w:pPr>
              <w:pStyle w:val="nzTable"/>
              <w:tabs>
                <w:tab w:val="left" w:pos="327"/>
              </w:tabs>
              <w:ind w:left="327" w:hanging="327"/>
              <w:rPr>
                <w:sz w:val="16"/>
              </w:rPr>
            </w:pPr>
            <w:r>
              <w:rPr>
                <w:sz w:val="16"/>
              </w:rPr>
              <w:t>(g)</w:t>
            </w:r>
            <w:r>
              <w:rPr>
                <w:sz w:val="16"/>
              </w:rPr>
              <w:tab/>
              <w:t>Attending on reserved determination</w:t>
            </w:r>
          </w:p>
        </w:tc>
        <w:tc>
          <w:tcPr>
            <w:tcW w:w="1102" w:type="dxa"/>
            <w:tcBorders>
              <w:top w:val="nil"/>
            </w:tcBorders>
          </w:tcPr>
          <w:p>
            <w:pPr>
              <w:pStyle w:val="nzTable"/>
              <w:rPr>
                <w:sz w:val="16"/>
              </w:rPr>
            </w:pPr>
            <w:r>
              <w:rPr>
                <w:sz w:val="16"/>
              </w:rPr>
              <w:br/>
              <w:t>per hour</w:t>
            </w:r>
          </w:p>
        </w:tc>
        <w:tc>
          <w:tcPr>
            <w:tcW w:w="882" w:type="dxa"/>
            <w:tcBorders>
              <w:top w:val="nil"/>
            </w:tcBorders>
          </w:tcPr>
          <w:p>
            <w:pPr>
              <w:pStyle w:val="nzTable"/>
              <w:rPr>
                <w:sz w:val="16"/>
              </w:rPr>
            </w:pPr>
            <w:r>
              <w:rPr>
                <w:sz w:val="16"/>
              </w:rPr>
              <w:br/>
              <w:t>SL</w:t>
            </w:r>
          </w:p>
        </w:tc>
        <w:tc>
          <w:tcPr>
            <w:tcW w:w="1418" w:type="dxa"/>
            <w:tcBorders>
              <w:top w:val="nil"/>
            </w:tcBorders>
          </w:tcPr>
          <w:p>
            <w:pPr>
              <w:pStyle w:val="nzTable"/>
              <w:rPr>
                <w:sz w:val="16"/>
              </w:rPr>
            </w:pPr>
            <w:r>
              <w:rPr>
                <w:sz w:val="16"/>
              </w:rPr>
              <w:br/>
              <w:t>297</w:t>
            </w:r>
          </w:p>
        </w:tc>
      </w:tr>
      <w:tr>
        <w:trPr>
          <w:cantSplit/>
        </w:trPr>
        <w:tc>
          <w:tcPr>
            <w:tcW w:w="567" w:type="dxa"/>
          </w:tcPr>
          <w:p>
            <w:pPr>
              <w:pStyle w:val="nzTable"/>
              <w:rPr>
                <w:sz w:val="16"/>
              </w:rPr>
            </w:pPr>
            <w:r>
              <w:rPr>
                <w:sz w:val="16"/>
              </w:rPr>
              <w:t>10.</w:t>
            </w:r>
          </w:p>
        </w:tc>
        <w:tc>
          <w:tcPr>
            <w:tcW w:w="2693" w:type="dxa"/>
          </w:tcPr>
          <w:p>
            <w:pPr>
              <w:pStyle w:val="nzTable"/>
              <w:rPr>
                <w:sz w:val="16"/>
              </w:rPr>
            </w:pPr>
            <w:r>
              <w:rPr>
                <w:sz w:val="16"/>
              </w:rPr>
              <w:t>Mention hearings</w:t>
            </w:r>
          </w:p>
        </w:tc>
        <w:tc>
          <w:tcPr>
            <w:tcW w:w="1102" w:type="dxa"/>
            <w:vAlign w:val="center"/>
          </w:tcPr>
          <w:p>
            <w:pPr>
              <w:pStyle w:val="nzTable"/>
              <w:rPr>
                <w:sz w:val="16"/>
              </w:rPr>
            </w:pPr>
            <w:r>
              <w:rPr>
                <w:sz w:val="16"/>
              </w:rPr>
              <w:t>per hour</w:t>
            </w:r>
          </w:p>
        </w:tc>
        <w:tc>
          <w:tcPr>
            <w:tcW w:w="882" w:type="dxa"/>
            <w:vAlign w:val="center"/>
          </w:tcPr>
          <w:p>
            <w:pPr>
              <w:pStyle w:val="nzTable"/>
              <w:rPr>
                <w:sz w:val="16"/>
              </w:rPr>
            </w:pPr>
            <w:r>
              <w:rPr>
                <w:sz w:val="16"/>
              </w:rPr>
              <w:t>SL</w:t>
            </w:r>
          </w:p>
        </w:tc>
        <w:tc>
          <w:tcPr>
            <w:tcW w:w="1418" w:type="dxa"/>
            <w:vAlign w:val="center"/>
          </w:tcPr>
          <w:p>
            <w:pPr>
              <w:pStyle w:val="nzTable"/>
              <w:rPr>
                <w:sz w:val="16"/>
              </w:rPr>
            </w:pPr>
            <w:r>
              <w:rPr>
                <w:sz w:val="16"/>
              </w:rPr>
              <w:t>297</w:t>
            </w:r>
          </w:p>
        </w:tc>
      </w:tr>
      <w:tr>
        <w:trPr>
          <w:cantSplit/>
        </w:trPr>
        <w:tc>
          <w:tcPr>
            <w:tcW w:w="567" w:type="dxa"/>
          </w:tcPr>
          <w:p>
            <w:pPr>
              <w:pStyle w:val="nzTable"/>
              <w:rPr>
                <w:sz w:val="16"/>
              </w:rPr>
            </w:pPr>
            <w:r>
              <w:rPr>
                <w:sz w:val="16"/>
              </w:rPr>
              <w:t>11.</w:t>
            </w:r>
          </w:p>
        </w:tc>
        <w:tc>
          <w:tcPr>
            <w:tcW w:w="2693" w:type="dxa"/>
          </w:tcPr>
          <w:p>
            <w:pPr>
              <w:pStyle w:val="nzTable"/>
              <w:rPr>
                <w:sz w:val="16"/>
              </w:rPr>
            </w:pPr>
            <w:r>
              <w:rPr>
                <w:bCs/>
                <w:sz w:val="16"/>
              </w:rPr>
              <w:t>Determinations —</w:t>
            </w:r>
          </w:p>
          <w:p>
            <w:pPr>
              <w:pStyle w:val="nzTable"/>
              <w:tabs>
                <w:tab w:val="left" w:pos="327"/>
              </w:tabs>
              <w:ind w:left="327" w:hanging="327"/>
              <w:rPr>
                <w:sz w:val="16"/>
              </w:rPr>
            </w:pPr>
            <w:r>
              <w:rPr>
                <w:sz w:val="16"/>
              </w:rPr>
              <w:t>(a)</w:t>
            </w:r>
            <w:r>
              <w:rPr>
                <w:sz w:val="16"/>
              </w:rPr>
              <w:tab/>
              <w:t>Settling and extracting determination</w:t>
            </w:r>
          </w:p>
          <w:p>
            <w:pPr>
              <w:pStyle w:val="nzTable"/>
              <w:tabs>
                <w:tab w:val="left" w:pos="447"/>
                <w:tab w:val="left" w:pos="807"/>
              </w:tabs>
              <w:ind w:left="807" w:hanging="807"/>
              <w:rPr>
                <w:sz w:val="16"/>
              </w:rPr>
            </w:pPr>
            <w:r>
              <w:rPr>
                <w:sz w:val="16"/>
              </w:rPr>
              <w:tab/>
              <w:t>(i)</w:t>
            </w:r>
            <w:r>
              <w:rPr>
                <w:sz w:val="16"/>
              </w:rPr>
              <w:tab/>
              <w:t>with appointment</w:t>
            </w:r>
          </w:p>
          <w:p>
            <w:pPr>
              <w:pStyle w:val="nzTable"/>
              <w:tabs>
                <w:tab w:val="left" w:pos="447"/>
                <w:tab w:val="left" w:pos="807"/>
              </w:tabs>
              <w:ind w:left="807" w:hanging="807"/>
              <w:rPr>
                <w:sz w:val="16"/>
              </w:rPr>
            </w:pPr>
            <w:r>
              <w:rPr>
                <w:sz w:val="16"/>
              </w:rPr>
              <w:tab/>
              <w:t>(ii)</w:t>
            </w:r>
            <w:r>
              <w:rPr>
                <w:sz w:val="16"/>
              </w:rPr>
              <w:tab/>
              <w:t>without appointment</w:t>
            </w:r>
          </w:p>
          <w:p>
            <w:pPr>
              <w:pStyle w:val="nzTable"/>
              <w:tabs>
                <w:tab w:val="left" w:pos="327"/>
              </w:tabs>
              <w:ind w:left="327" w:hanging="327"/>
              <w:rPr>
                <w:sz w:val="16"/>
              </w:rPr>
            </w:pPr>
            <w:r>
              <w:rPr>
                <w:sz w:val="16"/>
              </w:rPr>
              <w:t>(b)</w:t>
            </w:r>
            <w:r>
              <w:rPr>
                <w:sz w:val="16"/>
              </w:rPr>
              <w:tab/>
              <w:t>Issue of certified copy of determination</w:t>
            </w:r>
          </w:p>
        </w:tc>
        <w:tc>
          <w:tcPr>
            <w:tcW w:w="1102" w:type="dxa"/>
          </w:tcPr>
          <w:p>
            <w:pPr>
              <w:pStyle w:val="nzTable"/>
              <w:rPr>
                <w:sz w:val="16"/>
              </w:rPr>
            </w:pPr>
            <w:r>
              <w:rPr>
                <w:sz w:val="16"/>
              </w:rPr>
              <w:br/>
            </w:r>
            <w:r>
              <w:rPr>
                <w:sz w:val="16"/>
              </w:rPr>
              <w:br/>
            </w:r>
            <w:r>
              <w:rPr>
                <w:sz w:val="16"/>
              </w:rPr>
              <w:br/>
              <w:t>1 hour</w:t>
            </w:r>
            <w:r>
              <w:rPr>
                <w:sz w:val="16"/>
              </w:rPr>
              <w:br/>
            </w:r>
            <w:r>
              <w:rPr>
                <w:sz w:val="16"/>
              </w:rPr>
              <w:br/>
            </w:r>
            <w:r>
              <w:rPr>
                <w:sz w:val="16"/>
              </w:rPr>
              <w:br/>
              <w:t>0.5 hours</w:t>
            </w:r>
          </w:p>
        </w:tc>
        <w:tc>
          <w:tcPr>
            <w:tcW w:w="882" w:type="dxa"/>
          </w:tcPr>
          <w:p>
            <w:pPr>
              <w:pStyle w:val="nzTable"/>
              <w:rPr>
                <w:sz w:val="16"/>
              </w:rPr>
            </w:pPr>
            <w:r>
              <w:rPr>
                <w:sz w:val="16"/>
              </w:rPr>
              <w:br/>
            </w:r>
            <w:r>
              <w:rPr>
                <w:sz w:val="16"/>
              </w:rPr>
              <w:br/>
            </w:r>
            <w:r>
              <w:rPr>
                <w:sz w:val="16"/>
              </w:rPr>
              <w:br/>
              <w:t>JL</w:t>
            </w:r>
            <w:r>
              <w:rPr>
                <w:sz w:val="16"/>
              </w:rPr>
              <w:br/>
            </w:r>
            <w:r>
              <w:rPr>
                <w:sz w:val="16"/>
              </w:rPr>
              <w:br/>
            </w:r>
            <w:r>
              <w:rPr>
                <w:sz w:val="16"/>
              </w:rPr>
              <w:br/>
              <w:t>PL</w:t>
            </w:r>
          </w:p>
        </w:tc>
        <w:tc>
          <w:tcPr>
            <w:tcW w:w="1418" w:type="dxa"/>
          </w:tcPr>
          <w:p>
            <w:pPr>
              <w:pStyle w:val="nzTable"/>
              <w:rPr>
                <w:sz w:val="16"/>
              </w:rPr>
            </w:pPr>
            <w:r>
              <w:rPr>
                <w:sz w:val="16"/>
              </w:rPr>
              <w:br/>
            </w:r>
            <w:r>
              <w:rPr>
                <w:sz w:val="16"/>
              </w:rPr>
              <w:br/>
            </w:r>
            <w:r>
              <w:rPr>
                <w:sz w:val="16"/>
              </w:rPr>
              <w:br/>
              <w:t>209</w:t>
            </w:r>
            <w:r>
              <w:rPr>
                <w:sz w:val="16"/>
              </w:rPr>
              <w:br/>
              <w:t>154</w:t>
            </w:r>
            <w:r>
              <w:rPr>
                <w:sz w:val="16"/>
              </w:rPr>
              <w:br/>
            </w:r>
            <w:r>
              <w:rPr>
                <w:sz w:val="16"/>
              </w:rPr>
              <w:br/>
              <w:t>99</w:t>
            </w:r>
          </w:p>
        </w:tc>
      </w:tr>
      <w:tr>
        <w:trPr>
          <w:cantSplit/>
        </w:trPr>
        <w:tc>
          <w:tcPr>
            <w:tcW w:w="567" w:type="dxa"/>
          </w:tcPr>
          <w:p>
            <w:pPr>
              <w:pStyle w:val="nzTable"/>
              <w:rPr>
                <w:sz w:val="16"/>
              </w:rPr>
            </w:pPr>
            <w:r>
              <w:rPr>
                <w:sz w:val="16"/>
              </w:rPr>
              <w:t>12.</w:t>
            </w:r>
          </w:p>
        </w:tc>
        <w:tc>
          <w:tcPr>
            <w:tcW w:w="2693" w:type="dxa"/>
          </w:tcPr>
          <w:p>
            <w:pPr>
              <w:pStyle w:val="nzTable"/>
              <w:rPr>
                <w:sz w:val="16"/>
              </w:rPr>
            </w:pPr>
            <w:r>
              <w:rPr>
                <w:sz w:val="16"/>
              </w:rPr>
              <w:t>Enforcement</w:t>
            </w:r>
          </w:p>
          <w:p>
            <w:pPr>
              <w:pStyle w:val="nzTable"/>
              <w:rPr>
                <w:sz w:val="16"/>
              </w:rPr>
            </w:pPr>
            <w:r>
              <w:rPr>
                <w:sz w:val="16"/>
              </w:rPr>
              <w:t xml:space="preserve">Lodgment of an application to enforce a determination pursuant to </w:t>
            </w:r>
            <w:r>
              <w:rPr>
                <w:i/>
                <w:iCs/>
                <w:sz w:val="16"/>
              </w:rPr>
              <w:t>Civil Judgments Enforcement Act 2004</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nzTable"/>
              <w:rPr>
                <w:sz w:val="16"/>
              </w:rPr>
            </w:pPr>
            <w:r>
              <w:rPr>
                <w:sz w:val="16"/>
              </w:rPr>
              <w:br/>
            </w:r>
            <w:r>
              <w:rPr>
                <w:sz w:val="16"/>
              </w:rPr>
              <w:br/>
            </w:r>
            <w:r>
              <w:rPr>
                <w:sz w:val="16"/>
              </w:rPr>
              <w:br/>
            </w:r>
            <w:r>
              <w:rPr>
                <w:sz w:val="16"/>
              </w:rPr>
              <w:br/>
              <w:t>154</w:t>
            </w:r>
          </w:p>
        </w:tc>
      </w:tr>
      <w:tr>
        <w:trPr>
          <w:cantSplit/>
        </w:trPr>
        <w:tc>
          <w:tcPr>
            <w:tcW w:w="567" w:type="dxa"/>
          </w:tcPr>
          <w:p>
            <w:pPr>
              <w:pStyle w:val="nzTable"/>
              <w:rPr>
                <w:sz w:val="16"/>
              </w:rPr>
            </w:pPr>
            <w:r>
              <w:rPr>
                <w:sz w:val="16"/>
              </w:rPr>
              <w:t>13.</w:t>
            </w:r>
          </w:p>
        </w:tc>
        <w:tc>
          <w:tcPr>
            <w:tcW w:w="2693" w:type="dxa"/>
          </w:tcPr>
          <w:p>
            <w:pPr>
              <w:pStyle w:val="nzTable"/>
              <w:rPr>
                <w:sz w:val="16"/>
              </w:rPr>
            </w:pPr>
            <w:r>
              <w:rPr>
                <w:sz w:val="16"/>
              </w:rPr>
              <w:t>Registration of determinations</w:t>
            </w:r>
          </w:p>
          <w:p>
            <w:pPr>
              <w:pStyle w:val="nzTable"/>
              <w:rPr>
                <w:sz w:val="16"/>
              </w:rPr>
            </w:pPr>
            <w:r>
              <w:rPr>
                <w:sz w:val="16"/>
              </w:rPr>
              <w:t xml:space="preserve">Registration of determinations including those under </w:t>
            </w:r>
            <w:r>
              <w:rPr>
                <w:i/>
                <w:iCs/>
                <w:sz w:val="16"/>
              </w:rPr>
              <w:t>Service and Execution of Process Act 1992 (Cwlth)</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nzTable"/>
              <w:rPr>
                <w:sz w:val="16"/>
              </w:rPr>
            </w:pPr>
            <w:r>
              <w:rPr>
                <w:sz w:val="16"/>
              </w:rPr>
              <w:br/>
            </w:r>
            <w:r>
              <w:rPr>
                <w:sz w:val="16"/>
              </w:rPr>
              <w:br/>
            </w:r>
            <w:r>
              <w:rPr>
                <w:sz w:val="16"/>
              </w:rPr>
              <w:br/>
            </w:r>
            <w:r>
              <w:rPr>
                <w:sz w:val="16"/>
              </w:rPr>
              <w:br/>
              <w:t>154</w:t>
            </w:r>
          </w:p>
        </w:tc>
      </w:tr>
      <w:tr>
        <w:trPr>
          <w:cantSplit/>
        </w:trPr>
        <w:tc>
          <w:tcPr>
            <w:tcW w:w="567" w:type="dxa"/>
          </w:tcPr>
          <w:p>
            <w:pPr>
              <w:pStyle w:val="nzTable"/>
              <w:rPr>
                <w:sz w:val="16"/>
              </w:rPr>
            </w:pPr>
            <w:r>
              <w:rPr>
                <w:sz w:val="16"/>
              </w:rPr>
              <w:t>14.</w:t>
            </w:r>
          </w:p>
          <w:p>
            <w:pPr>
              <w:pStyle w:val="yTable"/>
              <w:spacing w:before="0"/>
              <w:rPr>
                <w:sz w:val="16"/>
              </w:rPr>
            </w:pPr>
          </w:p>
        </w:tc>
        <w:tc>
          <w:tcPr>
            <w:tcW w:w="2693" w:type="dxa"/>
          </w:tcPr>
          <w:p>
            <w:pPr>
              <w:pStyle w:val="nzTable"/>
              <w:rPr>
                <w:sz w:val="16"/>
              </w:rPr>
            </w:pPr>
            <w:r>
              <w:rPr>
                <w:bCs/>
                <w:sz w:val="16"/>
              </w:rPr>
              <w:t>Assessment of costs including drawing bill —</w:t>
            </w:r>
          </w:p>
          <w:p>
            <w:pPr>
              <w:pStyle w:val="nzTable"/>
              <w:tabs>
                <w:tab w:val="left" w:pos="327"/>
                <w:tab w:val="left" w:pos="2367"/>
              </w:tabs>
              <w:ind w:left="327" w:hanging="327"/>
              <w:rPr>
                <w:sz w:val="16"/>
              </w:rPr>
            </w:pPr>
            <w:r>
              <w:rPr>
                <w:sz w:val="16"/>
              </w:rPr>
              <w:t>(a)</w:t>
            </w:r>
            <w:r>
              <w:rPr>
                <w:sz w:val="16"/>
              </w:rPr>
              <w:tab/>
              <w:t>Lodgment of bill of costs</w:t>
            </w:r>
            <w:r>
              <w:rPr>
                <w:sz w:val="16"/>
              </w:rPr>
              <w:tab/>
              <w:t>)</w:t>
            </w:r>
          </w:p>
          <w:p>
            <w:pPr>
              <w:pStyle w:val="nzTable"/>
              <w:tabs>
                <w:tab w:val="left" w:pos="327"/>
                <w:tab w:val="left" w:pos="2367"/>
              </w:tabs>
              <w:ind w:left="327" w:hanging="327"/>
              <w:rPr>
                <w:sz w:val="16"/>
              </w:rPr>
            </w:pPr>
            <w:r>
              <w:rPr>
                <w:sz w:val="16"/>
              </w:rPr>
              <w:t>(b)</w:t>
            </w:r>
            <w:r>
              <w:rPr>
                <w:sz w:val="16"/>
              </w:rPr>
              <w:tab/>
              <w:t>Drawing bill of costs, copies</w:t>
            </w:r>
            <w:r>
              <w:rPr>
                <w:sz w:val="16"/>
              </w:rPr>
              <w:tab/>
              <w:t>)</w:t>
            </w:r>
            <w:r>
              <w:rPr>
                <w:sz w:val="16"/>
              </w:rPr>
              <w:br/>
              <w:t>and service</w:t>
            </w:r>
            <w:r>
              <w:rPr>
                <w:sz w:val="16"/>
              </w:rPr>
              <w:tab/>
              <w:t>)</w:t>
            </w:r>
          </w:p>
          <w:p>
            <w:pPr>
              <w:pStyle w:val="nzTable"/>
              <w:tabs>
                <w:tab w:val="left" w:pos="327"/>
                <w:tab w:val="left" w:pos="2367"/>
              </w:tabs>
              <w:ind w:left="327" w:hanging="327"/>
              <w:rPr>
                <w:sz w:val="16"/>
              </w:rPr>
            </w:pPr>
            <w:r>
              <w:rPr>
                <w:sz w:val="16"/>
              </w:rPr>
              <w:t>(c)</w:t>
            </w:r>
            <w:r>
              <w:rPr>
                <w:sz w:val="16"/>
              </w:rPr>
              <w:tab/>
              <w:t>Making an objection to a bill</w:t>
            </w:r>
            <w:r>
              <w:rPr>
                <w:sz w:val="16"/>
              </w:rPr>
              <w:tab/>
              <w:t>)</w:t>
            </w:r>
          </w:p>
          <w:p>
            <w:pPr>
              <w:pStyle w:val="nzTable"/>
              <w:tabs>
                <w:tab w:val="left" w:pos="327"/>
                <w:tab w:val="left" w:pos="2367"/>
              </w:tabs>
              <w:ind w:left="327" w:hanging="327"/>
              <w:rPr>
                <w:sz w:val="16"/>
              </w:rPr>
            </w:pPr>
            <w:r>
              <w:rPr>
                <w:sz w:val="16"/>
              </w:rPr>
              <w:t>(d)</w:t>
            </w:r>
            <w:r>
              <w:rPr>
                <w:sz w:val="16"/>
              </w:rPr>
              <w:tab/>
              <w:t>Assessment of costs (including</w:t>
            </w:r>
            <w:r>
              <w:rPr>
                <w:sz w:val="16"/>
              </w:rPr>
              <w:tab/>
              <w:t>)</w:t>
            </w:r>
            <w:r>
              <w:rPr>
                <w:sz w:val="16"/>
              </w:rPr>
              <w:br/>
              <w:t>the time spent in preparing for</w:t>
            </w:r>
            <w:r>
              <w:rPr>
                <w:sz w:val="16"/>
              </w:rPr>
              <w:tab/>
              <w:t>)</w:t>
            </w:r>
            <w:r>
              <w:rPr>
                <w:sz w:val="16"/>
              </w:rPr>
              <w:br/>
              <w:t>the assessment)</w:t>
            </w:r>
            <w:r>
              <w:rPr>
                <w:sz w:val="16"/>
              </w:rPr>
              <w:tab/>
              <w:t>)</w:t>
            </w:r>
          </w:p>
        </w:tc>
        <w:tc>
          <w:tcPr>
            <w:tcW w:w="1102" w:type="dxa"/>
          </w:tcPr>
          <w:p>
            <w:pPr>
              <w:pStyle w:val="yTable"/>
              <w:spacing w:before="0"/>
              <w:jc w:val="center"/>
              <w:rPr>
                <w:sz w:val="16"/>
              </w:rPr>
            </w:pPr>
          </w:p>
        </w:tc>
        <w:tc>
          <w:tcPr>
            <w:tcW w:w="882" w:type="dxa"/>
          </w:tcPr>
          <w:p>
            <w:pPr>
              <w:pStyle w:val="nzTable"/>
              <w:rPr>
                <w:sz w:val="16"/>
              </w:rPr>
            </w:pPr>
            <w:r>
              <w:rPr>
                <w:sz w:val="16"/>
              </w:rPr>
              <w:br/>
            </w:r>
            <w:r>
              <w:rPr>
                <w:sz w:val="16"/>
              </w:rPr>
              <w:br/>
            </w:r>
            <w:r>
              <w:rPr>
                <w:sz w:val="16"/>
              </w:rPr>
              <w:br/>
            </w:r>
            <w:r>
              <w:rPr>
                <w:sz w:val="16"/>
              </w:rPr>
              <w:br/>
            </w:r>
            <w:r>
              <w:rPr>
                <w:sz w:val="16"/>
              </w:rPr>
              <w:br/>
              <w:t>SL</w:t>
            </w:r>
          </w:p>
        </w:tc>
        <w:tc>
          <w:tcPr>
            <w:tcW w:w="1418" w:type="dxa"/>
          </w:tcPr>
          <w:p>
            <w:pPr>
              <w:pStyle w:val="nzTable"/>
              <w:jc w:val="center"/>
              <w:rPr>
                <w:sz w:val="16"/>
              </w:rPr>
            </w:pPr>
            <w:r>
              <w:rPr>
                <w:sz w:val="16"/>
              </w:rPr>
              <w:br/>
            </w:r>
            <w:r>
              <w:rPr>
                <w:sz w:val="16"/>
              </w:rPr>
              <w:br/>
              <w:t>33</w:t>
            </w:r>
            <w:r>
              <w:rPr>
                <w:sz w:val="16"/>
              </w:rPr>
              <w:br/>
            </w:r>
            <w:r>
              <w:rPr>
                <w:sz w:val="16"/>
              </w:rPr>
              <w:br/>
              <w:t>Such amounts as are reasonable in the circumstances</w:t>
            </w:r>
          </w:p>
        </w:tc>
      </w:tr>
      <w:tr>
        <w:trPr>
          <w:cantSplit/>
        </w:trPr>
        <w:tc>
          <w:tcPr>
            <w:tcW w:w="567" w:type="dxa"/>
          </w:tcPr>
          <w:p>
            <w:pPr>
              <w:pStyle w:val="nzTable"/>
              <w:rPr>
                <w:sz w:val="16"/>
              </w:rPr>
            </w:pPr>
            <w:r>
              <w:rPr>
                <w:sz w:val="16"/>
              </w:rPr>
              <w:t>15.</w:t>
            </w:r>
          </w:p>
        </w:tc>
        <w:tc>
          <w:tcPr>
            <w:tcW w:w="2693" w:type="dxa"/>
          </w:tcPr>
          <w:p>
            <w:pPr>
              <w:pStyle w:val="nzTable"/>
              <w:rPr>
                <w:sz w:val="16"/>
              </w:rPr>
            </w:pPr>
            <w:r>
              <w:rPr>
                <w:bCs/>
                <w:sz w:val="16"/>
              </w:rPr>
              <w:t>Copying —</w:t>
            </w:r>
          </w:p>
          <w:p>
            <w:pPr>
              <w:pStyle w:val="nzTable"/>
              <w:rPr>
                <w:sz w:val="16"/>
              </w:rPr>
            </w:pPr>
            <w:r>
              <w:rPr>
                <w:sz w:val="16"/>
              </w:rPr>
              <w:t>Photocopies where necessary, including of documents for which allowance is otherwise made in this scale</w:t>
            </w:r>
          </w:p>
        </w:tc>
        <w:tc>
          <w:tcPr>
            <w:tcW w:w="1102" w:type="dxa"/>
          </w:tcPr>
          <w:p>
            <w:pPr>
              <w:pStyle w:val="nzTable"/>
              <w:rPr>
                <w:sz w:val="16"/>
              </w:rPr>
            </w:pP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nzTable"/>
              <w:rPr>
                <w:sz w:val="16"/>
              </w:rPr>
            </w:pPr>
            <w:r>
              <w:rPr>
                <w:sz w:val="16"/>
              </w:rPr>
              <w:br/>
            </w:r>
            <w:r>
              <w:rPr>
                <w:sz w:val="16"/>
              </w:rPr>
              <w:br/>
            </w:r>
            <w:r>
              <w:rPr>
                <w:sz w:val="16"/>
              </w:rPr>
              <w:br/>
            </w:r>
            <w:r>
              <w:rPr>
                <w:sz w:val="16"/>
              </w:rPr>
              <w:br/>
              <w:t>1.00</w:t>
            </w:r>
          </w:p>
        </w:tc>
      </w:tr>
      <w:tr>
        <w:trPr>
          <w:cantSplit/>
        </w:trPr>
        <w:tc>
          <w:tcPr>
            <w:tcW w:w="567" w:type="dxa"/>
          </w:tcPr>
          <w:p>
            <w:pPr>
              <w:pStyle w:val="nzTable"/>
              <w:rPr>
                <w:sz w:val="16"/>
              </w:rPr>
            </w:pPr>
            <w:r>
              <w:rPr>
                <w:sz w:val="16"/>
              </w:rPr>
              <w:t>16.</w:t>
            </w:r>
          </w:p>
        </w:tc>
        <w:tc>
          <w:tcPr>
            <w:tcW w:w="2693" w:type="dxa"/>
          </w:tcPr>
          <w:p>
            <w:pPr>
              <w:pStyle w:val="nzTable"/>
              <w:rPr>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nzTable"/>
              <w:jc w:val="center"/>
              <w:rPr>
                <w:sz w:val="16"/>
              </w:rPr>
            </w:pPr>
            <w:r>
              <w:rPr>
                <w:sz w:val="16"/>
              </w:rPr>
              <w:t>Amount calculated in accordance with item 5</w:t>
            </w:r>
          </w:p>
        </w:tc>
      </w:tr>
      <w:tr>
        <w:trPr>
          <w:cantSplit/>
        </w:trPr>
        <w:tc>
          <w:tcPr>
            <w:tcW w:w="567" w:type="dxa"/>
          </w:tcPr>
          <w:p>
            <w:pPr>
              <w:pStyle w:val="nzTable"/>
              <w:rPr>
                <w:sz w:val="16"/>
              </w:rPr>
            </w:pPr>
            <w:r>
              <w:rPr>
                <w:sz w:val="16"/>
              </w:rPr>
              <w:t>17.</w:t>
            </w:r>
          </w:p>
        </w:tc>
        <w:tc>
          <w:tcPr>
            <w:tcW w:w="2693" w:type="dxa"/>
          </w:tcPr>
          <w:p>
            <w:pPr>
              <w:pStyle w:val="nzTable"/>
              <w:rPr>
                <w:sz w:val="16"/>
              </w:rPr>
            </w:pPr>
            <w:r>
              <w:rPr>
                <w:sz w:val="16"/>
              </w:rPr>
              <w:t>Accounts and inquiries</w:t>
            </w:r>
          </w:p>
          <w:p>
            <w:pPr>
              <w:pStyle w:val="nzTable"/>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nzTable"/>
              <w:rPr>
                <w:sz w:val="16"/>
              </w:rPr>
            </w:pPr>
            <w:r>
              <w:rPr>
                <w:sz w:val="16"/>
              </w:rPr>
              <w:br/>
            </w:r>
            <w:r>
              <w:rPr>
                <w:sz w:val="16"/>
              </w:rPr>
              <w:br/>
              <w:t>SL</w:t>
            </w:r>
          </w:p>
        </w:tc>
        <w:tc>
          <w:tcPr>
            <w:tcW w:w="1418" w:type="dxa"/>
          </w:tcPr>
          <w:p>
            <w:pPr>
              <w:pStyle w:val="nzTable"/>
              <w:jc w:val="center"/>
              <w:rPr>
                <w:sz w:val="16"/>
              </w:rPr>
            </w:pPr>
            <w:r>
              <w:rPr>
                <w:sz w:val="16"/>
              </w:rPr>
              <w:t>Such amounts as are reasonable in the circumstances</w:t>
            </w:r>
          </w:p>
        </w:tc>
      </w:tr>
      <w:tr>
        <w:trPr>
          <w:cantSplit/>
        </w:trPr>
        <w:tc>
          <w:tcPr>
            <w:tcW w:w="567" w:type="dxa"/>
          </w:tcPr>
          <w:p>
            <w:pPr>
              <w:pStyle w:val="nzTable"/>
              <w:rPr>
                <w:sz w:val="16"/>
              </w:rPr>
            </w:pPr>
            <w:r>
              <w:rPr>
                <w:sz w:val="16"/>
              </w:rPr>
              <w:t>18.</w:t>
            </w:r>
          </w:p>
        </w:tc>
        <w:tc>
          <w:tcPr>
            <w:tcW w:w="2693" w:type="dxa"/>
          </w:tcPr>
          <w:p>
            <w:pPr>
              <w:pStyle w:val="nzTable"/>
              <w:rPr>
                <w:sz w:val="16"/>
              </w:rPr>
            </w:pPr>
            <w:r>
              <w:rPr>
                <w:bCs/>
                <w:sz w:val="16"/>
              </w:rPr>
              <w:t>Other work —</w:t>
            </w:r>
          </w:p>
          <w:p>
            <w:pPr>
              <w:pStyle w:val="nzTable"/>
              <w:tabs>
                <w:tab w:val="left" w:pos="327"/>
              </w:tabs>
              <w:ind w:left="327" w:hanging="327"/>
              <w:rPr>
                <w:sz w:val="16"/>
              </w:rPr>
            </w:pPr>
            <w:r>
              <w:rPr>
                <w:sz w:val="16"/>
              </w:rPr>
              <w:t>(a)</w:t>
            </w:r>
            <w:r>
              <w:rPr>
                <w:sz w:val="16"/>
              </w:rPr>
              <w:tab/>
              <w:t xml:space="preserve">Time reasonably spent by a lawyer on work requiring the skill of a lawyer (of the standing indicated) but not covered by any other item </w:t>
            </w:r>
          </w:p>
          <w:p>
            <w:pPr>
              <w:pStyle w:val="nzTable"/>
              <w:rPr>
                <w:sz w:val="16"/>
              </w:rPr>
            </w:pPr>
            <w:r>
              <w:rPr>
                <w:sz w:val="16"/>
              </w:rPr>
              <w:t>or</w:t>
            </w:r>
          </w:p>
          <w:p>
            <w:pPr>
              <w:pStyle w:val="nzTable"/>
              <w:tabs>
                <w:tab w:val="left" w:pos="327"/>
              </w:tabs>
              <w:ind w:left="327" w:hanging="327"/>
              <w:rPr>
                <w:sz w:val="16"/>
              </w:rPr>
            </w:pPr>
            <w:r>
              <w:rPr>
                <w:sz w:val="16"/>
              </w:rPr>
              <w:t>(b)</w:t>
            </w:r>
            <w:r>
              <w:rPr>
                <w:sz w:val="16"/>
              </w:rPr>
              <w:tab/>
              <w:t>Time reasonably spent by a lawyer, or by a clerk or paralegal of a lawyer, on work not covered by any other item or by paragraph (a)</w:t>
            </w:r>
          </w:p>
        </w:tc>
        <w:tc>
          <w:tcPr>
            <w:tcW w:w="1102" w:type="dxa"/>
          </w:tcPr>
          <w:p>
            <w:pPr>
              <w:pStyle w:val="nzTable"/>
              <w:rPr>
                <w:sz w:val="16"/>
              </w:rPr>
            </w:pPr>
            <w:r>
              <w:rPr>
                <w:sz w:val="16"/>
              </w:rPr>
              <w:br/>
            </w:r>
            <w:r>
              <w:rPr>
                <w:sz w:val="16"/>
              </w:rPr>
              <w:br/>
            </w:r>
            <w:r>
              <w:rPr>
                <w:sz w:val="16"/>
              </w:rPr>
              <w:br/>
            </w:r>
            <w:r>
              <w:rPr>
                <w:sz w:val="16"/>
              </w:rPr>
              <w:br/>
            </w:r>
            <w:r>
              <w:rPr>
                <w:sz w:val="16"/>
              </w:rPr>
              <w:br/>
              <w:t>per hour</w:t>
            </w:r>
          </w:p>
        </w:tc>
        <w:tc>
          <w:tcPr>
            <w:tcW w:w="882" w:type="dxa"/>
          </w:tcPr>
          <w:p>
            <w:pPr>
              <w:pStyle w:val="nzTable"/>
              <w:rPr>
                <w:sz w:val="16"/>
              </w:rPr>
            </w:pPr>
            <w:r>
              <w:rPr>
                <w:sz w:val="16"/>
              </w:rPr>
              <w:br/>
              <w:t>SC</w:t>
            </w:r>
            <w:r>
              <w:rPr>
                <w:sz w:val="16"/>
              </w:rPr>
              <w:br/>
              <w:t>SL</w:t>
            </w:r>
            <w:r>
              <w:rPr>
                <w:sz w:val="16"/>
              </w:rPr>
              <w:br/>
              <w:t>C</w:t>
            </w:r>
            <w:r>
              <w:rPr>
                <w:sz w:val="16"/>
              </w:rPr>
              <w:br/>
              <w:t>JL</w:t>
            </w:r>
            <w:r>
              <w:rPr>
                <w:sz w:val="16"/>
              </w:rPr>
              <w:br/>
              <w:t>PL</w:t>
            </w:r>
          </w:p>
        </w:tc>
        <w:tc>
          <w:tcPr>
            <w:tcW w:w="1418" w:type="dxa"/>
          </w:tcPr>
          <w:p>
            <w:pPr>
              <w:pStyle w:val="nzTable"/>
              <w:rPr>
                <w:sz w:val="16"/>
              </w:rPr>
            </w:pPr>
            <w:r>
              <w:rPr>
                <w:sz w:val="16"/>
              </w:rPr>
              <w:br/>
              <w:t>385</w:t>
            </w:r>
            <w:r>
              <w:rPr>
                <w:sz w:val="16"/>
              </w:rPr>
              <w:br/>
              <w:t>297</w:t>
            </w:r>
            <w:r>
              <w:rPr>
                <w:sz w:val="16"/>
              </w:rPr>
              <w:br/>
              <w:t>231</w:t>
            </w:r>
            <w:r>
              <w:rPr>
                <w:sz w:val="16"/>
              </w:rPr>
              <w:br/>
              <w:t>209</w:t>
            </w:r>
            <w:r>
              <w:rPr>
                <w:sz w:val="16"/>
              </w:rPr>
              <w:br/>
              <w:t>99</w:t>
            </w:r>
          </w:p>
        </w:tc>
      </w:tr>
      <w:tr>
        <w:trPr>
          <w:cantSplit/>
        </w:trPr>
        <w:tc>
          <w:tcPr>
            <w:tcW w:w="567" w:type="dxa"/>
          </w:tcPr>
          <w:p>
            <w:pPr>
              <w:pStyle w:val="nzTable"/>
              <w:rPr>
                <w:sz w:val="16"/>
              </w:rPr>
            </w:pPr>
            <w:r>
              <w:rPr>
                <w:sz w:val="16"/>
              </w:rPr>
              <w:t>19.</w:t>
            </w:r>
          </w:p>
        </w:tc>
        <w:tc>
          <w:tcPr>
            <w:tcW w:w="6095" w:type="dxa"/>
            <w:gridSpan w:val="4"/>
          </w:tcPr>
          <w:p>
            <w:pPr>
              <w:keepNext/>
              <w:spacing w:before="30" w:after="30" w:line="170" w:lineRule="exact"/>
              <w:rPr>
                <w:b/>
                <w:bCs/>
                <w:sz w:val="16"/>
              </w:rPr>
            </w:pPr>
            <w:r>
              <w:rPr>
                <w:sz w:val="16"/>
              </w:rPr>
              <w:t>Disbursements</w:t>
            </w:r>
            <w:r>
              <w:rPr>
                <w:b/>
                <w:bCs/>
                <w:sz w:val="16"/>
              </w:rPr>
              <w:t> —</w:t>
            </w:r>
          </w:p>
          <w:p>
            <w:pPr>
              <w:keepNext/>
              <w:spacing w:before="30" w:after="30" w:line="170" w:lineRule="exact"/>
              <w:rPr>
                <w:sz w:val="16"/>
              </w:rPr>
            </w:pPr>
            <w:r>
              <w:rPr>
                <w:sz w:val="16"/>
              </w:rPr>
              <w:t>In addition to the fees and charges allowed under this Schedule —</w:t>
            </w:r>
          </w:p>
          <w:p>
            <w:pPr>
              <w:keepNext/>
              <w:tabs>
                <w:tab w:val="left" w:pos="373"/>
              </w:tabs>
              <w:spacing w:before="30" w:after="30" w:line="170" w:lineRule="exact"/>
              <w:ind w:left="373" w:hanging="373"/>
              <w:rPr>
                <w:sz w:val="16"/>
              </w:rPr>
            </w:pPr>
            <w:r>
              <w:rPr>
                <w:sz w:val="16"/>
              </w:rPr>
              <w:t>(a)</w:t>
            </w:r>
            <w:r>
              <w:rPr>
                <w:sz w:val="16"/>
              </w:rPr>
              <w:tab/>
              <w:t>As between lawyer and client, a lawyer may charge and be allowed disbursements necessarily or reasonably incurred; and</w:t>
            </w:r>
          </w:p>
          <w:p>
            <w:pPr>
              <w:keepNext/>
              <w:tabs>
                <w:tab w:val="left" w:pos="373"/>
              </w:tabs>
              <w:spacing w:before="30" w:after="30" w:line="170" w:lineRule="exact"/>
              <w:ind w:left="373" w:hanging="373"/>
              <w:rPr>
                <w:b/>
                <w:bCs/>
                <w:iCs/>
                <w:sz w:val="16"/>
              </w:rPr>
            </w:pPr>
            <w:r>
              <w:rPr>
                <w:sz w:val="16"/>
              </w:rPr>
              <w:t>(b)</w:t>
            </w:r>
            <w:r>
              <w:rPr>
                <w:sz w:val="16"/>
              </w:rPr>
              <w:tab/>
              <w:t>As between party and party, a party may be allowed disbursements necessarily or reasonably incurred.</w:t>
            </w:r>
          </w:p>
        </w:tc>
      </w:tr>
      <w:tr>
        <w:trPr>
          <w:cantSplit/>
        </w:trPr>
        <w:tc>
          <w:tcPr>
            <w:tcW w:w="567" w:type="dxa"/>
          </w:tcPr>
          <w:p>
            <w:pPr>
              <w:pStyle w:val="nzTable"/>
              <w:rPr>
                <w:sz w:val="16"/>
              </w:rPr>
            </w:pPr>
            <w:r>
              <w:rPr>
                <w:sz w:val="16"/>
              </w:rPr>
              <w:t>20.</w:t>
            </w:r>
          </w:p>
        </w:tc>
        <w:tc>
          <w:tcPr>
            <w:tcW w:w="6095" w:type="dxa"/>
            <w:gridSpan w:val="4"/>
          </w:tcPr>
          <w:p>
            <w:pPr>
              <w:spacing w:before="30" w:after="30" w:line="170" w:lineRule="exact"/>
              <w:rPr>
                <w:b/>
                <w:bCs/>
                <w:iCs/>
                <w:sz w:val="16"/>
              </w:rPr>
            </w:pPr>
            <w:r>
              <w:rPr>
                <w:iCs/>
                <w:sz w:val="16"/>
              </w:rPr>
              <w:t>Allowances for witnesses</w:t>
            </w:r>
            <w:r>
              <w:rPr>
                <w:b/>
                <w:bCs/>
                <w:iCs/>
                <w:sz w:val="16"/>
              </w:rPr>
              <w:t> —</w:t>
            </w:r>
          </w:p>
          <w:p>
            <w:pPr>
              <w:spacing w:before="30" w:after="30" w:line="170" w:lineRule="exact"/>
              <w:rPr>
                <w:sz w:val="16"/>
              </w:rPr>
            </w:pPr>
            <w:r>
              <w:rPr>
                <w:sz w:val="16"/>
              </w:rPr>
              <w:t>The amount of any costs to be paid in respect of work done by a lawyer in conducting any proceedings in a case may include a reasonable allowance for —</w:t>
            </w:r>
          </w:p>
          <w:p>
            <w:pPr>
              <w:keepNext/>
              <w:tabs>
                <w:tab w:val="left" w:pos="373"/>
              </w:tabs>
              <w:spacing w:before="30" w:after="30" w:line="170" w:lineRule="exact"/>
              <w:ind w:left="373" w:hanging="373"/>
              <w:rPr>
                <w:sz w:val="16"/>
              </w:rPr>
            </w:pPr>
            <w:r>
              <w:rPr>
                <w:sz w:val="16"/>
              </w:rPr>
              <w:t>(a)</w:t>
            </w:r>
            <w:r>
              <w:rPr>
                <w:sz w:val="16"/>
              </w:rPr>
              <w:tab/>
              <w:t>witnesses called because of their professional, scientific or other special skill or knowledge; and</w:t>
            </w:r>
          </w:p>
          <w:p>
            <w:pPr>
              <w:keepNext/>
              <w:tabs>
                <w:tab w:val="left" w:pos="373"/>
              </w:tabs>
              <w:spacing w:before="30" w:after="30" w:line="170" w:lineRule="exact"/>
              <w:ind w:left="373" w:hanging="373"/>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MiscClose"/>
        <w:ind w:right="618"/>
      </w:pPr>
      <w:r>
        <w:t xml:space="preserve">    ”.</w:t>
      </w:r>
    </w:p>
    <w:p>
      <w:pPr>
        <w:pStyle w:val="MiscClose"/>
      </w:pPr>
      <w:r>
        <w:t>”.</w:t>
      </w:r>
    </w:p>
    <w:p/>
    <w:p>
      <w:pPr>
        <w:tabs>
          <w:tab w:val="left" w:pos="349"/>
        </w:tabs>
        <w:ind w:left="349" w:hanging="349"/>
        <w:sectPr>
          <w:headerReference w:type="even" r:id="rId41"/>
          <w:headerReference w:type="default" r:id="rId42"/>
          <w:headerReference w:type="first" r:id="rId43"/>
          <w:pgSz w:w="11906" w:h="16838" w:code="9"/>
          <w:pgMar w:top="2376" w:right="2404" w:bottom="3544" w:left="2404" w:header="720" w:footer="3380" w:gutter="0"/>
          <w:cols w:space="720"/>
          <w:noEndnote/>
          <w:docGrid w:linePitch="326"/>
        </w:sectPr>
      </w:pPr>
    </w:p>
    <w:p/>
    <w:sectPr>
      <w:headerReference w:type="even" r:id="rId44"/>
      <w:headerReference w:type="defaul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sz w:val="20"/>
      </w:rPr>
    </w:pPr>
    <w:r>
      <w:rPr>
        <w:i/>
        <w:sz w:val="20"/>
      </w:rPr>
      <w:fldChar w:fldCharType="begin"/>
    </w:r>
    <w:r>
      <w:rPr>
        <w:i/>
        <w:sz w:val="20"/>
      </w:rPr>
      <w:instrText xml:space="preserve"> Styleref "Name of Act/Reg" </w:instrText>
    </w:r>
    <w:r>
      <w:rPr>
        <w:i/>
        <w:sz w:val="20"/>
      </w:rPr>
      <w:fldChar w:fldCharType="separate"/>
    </w:r>
    <w:r>
      <w:rPr>
        <w:i/>
        <w:noProof/>
        <w:sz w:val="20"/>
      </w:rPr>
      <w:t>Mining Regulations 1981</w:t>
    </w:r>
    <w:r>
      <w:rPr>
        <w:i/>
        <w:sz w:val="20"/>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fldSimple w:instr=" styleref CharSchText ">
            <w:r>
              <w:rPr>
                <w:noProof/>
              </w:rPr>
              <w:t>Schedule of 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Schedule of fees and rents</w:t>
            </w:r>
          </w:fldSimple>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913"/>
    <w:docVar w:name="WAFER_20151208140913" w:val="RemoveTrackChanges"/>
    <w:docVar w:name="WAFER_20151208140913_GUID" w:val="3fe24ff9-dca7-4d8f-b5bd-c92f326f6c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8.xml"/><Relationship Id="rId42" Type="http://schemas.openxmlformats.org/officeDocument/2006/relationships/header" Target="header1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6.wmf"/><Relationship Id="rId38" Type="http://schemas.openxmlformats.org/officeDocument/2006/relationships/header" Target="header1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image" Target="media/image5.png"/><Relationship Id="rId37" Type="http://schemas.openxmlformats.org/officeDocument/2006/relationships/image" Target="media/image7.png"/><Relationship Id="rId40" Type="http://schemas.openxmlformats.org/officeDocument/2006/relationships/header" Target="header13.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9.xml"/><Relationship Id="rId44"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9.xml"/><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279</Pages>
  <Words>68733</Words>
  <Characters>340920</Characters>
  <Application>Microsoft Office Word</Application>
  <DocSecurity>0</DocSecurity>
  <Lines>14822</Lines>
  <Paragraphs>9103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400550</CharactersWithSpaces>
  <SharedDoc>false</SharedDoc>
  <HLinks>
    <vt:vector size="12" baseType="variant">
      <vt:variant>
        <vt:i4>4980752</vt:i4>
      </vt:variant>
      <vt:variant>
        <vt:i4>224286</vt:i4>
      </vt:variant>
      <vt:variant>
        <vt:i4>1025</vt:i4>
      </vt:variant>
      <vt:variant>
        <vt:i4>1</vt:i4>
      </vt:variant>
      <vt:variant>
        <vt:lpwstr>C:\WP51\GRAPHICS\MISC\Crest2.gif</vt:lpwstr>
      </vt:variant>
      <vt:variant>
        <vt:lpwstr/>
      </vt:variant>
      <vt:variant>
        <vt:i4>1835028</vt:i4>
      </vt:variant>
      <vt:variant>
        <vt:i4>335469</vt:i4>
      </vt:variant>
      <vt:variant>
        <vt:i4>1026</vt:i4>
      </vt:variant>
      <vt:variant>
        <vt:i4>1</vt:i4>
      </vt:variant>
      <vt:variant>
        <vt:lpwstr>Datum drawing.bmp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1981 - 06-c0-06</dc:title>
  <dc:subject/>
  <dc:creator/>
  <cp:keywords/>
  <dc:description/>
  <cp:lastModifiedBy>svcMRProcess</cp:lastModifiedBy>
  <cp:revision>4</cp:revision>
  <cp:lastPrinted>2006-04-27T06:05:00Z</cp:lastPrinted>
  <dcterms:created xsi:type="dcterms:W3CDTF">2020-02-26T22:42:00Z</dcterms:created>
  <dcterms:modified xsi:type="dcterms:W3CDTF">2020-02-26T22:42:00Z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20070309</vt:lpwstr>
  </property>
  <property fmtid="{D5CDD505-2E9C-101B-9397-08002B2CF9AE}" pid="4" name="DocumentType">
    <vt:lpwstr>Reg</vt:lpwstr>
  </property>
  <property fmtid="{D5CDD505-2E9C-101B-9397-08002B2CF9AE}" pid="5" name="OwlsUID">
    <vt:i4>4643</vt:i4>
  </property>
  <property fmtid="{D5CDD505-2E9C-101B-9397-08002B2CF9AE}" pid="6" name="ReprintNo">
    <vt:lpwstr>6</vt:lpwstr>
  </property>
  <property fmtid="{D5CDD505-2E9C-101B-9397-08002B2CF9AE}" pid="7" name="AsAtDate">
    <vt:lpwstr>09 Mar 2007</vt:lpwstr>
  </property>
  <property fmtid="{D5CDD505-2E9C-101B-9397-08002B2CF9AE}" pid="8" name="Suffix">
    <vt:lpwstr>06-c0-06</vt:lpwstr>
  </property>
</Properties>
</file>