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334"/>
      </w:pPr>
      <w:r>
        <w:fldChar w:fldCharType="begin"/>
      </w:r>
      <w:r>
        <w:instrText xml:space="preserve"> STYLEREF "Name Of Act/Reg"</w:instrText>
      </w:r>
      <w:r>
        <w:fldChar w:fldCharType="separate"/>
      </w:r>
      <w:r>
        <w:rPr>
          <w:noProof/>
        </w:rPr>
        <w:t>Motor Vehicle Dealers (Sales)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_Toc155090961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_Toc155090962 \h </w:instrText>
      </w:r>
      <w:r>
        <w:fldChar w:fldCharType="separate"/>
      </w:r>
      <w:r>
        <w:t>1</w:t>
      </w:r>
      <w:r>
        <w:fldChar w:fldCharType="end"/>
      </w:r>
    </w:p>
    <w:p>
      <w:pPr>
        <w:pStyle w:val="TOC2"/>
        <w:tabs>
          <w:tab w:val="right" w:leader="dot" w:pos="7086"/>
        </w:tabs>
        <w:rPr>
          <w:b w:val="0"/>
          <w:sz w:val="24"/>
          <w:szCs w:val="24"/>
        </w:rPr>
      </w:pPr>
      <w:r>
        <w:rPr>
          <w:szCs w:val="30"/>
        </w:rPr>
        <w:t>Part 2 — Forms</w:t>
      </w:r>
    </w:p>
    <w:p>
      <w:pPr>
        <w:pStyle w:val="TOC8"/>
        <w:rPr>
          <w:sz w:val="24"/>
          <w:szCs w:val="24"/>
        </w:rPr>
      </w:pPr>
      <w:r>
        <w:rPr>
          <w:szCs w:val="24"/>
        </w:rPr>
        <w:t>3.</w:t>
      </w:r>
      <w:r>
        <w:rPr>
          <w:szCs w:val="24"/>
        </w:rPr>
        <w:tab/>
        <w:t>Form of register of transactions</w:t>
      </w:r>
      <w:r>
        <w:tab/>
      </w:r>
      <w:r>
        <w:fldChar w:fldCharType="begin"/>
      </w:r>
      <w:r>
        <w:instrText xml:space="preserve"> PAGEREF _Toc155090964 \h </w:instrText>
      </w:r>
      <w:r>
        <w:fldChar w:fldCharType="separate"/>
      </w:r>
      <w:r>
        <w:t>2</w:t>
      </w:r>
      <w:r>
        <w:fldChar w:fldCharType="end"/>
      </w:r>
    </w:p>
    <w:p>
      <w:pPr>
        <w:pStyle w:val="TOC8"/>
        <w:rPr>
          <w:sz w:val="24"/>
          <w:szCs w:val="24"/>
        </w:rPr>
      </w:pPr>
      <w:r>
        <w:rPr>
          <w:szCs w:val="24"/>
        </w:rPr>
        <w:t>4.</w:t>
      </w:r>
      <w:r>
        <w:rPr>
          <w:szCs w:val="24"/>
        </w:rPr>
        <w:tab/>
        <w:t>Registers kept in writing</w:t>
      </w:r>
      <w:r>
        <w:tab/>
      </w:r>
      <w:r>
        <w:fldChar w:fldCharType="begin"/>
      </w:r>
      <w:r>
        <w:instrText xml:space="preserve"> PAGEREF _Toc155090965 \h </w:instrText>
      </w:r>
      <w:r>
        <w:fldChar w:fldCharType="separate"/>
      </w:r>
      <w:r>
        <w:t>2</w:t>
      </w:r>
      <w:r>
        <w:fldChar w:fldCharType="end"/>
      </w:r>
    </w:p>
    <w:p>
      <w:pPr>
        <w:pStyle w:val="TOC8"/>
        <w:rPr>
          <w:sz w:val="24"/>
          <w:szCs w:val="24"/>
        </w:rPr>
      </w:pPr>
      <w:r>
        <w:rPr>
          <w:szCs w:val="24"/>
        </w:rPr>
        <w:t>4A.</w:t>
      </w:r>
      <w:r>
        <w:rPr>
          <w:szCs w:val="24"/>
        </w:rPr>
        <w:tab/>
        <w:t>Registers kept in electronic form</w:t>
      </w:r>
      <w:r>
        <w:tab/>
      </w:r>
      <w:r>
        <w:fldChar w:fldCharType="begin"/>
      </w:r>
      <w:r>
        <w:instrText xml:space="preserve"> PAGEREF _Toc155090966 \h </w:instrText>
      </w:r>
      <w:r>
        <w:fldChar w:fldCharType="separate"/>
      </w:r>
      <w:r>
        <w:t>3</w:t>
      </w:r>
      <w:r>
        <w:fldChar w:fldCharType="end"/>
      </w:r>
    </w:p>
    <w:p>
      <w:pPr>
        <w:pStyle w:val="TOC8"/>
        <w:rPr>
          <w:sz w:val="24"/>
          <w:szCs w:val="24"/>
        </w:rPr>
      </w:pPr>
      <w:r>
        <w:rPr>
          <w:szCs w:val="24"/>
        </w:rPr>
        <w:t>5.</w:t>
      </w:r>
      <w:r>
        <w:rPr>
          <w:szCs w:val="24"/>
        </w:rPr>
        <w:tab/>
        <w:t>Notice of required particulars (section 33)</w:t>
      </w:r>
      <w:r>
        <w:tab/>
      </w:r>
      <w:r>
        <w:fldChar w:fldCharType="begin"/>
      </w:r>
      <w:r>
        <w:instrText xml:space="preserve"> PAGEREF _Toc155090967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Notice of excluded defects (Form 5)</w:t>
      </w:r>
      <w:r>
        <w:tab/>
      </w:r>
      <w:r>
        <w:fldChar w:fldCharType="begin"/>
      </w:r>
      <w:r>
        <w:instrText xml:space="preserve"> PAGEREF _Toc155090968 \h </w:instrText>
      </w:r>
      <w:r>
        <w:fldChar w:fldCharType="separate"/>
      </w:r>
      <w:r>
        <w:t>6</w:t>
      </w:r>
      <w:r>
        <w:fldChar w:fldCharType="end"/>
      </w:r>
    </w:p>
    <w:p>
      <w:pPr>
        <w:pStyle w:val="TOC8"/>
        <w:rPr>
          <w:sz w:val="24"/>
          <w:szCs w:val="24"/>
        </w:rPr>
      </w:pPr>
      <w:r>
        <w:rPr>
          <w:szCs w:val="24"/>
        </w:rPr>
        <w:t>7.</w:t>
      </w:r>
      <w:r>
        <w:rPr>
          <w:szCs w:val="24"/>
        </w:rPr>
        <w:tab/>
        <w:t>Copies of notice at time of sale (section 33(7))</w:t>
      </w:r>
      <w:r>
        <w:tab/>
      </w:r>
      <w:r>
        <w:fldChar w:fldCharType="begin"/>
      </w:r>
      <w:r>
        <w:instrText xml:space="preserve"> PAGEREF _Toc155090969 \h </w:instrText>
      </w:r>
      <w:r>
        <w:fldChar w:fldCharType="separate"/>
      </w:r>
      <w:r>
        <w:t>6</w:t>
      </w:r>
      <w:r>
        <w:fldChar w:fldCharType="end"/>
      </w:r>
    </w:p>
    <w:p>
      <w:pPr>
        <w:pStyle w:val="TOC2"/>
        <w:tabs>
          <w:tab w:val="right" w:leader="dot" w:pos="7086"/>
        </w:tabs>
        <w:rPr>
          <w:b w:val="0"/>
          <w:sz w:val="24"/>
          <w:szCs w:val="24"/>
        </w:rPr>
      </w:pPr>
      <w:r>
        <w:rPr>
          <w:szCs w:val="30"/>
        </w:rPr>
        <w:t>Part 3 — Trust Accounts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10A.</w:t>
      </w:r>
      <w:r>
        <w:rPr>
          <w:szCs w:val="24"/>
        </w:rPr>
        <w:tab/>
      </w:r>
      <w:r>
        <w:rPr>
          <w:snapToGrid w:val="0"/>
          <w:szCs w:val="24"/>
        </w:rPr>
        <w:t>Application</w:t>
      </w:r>
      <w:r>
        <w:tab/>
      </w:r>
      <w:r>
        <w:fldChar w:fldCharType="begin"/>
      </w:r>
      <w:r>
        <w:instrText xml:space="preserve"> PAGEREF _Toc155090972 \h </w:instrText>
      </w:r>
      <w:r>
        <w:fldChar w:fldCharType="separate"/>
      </w:r>
      <w:r>
        <w:t>8</w:t>
      </w:r>
      <w:r>
        <w:fldChar w:fldCharType="end"/>
      </w:r>
    </w:p>
    <w:p>
      <w:pPr>
        <w:pStyle w:val="TOC8"/>
        <w:rPr>
          <w:sz w:val="24"/>
          <w:szCs w:val="24"/>
        </w:rPr>
      </w:pPr>
      <w:r>
        <w:rPr>
          <w:szCs w:val="24"/>
        </w:rPr>
        <w:t>10B.</w:t>
      </w:r>
      <w:r>
        <w:rPr>
          <w:szCs w:val="24"/>
        </w:rPr>
        <w:tab/>
        <w:t>Prescribed financial institutions (section 32C)</w:t>
      </w:r>
      <w:r>
        <w:tab/>
      </w:r>
      <w:r>
        <w:fldChar w:fldCharType="begin"/>
      </w:r>
      <w:r>
        <w:instrText xml:space="preserve"> PAGEREF _Toc155090973 \h </w:instrText>
      </w:r>
      <w:r>
        <w:fldChar w:fldCharType="separate"/>
      </w:r>
      <w:r>
        <w:t>8</w:t>
      </w:r>
      <w:r>
        <w:fldChar w:fldCharType="end"/>
      </w:r>
    </w:p>
    <w:p>
      <w:pPr>
        <w:pStyle w:val="TOC4"/>
        <w:tabs>
          <w:tab w:val="right" w:leader="dot" w:pos="7086"/>
        </w:tabs>
        <w:rPr>
          <w:b w:val="0"/>
          <w:sz w:val="24"/>
          <w:szCs w:val="24"/>
        </w:rPr>
      </w:pPr>
      <w:r>
        <w:rPr>
          <w:szCs w:val="26"/>
        </w:rPr>
        <w:t>Division 2 — Keeping and management of trust accounts</w:t>
      </w:r>
    </w:p>
    <w:p>
      <w:pPr>
        <w:pStyle w:val="TOC8"/>
        <w:rPr>
          <w:sz w:val="24"/>
          <w:szCs w:val="24"/>
        </w:rPr>
      </w:pPr>
      <w:r>
        <w:rPr>
          <w:szCs w:val="24"/>
        </w:rPr>
        <w:t>10C.</w:t>
      </w:r>
      <w:r>
        <w:rPr>
          <w:szCs w:val="24"/>
        </w:rPr>
        <w:tab/>
        <w:t>Information to be given by the dealer to the Board</w:t>
      </w:r>
      <w:r>
        <w:tab/>
      </w:r>
      <w:r>
        <w:fldChar w:fldCharType="begin"/>
      </w:r>
      <w:r>
        <w:instrText xml:space="preserve"> PAGEREF _Toc155090975 \h </w:instrText>
      </w:r>
      <w:r>
        <w:fldChar w:fldCharType="separate"/>
      </w:r>
      <w:r>
        <w:t>8</w:t>
      </w:r>
      <w:r>
        <w:fldChar w:fldCharType="end"/>
      </w:r>
    </w:p>
    <w:p>
      <w:pPr>
        <w:pStyle w:val="TOC8"/>
        <w:rPr>
          <w:sz w:val="24"/>
          <w:szCs w:val="24"/>
        </w:rPr>
      </w:pPr>
      <w:r>
        <w:rPr>
          <w:szCs w:val="24"/>
        </w:rPr>
        <w:t>10D.</w:t>
      </w:r>
      <w:r>
        <w:rPr>
          <w:szCs w:val="24"/>
        </w:rPr>
        <w:tab/>
        <w:t>Trust accounts records</w:t>
      </w:r>
      <w:r>
        <w:tab/>
      </w:r>
      <w:r>
        <w:fldChar w:fldCharType="begin"/>
      </w:r>
      <w:r>
        <w:instrText xml:space="preserve"> PAGEREF _Toc155090976 \h </w:instrText>
      </w:r>
      <w:r>
        <w:fldChar w:fldCharType="separate"/>
      </w:r>
      <w:r>
        <w:t>9</w:t>
      </w:r>
      <w:r>
        <w:fldChar w:fldCharType="end"/>
      </w:r>
    </w:p>
    <w:p>
      <w:pPr>
        <w:pStyle w:val="TOC8"/>
        <w:rPr>
          <w:sz w:val="24"/>
          <w:szCs w:val="24"/>
        </w:rPr>
      </w:pPr>
      <w:r>
        <w:rPr>
          <w:szCs w:val="24"/>
        </w:rPr>
        <w:t>10E.</w:t>
      </w:r>
      <w:r>
        <w:rPr>
          <w:szCs w:val="24"/>
        </w:rPr>
        <w:tab/>
        <w:t>Manner of accounting for moneys received</w:t>
      </w:r>
      <w:r>
        <w:tab/>
      </w:r>
      <w:r>
        <w:fldChar w:fldCharType="begin"/>
      </w:r>
      <w:r>
        <w:instrText xml:space="preserve"> PAGEREF _Toc155090977 \h </w:instrText>
      </w:r>
      <w:r>
        <w:fldChar w:fldCharType="separate"/>
      </w:r>
      <w:r>
        <w:t>9</w:t>
      </w:r>
      <w:r>
        <w:fldChar w:fldCharType="end"/>
      </w:r>
    </w:p>
    <w:p>
      <w:pPr>
        <w:pStyle w:val="TOC8"/>
        <w:rPr>
          <w:sz w:val="24"/>
          <w:szCs w:val="24"/>
        </w:rPr>
      </w:pPr>
      <w:r>
        <w:rPr>
          <w:szCs w:val="24"/>
        </w:rPr>
        <w:t>10F.</w:t>
      </w:r>
      <w:r>
        <w:rPr>
          <w:szCs w:val="24"/>
        </w:rPr>
        <w:tab/>
        <w:t>Statutory declaration</w:t>
      </w:r>
      <w:r>
        <w:tab/>
      </w:r>
      <w:r>
        <w:fldChar w:fldCharType="begin"/>
      </w:r>
      <w:r>
        <w:instrText xml:space="preserve"> PAGEREF _Toc155090978 \h </w:instrText>
      </w:r>
      <w:r>
        <w:fldChar w:fldCharType="separate"/>
      </w:r>
      <w:r>
        <w:t>10</w:t>
      </w:r>
      <w:r>
        <w:fldChar w:fldCharType="end"/>
      </w:r>
    </w:p>
    <w:p>
      <w:pPr>
        <w:pStyle w:val="TOC4"/>
        <w:tabs>
          <w:tab w:val="right" w:leader="dot" w:pos="7086"/>
        </w:tabs>
        <w:rPr>
          <w:b w:val="0"/>
          <w:sz w:val="24"/>
          <w:szCs w:val="24"/>
        </w:rPr>
      </w:pPr>
      <w:r>
        <w:rPr>
          <w:szCs w:val="26"/>
        </w:rPr>
        <w:t>Division 3 — Duties of financial institutions</w:t>
      </w:r>
    </w:p>
    <w:p>
      <w:pPr>
        <w:pStyle w:val="TOC8"/>
        <w:rPr>
          <w:sz w:val="24"/>
          <w:szCs w:val="24"/>
        </w:rPr>
      </w:pPr>
      <w:r>
        <w:rPr>
          <w:szCs w:val="24"/>
        </w:rPr>
        <w:t>10G.</w:t>
      </w:r>
      <w:r>
        <w:rPr>
          <w:szCs w:val="24"/>
        </w:rPr>
        <w:tab/>
        <w:t>Reporting overdrawn accounts</w:t>
      </w:r>
      <w:r>
        <w:tab/>
      </w:r>
      <w:r>
        <w:fldChar w:fldCharType="begin"/>
      </w:r>
      <w:r>
        <w:instrText xml:space="preserve"> PAGEREF _Toc155090980 \h </w:instrText>
      </w:r>
      <w:r>
        <w:fldChar w:fldCharType="separate"/>
      </w:r>
      <w:r>
        <w:t>10</w:t>
      </w:r>
      <w:r>
        <w:fldChar w:fldCharType="end"/>
      </w:r>
    </w:p>
    <w:p>
      <w:pPr>
        <w:pStyle w:val="TOC4"/>
        <w:tabs>
          <w:tab w:val="right" w:leader="dot" w:pos="7086"/>
        </w:tabs>
        <w:rPr>
          <w:b w:val="0"/>
          <w:sz w:val="24"/>
          <w:szCs w:val="24"/>
        </w:rPr>
      </w:pPr>
      <w:r>
        <w:rPr>
          <w:szCs w:val="26"/>
        </w:rPr>
        <w:t>Division 4 — Auditing of trust accounts</w:t>
      </w:r>
    </w:p>
    <w:p>
      <w:pPr>
        <w:pStyle w:val="TOC8"/>
        <w:rPr>
          <w:sz w:val="24"/>
          <w:szCs w:val="24"/>
        </w:rPr>
      </w:pPr>
      <w:r>
        <w:rPr>
          <w:szCs w:val="24"/>
        </w:rPr>
        <w:t>10H.</w:t>
      </w:r>
      <w:r>
        <w:rPr>
          <w:szCs w:val="24"/>
        </w:rPr>
        <w:tab/>
        <w:t>Appointment of auditors</w:t>
      </w:r>
      <w:r>
        <w:tab/>
      </w:r>
      <w:r>
        <w:fldChar w:fldCharType="begin"/>
      </w:r>
      <w:r>
        <w:instrText xml:space="preserve"> PAGEREF _Toc155090982 \h </w:instrText>
      </w:r>
      <w:r>
        <w:fldChar w:fldCharType="separate"/>
      </w:r>
      <w:r>
        <w:t>10</w:t>
      </w:r>
      <w:r>
        <w:fldChar w:fldCharType="end"/>
      </w:r>
    </w:p>
    <w:p>
      <w:pPr>
        <w:pStyle w:val="TOC8"/>
        <w:rPr>
          <w:sz w:val="24"/>
          <w:szCs w:val="24"/>
        </w:rPr>
      </w:pPr>
      <w:r>
        <w:rPr>
          <w:szCs w:val="24"/>
        </w:rPr>
        <w:t>10I.</w:t>
      </w:r>
      <w:r>
        <w:rPr>
          <w:szCs w:val="24"/>
        </w:rPr>
        <w:tab/>
        <w:t>Production of records to auditors</w:t>
      </w:r>
      <w:r>
        <w:tab/>
      </w:r>
      <w:r>
        <w:fldChar w:fldCharType="begin"/>
      </w:r>
      <w:r>
        <w:instrText xml:space="preserve"> PAGEREF _Toc155090983 \h </w:instrText>
      </w:r>
      <w:r>
        <w:fldChar w:fldCharType="separate"/>
      </w:r>
      <w:r>
        <w:t>11</w:t>
      </w:r>
      <w:r>
        <w:fldChar w:fldCharType="end"/>
      </w:r>
    </w:p>
    <w:p>
      <w:pPr>
        <w:pStyle w:val="TOC8"/>
        <w:rPr>
          <w:sz w:val="24"/>
          <w:szCs w:val="24"/>
        </w:rPr>
      </w:pPr>
      <w:r>
        <w:rPr>
          <w:szCs w:val="24"/>
        </w:rPr>
        <w:t>10J.</w:t>
      </w:r>
      <w:r>
        <w:rPr>
          <w:szCs w:val="24"/>
        </w:rPr>
        <w:tab/>
        <w:t>Conduct of audits</w:t>
      </w:r>
      <w:r>
        <w:tab/>
      </w:r>
      <w:r>
        <w:fldChar w:fldCharType="begin"/>
      </w:r>
      <w:r>
        <w:instrText xml:space="preserve"> PAGEREF _Toc155090984 \h </w:instrText>
      </w:r>
      <w:r>
        <w:fldChar w:fldCharType="separate"/>
      </w:r>
      <w:r>
        <w:t>11</w:t>
      </w:r>
      <w:r>
        <w:fldChar w:fldCharType="end"/>
      </w:r>
    </w:p>
    <w:p>
      <w:pPr>
        <w:pStyle w:val="TOC8"/>
        <w:rPr>
          <w:sz w:val="24"/>
          <w:szCs w:val="24"/>
        </w:rPr>
      </w:pPr>
      <w:r>
        <w:rPr>
          <w:szCs w:val="24"/>
        </w:rPr>
        <w:t>10K.</w:t>
      </w:r>
      <w:r>
        <w:rPr>
          <w:szCs w:val="24"/>
        </w:rPr>
        <w:tab/>
        <w:t>Auditors’ reports, contents of</w:t>
      </w:r>
      <w:r>
        <w:tab/>
      </w:r>
      <w:r>
        <w:fldChar w:fldCharType="begin"/>
      </w:r>
      <w:r>
        <w:instrText xml:space="preserve"> PAGEREF _Toc155090985 \h </w:instrText>
      </w:r>
      <w:r>
        <w:fldChar w:fldCharType="separate"/>
      </w:r>
      <w:r>
        <w:t>11</w:t>
      </w:r>
      <w:r>
        <w:fldChar w:fldCharType="end"/>
      </w:r>
    </w:p>
    <w:p>
      <w:pPr>
        <w:pStyle w:val="TOC8"/>
        <w:rPr>
          <w:sz w:val="24"/>
          <w:szCs w:val="24"/>
        </w:rPr>
      </w:pPr>
      <w:r>
        <w:rPr>
          <w:szCs w:val="24"/>
        </w:rPr>
        <w:t>10L.</w:t>
      </w:r>
      <w:r>
        <w:rPr>
          <w:szCs w:val="24"/>
        </w:rPr>
        <w:tab/>
        <w:t>Obligation of auditor to disclose certain information</w:t>
      </w:r>
      <w:r>
        <w:tab/>
      </w:r>
      <w:r>
        <w:fldChar w:fldCharType="begin"/>
      </w:r>
      <w:r>
        <w:instrText xml:space="preserve"> PAGEREF _Toc155090986 \h </w:instrText>
      </w:r>
      <w:r>
        <w:fldChar w:fldCharType="separate"/>
      </w:r>
      <w:r>
        <w:t>12</w:t>
      </w:r>
      <w:r>
        <w:fldChar w:fldCharType="end"/>
      </w:r>
    </w:p>
    <w:p>
      <w:pPr>
        <w:pStyle w:val="TOC8"/>
        <w:rPr>
          <w:sz w:val="24"/>
          <w:szCs w:val="24"/>
        </w:rPr>
      </w:pPr>
      <w:r>
        <w:rPr>
          <w:szCs w:val="24"/>
        </w:rPr>
        <w:t>10M.</w:t>
      </w:r>
      <w:r>
        <w:rPr>
          <w:szCs w:val="24"/>
        </w:rPr>
        <w:tab/>
        <w:t>Costs of auditing</w:t>
      </w:r>
      <w:r>
        <w:tab/>
      </w:r>
      <w:r>
        <w:fldChar w:fldCharType="begin"/>
      </w:r>
      <w:r>
        <w:instrText xml:space="preserve"> PAGEREF _Toc155090987 \h </w:instrText>
      </w:r>
      <w:r>
        <w:fldChar w:fldCharType="separate"/>
      </w:r>
      <w:r>
        <w:t>12</w:t>
      </w:r>
      <w:r>
        <w:fldChar w:fldCharType="end"/>
      </w:r>
    </w:p>
    <w:p>
      <w:pPr>
        <w:pStyle w:val="TOC8"/>
        <w:rPr>
          <w:sz w:val="24"/>
          <w:szCs w:val="24"/>
        </w:rPr>
      </w:pPr>
      <w:r>
        <w:rPr>
          <w:szCs w:val="24"/>
        </w:rPr>
        <w:t>10N.</w:t>
      </w:r>
      <w:r>
        <w:rPr>
          <w:szCs w:val="24"/>
        </w:rPr>
        <w:tab/>
        <w:t>When and to whom the auditor must report</w:t>
      </w:r>
      <w:r>
        <w:tab/>
      </w:r>
      <w:r>
        <w:fldChar w:fldCharType="begin"/>
      </w:r>
      <w:r>
        <w:instrText xml:space="preserve"> PAGEREF _Toc155090988 \h </w:instrText>
      </w:r>
      <w:r>
        <w:fldChar w:fldCharType="separate"/>
      </w:r>
      <w:r>
        <w:t>12</w:t>
      </w:r>
      <w:r>
        <w:fldChar w:fldCharType="end"/>
      </w:r>
    </w:p>
    <w:p>
      <w:pPr>
        <w:pStyle w:val="TOC8"/>
        <w:rPr>
          <w:sz w:val="24"/>
          <w:szCs w:val="24"/>
        </w:rPr>
      </w:pPr>
      <w:r>
        <w:rPr>
          <w:szCs w:val="24"/>
        </w:rPr>
        <w:t>10O.</w:t>
      </w:r>
      <w:r>
        <w:rPr>
          <w:szCs w:val="24"/>
        </w:rPr>
        <w:tab/>
        <w:t>Confidentiality of audit information</w:t>
      </w:r>
      <w:r>
        <w:tab/>
      </w:r>
      <w:r>
        <w:fldChar w:fldCharType="begin"/>
      </w:r>
      <w:r>
        <w:instrText xml:space="preserve"> PAGEREF _Toc155090989 \h </w:instrText>
      </w:r>
      <w:r>
        <w:fldChar w:fldCharType="separate"/>
      </w:r>
      <w:r>
        <w:t>13</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11</w:t>
      </w:r>
      <w:r>
        <w:rPr>
          <w:snapToGrid w:val="0"/>
          <w:szCs w:val="24"/>
        </w:rPr>
        <w:t>.</w:t>
      </w:r>
      <w:r>
        <w:rPr>
          <w:snapToGrid w:val="0"/>
          <w:szCs w:val="24"/>
        </w:rPr>
        <w:tab/>
        <w:t>Advertising</w:t>
      </w:r>
      <w:r>
        <w:tab/>
      </w:r>
      <w:r>
        <w:fldChar w:fldCharType="begin"/>
      </w:r>
      <w:r>
        <w:instrText xml:space="preserve"> PAGEREF _Toc155090991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Undesirable practices (Second Schedule)</w:t>
      </w:r>
      <w:r>
        <w:tab/>
      </w:r>
      <w:r>
        <w:fldChar w:fldCharType="begin"/>
      </w:r>
      <w:r>
        <w:instrText xml:space="preserve"> PAGEREF _Toc155090992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Prescribed accessories (Third Schedule)</w:t>
      </w:r>
      <w:r>
        <w:tab/>
      </w:r>
      <w:r>
        <w:fldChar w:fldCharType="begin"/>
      </w:r>
      <w:r>
        <w:instrText xml:space="preserve"> PAGEREF _Toc155090993 \h </w:instrText>
      </w:r>
      <w:r>
        <w:fldChar w:fldCharType="separate"/>
      </w:r>
      <w:r>
        <w:t>14</w:t>
      </w:r>
      <w:r>
        <w:fldChar w:fldCharType="end"/>
      </w:r>
    </w:p>
    <w:p>
      <w:pPr>
        <w:pStyle w:val="TOC8"/>
        <w:rPr>
          <w:sz w:val="24"/>
          <w:szCs w:val="24"/>
        </w:rPr>
      </w:pPr>
      <w:r>
        <w:rPr>
          <w:szCs w:val="24"/>
        </w:rPr>
        <w:t>13A.</w:t>
      </w:r>
      <w:r>
        <w:rPr>
          <w:szCs w:val="24"/>
        </w:rPr>
        <w:tab/>
        <w:t>Prescribed requirements</w:t>
      </w:r>
      <w:r>
        <w:rPr>
          <w:snapToGrid w:val="0"/>
          <w:szCs w:val="24"/>
        </w:rPr>
        <w:t xml:space="preserve"> for vehicle consignment agreements (Fourth Schedule)</w:t>
      </w:r>
      <w:r>
        <w:tab/>
      </w:r>
      <w:r>
        <w:fldChar w:fldCharType="begin"/>
      </w:r>
      <w:r>
        <w:instrText xml:space="preserve"> PAGEREF _Toc155090994 \h </w:instrText>
      </w:r>
      <w:r>
        <w:fldChar w:fldCharType="separate"/>
      </w:r>
      <w:r>
        <w:t>14</w:t>
      </w:r>
      <w:r>
        <w:fldChar w:fldCharType="end"/>
      </w:r>
    </w:p>
    <w:p>
      <w:pPr>
        <w:pStyle w:val="TOC8"/>
        <w:rPr>
          <w:sz w:val="24"/>
          <w:szCs w:val="24"/>
        </w:rPr>
      </w:pPr>
      <w:r>
        <w:rPr>
          <w:szCs w:val="24"/>
        </w:rPr>
        <w:t>13B.</w:t>
      </w:r>
      <w:r>
        <w:rPr>
          <w:szCs w:val="24"/>
        </w:rPr>
        <w:tab/>
        <w:t>Prescribed requirements for vehicle sale agreements (Fifth Schedule)</w:t>
      </w:r>
      <w:r>
        <w:tab/>
      </w:r>
      <w:r>
        <w:fldChar w:fldCharType="begin"/>
      </w:r>
      <w:r>
        <w:instrText xml:space="preserve"> PAGEREF _Toc155090995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Penalties</w:t>
      </w:r>
      <w:r>
        <w:tab/>
      </w:r>
      <w:r>
        <w:fldChar w:fldCharType="begin"/>
      </w:r>
      <w:r>
        <w:instrText xml:space="preserve"> PAGEREF _Toc155090996 \h </w:instrText>
      </w:r>
      <w:r>
        <w:fldChar w:fldCharType="separate"/>
      </w:r>
      <w:r>
        <w:t>15</w:t>
      </w:r>
      <w:r>
        <w:fldChar w:fldCharType="end"/>
      </w:r>
    </w:p>
    <w:p>
      <w:pPr>
        <w:pStyle w:val="TOC2"/>
        <w:tabs>
          <w:tab w:val="right" w:leader="dot" w:pos="7086"/>
        </w:tabs>
        <w:rPr>
          <w:b w:val="0"/>
          <w:sz w:val="24"/>
          <w:szCs w:val="24"/>
        </w:rPr>
      </w:pPr>
      <w:r>
        <w:rPr>
          <w:szCs w:val="28"/>
        </w:rPr>
        <w:t>Schedule 1 — Forms</w:t>
      </w:r>
    </w:p>
    <w:p>
      <w:pPr>
        <w:pStyle w:val="TOC4"/>
        <w:tabs>
          <w:tab w:val="right" w:leader="dot" w:pos="7086"/>
        </w:tabs>
        <w:rPr>
          <w:b w:val="0"/>
          <w:sz w:val="24"/>
          <w:szCs w:val="24"/>
        </w:rPr>
      </w:pPr>
      <w:r>
        <w:rPr>
          <w:szCs w:val="24"/>
        </w:rPr>
        <w:t>Form 1 — Register of transactions</w:t>
      </w:r>
    </w:p>
    <w:p>
      <w:pPr>
        <w:pStyle w:val="TOC4"/>
        <w:tabs>
          <w:tab w:val="right" w:leader="dot" w:pos="7086"/>
        </w:tabs>
        <w:rPr>
          <w:b w:val="0"/>
          <w:sz w:val="24"/>
          <w:szCs w:val="24"/>
        </w:rPr>
      </w:pPr>
      <w:r>
        <w:rPr>
          <w:szCs w:val="24"/>
        </w:rPr>
        <w:t>Form 4</w:t>
      </w:r>
      <w:r>
        <w:rPr>
          <w:b w:val="0"/>
          <w:szCs w:val="24"/>
        </w:rPr>
        <w:t> — </w:t>
      </w:r>
      <w:r>
        <w:rPr>
          <w:szCs w:val="24"/>
        </w:rPr>
        <w:t>Vehicle particulars and warranty</w:t>
      </w:r>
    </w:p>
    <w:p>
      <w:pPr>
        <w:pStyle w:val="TOC4"/>
        <w:tabs>
          <w:tab w:val="right" w:leader="dot" w:pos="7086"/>
        </w:tabs>
        <w:rPr>
          <w:b w:val="0"/>
          <w:sz w:val="24"/>
          <w:szCs w:val="24"/>
        </w:rPr>
      </w:pPr>
      <w:r>
        <w:rPr>
          <w:szCs w:val="24"/>
        </w:rPr>
        <w:t>Form 5</w:t>
      </w:r>
      <w:r>
        <w:rPr>
          <w:b w:val="0"/>
          <w:szCs w:val="24"/>
        </w:rPr>
        <w:t> — </w:t>
      </w:r>
      <w:r>
        <w:rPr>
          <w:szCs w:val="24"/>
        </w:rPr>
        <w:t>Notice of defects excluded from warranty</w:t>
      </w:r>
    </w:p>
    <w:p>
      <w:pPr>
        <w:pStyle w:val="TOC4"/>
        <w:tabs>
          <w:tab w:val="right" w:leader="dot" w:pos="7086"/>
        </w:tabs>
        <w:rPr>
          <w:b w:val="0"/>
          <w:sz w:val="24"/>
          <w:szCs w:val="24"/>
        </w:rPr>
      </w:pPr>
      <w:r>
        <w:rPr>
          <w:szCs w:val="24"/>
        </w:rPr>
        <w:t>Form 6</w:t>
      </w:r>
      <w:r>
        <w:rPr>
          <w:b w:val="0"/>
          <w:szCs w:val="24"/>
        </w:rPr>
        <w:t> — </w:t>
      </w:r>
      <w:r>
        <w:rPr>
          <w:szCs w:val="24"/>
        </w:rPr>
        <w:t>Vehicle particulars — no warranty</w:t>
      </w:r>
    </w:p>
    <w:p>
      <w:pPr>
        <w:pStyle w:val="TOC2"/>
        <w:tabs>
          <w:tab w:val="right" w:leader="dot" w:pos="7086"/>
        </w:tabs>
        <w:rPr>
          <w:b w:val="0"/>
          <w:sz w:val="24"/>
          <w:szCs w:val="24"/>
        </w:rPr>
      </w:pPr>
      <w:r>
        <w:rPr>
          <w:szCs w:val="28"/>
        </w:rPr>
        <w:t>Schedule 2 — Undesirable practices</w:t>
      </w:r>
    </w:p>
    <w:p>
      <w:pPr>
        <w:pStyle w:val="TOC2"/>
        <w:tabs>
          <w:tab w:val="right" w:leader="dot" w:pos="7086"/>
        </w:tabs>
        <w:rPr>
          <w:b w:val="0"/>
          <w:sz w:val="24"/>
          <w:szCs w:val="24"/>
        </w:rPr>
      </w:pPr>
      <w:r>
        <w:rPr>
          <w:szCs w:val="28"/>
        </w:rPr>
        <w:t>Schedule 3 — Prescribed accessories</w:t>
      </w:r>
    </w:p>
    <w:p>
      <w:pPr>
        <w:pStyle w:val="TOC2"/>
        <w:tabs>
          <w:tab w:val="right" w:leader="dot" w:pos="7086"/>
        </w:tabs>
        <w:rPr>
          <w:b w:val="0"/>
          <w:sz w:val="24"/>
          <w:szCs w:val="24"/>
        </w:rPr>
      </w:pPr>
      <w:r>
        <w:rPr>
          <w:szCs w:val="28"/>
        </w:rPr>
        <w:t>Schedule 4 — Vehicle consignment contract</w:t>
      </w:r>
    </w:p>
    <w:p>
      <w:pPr>
        <w:pStyle w:val="TOC2"/>
        <w:tabs>
          <w:tab w:val="right" w:leader="dot" w:pos="7086"/>
        </w:tabs>
        <w:rPr>
          <w:b w:val="0"/>
          <w:sz w:val="24"/>
          <w:szCs w:val="24"/>
        </w:rPr>
      </w:pPr>
      <w:r>
        <w:rPr>
          <w:szCs w:val="28"/>
        </w:rPr>
        <w:t>Schedule 5 — Vehicle sale contract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_Toc155091007 \h </w:instrText>
      </w:r>
      <w:r>
        <w:fldChar w:fldCharType="separate"/>
      </w:r>
      <w:r>
        <w:t>35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rPr>
          <w:rStyle w:val="CharPartText"/>
        </w:rPr>
      </w:pPr>
      <w:bookmarkStart w:id="1" w:name="_Toc151453695"/>
      <w:bookmarkStart w:id="2" w:name="_Toc151453762"/>
      <w:bookmarkStart w:id="3" w:name="_Toc151453808"/>
      <w:bookmarkStart w:id="4" w:name="_Toc151456277"/>
      <w:bookmarkStart w:id="5" w:name="_Toc151457510"/>
      <w:bookmarkStart w:id="6" w:name="_Toc151526490"/>
      <w:bookmarkStart w:id="7" w:name="_Toc155088476"/>
      <w:bookmarkStart w:id="8" w:name="_Toc155090960"/>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p>
    <w:p>
      <w:pPr>
        <w:pStyle w:val="Footnoteheading"/>
        <w:tabs>
          <w:tab w:val="left" w:pos="851"/>
        </w:tabs>
      </w:pPr>
      <w:r>
        <w:tab/>
        <w:t>[Heading inserted in Gazette 13 August 2002 p. 4159.]</w:t>
      </w:r>
    </w:p>
    <w:p>
      <w:pPr>
        <w:pStyle w:val="Heading5"/>
        <w:spacing w:before="180"/>
        <w:rPr>
          <w:snapToGrid w:val="0"/>
        </w:rPr>
      </w:pPr>
      <w:bookmarkStart w:id="9" w:name="_Toc18481776"/>
      <w:bookmarkStart w:id="10" w:name="_Toc155090961"/>
      <w:r>
        <w:rPr>
          <w:rStyle w:val="CharSectno"/>
        </w:rPr>
        <w:t>1</w:t>
      </w:r>
      <w:r>
        <w:rPr>
          <w:snapToGrid w:val="0"/>
        </w:rPr>
        <w:t>.</w:t>
      </w:r>
      <w:r>
        <w:rPr>
          <w:snapToGrid w:val="0"/>
        </w:rPr>
        <w:tab/>
        <w:t>Citation</w:t>
      </w:r>
      <w:bookmarkEnd w:id="9"/>
      <w:bookmarkEnd w:id="10"/>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11" w:name="_Toc18481777"/>
      <w:bookmarkStart w:id="12" w:name="_Toc155090962"/>
      <w:r>
        <w:rPr>
          <w:rStyle w:val="CharSectno"/>
        </w:rPr>
        <w:t>2</w:t>
      </w:r>
      <w:r>
        <w:rPr>
          <w:snapToGrid w:val="0"/>
        </w:rPr>
        <w:t>.</w:t>
      </w:r>
      <w:r>
        <w:rPr>
          <w:snapToGrid w:val="0"/>
        </w:rPr>
        <w:tab/>
        <w:t>Interpretation</w:t>
      </w:r>
      <w:bookmarkEnd w:id="11"/>
      <w:bookmarkEnd w:id="12"/>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Schedule 1;</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August 2002 p.4159; 17 Nov 2006 p. 4750.]</w:t>
      </w:r>
    </w:p>
    <w:p>
      <w:pPr>
        <w:pStyle w:val="Heading2"/>
        <w:rPr>
          <w:rStyle w:val="CharPartText"/>
        </w:rPr>
      </w:pPr>
      <w:bookmarkStart w:id="13" w:name="_Toc151453698"/>
      <w:bookmarkStart w:id="14" w:name="_Toc151453765"/>
      <w:bookmarkStart w:id="15" w:name="_Toc151453811"/>
      <w:bookmarkStart w:id="16" w:name="_Toc151456280"/>
      <w:bookmarkStart w:id="17" w:name="_Toc151457513"/>
      <w:bookmarkStart w:id="18" w:name="_Toc151526493"/>
      <w:bookmarkStart w:id="19" w:name="_Toc155088479"/>
      <w:bookmarkStart w:id="20" w:name="_Toc155090963"/>
      <w:r>
        <w:rPr>
          <w:rStyle w:val="CharPartNo"/>
        </w:rPr>
        <w:t>Part 2</w:t>
      </w:r>
      <w:r>
        <w:t xml:space="preserve"> — </w:t>
      </w:r>
      <w:r>
        <w:rPr>
          <w:rStyle w:val="CharPartText"/>
        </w:rPr>
        <w:t>Forms</w:t>
      </w:r>
      <w:bookmarkEnd w:id="13"/>
      <w:bookmarkEnd w:id="14"/>
      <w:bookmarkEnd w:id="15"/>
      <w:bookmarkEnd w:id="16"/>
      <w:bookmarkEnd w:id="17"/>
      <w:bookmarkEnd w:id="18"/>
      <w:bookmarkEnd w:id="19"/>
      <w:bookmarkEnd w:id="20"/>
    </w:p>
    <w:p>
      <w:pPr>
        <w:pStyle w:val="Footnoteheading"/>
        <w:tabs>
          <w:tab w:val="left" w:pos="851"/>
        </w:tabs>
      </w:pPr>
      <w:r>
        <w:tab/>
        <w:t>[Heading inserted in Gazette 13 August 2002 p.4159.]</w:t>
      </w:r>
    </w:p>
    <w:p>
      <w:pPr>
        <w:pStyle w:val="Heading5"/>
      </w:pPr>
      <w:bookmarkStart w:id="21" w:name="_Toc155090964"/>
      <w:bookmarkStart w:id="22" w:name="_Toc18481780"/>
      <w:r>
        <w:rPr>
          <w:rStyle w:val="CharSectno"/>
        </w:rPr>
        <w:t>3</w:t>
      </w:r>
      <w:r>
        <w:t>.</w:t>
      </w:r>
      <w:r>
        <w:tab/>
        <w:t>Form of register of transactions</w:t>
      </w:r>
      <w:bookmarkEnd w:id="21"/>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23" w:name="_Toc155090965"/>
      <w:r>
        <w:rPr>
          <w:rStyle w:val="CharSectno"/>
        </w:rPr>
        <w:t>4</w:t>
      </w:r>
      <w:r>
        <w:t>.</w:t>
      </w:r>
      <w:r>
        <w:tab/>
        <w:t>Registers kept in writing</w:t>
      </w:r>
      <w:bookmarkEnd w:id="23"/>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24" w:name="_Toc155090966"/>
      <w:r>
        <w:rPr>
          <w:rStyle w:val="CharSectno"/>
        </w:rPr>
        <w:t>4A</w:t>
      </w:r>
      <w:r>
        <w:t>.</w:t>
      </w:r>
      <w:r>
        <w:tab/>
        <w:t>Registers kept in electronic form</w:t>
      </w:r>
      <w:bookmarkEnd w:id="24"/>
    </w:p>
    <w:p>
      <w:pPr>
        <w:pStyle w:val="Subsection"/>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25" w:name="_Toc155090967"/>
      <w:r>
        <w:rPr>
          <w:rStyle w:val="CharSectno"/>
        </w:rPr>
        <w:t>5</w:t>
      </w:r>
      <w:r>
        <w:t>.</w:t>
      </w:r>
      <w:r>
        <w:tab/>
        <w:t>Notice of required particulars (section 33)</w:t>
      </w:r>
      <w:bookmarkEnd w:id="22"/>
      <w:bookmarkEnd w:id="25"/>
    </w:p>
    <w:p>
      <w:pPr>
        <w:pStyle w:val="Subsection"/>
      </w:pPr>
      <w:r>
        <w:tab/>
        <w:t>(1)</w:t>
      </w:r>
      <w:r>
        <w:tab/>
        <w:t>For the purposes of section 33(1) of the Act the form of the notice containing the required particulars shall also set out —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lang w:val="en-US"/>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June 1998 pp.3375</w:t>
      </w:r>
      <w:r>
        <w:noBreakHyphen/>
        <w:t xml:space="preserve">6; amended in Gazette 18 September 1998 p.5158.] </w:t>
      </w:r>
    </w:p>
    <w:p>
      <w:pPr>
        <w:pStyle w:val="Ednotesection"/>
        <w:rPr>
          <w:b/>
        </w:rPr>
      </w:pPr>
      <w:r>
        <w:t>[</w:t>
      </w:r>
      <w:r>
        <w:rPr>
          <w:b/>
        </w:rPr>
        <w:t>5A.</w:t>
      </w:r>
      <w:r>
        <w:rPr>
          <w:b/>
        </w:rPr>
        <w:tab/>
      </w:r>
      <w:r>
        <w:rPr>
          <w:b/>
        </w:rPr>
        <w:tab/>
      </w:r>
      <w:r>
        <w:t>Repealed in Gazette 13 August 2002 p. 4160.]</w:t>
      </w:r>
    </w:p>
    <w:p>
      <w:pPr>
        <w:pStyle w:val="Heading5"/>
        <w:rPr>
          <w:snapToGrid w:val="0"/>
        </w:rPr>
      </w:pPr>
      <w:bookmarkStart w:id="26" w:name="_Toc18481781"/>
      <w:bookmarkStart w:id="27" w:name="_Toc155090968"/>
      <w:r>
        <w:rPr>
          <w:rStyle w:val="CharSectno"/>
        </w:rPr>
        <w:t>6</w:t>
      </w:r>
      <w:r>
        <w:rPr>
          <w:snapToGrid w:val="0"/>
        </w:rPr>
        <w:t>.</w:t>
      </w:r>
      <w:r>
        <w:rPr>
          <w:snapToGrid w:val="0"/>
        </w:rPr>
        <w:tab/>
        <w:t>Notice of excluded defects (Form 5)</w:t>
      </w:r>
      <w:bookmarkEnd w:id="26"/>
      <w:bookmarkEnd w:id="27"/>
      <w:r>
        <w:rPr>
          <w:snapToGrid w:val="0"/>
        </w:rPr>
        <w:t xml:space="preserve"> </w:t>
      </w:r>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October 1974 p.3885; 17 Nov 2006 p. 4752.]</w:t>
      </w:r>
    </w:p>
    <w:p>
      <w:pPr>
        <w:pStyle w:val="Heading5"/>
      </w:pPr>
      <w:bookmarkStart w:id="28" w:name="_Toc18481782"/>
      <w:bookmarkStart w:id="29" w:name="_Toc155090969"/>
      <w:r>
        <w:rPr>
          <w:rStyle w:val="CharSectno"/>
        </w:rPr>
        <w:t>7</w:t>
      </w:r>
      <w:r>
        <w:t>.</w:t>
      </w:r>
      <w:r>
        <w:tab/>
        <w:t>Copies of notice at time of sale (section 33(7))</w:t>
      </w:r>
      <w:bookmarkEnd w:id="28"/>
      <w:bookmarkEnd w:id="29"/>
    </w:p>
    <w:p>
      <w:pPr>
        <w:pStyle w:val="Subsection"/>
        <w:spacing w:before="120"/>
      </w:pPr>
      <w:r>
        <w:tab/>
        <w:t>(1)</w:t>
      </w:r>
      <w:r>
        <w:tab/>
        <w:t>Where a dealer sells a vehicle to which the obligations imposed by section 34 do apply, the copy of the notice required under section 33(7) shall be —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 xml:space="preserve">[Regulation 7 inserted in Gazette 26 June 1998 p.3376; amended in Gazette 17 Nov 2006 p. 4752.] </w:t>
      </w:r>
    </w:p>
    <w:p>
      <w:pPr>
        <w:pStyle w:val="Ednotesection"/>
      </w:pPr>
      <w:r>
        <w:t>[</w:t>
      </w:r>
      <w:r>
        <w:rPr>
          <w:b/>
          <w:bCs/>
        </w:rPr>
        <w:t>8</w:t>
      </w:r>
      <w:r>
        <w:rPr>
          <w:b/>
          <w:bCs/>
        </w:rPr>
        <w:noBreakHyphen/>
        <w:t>10.</w:t>
      </w:r>
      <w:r>
        <w:rPr>
          <w:b/>
          <w:bCs/>
        </w:rPr>
        <w:tab/>
      </w:r>
      <w:r>
        <w:t>Repealed in Gazette 17 Nov 2006 p. 4752.]</w:t>
      </w:r>
    </w:p>
    <w:p>
      <w:pPr>
        <w:pStyle w:val="Heading2"/>
        <w:rPr>
          <w:rStyle w:val="CharPartText"/>
        </w:rPr>
      </w:pPr>
      <w:bookmarkStart w:id="30" w:name="_Toc151453707"/>
      <w:bookmarkStart w:id="31" w:name="_Toc151453774"/>
      <w:bookmarkStart w:id="32" w:name="_Toc151453820"/>
      <w:bookmarkStart w:id="33" w:name="_Toc151456289"/>
      <w:bookmarkStart w:id="34" w:name="_Toc151457522"/>
      <w:bookmarkStart w:id="35" w:name="_Toc151526502"/>
      <w:bookmarkStart w:id="36" w:name="_Toc155088486"/>
      <w:bookmarkStart w:id="37" w:name="_Toc155090970"/>
      <w:r>
        <w:rPr>
          <w:rStyle w:val="CharPartNo"/>
        </w:rPr>
        <w:t>Part 3</w:t>
      </w:r>
      <w:r>
        <w:t xml:space="preserve"> — </w:t>
      </w:r>
      <w:r>
        <w:rPr>
          <w:rStyle w:val="CharPartText"/>
        </w:rPr>
        <w:t>Trust Accounts</w:t>
      </w:r>
      <w:bookmarkEnd w:id="30"/>
      <w:bookmarkEnd w:id="31"/>
      <w:bookmarkEnd w:id="32"/>
      <w:bookmarkEnd w:id="33"/>
      <w:bookmarkEnd w:id="34"/>
      <w:bookmarkEnd w:id="35"/>
      <w:bookmarkEnd w:id="36"/>
      <w:bookmarkEnd w:id="37"/>
    </w:p>
    <w:p>
      <w:pPr>
        <w:pStyle w:val="Footnoteheading"/>
        <w:tabs>
          <w:tab w:val="left" w:pos="851"/>
        </w:tabs>
      </w:pPr>
      <w:r>
        <w:tab/>
        <w:t>[Heading inserted in Gazette 13 August 2002 p.4160.]</w:t>
      </w:r>
    </w:p>
    <w:p>
      <w:pPr>
        <w:pStyle w:val="Heading3"/>
        <w:rPr>
          <w:rStyle w:val="CharDivText"/>
        </w:rPr>
      </w:pPr>
      <w:bookmarkStart w:id="38" w:name="_Toc151453708"/>
      <w:bookmarkStart w:id="39" w:name="_Toc151453775"/>
      <w:bookmarkStart w:id="40" w:name="_Toc151453821"/>
      <w:bookmarkStart w:id="41" w:name="_Toc151456290"/>
      <w:bookmarkStart w:id="42" w:name="_Toc151457523"/>
      <w:bookmarkStart w:id="43" w:name="_Toc151526503"/>
      <w:bookmarkStart w:id="44" w:name="_Toc155088487"/>
      <w:bookmarkStart w:id="45" w:name="_Toc155090971"/>
      <w:r>
        <w:rPr>
          <w:rStyle w:val="CharDivNo"/>
        </w:rPr>
        <w:t>Division 1</w:t>
      </w:r>
      <w:r>
        <w:t xml:space="preserve"> — </w:t>
      </w:r>
      <w:r>
        <w:rPr>
          <w:rStyle w:val="CharDivText"/>
        </w:rPr>
        <w:t>General</w:t>
      </w:r>
      <w:bookmarkEnd w:id="38"/>
      <w:bookmarkEnd w:id="39"/>
      <w:bookmarkEnd w:id="40"/>
      <w:bookmarkEnd w:id="41"/>
      <w:bookmarkEnd w:id="42"/>
      <w:bookmarkEnd w:id="43"/>
      <w:bookmarkEnd w:id="44"/>
      <w:bookmarkEnd w:id="45"/>
    </w:p>
    <w:p>
      <w:pPr>
        <w:pStyle w:val="Footnoteheading"/>
        <w:tabs>
          <w:tab w:val="left" w:pos="851"/>
        </w:tabs>
      </w:pPr>
      <w:r>
        <w:tab/>
        <w:t>[Heading inserted in Gazette 13 August 2002 p.4160.]</w:t>
      </w:r>
    </w:p>
    <w:p>
      <w:pPr>
        <w:pStyle w:val="Heading5"/>
      </w:pPr>
      <w:bookmarkStart w:id="46" w:name="_Toc18481786"/>
      <w:bookmarkStart w:id="47" w:name="_Toc155090972"/>
      <w:r>
        <w:rPr>
          <w:rStyle w:val="CharSectno"/>
        </w:rPr>
        <w:t>10A</w:t>
      </w:r>
      <w:r>
        <w:t>.</w:t>
      </w:r>
      <w:r>
        <w:tab/>
      </w:r>
      <w:r>
        <w:rPr>
          <w:snapToGrid w:val="0"/>
        </w:rPr>
        <w:t>Application</w:t>
      </w:r>
      <w:bookmarkEnd w:id="46"/>
      <w:bookmarkEnd w:id="47"/>
    </w:p>
    <w:p>
      <w:pPr>
        <w:pStyle w:val="Subsection"/>
      </w:pPr>
      <w:r>
        <w:tab/>
      </w:r>
      <w:r>
        <w:tab/>
        <w:t>This Part applies to trust accounts required to be maintained by a dealer under section 32C.</w:t>
      </w:r>
    </w:p>
    <w:p>
      <w:pPr>
        <w:pStyle w:val="Footnotesection"/>
      </w:pPr>
      <w:r>
        <w:tab/>
        <w:t>[Regulation 10A inserted in Gazette 13 August 2002 p.4160.]</w:t>
      </w:r>
    </w:p>
    <w:p>
      <w:pPr>
        <w:pStyle w:val="Heading5"/>
      </w:pPr>
      <w:bookmarkStart w:id="48" w:name="_Toc18481787"/>
      <w:bookmarkStart w:id="49" w:name="_Toc155090973"/>
      <w:r>
        <w:rPr>
          <w:rStyle w:val="CharSectno"/>
        </w:rPr>
        <w:t>10B</w:t>
      </w:r>
      <w:r>
        <w:t>.</w:t>
      </w:r>
      <w:r>
        <w:tab/>
        <w:t>Prescribed financial institutions (section 32C)</w:t>
      </w:r>
      <w:bookmarkEnd w:id="48"/>
      <w:bookmarkEnd w:id="49"/>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August 2002 p.4160.]</w:t>
      </w:r>
    </w:p>
    <w:p>
      <w:pPr>
        <w:pStyle w:val="Heading3"/>
      </w:pPr>
      <w:bookmarkStart w:id="50" w:name="_Toc151453711"/>
      <w:bookmarkStart w:id="51" w:name="_Toc151453778"/>
      <w:bookmarkStart w:id="52" w:name="_Toc151453824"/>
      <w:bookmarkStart w:id="53" w:name="_Toc151456293"/>
      <w:bookmarkStart w:id="54" w:name="_Toc151457526"/>
      <w:bookmarkStart w:id="55" w:name="_Toc151526506"/>
      <w:bookmarkStart w:id="56" w:name="_Toc155088490"/>
      <w:bookmarkStart w:id="57" w:name="_Toc155090974"/>
      <w:r>
        <w:rPr>
          <w:rStyle w:val="CharDivNo"/>
        </w:rPr>
        <w:t>Division 2</w:t>
      </w:r>
      <w:r>
        <w:t xml:space="preserve"> — </w:t>
      </w:r>
      <w:r>
        <w:rPr>
          <w:rStyle w:val="CharDivText"/>
        </w:rPr>
        <w:t>Keeping and management of trust accounts</w:t>
      </w:r>
      <w:bookmarkEnd w:id="50"/>
      <w:bookmarkEnd w:id="51"/>
      <w:bookmarkEnd w:id="52"/>
      <w:bookmarkEnd w:id="53"/>
      <w:bookmarkEnd w:id="54"/>
      <w:bookmarkEnd w:id="55"/>
      <w:bookmarkEnd w:id="56"/>
      <w:bookmarkEnd w:id="57"/>
    </w:p>
    <w:p>
      <w:pPr>
        <w:pStyle w:val="Footnoteheading"/>
        <w:tabs>
          <w:tab w:val="left" w:pos="851"/>
        </w:tabs>
      </w:pPr>
      <w:r>
        <w:tab/>
        <w:t>[Heading inserted in Gazette 13 August 2002 p.4160.]</w:t>
      </w:r>
    </w:p>
    <w:p>
      <w:pPr>
        <w:pStyle w:val="Heading5"/>
      </w:pPr>
      <w:bookmarkStart w:id="58" w:name="_Toc18481788"/>
      <w:bookmarkStart w:id="59" w:name="_Toc155090975"/>
      <w:r>
        <w:rPr>
          <w:rStyle w:val="CharSectno"/>
        </w:rPr>
        <w:t>10C</w:t>
      </w:r>
      <w:r>
        <w:t>.</w:t>
      </w:r>
      <w:r>
        <w:tab/>
        <w:t>Information to be given by the dealer to the Board</w:t>
      </w:r>
      <w:bookmarkEnd w:id="58"/>
      <w:bookmarkEnd w:id="59"/>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Board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August 2002 p.4160.]</w:t>
      </w:r>
    </w:p>
    <w:p>
      <w:pPr>
        <w:pStyle w:val="Heading5"/>
      </w:pPr>
      <w:bookmarkStart w:id="60" w:name="_Toc18481789"/>
      <w:bookmarkStart w:id="61" w:name="_Toc155090976"/>
      <w:r>
        <w:rPr>
          <w:rStyle w:val="CharSectno"/>
        </w:rPr>
        <w:t>10D</w:t>
      </w:r>
      <w:r>
        <w:t>.</w:t>
      </w:r>
      <w:r>
        <w:tab/>
        <w:t>Trust accounts records</w:t>
      </w:r>
      <w:bookmarkEnd w:id="60"/>
      <w:bookmarkEnd w:id="61"/>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August 2002 p.4160</w:t>
      </w:r>
      <w:r>
        <w:noBreakHyphen/>
        <w:t>1.]</w:t>
      </w:r>
    </w:p>
    <w:p>
      <w:pPr>
        <w:pStyle w:val="Heading5"/>
      </w:pPr>
      <w:bookmarkStart w:id="62" w:name="_Toc18481790"/>
      <w:bookmarkStart w:id="63" w:name="_Toc155090977"/>
      <w:r>
        <w:rPr>
          <w:rStyle w:val="CharSectno"/>
        </w:rPr>
        <w:t>10E</w:t>
      </w:r>
      <w:r>
        <w:t>.</w:t>
      </w:r>
      <w:r>
        <w:tab/>
        <w:t>Manner of accounting for moneys received</w:t>
      </w:r>
      <w:bookmarkEnd w:id="62"/>
      <w:bookmarkEnd w:id="63"/>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August 2002 p.4161.]</w:t>
      </w:r>
    </w:p>
    <w:p>
      <w:pPr>
        <w:pStyle w:val="Heading5"/>
      </w:pPr>
      <w:bookmarkStart w:id="64" w:name="_Toc18481791"/>
      <w:bookmarkStart w:id="65" w:name="_Toc155090978"/>
      <w:r>
        <w:rPr>
          <w:rStyle w:val="CharSectno"/>
        </w:rPr>
        <w:t>10F</w:t>
      </w:r>
      <w:r>
        <w:t>.</w:t>
      </w:r>
      <w:r>
        <w:tab/>
        <w:t>Statutory declaration</w:t>
      </w:r>
      <w:bookmarkEnd w:id="64"/>
      <w:bookmarkEnd w:id="65"/>
    </w:p>
    <w:p>
      <w:pPr>
        <w:pStyle w:val="Subsection"/>
      </w:pPr>
      <w:r>
        <w:tab/>
      </w:r>
      <w:r>
        <w:tab/>
        <w:t>Where in a calendar year a dealer has neither held nor received money in relation to a trust account, the dealer must, within 3 months of the end of that year, provide the Board with a statutory declaration to this effect.</w:t>
      </w:r>
    </w:p>
    <w:p>
      <w:pPr>
        <w:pStyle w:val="Footnotesection"/>
      </w:pPr>
      <w:r>
        <w:tab/>
        <w:t>[Regulation 10F inserted in Gazette 13 August 2002 p.4161.]</w:t>
      </w:r>
    </w:p>
    <w:p>
      <w:pPr>
        <w:pStyle w:val="Heading3"/>
        <w:rPr>
          <w:rStyle w:val="CharDivText"/>
        </w:rPr>
      </w:pPr>
      <w:bookmarkStart w:id="66" w:name="_Toc151453716"/>
      <w:bookmarkStart w:id="67" w:name="_Toc151453783"/>
      <w:bookmarkStart w:id="68" w:name="_Toc151453829"/>
      <w:bookmarkStart w:id="69" w:name="_Toc151456298"/>
      <w:bookmarkStart w:id="70" w:name="_Toc151457531"/>
      <w:bookmarkStart w:id="71" w:name="_Toc151526511"/>
      <w:bookmarkStart w:id="72" w:name="_Toc155088495"/>
      <w:bookmarkStart w:id="73" w:name="_Toc155090979"/>
      <w:r>
        <w:rPr>
          <w:rStyle w:val="CharDivNo"/>
        </w:rPr>
        <w:t>Division 3</w:t>
      </w:r>
      <w:r>
        <w:t xml:space="preserve"> — </w:t>
      </w:r>
      <w:r>
        <w:rPr>
          <w:rStyle w:val="CharDivText"/>
        </w:rPr>
        <w:t>Duties of financial institutions</w:t>
      </w:r>
      <w:bookmarkEnd w:id="66"/>
      <w:bookmarkEnd w:id="67"/>
      <w:bookmarkEnd w:id="68"/>
      <w:bookmarkEnd w:id="69"/>
      <w:bookmarkEnd w:id="70"/>
      <w:bookmarkEnd w:id="71"/>
      <w:bookmarkEnd w:id="72"/>
      <w:bookmarkEnd w:id="73"/>
    </w:p>
    <w:p>
      <w:pPr>
        <w:pStyle w:val="Footnoteheading"/>
        <w:tabs>
          <w:tab w:val="left" w:pos="851"/>
        </w:tabs>
      </w:pPr>
      <w:r>
        <w:tab/>
        <w:t>[Heading inserted in Gazette 13 August 2002 p.4161.]</w:t>
      </w:r>
    </w:p>
    <w:p>
      <w:pPr>
        <w:pStyle w:val="Heading5"/>
      </w:pPr>
      <w:bookmarkStart w:id="74" w:name="_Toc18481792"/>
      <w:bookmarkStart w:id="75" w:name="_Toc155090980"/>
      <w:r>
        <w:rPr>
          <w:rStyle w:val="CharSectno"/>
        </w:rPr>
        <w:t>10G</w:t>
      </w:r>
      <w:r>
        <w:t>.</w:t>
      </w:r>
      <w:r>
        <w:tab/>
        <w:t>Reporting overdrawn accounts</w:t>
      </w:r>
      <w:bookmarkEnd w:id="74"/>
      <w:bookmarkEnd w:id="75"/>
    </w:p>
    <w:p>
      <w:pPr>
        <w:pStyle w:val="Subsection"/>
      </w:pPr>
      <w:r>
        <w:tab/>
      </w:r>
      <w:r>
        <w:tab/>
        <w:t>If a dealer’s trust account is overdrawn the relevant financial institution must, as soon as is practicable, inform the Board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August 2002 p.4161.]</w:t>
      </w:r>
    </w:p>
    <w:p>
      <w:pPr>
        <w:pStyle w:val="Heading3"/>
        <w:rPr>
          <w:rStyle w:val="CharDivText"/>
        </w:rPr>
      </w:pPr>
      <w:bookmarkStart w:id="76" w:name="_Toc151453718"/>
      <w:bookmarkStart w:id="77" w:name="_Toc151453785"/>
      <w:bookmarkStart w:id="78" w:name="_Toc151453831"/>
      <w:bookmarkStart w:id="79" w:name="_Toc151456300"/>
      <w:bookmarkStart w:id="80" w:name="_Toc151457533"/>
      <w:bookmarkStart w:id="81" w:name="_Toc151526513"/>
      <w:bookmarkStart w:id="82" w:name="_Toc155088497"/>
      <w:bookmarkStart w:id="83" w:name="_Toc155090981"/>
      <w:r>
        <w:rPr>
          <w:rStyle w:val="CharDivNo"/>
        </w:rPr>
        <w:t>Division 4</w:t>
      </w:r>
      <w:r>
        <w:t xml:space="preserve"> — </w:t>
      </w:r>
      <w:r>
        <w:rPr>
          <w:rStyle w:val="CharDivText"/>
        </w:rPr>
        <w:t>Auditing of trust accounts</w:t>
      </w:r>
      <w:bookmarkEnd w:id="76"/>
      <w:bookmarkEnd w:id="77"/>
      <w:bookmarkEnd w:id="78"/>
      <w:bookmarkEnd w:id="79"/>
      <w:bookmarkEnd w:id="80"/>
      <w:bookmarkEnd w:id="81"/>
      <w:bookmarkEnd w:id="82"/>
      <w:bookmarkEnd w:id="83"/>
    </w:p>
    <w:p>
      <w:pPr>
        <w:pStyle w:val="Footnoteheading"/>
        <w:tabs>
          <w:tab w:val="left" w:pos="851"/>
        </w:tabs>
      </w:pPr>
      <w:r>
        <w:tab/>
        <w:t>[Heading inserted in Gazette 13 August 2002 p.4161.]</w:t>
      </w:r>
    </w:p>
    <w:p>
      <w:pPr>
        <w:pStyle w:val="Heading5"/>
      </w:pPr>
      <w:bookmarkStart w:id="84" w:name="_Toc18481793"/>
      <w:bookmarkStart w:id="85" w:name="_Toc155090982"/>
      <w:r>
        <w:rPr>
          <w:rStyle w:val="CharSectno"/>
        </w:rPr>
        <w:t>10H</w:t>
      </w:r>
      <w:r>
        <w:t>.</w:t>
      </w:r>
      <w:r>
        <w:tab/>
        <w:t>Appointment of auditors</w:t>
      </w:r>
      <w:bookmarkEnd w:id="84"/>
      <w:bookmarkEnd w:id="85"/>
    </w:p>
    <w:p>
      <w:pPr>
        <w:pStyle w:val="Subsection"/>
      </w:pPr>
      <w:r>
        <w:tab/>
        <w:t>(1)</w:t>
      </w:r>
      <w:r>
        <w:tab/>
        <w:t>A dealer must appoint an auditor, approved by the Board, at the time of opening a trust account.</w:t>
      </w:r>
    </w:p>
    <w:p>
      <w:pPr>
        <w:pStyle w:val="Subsection"/>
      </w:pPr>
      <w:r>
        <w:tab/>
        <w:t>(2)</w:t>
      </w:r>
      <w:r>
        <w:tab/>
        <w:t>An auditor’s appointment under this section is continuous unless the Board approves a subsequent change in the appointment.</w:t>
      </w:r>
    </w:p>
    <w:p>
      <w:pPr>
        <w:pStyle w:val="Footnotesection"/>
      </w:pPr>
      <w:r>
        <w:tab/>
        <w:t>[Regulation 10H inserted in Gazette 13 August 2002 p.4161</w:t>
      </w:r>
      <w:r>
        <w:noBreakHyphen/>
        <w:t>2.]</w:t>
      </w:r>
    </w:p>
    <w:p>
      <w:pPr>
        <w:pStyle w:val="Heading5"/>
      </w:pPr>
      <w:bookmarkStart w:id="86" w:name="_Toc18481794"/>
      <w:bookmarkStart w:id="87" w:name="_Toc155090983"/>
      <w:r>
        <w:rPr>
          <w:rStyle w:val="CharSectno"/>
        </w:rPr>
        <w:t>10I</w:t>
      </w:r>
      <w:r>
        <w:t>.</w:t>
      </w:r>
      <w:r>
        <w:tab/>
        <w:t>Production of records to auditors</w:t>
      </w:r>
      <w:bookmarkEnd w:id="86"/>
      <w:bookmarkEnd w:id="87"/>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August 2002 p.4162.]</w:t>
      </w:r>
    </w:p>
    <w:p>
      <w:pPr>
        <w:pStyle w:val="Heading5"/>
      </w:pPr>
      <w:bookmarkStart w:id="88" w:name="_Toc18481795"/>
      <w:bookmarkStart w:id="89" w:name="_Toc155090984"/>
      <w:r>
        <w:rPr>
          <w:rStyle w:val="CharSectno"/>
        </w:rPr>
        <w:t>10J</w:t>
      </w:r>
      <w:r>
        <w:t>.</w:t>
      </w:r>
      <w:r>
        <w:tab/>
        <w:t>Conduct of audits</w:t>
      </w:r>
      <w:bookmarkEnd w:id="88"/>
      <w:bookmarkEnd w:id="89"/>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August 2002 p.4162.]</w:t>
      </w:r>
    </w:p>
    <w:p>
      <w:pPr>
        <w:pStyle w:val="Heading5"/>
      </w:pPr>
      <w:bookmarkStart w:id="90" w:name="_Toc18481796"/>
      <w:bookmarkStart w:id="91" w:name="_Toc155090985"/>
      <w:r>
        <w:rPr>
          <w:rStyle w:val="CharSectno"/>
        </w:rPr>
        <w:t>10K</w:t>
      </w:r>
      <w:r>
        <w:t>.</w:t>
      </w:r>
      <w:r>
        <w:tab/>
        <w:t>Auditors’ reports, contents of</w:t>
      </w:r>
      <w:bookmarkEnd w:id="90"/>
      <w:bookmarkEnd w:id="91"/>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Board.</w:t>
      </w:r>
    </w:p>
    <w:p>
      <w:pPr>
        <w:pStyle w:val="Footnotesection"/>
      </w:pPr>
      <w:r>
        <w:tab/>
        <w:t>[Regulation 10K inserted in Gazette 13 August 2002 p.4162.]</w:t>
      </w:r>
    </w:p>
    <w:p>
      <w:pPr>
        <w:pStyle w:val="Heading5"/>
      </w:pPr>
      <w:bookmarkStart w:id="92" w:name="_Toc18481797"/>
      <w:bookmarkStart w:id="93" w:name="_Toc155090986"/>
      <w:r>
        <w:rPr>
          <w:rStyle w:val="CharSectno"/>
        </w:rPr>
        <w:t>10L</w:t>
      </w:r>
      <w:r>
        <w:t>.</w:t>
      </w:r>
      <w:r>
        <w:tab/>
        <w:t>Obligation of auditor to disclose certain information</w:t>
      </w:r>
      <w:bookmarkEnd w:id="92"/>
      <w:bookmarkEnd w:id="93"/>
    </w:p>
    <w:p>
      <w:pPr>
        <w:pStyle w:val="Subsection"/>
      </w:pPr>
      <w:r>
        <w:tab/>
      </w:r>
      <w:r>
        <w:tab/>
        <w:t>An auditor must disclose to the Board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Board may, if it thinks fit, disqualify that auditor from acting in that particular case.</w:t>
      </w:r>
    </w:p>
    <w:p>
      <w:pPr>
        <w:pStyle w:val="Footnotesection"/>
      </w:pPr>
      <w:r>
        <w:tab/>
        <w:t>[Regulation 10L inserted in Gazette 13 August 2002 p.4162.]</w:t>
      </w:r>
    </w:p>
    <w:p>
      <w:pPr>
        <w:pStyle w:val="Heading5"/>
      </w:pPr>
      <w:bookmarkStart w:id="94" w:name="_Toc18481798"/>
      <w:bookmarkStart w:id="95" w:name="_Toc155090987"/>
      <w:r>
        <w:rPr>
          <w:rStyle w:val="CharSectno"/>
        </w:rPr>
        <w:t>10M</w:t>
      </w:r>
      <w:r>
        <w:t>.</w:t>
      </w:r>
      <w:r>
        <w:tab/>
        <w:t>Costs of auditing</w:t>
      </w:r>
      <w:bookmarkEnd w:id="94"/>
      <w:bookmarkEnd w:id="95"/>
    </w:p>
    <w:p>
      <w:pPr>
        <w:pStyle w:val="Subsection"/>
      </w:pPr>
      <w:r>
        <w:tab/>
      </w:r>
      <w:r>
        <w:tab/>
        <w:t>The reasonable fees and expenses of an auditor for an audit under section 32I are payable by the dealer.</w:t>
      </w:r>
    </w:p>
    <w:p>
      <w:pPr>
        <w:pStyle w:val="Footnotesection"/>
      </w:pPr>
      <w:r>
        <w:tab/>
        <w:t>[Regulation 10M inserted in Gazette 13 August 2002 p.4163.]</w:t>
      </w:r>
    </w:p>
    <w:p>
      <w:pPr>
        <w:pStyle w:val="Heading5"/>
      </w:pPr>
      <w:bookmarkStart w:id="96" w:name="_Toc18481799"/>
      <w:bookmarkStart w:id="97" w:name="_Toc155090988"/>
      <w:r>
        <w:rPr>
          <w:rStyle w:val="CharSectno"/>
        </w:rPr>
        <w:t>10N</w:t>
      </w:r>
      <w:r>
        <w:t>.</w:t>
      </w:r>
      <w:r>
        <w:tab/>
        <w:t>When and to whom the auditor must report</w:t>
      </w:r>
      <w:bookmarkEnd w:id="96"/>
      <w:bookmarkEnd w:id="97"/>
    </w:p>
    <w:p>
      <w:pPr>
        <w:pStyle w:val="Subsection"/>
      </w:pPr>
      <w:r>
        <w:tab/>
        <w:t>(1)</w:t>
      </w:r>
      <w:r>
        <w:tab/>
        <w:t>The audit period is to be set by the Board in relation to each dealer.</w:t>
      </w:r>
    </w:p>
    <w:p>
      <w:pPr>
        <w:pStyle w:val="Subsection"/>
      </w:pPr>
      <w:r>
        <w:tab/>
        <w:t>(2)</w:t>
      </w:r>
      <w:r>
        <w:tab/>
        <w:t>The auditor must within 3 months after the end of that period —</w:t>
      </w:r>
    </w:p>
    <w:p>
      <w:pPr>
        <w:pStyle w:val="Indenta"/>
      </w:pPr>
      <w:r>
        <w:tab/>
        <w:t>(a)</w:t>
      </w:r>
      <w:r>
        <w:tab/>
        <w:t>deliver to the Board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August 2002 p.4163.]</w:t>
      </w:r>
    </w:p>
    <w:p>
      <w:pPr>
        <w:pStyle w:val="Heading5"/>
      </w:pPr>
      <w:bookmarkStart w:id="98" w:name="_Toc18481800"/>
      <w:bookmarkStart w:id="99" w:name="_Toc155090989"/>
      <w:r>
        <w:rPr>
          <w:rStyle w:val="CharSectno"/>
        </w:rPr>
        <w:t>10O</w:t>
      </w:r>
      <w:r>
        <w:t>.</w:t>
      </w:r>
      <w:r>
        <w:tab/>
        <w:t>Confidentiality of audit information</w:t>
      </w:r>
      <w:bookmarkEnd w:id="98"/>
      <w:bookmarkEnd w:id="99"/>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Board may divulge the information to an interested person or to an auditor making a succeeding audit of the dealer’s trust account.</w:t>
      </w:r>
    </w:p>
    <w:p>
      <w:pPr>
        <w:pStyle w:val="Footnotesection"/>
      </w:pPr>
      <w:r>
        <w:tab/>
        <w:t>[Regulation 10O inserted in Gazette 13 August 2002 p.4163.]</w:t>
      </w:r>
    </w:p>
    <w:p>
      <w:pPr>
        <w:pStyle w:val="Heading2"/>
      </w:pPr>
      <w:bookmarkStart w:id="100" w:name="_Toc151453727"/>
      <w:bookmarkStart w:id="101" w:name="_Toc151453794"/>
      <w:bookmarkStart w:id="102" w:name="_Toc151453840"/>
      <w:bookmarkStart w:id="103" w:name="_Toc151456309"/>
      <w:bookmarkStart w:id="104" w:name="_Toc151457542"/>
      <w:bookmarkStart w:id="105" w:name="_Toc151526522"/>
      <w:bookmarkStart w:id="106" w:name="_Toc155088506"/>
      <w:bookmarkStart w:id="107" w:name="_Toc155090990"/>
      <w:r>
        <w:rPr>
          <w:rStyle w:val="CharPartNo"/>
        </w:rPr>
        <w:t>Part 4</w:t>
      </w:r>
      <w:r>
        <w:t xml:space="preserve"> — </w:t>
      </w:r>
      <w:r>
        <w:rPr>
          <w:rStyle w:val="CharPartText"/>
        </w:rPr>
        <w:t>Miscellaneous</w:t>
      </w:r>
      <w:bookmarkEnd w:id="100"/>
      <w:bookmarkEnd w:id="101"/>
      <w:bookmarkEnd w:id="102"/>
      <w:bookmarkEnd w:id="103"/>
      <w:bookmarkEnd w:id="104"/>
      <w:bookmarkEnd w:id="105"/>
      <w:bookmarkEnd w:id="106"/>
      <w:bookmarkEnd w:id="107"/>
      <w:r>
        <w:rPr>
          <w:rStyle w:val="CharDivNo"/>
        </w:rPr>
        <w:t xml:space="preserve"> </w:t>
      </w:r>
    </w:p>
    <w:p>
      <w:pPr>
        <w:pStyle w:val="Footnoteheading"/>
        <w:tabs>
          <w:tab w:val="left" w:pos="851"/>
        </w:tabs>
      </w:pPr>
      <w:r>
        <w:tab/>
        <w:t>[Heading inserted in Gazette 13 August 2002 p.4163.]</w:t>
      </w:r>
    </w:p>
    <w:p>
      <w:pPr>
        <w:pStyle w:val="Heading5"/>
        <w:spacing w:before="180"/>
        <w:rPr>
          <w:snapToGrid w:val="0"/>
        </w:rPr>
      </w:pPr>
      <w:bookmarkStart w:id="108" w:name="_Toc18481801"/>
      <w:bookmarkStart w:id="109" w:name="_Toc155090991"/>
      <w:r>
        <w:rPr>
          <w:rStyle w:val="CharSectno"/>
        </w:rPr>
        <w:t>11</w:t>
      </w:r>
      <w:r>
        <w:rPr>
          <w:snapToGrid w:val="0"/>
        </w:rPr>
        <w:t>.</w:t>
      </w:r>
      <w:r>
        <w:rPr>
          <w:snapToGrid w:val="0"/>
        </w:rPr>
        <w:tab/>
        <w:t>Advertising</w:t>
      </w:r>
      <w:bookmarkEnd w:id="108"/>
      <w:bookmarkEnd w:id="109"/>
      <w:r>
        <w:rPr>
          <w:snapToGrid w:val="0"/>
        </w:rPr>
        <w:t xml:space="preserve"> </w:t>
      </w:r>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110" w:name="_Toc18481802"/>
      <w:bookmarkStart w:id="111" w:name="_Toc155090992"/>
      <w:r>
        <w:rPr>
          <w:rStyle w:val="CharSectno"/>
        </w:rPr>
        <w:t>12</w:t>
      </w:r>
      <w:r>
        <w:rPr>
          <w:snapToGrid w:val="0"/>
        </w:rPr>
        <w:t>.</w:t>
      </w:r>
      <w:r>
        <w:rPr>
          <w:snapToGrid w:val="0"/>
        </w:rPr>
        <w:tab/>
        <w:t>Undesirable practices (Schedule 2)</w:t>
      </w:r>
      <w:bookmarkEnd w:id="110"/>
      <w:bookmarkEnd w:id="111"/>
      <w:r>
        <w:rPr>
          <w:snapToGrid w:val="0"/>
        </w:rPr>
        <w:t xml:space="preserve"> </w:t>
      </w:r>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112" w:name="_Toc18481803"/>
      <w:bookmarkStart w:id="113" w:name="_Toc155090993"/>
      <w:r>
        <w:rPr>
          <w:rStyle w:val="CharSectno"/>
        </w:rPr>
        <w:t>13</w:t>
      </w:r>
      <w:r>
        <w:rPr>
          <w:snapToGrid w:val="0"/>
        </w:rPr>
        <w:t>.</w:t>
      </w:r>
      <w:r>
        <w:rPr>
          <w:snapToGrid w:val="0"/>
        </w:rPr>
        <w:tab/>
        <w:t>Prescribed accessories (Schedule 3)</w:t>
      </w:r>
      <w:bookmarkEnd w:id="112"/>
      <w:bookmarkEnd w:id="113"/>
      <w:r>
        <w:rPr>
          <w:snapToGrid w:val="0"/>
        </w:rPr>
        <w:t xml:space="preserve"> </w:t>
      </w:r>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114" w:name="_Toc18481804"/>
      <w:bookmarkStart w:id="115" w:name="_Toc155090994"/>
      <w:r>
        <w:rPr>
          <w:rStyle w:val="CharSectno"/>
        </w:rPr>
        <w:t>13A</w:t>
      </w:r>
      <w:r>
        <w:t>.</w:t>
      </w:r>
      <w:r>
        <w:tab/>
        <w:t>Prescribed requirements</w:t>
      </w:r>
      <w:r>
        <w:rPr>
          <w:snapToGrid w:val="0"/>
        </w:rPr>
        <w:t xml:space="preserve"> for vehicle consignment agreements (Schedule 4)</w:t>
      </w:r>
      <w:bookmarkEnd w:id="114"/>
      <w:bookmarkEnd w:id="115"/>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116" w:name="_Toc18481805"/>
      <w:bookmarkStart w:id="117" w:name="_Toc155090995"/>
      <w:r>
        <w:rPr>
          <w:rStyle w:val="CharSectno"/>
        </w:rPr>
        <w:t>13B</w:t>
      </w:r>
      <w:r>
        <w:t>.</w:t>
      </w:r>
      <w:r>
        <w:tab/>
        <w:t>Prescribed requirements for vehicle sale agreements (Schedule 5)</w:t>
      </w:r>
      <w:bookmarkEnd w:id="116"/>
      <w:bookmarkEnd w:id="117"/>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118" w:name="_Toc18481806"/>
      <w:bookmarkStart w:id="119" w:name="_Toc155090996"/>
      <w:r>
        <w:rPr>
          <w:rStyle w:val="CharSectno"/>
        </w:rPr>
        <w:t>14</w:t>
      </w:r>
      <w:r>
        <w:rPr>
          <w:snapToGrid w:val="0"/>
        </w:rPr>
        <w:t>.</w:t>
      </w:r>
      <w:r>
        <w:rPr>
          <w:snapToGrid w:val="0"/>
        </w:rPr>
        <w:tab/>
        <w:t>Penalties</w:t>
      </w:r>
      <w:bookmarkEnd w:id="118"/>
      <w:bookmarkEnd w:id="119"/>
      <w:r>
        <w:rPr>
          <w:snapToGrid w:val="0"/>
        </w:rPr>
        <w:t xml:space="preserve"> </w:t>
      </w:r>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August 2002 p.4164.]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Table"/>
        <w:spacing w:after="160"/>
        <w:jc w:val="center"/>
        <w:rPr>
          <w:b/>
          <w:snapToGrid w:val="0"/>
          <w:sz w:val="20"/>
        </w:rPr>
      </w:pPr>
    </w:p>
    <w:p>
      <w:pPr>
        <w:pStyle w:val="yTable"/>
        <w:tabs>
          <w:tab w:val="left" w:pos="567"/>
          <w:tab w:val="left" w:pos="2835"/>
        </w:tabs>
        <w:spacing w:before="0"/>
        <w:rPr>
          <w:snapToGrid w:val="0"/>
          <w:sz w:val="20"/>
        </w:rPr>
      </w:pPr>
    </w:p>
    <w:p>
      <w:pPr>
        <w:pStyle w:val="yMiscellaneousHeading"/>
        <w:spacing w:line="260" w:lineRule="atLeast"/>
        <w:rPr>
          <w:b/>
        </w:rPr>
      </w:pPr>
    </w:p>
    <w:p>
      <w:pPr>
        <w:pStyle w:val="yFootnotesection"/>
        <w:tabs>
          <w:tab w:val="clear" w:pos="893"/>
        </w:tabs>
        <w:ind w:left="0" w:firstLine="0"/>
      </w:pPr>
      <w:r>
        <w:t xml:space="preserve"> </w:t>
      </w:r>
      <w:bookmarkStart w:id="120" w:name="endcomma"/>
      <w:bookmarkStart w:id="121" w:name="comma"/>
      <w:bookmarkEnd w:id="120"/>
      <w:bookmarkEnd w:id="121"/>
      <w:r>
        <w:t xml:space="preserve"> </w:t>
      </w:r>
    </w:p>
    <w:p>
      <w:pPr>
        <w:pStyle w:val="yScheduleHeading"/>
      </w:pPr>
      <w:bookmarkStart w:id="122" w:name="_Toc155088513"/>
      <w:bookmarkStart w:id="123" w:name="_Toc155090997"/>
      <w:bookmarkStart w:id="124" w:name="_Toc151453735"/>
      <w:bookmarkStart w:id="125" w:name="_Toc151453802"/>
      <w:bookmarkStart w:id="126" w:name="_Toc151453848"/>
      <w:bookmarkStart w:id="127" w:name="_Toc151456317"/>
      <w:bookmarkStart w:id="128" w:name="_Toc151457550"/>
      <w:bookmarkStart w:id="129" w:name="_Toc151526530"/>
      <w:r>
        <w:rPr>
          <w:rStyle w:val="CharSchNo"/>
        </w:rPr>
        <w:t>Schedule 1</w:t>
      </w:r>
      <w:r>
        <w:t> — </w:t>
      </w:r>
      <w:r>
        <w:rPr>
          <w:rStyle w:val="CharSchText"/>
        </w:rPr>
        <w:t>Forms</w:t>
      </w:r>
      <w:bookmarkEnd w:id="122"/>
      <w:bookmarkEnd w:id="123"/>
    </w:p>
    <w:p>
      <w:pPr>
        <w:pStyle w:val="yFootnoteheading"/>
        <w:spacing w:before="40"/>
      </w:pPr>
      <w:bookmarkStart w:id="130" w:name="_Toc155088514"/>
      <w:bookmarkStart w:id="131" w:name="_Toc155090998"/>
      <w:r>
        <w:tab/>
        <w:t>[Heading inserted in Gazette 17 Nov 2006 p. 4753.]</w:t>
      </w:r>
    </w:p>
    <w:p>
      <w:pPr>
        <w:pStyle w:val="yHeading3"/>
        <w:spacing w:before="80"/>
      </w:pPr>
      <w:r>
        <w:t>Form 1 — Register of transactions</w:t>
      </w:r>
      <w:bookmarkEnd w:id="130"/>
      <w:bookmarkEnd w:id="131"/>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r>
              <w:rPr>
                <w:snapToGrid w:val="0"/>
                <w:sz w:val="16"/>
              </w:rPr>
              <w:t>Western Australia</w:t>
            </w:r>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NotesPerm"/>
      </w:pPr>
      <w:r>
        <w:tab/>
        <w:t>Note:</w:t>
      </w:r>
      <w:r>
        <w:tab/>
        <w:t>Forms 2 and 3 have been deliberately omitted.</w:t>
      </w:r>
    </w:p>
    <w:p>
      <w:pPr>
        <w:pStyle w:val="yHeading3"/>
      </w:pPr>
      <w:bookmarkStart w:id="132" w:name="_Toc155088515"/>
      <w:bookmarkStart w:id="133" w:name="_Toc155090999"/>
      <w:r>
        <w:t>Form 4</w:t>
      </w:r>
      <w:r>
        <w:rPr>
          <w:b w:val="0"/>
        </w:rPr>
        <w:t> — </w:t>
      </w:r>
      <w:r>
        <w:t>Vehicle particulars and warranty</w:t>
      </w:r>
      <w:bookmarkEnd w:id="132"/>
      <w:bookmarkEnd w:id="133"/>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Act 1974</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numPr>
                <w:ilvl w:val="0"/>
                <w:numId w:val="13"/>
              </w:numPr>
              <w:tabs>
                <w:tab w:val="num" w:pos="1446"/>
              </w:tabs>
              <w:spacing w:before="0"/>
              <w:rPr>
                <w:snapToGrid w:val="0"/>
                <w:sz w:val="18"/>
              </w:rPr>
            </w:pPr>
            <w:r>
              <w:rPr>
                <w:snapToGrid w:val="0"/>
                <w:sz w:val="18"/>
              </w:rPr>
              <w:t>not more than 10 years old and has travelled not more than 150 000 km at the time of sale — warranty is for 3 months or 5 000 km, whichever happens first; or</w:t>
            </w:r>
          </w:p>
          <w:p>
            <w:pPr>
              <w:pStyle w:val="yMiscellaneousBody"/>
              <w:numPr>
                <w:ilvl w:val="0"/>
                <w:numId w:val="13"/>
              </w:numPr>
              <w:tabs>
                <w:tab w:val="num" w:pos="1446"/>
              </w:tabs>
              <w:spacing w:before="0"/>
            </w:pP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lang w:eastAsia="en-AU"/>
              </w:rPr>
              <w:drawing>
                <wp:inline distT="0" distB="0" distL="0" distR="0">
                  <wp:extent cx="4133850" cy="2686050"/>
                  <wp:effectExtent l="0" t="0" r="0" b="0"/>
                  <wp:docPr id="1" name="Picture 1"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MTRS2.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lang w:eastAsia="en-AU"/>
              </w:rPr>
              <w:drawing>
                <wp:inline distT="0" distB="0" distL="0" distR="0">
                  <wp:extent cx="3429000" cy="2552700"/>
                  <wp:effectExtent l="0" t="0" r="0" b="0"/>
                  <wp:docPr id="2" name="Picture 2"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mtrs3.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p>
        </w:tc>
      </w:tr>
    </w:tbl>
    <w:p>
      <w:pPr>
        <w:pStyle w:val="yFootnotesection"/>
      </w:pPr>
      <w:r>
        <w:tab/>
        <w:t>[Form 4 inserted in Gazette 17 Nov 2006 p. 4754</w:t>
      </w:r>
      <w:r>
        <w:noBreakHyphen/>
        <w:t xml:space="preserve">5.] </w:t>
      </w:r>
    </w:p>
    <w:p>
      <w:pPr>
        <w:pStyle w:val="yHeading3"/>
      </w:pPr>
      <w:bookmarkStart w:id="134" w:name="_Toc155088516"/>
      <w:bookmarkStart w:id="135" w:name="_Toc155091000"/>
      <w:r>
        <w:t>Form 5</w:t>
      </w:r>
      <w:r>
        <w:rPr>
          <w:b w:val="0"/>
        </w:rPr>
        <w:t> — </w:t>
      </w:r>
      <w:r>
        <w:t>Notice of defects excluded from warranty</w:t>
      </w:r>
      <w:bookmarkEnd w:id="134"/>
      <w:bookmarkEnd w:id="135"/>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This vehicle is provided with a warranty under the</w:t>
            </w:r>
            <w:r>
              <w:rPr>
                <w:i/>
                <w:sz w:val="20"/>
                <w:u w:val="single"/>
              </w:rPr>
              <w:t xml:space="preserve"> 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r>
        <w:trPr>
          <w:cantSplit/>
          <w:trHeight w:val="189"/>
        </w:trPr>
        <w:tc>
          <w:tcPr>
            <w:tcW w:w="6521" w:type="dxa"/>
            <w:tcBorders>
              <w:top w:val="single" w:sz="4" w:space="0" w:color="auto"/>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 </w:t>
            </w:r>
          </w:p>
          <w:p>
            <w:pPr>
              <w:pStyle w:val="yTable"/>
              <w:tabs>
                <w:tab w:val="left" w:pos="567"/>
              </w:tabs>
              <w:ind w:left="567" w:hanging="567"/>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567"/>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567"/>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Pr>
      <w:bookmarkStart w:id="136" w:name="_Toc155088517"/>
      <w:bookmarkStart w:id="137" w:name="_Toc155091001"/>
      <w:r>
        <w:t>Form 6</w:t>
      </w:r>
      <w:r>
        <w:rPr>
          <w:b w:val="0"/>
        </w:rPr>
        <w:t> — </w:t>
      </w:r>
      <w:r>
        <w:t>Vehicle particulars — no warranty</w:t>
      </w:r>
      <w:bookmarkEnd w:id="136"/>
      <w:bookmarkEnd w:id="137"/>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Act 1974</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14"/>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14"/>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14"/>
              </w:numPr>
              <w:spacing w:before="0"/>
              <w:rPr>
                <w:snapToGrid w:val="0"/>
                <w:sz w:val="18"/>
              </w:rPr>
            </w:pPr>
            <w:r>
              <w:rPr>
                <w:snapToGrid w:val="0"/>
                <w:sz w:val="18"/>
              </w:rPr>
              <w:t>the vehicle was sold at auction on behalf of a member of the public; or</w:t>
            </w:r>
          </w:p>
          <w:p>
            <w:pPr>
              <w:pStyle w:val="yMiscellaneousBody"/>
              <w:numPr>
                <w:ilvl w:val="0"/>
                <w:numId w:val="14"/>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snapToGrid w:val="0"/>
                <w:sz w:val="18"/>
              </w:rPr>
              <w:t>Fair Trading Act 1987</w:t>
            </w:r>
            <w:r>
              <w:rPr>
                <w:snapToGrid w:val="0"/>
                <w:sz w:val="18"/>
              </w:rPr>
              <w:t xml:space="preserve"> 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3"/>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3"/>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w:t>
      </w:r>
    </w:p>
    <w:p>
      <w:pPr>
        <w:pStyle w:val="yScheduleHeading"/>
      </w:pPr>
      <w:bookmarkStart w:id="138" w:name="_Toc155088519"/>
      <w:bookmarkStart w:id="139" w:name="_Toc155091002"/>
      <w:bookmarkEnd w:id="124"/>
      <w:bookmarkEnd w:id="125"/>
      <w:bookmarkEnd w:id="126"/>
      <w:bookmarkEnd w:id="127"/>
      <w:bookmarkEnd w:id="128"/>
      <w:bookmarkEnd w:id="129"/>
      <w:r>
        <w:rPr>
          <w:rStyle w:val="CharSchNo"/>
        </w:rPr>
        <w:t>Schedule 2</w:t>
      </w:r>
      <w:r>
        <w:t> — </w:t>
      </w:r>
      <w:r>
        <w:rPr>
          <w:rStyle w:val="CharSchText"/>
        </w:rPr>
        <w:t>Undesirable practices</w:t>
      </w:r>
      <w:bookmarkEnd w:id="138"/>
      <w:bookmarkEnd w:id="139"/>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 xml:space="preserve">Advertising or displaying a telephone number for the purpose of selling a vehicle the vendor of which is the trade owner or is employed by the trade owner except —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 xml:space="preserve">hours” telephone number that is advertised or displayed —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b/>
          <w:snapToGrid w:val="0"/>
        </w:rPr>
        <w:t>“</w:t>
      </w:r>
      <w:r>
        <w:rPr>
          <w:rStyle w:val="CharDefText"/>
        </w:rPr>
        <w:t>the representee</w:t>
      </w:r>
      <w:r>
        <w:rPr>
          <w:b/>
          <w:snapToGrid w:val="0"/>
        </w:rPr>
        <w:t>”</w:t>
      </w:r>
      <w:r>
        <w:rPr>
          <w:snapToGrid w:val="0"/>
        </w:rPr>
        <w:t xml:space="preserve">) concerning —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p.3885; 14 Nov 1975 p.4220; 5 Aug 1988 p.2629; 13 Aug 2002 p.4167.]</w:t>
      </w:r>
    </w:p>
    <w:p>
      <w:pPr>
        <w:pStyle w:val="yScheduleHeading"/>
      </w:pPr>
      <w:bookmarkStart w:id="140" w:name="_Toc155088521"/>
      <w:bookmarkStart w:id="141" w:name="_Toc155091003"/>
      <w:r>
        <w:rPr>
          <w:rStyle w:val="CharSchNo"/>
        </w:rPr>
        <w:t>Schedule 3</w:t>
      </w:r>
      <w:r>
        <w:t> — </w:t>
      </w:r>
      <w:r>
        <w:rPr>
          <w:rStyle w:val="CharSchText"/>
        </w:rPr>
        <w:t>Prescribed access</w:t>
      </w:r>
      <w:r>
        <w:t>ories</w:t>
      </w:r>
      <w:bookmarkEnd w:id="140"/>
      <w:bookmarkEnd w:id="141"/>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 Third Schedule amended in Gazette 11 Oct 1974 p. 3885.]</w:t>
      </w:r>
    </w:p>
    <w:p>
      <w:pPr>
        <w:pStyle w:val="yHeading2"/>
        <w:rPr>
          <w:snapToGrid/>
        </w:rPr>
      </w:pPr>
      <w:bookmarkStart w:id="142" w:name="_Toc155088522"/>
      <w:bookmarkStart w:id="143" w:name="_Toc155091004"/>
      <w:r>
        <w:rPr>
          <w:rStyle w:val="CharSchNo"/>
        </w:rPr>
        <w:t>Schedule 4</w:t>
      </w:r>
      <w:r>
        <w:t> — </w:t>
      </w:r>
      <w:r>
        <w:rPr>
          <w:rStyle w:val="CharSchText"/>
        </w:rPr>
        <w:t>Vehicle consignment contract</w:t>
      </w:r>
      <w:bookmarkEnd w:id="142"/>
      <w:bookmarkEnd w:id="143"/>
    </w:p>
    <w:p>
      <w:pPr>
        <w:pStyle w:val="yShoulderClause"/>
      </w:pPr>
      <w:r>
        <w:t>[r. 13A]</w:t>
      </w:r>
    </w:p>
    <w:p>
      <w:pPr>
        <w:pStyle w:val="yFootnoteheading"/>
      </w:pPr>
      <w:r>
        <w:rPr>
          <w:snapToGrid w:val="0"/>
        </w:rPr>
        <w:tab/>
        <w:t>[Heading inserted in Gazette 17 Nov 2006 p. 4759.]</w:t>
      </w:r>
    </w:p>
    <w:p>
      <w:pPr>
        <w:pStyle w:val="yMiscellaneousHeading"/>
        <w:rPr>
          <w:rFonts w:ascii="Arial" w:hAnsi="Arial"/>
          <w:b/>
        </w:rPr>
      </w:pPr>
      <w:r>
        <w:rPr>
          <w:rFonts w:ascii="Arial" w:hAnsi="Arial"/>
          <w:b/>
        </w:rPr>
        <w:t>VEHICLE CONSIGNMENT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No agreement is made unless the Owner is provided with a copy of this Contract at the time it is signed by the Owner and Dealer or a person authorised by the Dealer.</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Owner grants the Dealer exclusive right to sell the Vehicle for the period stated on the Contract.</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SALE PRICE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The Dealer may sell the Vehicle for more than the amount agreed to as the Minimum Sale Price for the Vehicle.  The Dealer will be entitled to retain any amount in excess of the Minimum Sale Price as Commission.</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SETTLEMENT</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If the Dealer sells the Vehicle, the Dealer will pay any Total Net Proceeds to the Owner within two business days of receiving payment.</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The Dealer will not release the Vehicle to the Purchaser until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OWNERSHIP</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Owner will retain ownership and property in the Vehicle until such time as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 xml:space="preserve">RESPONSIBILITY FOR REPAIRS </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Subject to Clause 8.1, the Owner will be responsible for the cost of repairing any defects or faults identified prior to the Sale of the Vehicle.</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VEHICLE DECLARED UNFIT FOR SALE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Dealer will give Notice to the Owner if the Vehicle is declared unfit for Sale by any Government Authority.</w:t>
      </w:r>
    </w:p>
    <w:p>
      <w:pPr>
        <w:pStyle w:val="yMiscellaneousBody"/>
        <w:tabs>
          <w:tab w:val="left" w:pos="567"/>
          <w:tab w:val="left" w:pos="1134"/>
        </w:tabs>
        <w:ind w:left="1134" w:hanging="1134"/>
        <w:rPr>
          <w:rFonts w:ascii="Arial" w:hAnsi="Arial"/>
          <w:sz w:val="20"/>
        </w:rPr>
      </w:pPr>
      <w:r>
        <w:rPr>
          <w:rFonts w:ascii="Arial" w:hAnsi="Arial"/>
          <w:sz w:val="20"/>
        </w:rPr>
        <w:tab/>
        <w:t>6.2</w:t>
      </w:r>
      <w:r>
        <w:rPr>
          <w:rFonts w:ascii="Arial" w:hAnsi="Arial"/>
          <w:sz w:val="20"/>
        </w:rPr>
        <w:tab/>
        <w:t>The Owner will be responsible for any costs or actions necessary to have the Vehicle declared fit for sale or to remove the Vehicle from the Dealer’s premises.</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PAYMENT FOR REPAIRS</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RESPONSIBILITY</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will not be liable for any loss or damage which may occur to the Vehicle while on Consignment except for:</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any theft, loss or damage which may arise out of any negligent act or omission on the part of the Dealer or any person acting on behalf of the Dealer; or</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 xml:space="preserve">any breach of the </w:t>
      </w:r>
      <w:r>
        <w:rPr>
          <w:rFonts w:ascii="Arial" w:hAnsi="Arial"/>
          <w:i/>
          <w:sz w:val="20"/>
        </w:rPr>
        <w:t>Fair Trading Act 1987</w:t>
      </w:r>
      <w:r>
        <w:rPr>
          <w:rFonts w:ascii="Arial" w:hAnsi="Arial"/>
          <w:sz w:val="20"/>
        </w:rPr>
        <w:t xml:space="preserve"> or </w:t>
      </w:r>
      <w:r>
        <w:rPr>
          <w:rFonts w:ascii="Arial" w:hAnsi="Arial"/>
          <w:i/>
          <w:sz w:val="20"/>
        </w:rPr>
        <w:t>Trade Practices Act 1974</w:t>
      </w:r>
      <w:r>
        <w:rPr>
          <w:rFonts w:ascii="Arial" w:hAnsi="Arial"/>
          <w:sz w:val="20"/>
        </w:rPr>
        <w:t>, the liability and remedies for which cannot be excluded by agreement.</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WARRANTY CLAIMS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 xml:space="preserve">The Dealer will be responsible to pay for warranty claims which arise about the quality or fitness of the Vehicle in accordance with the Dealer’s statutory responsibility under the </w:t>
      </w:r>
      <w:r>
        <w:rPr>
          <w:rFonts w:ascii="Arial" w:hAnsi="Arial"/>
          <w:i/>
          <w:sz w:val="20"/>
        </w:rPr>
        <w:t>Motor Vehicle Dealers Act 1973</w:t>
      </w:r>
      <w:r>
        <w:rPr>
          <w:rFonts w:ascii="Arial" w:hAnsi="Arial"/>
          <w:sz w:val="20"/>
        </w:rPr>
        <w:t xml:space="preserve">, </w:t>
      </w:r>
      <w:r>
        <w:rPr>
          <w:rFonts w:ascii="Arial" w:hAnsi="Arial"/>
          <w:i/>
          <w:sz w:val="20"/>
        </w:rPr>
        <w:t>Fair Trading Act 1987</w:t>
      </w:r>
      <w:r>
        <w:rPr>
          <w:rFonts w:ascii="Arial" w:hAnsi="Arial"/>
          <w:sz w:val="20"/>
        </w:rPr>
        <w:t xml:space="preserve"> or the </w:t>
      </w:r>
      <w:r>
        <w:rPr>
          <w:rFonts w:ascii="Arial" w:hAnsi="Arial"/>
          <w:i/>
          <w:sz w:val="20"/>
        </w:rPr>
        <w:t>Trade Practices Act 1974</w:t>
      </w:r>
      <w:r>
        <w:rPr>
          <w:rFonts w:ascii="Arial" w:hAnsi="Arial"/>
          <w:sz w:val="20"/>
        </w:rPr>
        <w: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The Dealer can not claim from the Owner any costs arising for such repairs, either directly, or by way of deduction from the Total Net Proceeds retained in a Trust Account.</w:t>
      </w:r>
    </w:p>
    <w:p>
      <w:pPr>
        <w:pStyle w:val="yMiscellaneousBody"/>
        <w:keepNext/>
        <w:tabs>
          <w:tab w:val="left" w:pos="567"/>
          <w:tab w:val="left" w:pos="1134"/>
        </w:tabs>
        <w:rPr>
          <w:rFonts w:ascii="Arial" w:hAnsi="Arial"/>
          <w:b/>
          <w:sz w:val="20"/>
        </w:rPr>
      </w:pPr>
      <w:r>
        <w:rPr>
          <w:rFonts w:ascii="Arial" w:hAnsi="Arial"/>
          <w:b/>
          <w:sz w:val="20"/>
        </w:rPr>
        <w:t>10.</w:t>
      </w:r>
      <w:r>
        <w:rPr>
          <w:rFonts w:ascii="Arial" w:hAnsi="Arial"/>
          <w:b/>
          <w:sz w:val="20"/>
        </w:rPr>
        <w:tab/>
        <w:t>OWNERSHIP AND ENCUMBERANCES</w:t>
      </w:r>
    </w:p>
    <w:p>
      <w:pPr>
        <w:pStyle w:val="yMiscellaneousBody"/>
        <w:tabs>
          <w:tab w:val="left" w:pos="567"/>
          <w:tab w:val="left" w:pos="1134"/>
        </w:tabs>
        <w:ind w:left="1134" w:hanging="1134"/>
        <w:rPr>
          <w:rFonts w:ascii="Arial" w:hAnsi="Arial"/>
          <w:sz w:val="20"/>
        </w:rPr>
      </w:pPr>
      <w:r>
        <w:rPr>
          <w:rFonts w:ascii="Arial" w:hAnsi="Arial"/>
          <w:sz w:val="20"/>
        </w:rPr>
        <w:tab/>
        <w:t>10.1</w:t>
      </w:r>
      <w:r>
        <w:rPr>
          <w:rFonts w:ascii="Arial" w:hAnsi="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left" w:pos="567"/>
          <w:tab w:val="left" w:pos="1134"/>
        </w:tabs>
        <w:ind w:left="1134" w:hanging="1134"/>
        <w:rPr>
          <w:rFonts w:ascii="Arial" w:hAnsi="Arial"/>
          <w:sz w:val="20"/>
        </w:rPr>
      </w:pPr>
      <w:r>
        <w:rPr>
          <w:rFonts w:ascii="Arial" w:hAnsi="Arial"/>
          <w:sz w:val="20"/>
        </w:rPr>
        <w:tab/>
        <w:t>10.2</w:t>
      </w:r>
      <w:r>
        <w:rPr>
          <w:rFonts w:ascii="Arial" w:hAnsi="Arial"/>
          <w:sz w:val="20"/>
        </w:rPr>
        <w:tab/>
        <w:t xml:space="preserve">If a registered security interest is recorded pursuant to the </w:t>
      </w:r>
      <w:r>
        <w:rPr>
          <w:rFonts w:ascii="Arial" w:hAnsi="Arial"/>
          <w:i/>
          <w:sz w:val="20"/>
        </w:rPr>
        <w:t>Chattels Security Act 1987</w:t>
      </w:r>
      <w:r>
        <w:rPr>
          <w:rFonts w:ascii="Arial" w:hAnsi="Arial"/>
          <w:sz w:val="20"/>
        </w:rPr>
        <w:t xml:space="preserve"> on the Vehicle, the interest must be discharged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10.3</w:t>
      </w:r>
      <w:r>
        <w:rPr>
          <w:rFonts w:ascii="Arial" w:hAnsi="Arial"/>
          <w:sz w:val="20"/>
        </w:rPr>
        <w:tab/>
        <w:t>The Owner will give the Dealer all licence and registration documents, owner’s manual and service records (if any) relating to the Vehicle within two (2) days after signing this Contract.</w:t>
      </w:r>
    </w:p>
    <w:p>
      <w:pPr>
        <w:pStyle w:val="yMiscellaneousBody"/>
        <w:tabs>
          <w:tab w:val="left" w:pos="567"/>
          <w:tab w:val="left" w:pos="1134"/>
        </w:tabs>
        <w:rPr>
          <w:rFonts w:ascii="Arial" w:hAnsi="Arial"/>
          <w:b/>
          <w:sz w:val="20"/>
        </w:rPr>
      </w:pPr>
      <w:r>
        <w:rPr>
          <w:rFonts w:ascii="Arial" w:hAnsi="Arial"/>
          <w:b/>
          <w:sz w:val="20"/>
        </w:rPr>
        <w:t>11.</w:t>
      </w:r>
      <w:r>
        <w:rPr>
          <w:rFonts w:ascii="Arial" w:hAnsi="Arial"/>
          <w:b/>
          <w:sz w:val="20"/>
        </w:rPr>
        <w:tab/>
        <w:t>ENDING THE AGREEMENT</w:t>
      </w:r>
    </w:p>
    <w:p>
      <w:pPr>
        <w:pStyle w:val="yMiscellaneousBody"/>
        <w:tabs>
          <w:tab w:val="left" w:pos="567"/>
          <w:tab w:val="left" w:pos="1134"/>
        </w:tabs>
        <w:ind w:left="1134" w:hanging="1134"/>
        <w:rPr>
          <w:rFonts w:ascii="Arial" w:hAnsi="Arial"/>
          <w:sz w:val="20"/>
        </w:rPr>
      </w:pPr>
      <w:r>
        <w:rPr>
          <w:rFonts w:ascii="Arial" w:hAnsi="Arial"/>
          <w:sz w:val="20"/>
        </w:rPr>
        <w:tab/>
        <w:t>11.1</w:t>
      </w:r>
      <w:r>
        <w:rPr>
          <w:rFonts w:ascii="Arial" w:hAnsi="Arial"/>
          <w:sz w:val="20"/>
        </w:rPr>
        <w:tab/>
        <w:t>This Contract can be terminated by either the Dealer or the Owner by giving twenty</w:t>
      </w:r>
      <w:r>
        <w:rPr>
          <w:rFonts w:ascii="Arial" w:hAnsi="Arial"/>
          <w:sz w:val="20"/>
        </w:rPr>
        <w:noBreakHyphen/>
        <w:t>four (24) hours Written Notice to the other at any time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11.2</w:t>
      </w:r>
      <w:r>
        <w:rPr>
          <w:rFonts w:ascii="Arial" w:hAnsi="Arial"/>
          <w:sz w:val="20"/>
        </w:rPr>
        <w:tab/>
        <w:t>The Owner will remove the Vehicle from the Dealer’s premises within seven (7) days after termination of the Contract.</w:t>
      </w:r>
    </w:p>
    <w:p>
      <w:pPr>
        <w:pStyle w:val="yMiscellaneousBody"/>
        <w:tabs>
          <w:tab w:val="left" w:pos="567"/>
          <w:tab w:val="left" w:pos="1134"/>
        </w:tabs>
        <w:ind w:left="1134" w:hanging="1134"/>
        <w:rPr>
          <w:rFonts w:ascii="Arial" w:hAnsi="Arial"/>
          <w:sz w:val="20"/>
        </w:rPr>
      </w:pPr>
      <w:r>
        <w:rPr>
          <w:rFonts w:ascii="Arial" w:hAnsi="Arial"/>
          <w:sz w:val="20"/>
        </w:rPr>
        <w:tab/>
        <w:t>11.3</w:t>
      </w:r>
      <w:r>
        <w:rPr>
          <w:rFonts w:ascii="Arial" w:hAnsi="Arial"/>
          <w:sz w:val="20"/>
        </w:rPr>
        <w:tab/>
        <w:t>The Owner will pay any monies owed to the Dealer before removing the Vehicle.</w:t>
      </w:r>
    </w:p>
    <w:p>
      <w:pPr>
        <w:pStyle w:val="yMiscellaneousBody"/>
        <w:tabs>
          <w:tab w:val="left" w:pos="567"/>
          <w:tab w:val="left" w:pos="1134"/>
        </w:tabs>
        <w:ind w:left="1134" w:hanging="1134"/>
        <w:rPr>
          <w:rFonts w:ascii="Arial" w:hAnsi="Arial"/>
          <w:sz w:val="20"/>
        </w:rPr>
      </w:pPr>
      <w:r>
        <w:rPr>
          <w:rFonts w:ascii="Arial" w:hAnsi="Arial"/>
          <w:sz w:val="20"/>
        </w:rPr>
        <w:tab/>
        <w:t>11.4</w:t>
      </w:r>
      <w:r>
        <w:rPr>
          <w:rFonts w:ascii="Arial" w:hAnsi="Arial"/>
          <w:sz w:val="20"/>
        </w:rPr>
        <w:tab/>
        <w:t>If the Vehicle is not removed, or monies owed are not paid within seven (7) days, the Dealer may return the Vehicle to the Owner’s address and recover any expenses incurred during the Consignment.</w:t>
      </w:r>
    </w:p>
    <w:p>
      <w:pPr>
        <w:pStyle w:val="yMiscellaneousBody"/>
        <w:tabs>
          <w:tab w:val="left" w:pos="567"/>
          <w:tab w:val="left" w:pos="1134"/>
        </w:tabs>
        <w:rPr>
          <w:rFonts w:ascii="Arial" w:hAnsi="Arial"/>
          <w:b/>
          <w:sz w:val="20"/>
        </w:rPr>
      </w:pPr>
      <w:r>
        <w:rPr>
          <w:rFonts w:ascii="Arial" w:hAnsi="Arial"/>
          <w:b/>
          <w:sz w:val="20"/>
        </w:rPr>
        <w:t>12.</w:t>
      </w:r>
      <w:r>
        <w:rPr>
          <w:rFonts w:ascii="Arial" w:hAnsi="Arial"/>
          <w:b/>
          <w:sz w:val="20"/>
        </w:rPr>
        <w:tab/>
        <w:t>CHANGING THE AGREEMENT</w:t>
      </w:r>
    </w:p>
    <w:p>
      <w:pPr>
        <w:pStyle w:val="yMiscellaneousBody"/>
        <w:tabs>
          <w:tab w:val="left" w:pos="567"/>
          <w:tab w:val="left" w:pos="1134"/>
        </w:tabs>
        <w:ind w:left="1134" w:hanging="1134"/>
        <w:rPr>
          <w:rFonts w:ascii="Arial" w:hAnsi="Arial"/>
          <w:sz w:val="20"/>
        </w:rPr>
      </w:pPr>
      <w:r>
        <w:rPr>
          <w:rFonts w:ascii="Arial" w:hAnsi="Arial"/>
          <w:sz w:val="20"/>
        </w:rPr>
        <w:tab/>
        <w:t>12.1</w:t>
      </w:r>
      <w:r>
        <w:rPr>
          <w:rFonts w:ascii="Arial" w:hAnsi="Arial"/>
          <w:sz w:val="20"/>
        </w:rPr>
        <w:tab/>
        <w:t>Any variation of this Contract must be in writing and signed by both the Owner and Dealer or a person authorised by the Dealer.</w:t>
      </w:r>
    </w:p>
    <w:p>
      <w:pPr>
        <w:pStyle w:val="yMiscellaneousBody"/>
        <w:tabs>
          <w:tab w:val="left" w:pos="567"/>
          <w:tab w:val="left" w:pos="1134"/>
        </w:tabs>
        <w:rPr>
          <w:rFonts w:ascii="Arial" w:hAnsi="Arial"/>
          <w:b/>
          <w:sz w:val="20"/>
        </w:rPr>
      </w:pPr>
      <w:r>
        <w:rPr>
          <w:rFonts w:ascii="Arial" w:hAnsi="Arial"/>
          <w:b/>
          <w:sz w:val="20"/>
        </w:rPr>
        <w:t>13.</w:t>
      </w:r>
      <w:r>
        <w:rPr>
          <w:rFonts w:ascii="Arial" w:hAnsi="Arial"/>
          <w:b/>
          <w:sz w:val="20"/>
        </w:rPr>
        <w:tab/>
        <w:t>NOTICE</w:t>
      </w:r>
    </w:p>
    <w:p>
      <w:pPr>
        <w:pStyle w:val="yMiscellaneousBody"/>
        <w:tabs>
          <w:tab w:val="left" w:pos="567"/>
          <w:tab w:val="left" w:pos="1134"/>
        </w:tabs>
        <w:ind w:left="1134" w:hanging="1134"/>
        <w:rPr>
          <w:rFonts w:ascii="Arial" w:hAnsi="Arial"/>
          <w:sz w:val="20"/>
        </w:rPr>
      </w:pPr>
      <w:r>
        <w:rPr>
          <w:rFonts w:ascii="Arial" w:hAnsi="Arial"/>
          <w:sz w:val="20"/>
        </w:rPr>
        <w:tab/>
        <w:t>13.1</w:t>
      </w:r>
      <w:r>
        <w:rPr>
          <w:rFonts w:ascii="Arial" w:hAnsi="Arial"/>
          <w:sz w:val="20"/>
        </w:rPr>
        <w:tab/>
        <w:t>Any Notice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13.2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4167-9.]</w:t>
      </w:r>
    </w:p>
    <w:p>
      <w:pPr>
        <w:pStyle w:val="yScheduleHeading"/>
        <w:rPr>
          <w:snapToGrid/>
        </w:rPr>
      </w:pPr>
      <w:bookmarkStart w:id="144" w:name="_Toc155088523"/>
      <w:bookmarkStart w:id="145" w:name="_Toc155091005"/>
      <w:r>
        <w:rPr>
          <w:rStyle w:val="CharSchNo"/>
        </w:rPr>
        <w:t>Schedule 5</w:t>
      </w:r>
      <w:r>
        <w:t> — </w:t>
      </w:r>
      <w:r>
        <w:rPr>
          <w:rStyle w:val="CharSchText"/>
        </w:rPr>
        <w:t>Vehicle sale contract</w:t>
      </w:r>
      <w:bookmarkEnd w:id="144"/>
      <w:bookmarkEnd w:id="145"/>
    </w:p>
    <w:p>
      <w:pPr>
        <w:pStyle w:val="yShoulderClause"/>
      </w:pPr>
      <w:r>
        <w:t>[r. 13B]</w:t>
      </w:r>
    </w:p>
    <w:p>
      <w:pPr>
        <w:pStyle w:val="yFootnoteheading"/>
      </w:pPr>
      <w:r>
        <w:rPr>
          <w:snapToGrid w:val="0"/>
        </w:rPr>
        <w:tab/>
        <w:t>[Heading inserted in Gazette 17 Nov 2006 p. 4759.]</w:t>
      </w:r>
    </w:p>
    <w:p>
      <w:pPr>
        <w:pStyle w:val="yMiscellaneousHeading"/>
        <w:rPr>
          <w:rFonts w:ascii="Arial" w:hAnsi="Arial"/>
          <w:b/>
        </w:rPr>
      </w:pPr>
      <w:r>
        <w:rPr>
          <w:rFonts w:ascii="Arial" w:hAnsi="Arial"/>
          <w:b/>
        </w:rPr>
        <w:t>VEHICLE SALE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The offer of the Purchaser is accepted by the Dealer when: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this Contract is signed by the Dealer or a person authorised by the Dealer; and</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notice of the acceptance is given to the Purchaser.  This Contract will then be binding on both parties.</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FINANCE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Where this Contract is subject to the Purchaser obtaining finance, the Contract is conditional upon the Purchaser obtaining approval for the granting of a loan: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before the Latest Time stated in the Contract;</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for the amount stated in the Contract;</w:t>
      </w:r>
    </w:p>
    <w:p>
      <w:pPr>
        <w:pStyle w:val="yMiscellaneousBody"/>
        <w:tabs>
          <w:tab w:val="left" w:pos="1276"/>
          <w:tab w:val="left" w:pos="1701"/>
        </w:tabs>
        <w:ind w:left="1701" w:hanging="1701"/>
        <w:rPr>
          <w:rFonts w:ascii="Arial" w:hAnsi="Arial"/>
          <w:sz w:val="20"/>
        </w:rPr>
      </w:pPr>
      <w:r>
        <w:rPr>
          <w:rFonts w:ascii="Arial" w:hAnsi="Arial"/>
          <w:sz w:val="20"/>
        </w:rPr>
        <w:tab/>
        <w:t>(c)</w:t>
      </w:r>
      <w:r>
        <w:rPr>
          <w:rFonts w:ascii="Arial" w:hAnsi="Arial"/>
          <w:sz w:val="20"/>
        </w:rPr>
        <w:tab/>
        <w:t>from the Lender named in the Contract (or a lender acceptable to the Purchaser); and</w:t>
      </w:r>
    </w:p>
    <w:p>
      <w:pPr>
        <w:pStyle w:val="yMiscellaneousBody"/>
        <w:tabs>
          <w:tab w:val="left" w:pos="1276"/>
          <w:tab w:val="left" w:pos="1701"/>
        </w:tabs>
        <w:ind w:left="1701" w:hanging="1701"/>
        <w:rPr>
          <w:rFonts w:ascii="Arial" w:hAnsi="Arial"/>
          <w:sz w:val="20"/>
        </w:rPr>
      </w:pPr>
      <w:r>
        <w:rPr>
          <w:rFonts w:ascii="Arial" w:hAnsi="Arial"/>
          <w:sz w:val="20"/>
        </w:rPr>
        <w:tab/>
        <w:t>(d)</w:t>
      </w:r>
      <w:r>
        <w:rPr>
          <w:rFonts w:ascii="Arial" w:hAnsi="Arial"/>
          <w:sz w:val="20"/>
        </w:rPr>
        <w:tab/>
        <w:t>upon reasonable terms and conditions in the circumstances.</w:t>
      </w:r>
    </w:p>
    <w:p>
      <w:pPr>
        <w:pStyle w:val="yMiscellaneousBody"/>
        <w:tabs>
          <w:tab w:val="left" w:pos="567"/>
          <w:tab w:val="left" w:pos="1134"/>
        </w:tabs>
        <w:ind w:left="1134" w:hanging="1134"/>
        <w:rPr>
          <w:rFonts w:ascii="Arial" w:hAnsi="Arial"/>
          <w:sz w:val="20"/>
        </w:rPr>
      </w:pPr>
      <w:r>
        <w:rPr>
          <w:rFonts w:ascii="Arial" w:hAnsi="Arial"/>
          <w:sz w:val="20"/>
        </w:rPr>
        <w:tab/>
        <w:t>2.2</w:t>
      </w:r>
      <w:r>
        <w:rPr>
          <w:rFonts w:ascii="Arial" w:hAnsi="Arial"/>
          <w:sz w:val="20"/>
        </w:rPr>
        <w:tab/>
        <w:t>The Purchaser agrees to take all reasonable steps toward obtaining loan approval.</w:t>
      </w:r>
    </w:p>
    <w:p>
      <w:pPr>
        <w:pStyle w:val="yMiscellaneousBody"/>
        <w:tabs>
          <w:tab w:val="left" w:pos="567"/>
          <w:tab w:val="left" w:pos="1134"/>
        </w:tabs>
        <w:ind w:left="1134" w:hanging="1134"/>
        <w:rPr>
          <w:rFonts w:ascii="Arial" w:hAnsi="Arial"/>
          <w:sz w:val="20"/>
        </w:rPr>
      </w:pPr>
      <w:r>
        <w:rPr>
          <w:rFonts w:ascii="Arial" w:hAnsi="Arial"/>
          <w:sz w:val="20"/>
        </w:rPr>
        <w:tab/>
        <w:t>2.3</w:t>
      </w:r>
      <w:r>
        <w:rPr>
          <w:rFonts w:ascii="Arial" w:hAnsi="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sz w:val="20"/>
        </w:rPr>
        <w:noBreakHyphen/>
        <w:t>in vehicle to the Purchaser.</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THE PURCHASE PRICE</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Upon delivery of the Vehicle, the Purchaser will pay to the Dealer all of the Total Purchase Price, less any deposit paid and any value given to the Trade</w:t>
      </w:r>
      <w:r>
        <w:rPr>
          <w:rFonts w:ascii="Arial" w:hAnsi="Arial"/>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left" w:pos="567"/>
          <w:tab w:val="left" w:pos="1134"/>
        </w:tabs>
        <w:ind w:left="1134" w:hanging="1134"/>
        <w:rPr>
          <w:rFonts w:ascii="Arial" w:hAnsi="Arial"/>
          <w:sz w:val="20"/>
        </w:rPr>
      </w:pPr>
      <w:r>
        <w:rPr>
          <w:rFonts w:ascii="Arial" w:hAnsi="Arial"/>
          <w:sz w:val="20"/>
        </w:rPr>
        <w:tab/>
        <w:t>3.4</w:t>
      </w:r>
      <w:r>
        <w:rPr>
          <w:rFonts w:ascii="Arial" w:hAnsi="Arial"/>
          <w:sz w:val="20"/>
        </w:rPr>
        <w:tab/>
        <w:t>Payment by cheque for all or part of the Total Purchase Price will not be considered to have been received by the Dealer until the cheque has been honoured.</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DELIVERY OF THE VEHICLE</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Dealer will deliver the Vehicle to the Purchaser on or before the delivery date stated in this Contract.</w:t>
      </w:r>
    </w:p>
    <w:p>
      <w:pPr>
        <w:pStyle w:val="yMiscellaneousBody"/>
        <w:tabs>
          <w:tab w:val="left" w:pos="567"/>
          <w:tab w:val="left" w:pos="1134"/>
        </w:tabs>
        <w:ind w:left="1134" w:hanging="1134"/>
        <w:rPr>
          <w:rFonts w:ascii="Arial" w:hAnsi="Arial"/>
          <w:sz w:val="20"/>
        </w:rPr>
      </w:pPr>
      <w:r>
        <w:rPr>
          <w:rFonts w:ascii="Arial" w:hAnsi="Arial"/>
          <w:sz w:val="20"/>
        </w:rPr>
        <w:tab/>
        <w:t>4.2</w:t>
      </w:r>
      <w:r>
        <w:rPr>
          <w:rFonts w:ascii="Arial" w:hAnsi="Arial"/>
          <w:sz w:val="20"/>
        </w:rPr>
        <w:tab/>
        <w:t>In the case of a new Vehicle, if a Delivery Date is not stated in this Contract, the Dealer will deliver the Vehicle within three (3) months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4.3</w:t>
      </w:r>
      <w:r>
        <w:rPr>
          <w:rFonts w:ascii="Arial" w:hAnsi="Arial"/>
          <w:sz w:val="20"/>
        </w:rPr>
        <w:tab/>
        <w:t>In the case of a used Vehicle, if a Delivery Date is not stated in this Contract, the Dealer will deliver the Vehicle within one (1) month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4.4</w:t>
      </w:r>
      <w:r>
        <w:rPr>
          <w:rFonts w:ascii="Arial" w:hAnsi="Arial"/>
          <w:sz w:val="20"/>
        </w:rPr>
        <w:tab/>
        <w:t>Delivery of the Vehicle to the Purchaser will take place at the Dealer’s Premises, unless other arrangements are agreed to between the Purchaser and the Dealer.</w:t>
      </w:r>
    </w:p>
    <w:p>
      <w:pPr>
        <w:pStyle w:val="yMiscellaneousBody"/>
        <w:tabs>
          <w:tab w:val="left" w:pos="567"/>
          <w:tab w:val="left" w:pos="1134"/>
        </w:tabs>
        <w:ind w:left="1134" w:hanging="1134"/>
        <w:rPr>
          <w:rFonts w:ascii="Arial" w:hAnsi="Arial"/>
          <w:sz w:val="20"/>
        </w:rPr>
      </w:pPr>
      <w:r>
        <w:rPr>
          <w:rFonts w:ascii="Arial" w:hAnsi="Arial"/>
          <w:sz w:val="20"/>
        </w:rPr>
        <w:tab/>
        <w:t>4.5</w:t>
      </w:r>
      <w:r>
        <w:rPr>
          <w:rFonts w:ascii="Arial" w:hAnsi="Arial"/>
          <w:sz w:val="20"/>
        </w:rPr>
        <w:tab/>
        <w:t>The Purchaser will deliver any Trade</w:t>
      </w:r>
      <w:r>
        <w:rPr>
          <w:rFonts w:ascii="Arial" w:hAnsi="Arial"/>
          <w:sz w:val="20"/>
        </w:rPr>
        <w:noBreakHyphen/>
        <w:t>In Vehicle to the Dealer, and take delivery of the Vehicle, within seven (7) days of being notified by the Dealer that the Vehicle is ready for collection.</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PASSING OF PROPERTY AND RISK IN THE VEHICLE</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The Dealer remains the owner of the Vehicle until the Total Purchase Price has been received in full by the Dealer.</w:t>
      </w:r>
    </w:p>
    <w:p>
      <w:pPr>
        <w:pStyle w:val="yMiscellaneousBody"/>
        <w:tabs>
          <w:tab w:val="left" w:pos="567"/>
          <w:tab w:val="left" w:pos="1134"/>
        </w:tabs>
        <w:ind w:left="1134" w:hanging="1134"/>
        <w:rPr>
          <w:rFonts w:ascii="Arial" w:hAnsi="Arial"/>
          <w:sz w:val="20"/>
        </w:rPr>
      </w:pPr>
      <w:r>
        <w:rPr>
          <w:rFonts w:ascii="Arial" w:hAnsi="Arial"/>
          <w:sz w:val="20"/>
        </w:rPr>
        <w:tab/>
        <w:t>5.2</w:t>
      </w:r>
      <w:r>
        <w:rPr>
          <w:rFonts w:ascii="Arial" w:hAnsi="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TRADE</w:t>
      </w:r>
      <w:r>
        <w:rPr>
          <w:rFonts w:ascii="Arial" w:hAnsi="Arial"/>
          <w:b/>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Purchaser will deliver the Trade</w:t>
      </w:r>
      <w:r>
        <w:rPr>
          <w:rFonts w:ascii="Arial" w:hAnsi="Arial"/>
          <w:sz w:val="20"/>
        </w:rPr>
        <w:noBreakHyphen/>
        <w:t>In Vehicle with Accessories to the Dealer in the same condition the Trade</w:t>
      </w:r>
      <w:r>
        <w:rPr>
          <w:rFonts w:ascii="Arial" w:hAnsi="Arial"/>
          <w:sz w:val="20"/>
        </w:rPr>
        <w:noBreakHyphen/>
        <w:t>In Vehicle was in at the time it was valued by the Dealer for the purpose of this Contract, except for normal wear and tear.</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PURCHASER’S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Purchaser may terminate this Contract if the Dealer has breached any of the obligations imposed on the Dealer by this Contract.</w:t>
      </w:r>
    </w:p>
    <w:p>
      <w:pPr>
        <w:pStyle w:val="yMiscellaneousBody"/>
        <w:tabs>
          <w:tab w:val="left" w:pos="567"/>
          <w:tab w:val="left" w:pos="1134"/>
        </w:tabs>
        <w:ind w:left="1134" w:hanging="1134"/>
        <w:rPr>
          <w:rFonts w:ascii="Arial" w:hAnsi="Arial"/>
          <w:sz w:val="20"/>
        </w:rPr>
      </w:pPr>
      <w:r>
        <w:rPr>
          <w:rFonts w:ascii="Arial" w:hAnsi="Arial"/>
          <w:sz w:val="20"/>
        </w:rPr>
        <w:tab/>
        <w:t>7.2</w:t>
      </w:r>
      <w:r>
        <w:rPr>
          <w:rFonts w:ascii="Arial" w:hAnsi="Arial"/>
          <w:sz w:val="20"/>
        </w:rPr>
        <w:tab/>
        <w:t>If this Contract is validly terminated by the Purchaser, the Dealer must immediately refund any deposit paid and return any Trade</w:t>
      </w:r>
      <w:r>
        <w:rPr>
          <w:rFonts w:ascii="Arial" w:hAnsi="Arial"/>
          <w:sz w:val="20"/>
        </w:rPr>
        <w:noBreakHyphen/>
        <w:t>In Vehicle to the Purchaser.  If, in the event the Trade</w:t>
      </w:r>
      <w:r>
        <w:rPr>
          <w:rFonts w:ascii="Arial" w:hAnsi="Arial"/>
          <w:sz w:val="20"/>
        </w:rPr>
        <w:noBreakHyphen/>
        <w:t>In Vehicle has been sold, the cash equivalent of the Trade</w:t>
      </w:r>
      <w:r>
        <w:rPr>
          <w:rFonts w:ascii="Arial" w:hAnsi="Arial"/>
          <w:sz w:val="20"/>
        </w:rPr>
        <w:noBreakHyphen/>
        <w:t>In Vehicle value determined at the commencement of the Contract shall be refunded to the Purchaser.</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may terminate this Contract if the Purchaser has breached any of the obligations imposed on the Purchaser by this Contract.</w:t>
      </w:r>
    </w:p>
    <w:p>
      <w:pPr>
        <w:pStyle w:val="yMiscellaneousBody"/>
        <w:tabs>
          <w:tab w:val="left" w:pos="567"/>
          <w:tab w:val="left" w:pos="1134"/>
        </w:tabs>
        <w:ind w:left="1134" w:hanging="1134"/>
        <w:rPr>
          <w:rFonts w:ascii="Arial" w:hAnsi="Arial"/>
          <w:sz w:val="20"/>
        </w:rPr>
      </w:pPr>
      <w:r>
        <w:rPr>
          <w:rFonts w:ascii="Arial" w:hAnsi="Arial"/>
          <w:sz w:val="20"/>
        </w:rPr>
        <w:tab/>
        <w:t>8.2</w:t>
      </w:r>
      <w:r>
        <w:rPr>
          <w:rFonts w:ascii="Arial" w:hAnsi="Arial"/>
          <w:sz w:val="20"/>
        </w:rPr>
        <w:tab/>
        <w:t>If this Contract is validly terminated by the Dealer, the Dealer may seek an amount up to, but not exceeding, 15% of the Total Purchase Price of the Vehicle as pre</w:t>
      </w:r>
      <w:r>
        <w:rPr>
          <w:rFonts w:ascii="Arial" w:hAnsi="Arial"/>
          <w:sz w:val="20"/>
        </w:rPr>
        <w:noBreakHyphen/>
        <w:t>estimated liquidated damages.</w:t>
      </w:r>
    </w:p>
    <w:p>
      <w:pPr>
        <w:pStyle w:val="yMiscellaneousBody"/>
        <w:tabs>
          <w:tab w:val="left" w:pos="567"/>
          <w:tab w:val="left" w:pos="1134"/>
        </w:tabs>
        <w:ind w:left="1134" w:hanging="1134"/>
        <w:rPr>
          <w:rFonts w:ascii="Arial" w:hAnsi="Arial"/>
          <w:sz w:val="20"/>
        </w:rPr>
      </w:pPr>
      <w:r>
        <w:rPr>
          <w:rFonts w:ascii="Arial" w:hAnsi="Arial"/>
          <w:sz w:val="20"/>
        </w:rPr>
        <w:tab/>
        <w:t>8.3</w:t>
      </w:r>
      <w:r>
        <w:rPr>
          <w:rFonts w:ascii="Arial" w:hAnsi="Arial"/>
          <w:sz w:val="20"/>
        </w:rPr>
        <w:tab/>
        <w:t>Any deposit paid by the Purchaser may be used by the Dealer to meet the pre</w:t>
      </w:r>
      <w:r>
        <w:rPr>
          <w:rFonts w:ascii="Arial" w:hAnsi="Arial"/>
          <w:sz w:val="20"/>
        </w:rPr>
        <w:noBreakHyphen/>
        <w:t>estimated liquidated damages payable by the Purchaser.  Any surplus will be refunded to the Purchaser.</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NOTICES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All Notices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4169-71.]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6" w:name="_Toc151453739"/>
      <w:bookmarkStart w:id="147" w:name="_Toc151453806"/>
      <w:bookmarkStart w:id="148" w:name="_Toc151453852"/>
      <w:bookmarkStart w:id="149" w:name="_Toc151456321"/>
      <w:bookmarkStart w:id="150" w:name="_Toc151457554"/>
      <w:bookmarkStart w:id="151" w:name="_Toc151526534"/>
      <w:bookmarkStart w:id="152" w:name="_Toc155088524"/>
      <w:bookmarkStart w:id="153" w:name="_Toc155091006"/>
      <w:r>
        <w:t>Notes</w:t>
      </w:r>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snapToGrid w:val="0"/>
        </w:rPr>
        <w:t>Motor Vehicle Dealers (Sales) Regulations 1974</w:t>
      </w:r>
      <w:r>
        <w:rPr>
          <w:snapToGrid w:val="0"/>
        </w:rPr>
        <w:t xml:space="preserve"> and amendments made by the other written laws referred to in the following table.</w:t>
      </w:r>
    </w:p>
    <w:p>
      <w:pPr>
        <w:pStyle w:val="nHeading3"/>
        <w:rPr>
          <w:snapToGrid w:val="0"/>
        </w:rPr>
      </w:pPr>
      <w:bookmarkStart w:id="154" w:name="_Toc155091007"/>
      <w:r>
        <w:rPr>
          <w:snapToGrid w:val="0"/>
        </w:rPr>
        <w:t>Compilation table</w:t>
      </w:r>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Motor Vehicle Dealers (Sales) Regulations 1974</w:t>
            </w:r>
          </w:p>
        </w:tc>
        <w:tc>
          <w:tcPr>
            <w:tcW w:w="1276" w:type="dxa"/>
          </w:tcPr>
          <w:p>
            <w:pPr>
              <w:pStyle w:val="nTable"/>
              <w:spacing w:after="40"/>
              <w:rPr>
                <w:sz w:val="19"/>
              </w:rPr>
            </w:pPr>
            <w:r>
              <w:rPr>
                <w:sz w:val="19"/>
              </w:rPr>
              <w:t>14 Jun 1974 pp.1926</w:t>
            </w:r>
            <w:r>
              <w:rPr>
                <w:sz w:val="19"/>
              </w:rPr>
              <w:noBreakHyphen/>
              <w:t>36</w:t>
            </w:r>
          </w:p>
        </w:tc>
        <w:tc>
          <w:tcPr>
            <w:tcW w:w="2693" w:type="dxa"/>
          </w:tcPr>
          <w:p>
            <w:pPr>
              <w:pStyle w:val="nTable"/>
              <w:spacing w:after="40"/>
              <w:rPr>
                <w:sz w:val="19"/>
              </w:rPr>
            </w:pPr>
            <w:r>
              <w:rPr>
                <w:sz w:val="19"/>
              </w:rPr>
              <w:t>12 Aug 1974</w:t>
            </w:r>
          </w:p>
        </w:tc>
      </w:tr>
      <w:tr>
        <w:trPr>
          <w:cantSplit/>
        </w:trPr>
        <w:tc>
          <w:tcPr>
            <w:tcW w:w="3118" w:type="dxa"/>
          </w:tcPr>
          <w:p>
            <w:pPr>
              <w:pStyle w:val="nTable"/>
              <w:spacing w:after="40"/>
              <w:ind w:right="170"/>
              <w:rPr>
                <w:sz w:val="19"/>
              </w:rPr>
            </w:pPr>
            <w:r>
              <w:rPr>
                <w:i/>
                <w:sz w:val="19"/>
              </w:rPr>
              <w:t>Motor Vehicle Dealers (Sales) Amendment Regulations 1984</w:t>
            </w:r>
          </w:p>
        </w:tc>
        <w:tc>
          <w:tcPr>
            <w:tcW w:w="1276" w:type="dxa"/>
          </w:tcPr>
          <w:p>
            <w:pPr>
              <w:pStyle w:val="nTable"/>
              <w:spacing w:after="40"/>
              <w:rPr>
                <w:sz w:val="19"/>
              </w:rPr>
            </w:pPr>
            <w:r>
              <w:rPr>
                <w:sz w:val="19"/>
              </w:rPr>
              <w:t>30 Nov 1984 p.3997</w:t>
            </w:r>
          </w:p>
        </w:tc>
        <w:tc>
          <w:tcPr>
            <w:tcW w:w="2693" w:type="dxa"/>
          </w:tcPr>
          <w:p>
            <w:pPr>
              <w:pStyle w:val="nTable"/>
              <w:spacing w:after="40"/>
              <w:rPr>
                <w:sz w:val="19"/>
              </w:rPr>
            </w:pPr>
            <w:r>
              <w:rPr>
                <w:sz w:val="19"/>
              </w:rPr>
              <w:t>1 Jan 1985 (see regulation 2)</w:t>
            </w:r>
          </w:p>
        </w:tc>
      </w:tr>
      <w:tr>
        <w:trPr>
          <w:cantSplit/>
        </w:trPr>
        <w:tc>
          <w:tcPr>
            <w:tcW w:w="3118" w:type="dxa"/>
          </w:tcPr>
          <w:p>
            <w:pPr>
              <w:pStyle w:val="nTable"/>
              <w:spacing w:after="40"/>
              <w:ind w:right="170"/>
              <w:rPr>
                <w:sz w:val="19"/>
              </w:rPr>
            </w:pPr>
            <w:r>
              <w:rPr>
                <w:i/>
                <w:sz w:val="19"/>
              </w:rPr>
              <w:t>Motor Vehicle Dealers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2 Sep 1988 (see regulation 2)</w:t>
            </w:r>
          </w:p>
        </w:tc>
      </w:tr>
      <w:tr>
        <w:trPr>
          <w:cantSplit/>
        </w:trPr>
        <w:tc>
          <w:tcPr>
            <w:tcW w:w="3118" w:type="dxa"/>
          </w:tcPr>
          <w:p>
            <w:pPr>
              <w:pStyle w:val="nTable"/>
              <w:spacing w:after="40"/>
              <w:ind w:right="170"/>
              <w:rPr>
                <w:sz w:val="19"/>
              </w:rPr>
            </w:pPr>
            <w:r>
              <w:rPr>
                <w:i/>
                <w:sz w:val="19"/>
              </w:rPr>
              <w:t>Motor Vehicle Dealers (Sales) Amendment Regulations 1989</w:t>
            </w:r>
          </w:p>
        </w:tc>
        <w:tc>
          <w:tcPr>
            <w:tcW w:w="1276" w:type="dxa"/>
          </w:tcPr>
          <w:p>
            <w:pPr>
              <w:pStyle w:val="nTable"/>
              <w:spacing w:after="40"/>
              <w:rPr>
                <w:sz w:val="19"/>
              </w:rPr>
            </w:pPr>
            <w:r>
              <w:rPr>
                <w:sz w:val="19"/>
              </w:rPr>
              <w:t>25 Aug 1989 p.2874</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70"/>
              <w:rPr>
                <w:i/>
                <w:sz w:val="19"/>
              </w:rPr>
            </w:pPr>
            <w:r>
              <w:rPr>
                <w:i/>
                <w:sz w:val="19"/>
              </w:rPr>
              <w:t>Motor Vehicle Dealers (Sales) Amendment Regulations 1998</w:t>
            </w:r>
          </w:p>
        </w:tc>
        <w:tc>
          <w:tcPr>
            <w:tcW w:w="1276" w:type="dxa"/>
          </w:tcPr>
          <w:p>
            <w:pPr>
              <w:pStyle w:val="nTable"/>
              <w:spacing w:after="40"/>
              <w:rPr>
                <w:sz w:val="19"/>
              </w:rPr>
            </w:pPr>
            <w:r>
              <w:rPr>
                <w:sz w:val="19"/>
              </w:rPr>
              <w:t>26 Jun 1998 pp.3375</w:t>
            </w:r>
            <w:r>
              <w:rPr>
                <w:sz w:val="19"/>
              </w:rPr>
              <w:noBreakHyphen/>
              <w:t>80</w:t>
            </w:r>
          </w:p>
        </w:tc>
        <w:tc>
          <w:tcPr>
            <w:tcW w:w="2693" w:type="dxa"/>
          </w:tcPr>
          <w:p>
            <w:pPr>
              <w:pStyle w:val="nTable"/>
              <w:spacing w:after="40"/>
              <w:rPr>
                <w:sz w:val="19"/>
              </w:rPr>
            </w:pPr>
            <w:r>
              <w:rPr>
                <w:sz w:val="19"/>
              </w:rPr>
              <w:t>26 Dec 1998 (see regulation 2)</w:t>
            </w:r>
          </w:p>
        </w:tc>
      </w:tr>
      <w:tr>
        <w:trPr>
          <w:cantSplit/>
        </w:trPr>
        <w:tc>
          <w:tcPr>
            <w:tcW w:w="3118" w:type="dxa"/>
          </w:tcPr>
          <w:p>
            <w:pPr>
              <w:pStyle w:val="nTable"/>
              <w:spacing w:after="40"/>
              <w:ind w:right="170"/>
              <w:rPr>
                <w:i/>
                <w:sz w:val="19"/>
              </w:rPr>
            </w:pPr>
            <w:r>
              <w:rPr>
                <w:i/>
                <w:sz w:val="19"/>
              </w:rPr>
              <w:t>Motor Vehicle Dealers (Sales) Amendment Regulations (No. 2) 1998</w:t>
            </w:r>
          </w:p>
        </w:tc>
        <w:tc>
          <w:tcPr>
            <w:tcW w:w="1276" w:type="dxa"/>
          </w:tcPr>
          <w:p>
            <w:pPr>
              <w:pStyle w:val="nTable"/>
              <w:spacing w:after="40"/>
              <w:rPr>
                <w:sz w:val="19"/>
              </w:rPr>
            </w:pPr>
            <w:r>
              <w:rPr>
                <w:sz w:val="19"/>
              </w:rPr>
              <w:t>18 Sep 1998 pp.5157</w:t>
            </w:r>
            <w:r>
              <w:rPr>
                <w:sz w:val="19"/>
              </w:rPr>
              <w:noBreakHyphen/>
              <w:t>8</w:t>
            </w:r>
          </w:p>
        </w:tc>
        <w:tc>
          <w:tcPr>
            <w:tcW w:w="2693" w:type="dxa"/>
          </w:tcPr>
          <w:p>
            <w:pPr>
              <w:pStyle w:val="nTable"/>
              <w:spacing w:after="40"/>
              <w:rPr>
                <w:sz w:val="19"/>
              </w:rPr>
            </w:pPr>
            <w:r>
              <w:rPr>
                <w:sz w:val="19"/>
              </w:rPr>
              <w:t>26 Dec 1998 (see regulation 2 and </w:t>
            </w:r>
            <w:r>
              <w:rPr>
                <w:i/>
                <w:sz w:val="19"/>
              </w:rPr>
              <w:t>Gazette</w:t>
            </w:r>
            <w:r>
              <w:rPr>
                <w:sz w:val="19"/>
              </w:rPr>
              <w:t xml:space="preserve"> 26 Jun 1998 p.3375)</w:t>
            </w:r>
          </w:p>
        </w:tc>
      </w:tr>
      <w:tr>
        <w:trPr>
          <w:cantSplit/>
        </w:trPr>
        <w:tc>
          <w:tcPr>
            <w:tcW w:w="3118" w:type="dxa"/>
          </w:tcPr>
          <w:p>
            <w:pPr>
              <w:pStyle w:val="nTable"/>
              <w:spacing w:after="40"/>
              <w:ind w:right="170"/>
              <w:rPr>
                <w:i/>
                <w:sz w:val="19"/>
              </w:rPr>
            </w:pPr>
            <w:r>
              <w:rPr>
                <w:i/>
                <w:sz w:val="19"/>
              </w:rPr>
              <w:t>Motor Vehicle Dealers (Sales) Amendment Regulations 2002</w:t>
            </w:r>
          </w:p>
        </w:tc>
        <w:tc>
          <w:tcPr>
            <w:tcW w:w="1276" w:type="dxa"/>
          </w:tcPr>
          <w:p>
            <w:pPr>
              <w:pStyle w:val="nTable"/>
              <w:spacing w:after="40"/>
              <w:rPr>
                <w:sz w:val="19"/>
              </w:rPr>
            </w:pPr>
            <w:r>
              <w:rPr>
                <w:sz w:val="19"/>
              </w:rPr>
              <w:t>13 Aug 2002 pp.4159-71</w:t>
            </w:r>
          </w:p>
        </w:tc>
        <w:tc>
          <w:tcPr>
            <w:tcW w:w="2693" w:type="dxa"/>
          </w:tcPr>
          <w:p>
            <w:pPr>
              <w:pStyle w:val="nTable"/>
              <w:spacing w:after="40"/>
              <w:rPr>
                <w:sz w:val="19"/>
              </w:rPr>
            </w:pPr>
            <w:r>
              <w:rPr>
                <w:sz w:val="19"/>
              </w:rPr>
              <w:t xml:space="preserve">1 Sep 2002 (see regulation 2 and </w:t>
            </w:r>
            <w:r>
              <w:rPr>
                <w:i/>
                <w:sz w:val="19"/>
              </w:rPr>
              <w:t>Gazette</w:t>
            </w:r>
            <w:r>
              <w:rPr>
                <w:sz w:val="19"/>
              </w:rPr>
              <w:t xml:space="preserve"> 13 Aug 2002 p.4151)</w:t>
            </w:r>
          </w:p>
        </w:tc>
      </w:tr>
      <w:tr>
        <w:trPr>
          <w:cantSplit/>
        </w:trPr>
        <w:tc>
          <w:tcPr>
            <w:tcW w:w="3118" w:type="dxa"/>
          </w:tcPr>
          <w:p>
            <w:pPr>
              <w:pStyle w:val="nTable"/>
              <w:spacing w:after="40"/>
              <w:ind w:right="170"/>
              <w:rPr>
                <w:i/>
                <w:sz w:val="19"/>
              </w:rPr>
            </w:pPr>
            <w:r>
              <w:rPr>
                <w:i/>
                <w:sz w:val="19"/>
              </w:rPr>
              <w:t>Motor Vehicle Dealers (Sales) Amendment Regulations (No. 2) 2002</w:t>
            </w:r>
          </w:p>
        </w:tc>
        <w:tc>
          <w:tcPr>
            <w:tcW w:w="1276" w:type="dxa"/>
          </w:tcPr>
          <w:p>
            <w:pPr>
              <w:pStyle w:val="nTable"/>
              <w:spacing w:after="40"/>
              <w:rPr>
                <w:sz w:val="19"/>
              </w:rPr>
            </w:pPr>
            <w:r>
              <w:rPr>
                <w:sz w:val="19"/>
              </w:rPr>
              <w:t>30 Aug 2002 p. 4455-6</w:t>
            </w:r>
          </w:p>
        </w:tc>
        <w:tc>
          <w:tcPr>
            <w:tcW w:w="2693" w:type="dxa"/>
          </w:tcPr>
          <w:p>
            <w:pPr>
              <w:pStyle w:val="nTable"/>
              <w:spacing w:after="40"/>
              <w:rPr>
                <w:sz w:val="19"/>
              </w:rPr>
            </w:pPr>
            <w:r>
              <w:rPr>
                <w:sz w:val="19"/>
              </w:rPr>
              <w:t xml:space="preserve">1 Sep 2002 (see regulation 2 and </w:t>
            </w:r>
            <w:r>
              <w:rPr>
                <w:i/>
                <w:sz w:val="19"/>
              </w:rPr>
              <w:t>Gazette</w:t>
            </w:r>
            <w:r>
              <w:rPr>
                <w:sz w:val="19"/>
              </w:rPr>
              <w:t xml:space="preserve"> 13 Aug 2002 p. 4159 and p. 4151)</w:t>
            </w:r>
          </w:p>
        </w:tc>
      </w:tr>
      <w:tr>
        <w:trPr>
          <w:cantSplit/>
        </w:trPr>
        <w:tc>
          <w:tcPr>
            <w:tcW w:w="3118" w:type="dxa"/>
            <w:tcBorders>
              <w:bottom w:val="single" w:sz="8" w:space="0" w:color="auto"/>
            </w:tcBorders>
          </w:tcPr>
          <w:p>
            <w:pPr>
              <w:pStyle w:val="nTable"/>
              <w:spacing w:after="40"/>
              <w:ind w:right="170"/>
              <w:rPr>
                <w:i/>
                <w:sz w:val="19"/>
              </w:rPr>
            </w:pPr>
            <w:r>
              <w:rPr>
                <w:i/>
                <w:sz w:val="19"/>
              </w:rPr>
              <w:t xml:space="preserve">Motor Vehicle Dealers (Sales) Amendment Regulations 2006 </w:t>
            </w:r>
            <w:bookmarkStart w:id="155" w:name="UpToHere"/>
            <w:bookmarkEnd w:id="155"/>
          </w:p>
        </w:tc>
        <w:tc>
          <w:tcPr>
            <w:tcW w:w="1276" w:type="dxa"/>
            <w:tcBorders>
              <w:bottom w:val="single" w:sz="8" w:space="0" w:color="auto"/>
            </w:tcBorders>
          </w:tcPr>
          <w:p>
            <w:pPr>
              <w:pStyle w:val="nTable"/>
              <w:spacing w:after="40"/>
              <w:rPr>
                <w:sz w:val="19"/>
              </w:rPr>
            </w:pPr>
            <w:r>
              <w:rPr>
                <w:sz w:val="19"/>
              </w:rPr>
              <w:t>17 Nov 2006 p. 4750-9</w:t>
            </w:r>
          </w:p>
        </w:tc>
        <w:tc>
          <w:tcPr>
            <w:tcW w:w="2693" w:type="dxa"/>
            <w:tcBorders>
              <w:bottom w:val="single" w:sz="8" w:space="0" w:color="auto"/>
            </w:tcBorders>
          </w:tcPr>
          <w:p>
            <w:pPr>
              <w:pStyle w:val="nTable"/>
              <w:spacing w:after="40"/>
              <w:rPr>
                <w:sz w:val="19"/>
              </w:rPr>
            </w:pPr>
            <w:r>
              <w:rPr>
                <w:sz w:val="19"/>
              </w:rPr>
              <w:t>1 Jan 2007 (see r. 2)</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p>
      </w:tc>
      <w:tc>
        <w:tcPr>
          <w:tcW w:w="1548"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Motor Vehicle Dealers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w:instrText>
          </w:r>
          <w:r>
            <w:rPr>
              <w:b/>
            </w:rPr>
            <w:fldChar w:fldCharType="end"/>
          </w:r>
          <w:r>
            <w:rPr>
              <w:b/>
            </w:rPr>
            <w:fldChar w:fldCharType="begin"/>
          </w:r>
          <w:r>
            <w:rPr>
              <w:b/>
            </w:rPr>
            <w:instrText xml:space="preserve"> styleref CharSchText </w:instrTex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2A2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7AD7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C49A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4C12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A4FB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16A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E8A7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7099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BCD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83D62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0F889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67627F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540"/>
    <w:docVar w:name="WAFER_20151208142540" w:val="RemoveTrackChanges"/>
    <w:docVar w:name="WAFER_20151208142540_GUID" w:val="ba0c5f95-9b53-4e8f-bcca-5fed0b31f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7309</Words>
  <Characters>38378</Characters>
  <Application>Microsoft Office Word</Application>
  <DocSecurity>0</DocSecurity>
  <Lines>1279</Lines>
  <Paragraphs>736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44951</CharactersWithSpaces>
  <SharedDoc>false</SharedDoc>
  <HLinks>
    <vt:vector size="12" baseType="variant">
      <vt:variant>
        <vt:i4>7012354</vt:i4>
      </vt:variant>
      <vt:variant>
        <vt:i4>23255</vt:i4>
      </vt:variant>
      <vt:variant>
        <vt:i4>1025</vt:i4>
      </vt:variant>
      <vt:variant>
        <vt:i4>1</vt:i4>
      </vt:variant>
      <vt:variant>
        <vt:lpwstr>\\Pcosrv\public$\Scanning\MTRS2.gif</vt:lpwstr>
      </vt:variant>
      <vt:variant>
        <vt:lpwstr/>
      </vt:variant>
      <vt:variant>
        <vt:i4>7012355</vt:i4>
      </vt:variant>
      <vt:variant>
        <vt:i4>23279</vt:i4>
      </vt:variant>
      <vt:variant>
        <vt:i4>1026</vt:i4>
      </vt:variant>
      <vt:variant>
        <vt:i4>1</vt:i4>
      </vt:variant>
      <vt:variant>
        <vt:lpwstr>\\Pcosrv\public$\Scanning\mtrs3.gif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1974 - 02-d0-04</dc:title>
  <dc:subject/>
  <dc:creator/>
  <cp:keywords/>
  <dc:description/>
  <cp:lastModifiedBy>svcMRProcess</cp:lastModifiedBy>
  <cp:revision>4</cp:revision>
  <cp:lastPrinted>2006-12-29T01:29:00Z</cp:lastPrinted>
  <dcterms:created xsi:type="dcterms:W3CDTF">2018-09-13T02:25:00Z</dcterms:created>
  <dcterms:modified xsi:type="dcterms:W3CDTF">2018-09-13T02:25:00Z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4650</vt:i4>
  </property>
  <property fmtid="{D5CDD505-2E9C-101B-9397-08002B2CF9AE}" pid="6" name="AsAtDate">
    <vt:lpwstr>01 Jan 2007</vt:lpwstr>
  </property>
  <property fmtid="{D5CDD505-2E9C-101B-9397-08002B2CF9AE}" pid="7" name="Suffix">
    <vt:lpwstr>02-d0-04</vt:lpwstr>
  </property>
</Properties>
</file>