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_Toc143937376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_Toc143937377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_Toc143937378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_Toc143937379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_Toc143937380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_Toc143937381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_Toc143937382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_Toc143937383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_Toc143937384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_Toc143937385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_Toc143937386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_Toc143937387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_Toc143937388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_Toc143937389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_Toc143937390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_Toc143937396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2" w:name="_Toc440763129"/>
      <w:bookmarkStart w:id="3" w:name="_Toc513888801"/>
      <w:bookmarkStart w:id="4" w:name="_Toc521398961"/>
      <w:bookmarkStart w:id="5" w:name="_Toc8531437"/>
      <w:bookmarkStart w:id="6" w:name="_Toc8531516"/>
      <w:bookmarkStart w:id="7" w:name="_Toc107633796"/>
      <w:bookmarkStart w:id="8" w:name="_Toc143934061"/>
      <w:bookmarkStart w:id="9" w:name="_Toc143937376"/>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143937377"/>
      <w:bookmarkStart w:id="17" w:name="_Toc440763131"/>
      <w:r>
        <w:rPr>
          <w:rStyle w:val="CharSectno"/>
        </w:rPr>
        <w:t>2</w:t>
      </w:r>
      <w:r>
        <w:t>.</w:t>
      </w:r>
      <w:r>
        <w:tab/>
        <w:t>Interpretation</w:t>
      </w:r>
      <w:bookmarkEnd w:id="10"/>
      <w:bookmarkEnd w:id="11"/>
      <w:bookmarkEnd w:id="12"/>
      <w:bookmarkEnd w:id="13"/>
      <w:bookmarkEnd w:id="14"/>
      <w:bookmarkEnd w:id="15"/>
      <w:bookmarkEnd w:id="16"/>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w:t>
      </w:r>
    </w:p>
    <w:p>
      <w:pPr>
        <w:pStyle w:val="Heading5"/>
        <w:rPr>
          <w:snapToGrid w:val="0"/>
        </w:rPr>
      </w:pPr>
      <w:bookmarkStart w:id="18" w:name="_Toc513888803"/>
      <w:bookmarkStart w:id="19" w:name="_Toc521398963"/>
      <w:bookmarkStart w:id="20" w:name="_Toc8531439"/>
      <w:bookmarkStart w:id="21" w:name="_Toc8531518"/>
      <w:bookmarkStart w:id="22" w:name="_Toc107633798"/>
      <w:bookmarkStart w:id="23" w:name="_Toc143934063"/>
      <w:bookmarkStart w:id="24" w:name="_Toc143937378"/>
      <w:r>
        <w:rPr>
          <w:rStyle w:val="CharSectno"/>
        </w:rPr>
        <w:t>3</w:t>
      </w:r>
      <w:r>
        <w:rPr>
          <w:snapToGrid w:val="0"/>
        </w:rPr>
        <w:t>.</w:t>
      </w:r>
      <w:r>
        <w:rPr>
          <w:snapToGrid w:val="0"/>
        </w:rPr>
        <w:tab/>
        <w:t>Form of application</w:t>
      </w:r>
      <w:bookmarkEnd w:id="17"/>
      <w:bookmarkEnd w:id="18"/>
      <w:bookmarkEnd w:id="19"/>
      <w:bookmarkEnd w:id="20"/>
      <w:bookmarkEnd w:id="21"/>
      <w:bookmarkEnd w:id="22"/>
      <w:bookmarkEnd w:id="23"/>
      <w:bookmarkEnd w:id="24"/>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5" w:name="_Toc440763132"/>
      <w:bookmarkStart w:id="26" w:name="_Toc513888804"/>
      <w:bookmarkStart w:id="27" w:name="_Toc521398964"/>
      <w:bookmarkStart w:id="28" w:name="_Toc8531440"/>
      <w:bookmarkStart w:id="29" w:name="_Toc8531519"/>
      <w:bookmarkStart w:id="30" w:name="_Toc107633799"/>
      <w:bookmarkStart w:id="31" w:name="_Toc143934064"/>
      <w:bookmarkStart w:id="32" w:name="_Toc143937379"/>
      <w:r>
        <w:rPr>
          <w:rStyle w:val="CharSectno"/>
        </w:rPr>
        <w:t>4</w:t>
      </w:r>
      <w:r>
        <w:rPr>
          <w:snapToGrid w:val="0"/>
        </w:rPr>
        <w:t>.</w:t>
      </w:r>
      <w:r>
        <w:rPr>
          <w:snapToGrid w:val="0"/>
        </w:rPr>
        <w:tab/>
        <w:t xml:space="preserve">Form of </w:t>
      </w:r>
      <w:bookmarkEnd w:id="25"/>
      <w:bookmarkEnd w:id="26"/>
      <w:bookmarkEnd w:id="27"/>
      <w:bookmarkEnd w:id="28"/>
      <w:bookmarkEnd w:id="29"/>
      <w:r>
        <w:rPr>
          <w:snapToGrid w:val="0"/>
        </w:rPr>
        <w:t>licence</w:t>
      </w:r>
      <w:bookmarkEnd w:id="30"/>
      <w:bookmarkEnd w:id="31"/>
      <w:bookmarkEnd w:id="32"/>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3" w:name="_Toc440763133"/>
      <w:bookmarkStart w:id="34" w:name="_Toc513888805"/>
      <w:bookmarkStart w:id="35" w:name="_Toc521398965"/>
      <w:bookmarkStart w:id="36" w:name="_Toc8531441"/>
      <w:bookmarkStart w:id="37" w:name="_Toc8531520"/>
      <w:bookmarkStart w:id="38" w:name="_Toc107633800"/>
      <w:bookmarkStart w:id="39" w:name="_Toc143934065"/>
      <w:bookmarkStart w:id="40" w:name="_Toc143937380"/>
      <w:r>
        <w:rPr>
          <w:rStyle w:val="CharSectno"/>
        </w:rPr>
        <w:t>5</w:t>
      </w:r>
      <w:r>
        <w:rPr>
          <w:snapToGrid w:val="0"/>
        </w:rPr>
        <w:t>.</w:t>
      </w:r>
      <w:r>
        <w:rPr>
          <w:snapToGrid w:val="0"/>
        </w:rPr>
        <w:tab/>
        <w:t>Medical examinations</w:t>
      </w:r>
      <w:bookmarkEnd w:id="33"/>
      <w:bookmarkEnd w:id="34"/>
      <w:bookmarkEnd w:id="35"/>
      <w:bookmarkEnd w:id="36"/>
      <w:bookmarkEnd w:id="37"/>
      <w:bookmarkEnd w:id="38"/>
      <w:bookmarkEnd w:id="39"/>
      <w:bookmarkEnd w:id="40"/>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1" w:name="_Toc440763134"/>
      <w:bookmarkStart w:id="42" w:name="_Toc513888806"/>
      <w:bookmarkStart w:id="43" w:name="_Toc521398966"/>
      <w:bookmarkStart w:id="44" w:name="_Toc8531442"/>
      <w:bookmarkStart w:id="45" w:name="_Toc8531521"/>
      <w:bookmarkStart w:id="46" w:name="_Toc107633801"/>
      <w:bookmarkStart w:id="47" w:name="_Toc143934066"/>
      <w:bookmarkStart w:id="48" w:name="_Toc143937381"/>
      <w:r>
        <w:rPr>
          <w:rStyle w:val="CharSectno"/>
        </w:rPr>
        <w:t>6</w:t>
      </w:r>
      <w:r>
        <w:rPr>
          <w:snapToGrid w:val="0"/>
        </w:rPr>
        <w:t>.</w:t>
      </w:r>
      <w:r>
        <w:rPr>
          <w:snapToGrid w:val="0"/>
        </w:rPr>
        <w:tab/>
        <w:t xml:space="preserve">Delivery of expired, suspended or cancelled </w:t>
      </w:r>
      <w:bookmarkEnd w:id="41"/>
      <w:bookmarkEnd w:id="42"/>
      <w:bookmarkEnd w:id="43"/>
      <w:bookmarkEnd w:id="44"/>
      <w:bookmarkEnd w:id="45"/>
      <w:r>
        <w:rPr>
          <w:snapToGrid w:val="0"/>
        </w:rPr>
        <w:t>licence</w:t>
      </w:r>
      <w:bookmarkEnd w:id="46"/>
      <w:bookmarkEnd w:id="47"/>
      <w:bookmarkEnd w:id="48"/>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9" w:name="_Toc440763135"/>
      <w:bookmarkStart w:id="50" w:name="_Toc513888807"/>
      <w:bookmarkStart w:id="51" w:name="_Toc521398967"/>
      <w:bookmarkStart w:id="52" w:name="_Toc8531443"/>
      <w:bookmarkStart w:id="53" w:name="_Toc8531522"/>
      <w:bookmarkStart w:id="54" w:name="_Toc107633802"/>
      <w:bookmarkStart w:id="55" w:name="_Toc143934067"/>
      <w:bookmarkStart w:id="56" w:name="_Toc143937382"/>
      <w:r>
        <w:rPr>
          <w:rStyle w:val="CharSectno"/>
        </w:rPr>
        <w:t>7</w:t>
      </w:r>
      <w:r>
        <w:rPr>
          <w:snapToGrid w:val="0"/>
        </w:rPr>
        <w:t>.</w:t>
      </w:r>
      <w:r>
        <w:rPr>
          <w:snapToGrid w:val="0"/>
        </w:rPr>
        <w:tab/>
        <w:t>Change of address</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7" w:name="_Toc440763136"/>
      <w:bookmarkStart w:id="58" w:name="_Toc513888808"/>
      <w:bookmarkStart w:id="59" w:name="_Toc521398968"/>
      <w:bookmarkStart w:id="60" w:name="_Toc8531444"/>
      <w:bookmarkStart w:id="61" w:name="_Toc8531523"/>
      <w:bookmarkStart w:id="62" w:name="_Toc107633803"/>
      <w:bookmarkStart w:id="63" w:name="_Toc143934068"/>
      <w:bookmarkStart w:id="64" w:name="_Toc143937383"/>
      <w:r>
        <w:rPr>
          <w:rStyle w:val="CharSectno"/>
        </w:rPr>
        <w:t>8</w:t>
      </w:r>
      <w:r>
        <w:rPr>
          <w:snapToGrid w:val="0"/>
        </w:rPr>
        <w:t>.</w:t>
      </w:r>
      <w:r>
        <w:rPr>
          <w:snapToGrid w:val="0"/>
        </w:rPr>
        <w:tab/>
        <w:t xml:space="preserve">Production of </w:t>
      </w:r>
      <w:bookmarkEnd w:id="57"/>
      <w:bookmarkEnd w:id="58"/>
      <w:bookmarkEnd w:id="59"/>
      <w:bookmarkEnd w:id="60"/>
      <w:bookmarkEnd w:id="61"/>
      <w:r>
        <w:rPr>
          <w:snapToGrid w:val="0"/>
        </w:rPr>
        <w:t>licence</w:t>
      </w:r>
      <w:bookmarkEnd w:id="62"/>
      <w:bookmarkEnd w:id="63"/>
      <w:bookmarkEnd w:id="64"/>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5" w:name="_Toc440763137"/>
      <w:bookmarkStart w:id="66" w:name="_Toc513888809"/>
      <w:bookmarkStart w:id="67" w:name="_Toc521398969"/>
      <w:bookmarkStart w:id="68" w:name="_Toc8531445"/>
      <w:bookmarkStart w:id="69" w:name="_Toc8531524"/>
      <w:bookmarkStart w:id="70" w:name="_Toc107633804"/>
      <w:bookmarkStart w:id="71" w:name="_Toc143934069"/>
      <w:bookmarkStart w:id="72" w:name="_Toc143937384"/>
      <w:r>
        <w:rPr>
          <w:rStyle w:val="CharSectno"/>
        </w:rPr>
        <w:t>9</w:t>
      </w:r>
      <w:r>
        <w:rPr>
          <w:snapToGrid w:val="0"/>
        </w:rPr>
        <w:t>.</w:t>
      </w:r>
      <w:r>
        <w:rPr>
          <w:snapToGrid w:val="0"/>
        </w:rPr>
        <w:tab/>
        <w:t xml:space="preserve">Replacement </w:t>
      </w:r>
      <w:bookmarkEnd w:id="65"/>
      <w:bookmarkEnd w:id="66"/>
      <w:bookmarkEnd w:id="67"/>
      <w:bookmarkEnd w:id="68"/>
      <w:bookmarkEnd w:id="69"/>
      <w:r>
        <w:rPr>
          <w:snapToGrid w:val="0"/>
        </w:rPr>
        <w:t>licence</w:t>
      </w:r>
      <w:bookmarkEnd w:id="70"/>
      <w:bookmarkEnd w:id="71"/>
      <w:bookmarkEnd w:id="72"/>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3" w:name="_Toc440763138"/>
      <w:bookmarkStart w:id="74" w:name="_Toc513888810"/>
      <w:bookmarkStart w:id="75" w:name="_Toc521398970"/>
      <w:bookmarkStart w:id="76" w:name="_Toc8531446"/>
      <w:bookmarkStart w:id="77" w:name="_Toc8531525"/>
      <w:bookmarkStart w:id="78" w:name="_Toc107633805"/>
      <w:bookmarkStart w:id="79" w:name="_Toc143934070"/>
      <w:bookmarkStart w:id="80" w:name="_Toc143937385"/>
      <w:r>
        <w:rPr>
          <w:rStyle w:val="CharSectno"/>
        </w:rPr>
        <w:t>10</w:t>
      </w:r>
      <w:r>
        <w:rPr>
          <w:snapToGrid w:val="0"/>
        </w:rPr>
        <w:t>.</w:t>
      </w:r>
      <w:r>
        <w:rPr>
          <w:snapToGrid w:val="0"/>
        </w:rPr>
        <w:tab/>
        <w:t>Duplicate control and mirrors</w:t>
      </w:r>
      <w:bookmarkEnd w:id="73"/>
      <w:bookmarkEnd w:id="74"/>
      <w:bookmarkEnd w:id="75"/>
      <w:bookmarkEnd w:id="76"/>
      <w:bookmarkEnd w:id="77"/>
      <w:bookmarkEnd w:id="78"/>
      <w:bookmarkEnd w:id="79"/>
      <w:bookmarkEnd w:id="80"/>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1" w:name="_Toc440763140"/>
      <w:bookmarkStart w:id="82" w:name="_Toc513888812"/>
      <w:bookmarkStart w:id="83" w:name="_Toc521398972"/>
      <w:bookmarkStart w:id="84" w:name="_Toc8531448"/>
      <w:bookmarkStart w:id="85" w:name="_Toc8531527"/>
      <w:bookmarkStart w:id="86" w:name="_Toc107633806"/>
      <w:bookmarkStart w:id="87" w:name="_Toc143934071"/>
      <w:bookmarkStart w:id="88" w:name="_Toc143937386"/>
      <w:r>
        <w:rPr>
          <w:rStyle w:val="CharSectno"/>
        </w:rPr>
        <w:t>12</w:t>
      </w:r>
      <w:r>
        <w:rPr>
          <w:snapToGrid w:val="0"/>
        </w:rPr>
        <w:t>.</w:t>
      </w:r>
      <w:r>
        <w:rPr>
          <w:snapToGrid w:val="0"/>
        </w:rPr>
        <w:tab/>
        <w:t>Prescribed body; classes of vehicles</w:t>
      </w:r>
      <w:bookmarkEnd w:id="81"/>
      <w:bookmarkEnd w:id="82"/>
      <w:bookmarkEnd w:id="83"/>
      <w:bookmarkEnd w:id="84"/>
      <w:bookmarkEnd w:id="85"/>
      <w:bookmarkEnd w:id="86"/>
      <w:bookmarkEnd w:id="87"/>
      <w:bookmarkEnd w:id="88"/>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89" w:name="_Toc513888813"/>
      <w:bookmarkStart w:id="90" w:name="_Toc521398973"/>
      <w:bookmarkStart w:id="91" w:name="_Toc8531449"/>
      <w:bookmarkStart w:id="92" w:name="_Toc8531528"/>
      <w:bookmarkStart w:id="93" w:name="_Toc107633807"/>
      <w:bookmarkStart w:id="94" w:name="_Toc143934072"/>
      <w:bookmarkStart w:id="95" w:name="_Toc143937387"/>
      <w:bookmarkStart w:id="96" w:name="_Toc440763141"/>
      <w:r>
        <w:rPr>
          <w:rStyle w:val="CharSectno"/>
        </w:rPr>
        <w:t>12A</w:t>
      </w:r>
      <w:r>
        <w:t>.</w:t>
      </w:r>
      <w:r>
        <w:tab/>
        <w:t>Scope of a licence or permit</w:t>
      </w:r>
      <w:bookmarkEnd w:id="89"/>
      <w:bookmarkEnd w:id="90"/>
      <w:bookmarkEnd w:id="91"/>
      <w:bookmarkEnd w:id="92"/>
      <w:bookmarkEnd w:id="93"/>
      <w:bookmarkEnd w:id="94"/>
      <w:bookmarkEnd w:id="95"/>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97" w:name="_Toc513888814"/>
      <w:bookmarkStart w:id="98" w:name="_Toc521398974"/>
      <w:bookmarkStart w:id="99" w:name="_Toc8531450"/>
      <w:bookmarkStart w:id="100" w:name="_Toc8531529"/>
      <w:bookmarkStart w:id="101" w:name="_Toc107633808"/>
      <w:bookmarkStart w:id="102" w:name="_Toc143934073"/>
      <w:bookmarkStart w:id="103" w:name="_Toc143937388"/>
      <w:r>
        <w:rPr>
          <w:rStyle w:val="CharSectno"/>
        </w:rPr>
        <w:t>13</w:t>
      </w:r>
      <w:r>
        <w:rPr>
          <w:snapToGrid w:val="0"/>
        </w:rPr>
        <w:t>.</w:t>
      </w:r>
      <w:r>
        <w:rPr>
          <w:snapToGrid w:val="0"/>
        </w:rPr>
        <w:tab/>
        <w:t>Fees</w:t>
      </w:r>
      <w:bookmarkEnd w:id="96"/>
      <w:bookmarkEnd w:id="97"/>
      <w:bookmarkEnd w:id="98"/>
      <w:bookmarkEnd w:id="99"/>
      <w:bookmarkEnd w:id="100"/>
      <w:bookmarkEnd w:id="101"/>
      <w:bookmarkEnd w:id="102"/>
      <w:bookmarkEnd w:id="103"/>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04" w:name="_Toc440763142"/>
      <w:bookmarkStart w:id="105" w:name="_Toc513888815"/>
      <w:bookmarkStart w:id="106" w:name="_Toc521398975"/>
      <w:bookmarkStart w:id="107" w:name="_Toc8531451"/>
      <w:bookmarkStart w:id="108" w:name="_Toc8531530"/>
      <w:bookmarkStart w:id="109" w:name="_Toc107633809"/>
      <w:bookmarkStart w:id="110" w:name="_Toc143934074"/>
      <w:bookmarkStart w:id="111" w:name="_Toc143937389"/>
      <w:r>
        <w:rPr>
          <w:rStyle w:val="CharSectno"/>
        </w:rPr>
        <w:t>13A</w:t>
      </w:r>
      <w:r>
        <w:rPr>
          <w:snapToGrid w:val="0"/>
        </w:rPr>
        <w:t>.</w:t>
      </w:r>
      <w:r>
        <w:rPr>
          <w:snapToGrid w:val="0"/>
        </w:rPr>
        <w:tab/>
        <w:t>Exemptions</w:t>
      </w:r>
      <w:bookmarkEnd w:id="104"/>
      <w:bookmarkEnd w:id="105"/>
      <w:bookmarkEnd w:id="106"/>
      <w:bookmarkEnd w:id="107"/>
      <w:bookmarkEnd w:id="108"/>
      <w:bookmarkEnd w:id="109"/>
      <w:bookmarkEnd w:id="110"/>
      <w:bookmarkEnd w:id="111"/>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2" w:name="_Toc440763143"/>
      <w:bookmarkStart w:id="113" w:name="_Toc513888816"/>
      <w:bookmarkStart w:id="114" w:name="_Toc521398976"/>
      <w:bookmarkStart w:id="115" w:name="_Toc8531452"/>
      <w:bookmarkStart w:id="116" w:name="_Toc8531531"/>
      <w:bookmarkStart w:id="117" w:name="_Toc107633810"/>
      <w:bookmarkStart w:id="118" w:name="_Toc143934075"/>
      <w:bookmarkStart w:id="119" w:name="_Toc143937390"/>
      <w:r>
        <w:rPr>
          <w:rStyle w:val="CharSectno"/>
        </w:rPr>
        <w:t>14</w:t>
      </w:r>
      <w:r>
        <w:rPr>
          <w:snapToGrid w:val="0"/>
        </w:rPr>
        <w:t>.</w:t>
      </w:r>
      <w:r>
        <w:rPr>
          <w:snapToGrid w:val="0"/>
        </w:rPr>
        <w:tab/>
        <w:t>Offence and penalty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20" w:name="_Toc8531532"/>
      <w:bookmarkStart w:id="121" w:name="_Toc107633811"/>
      <w:bookmarkStart w:id="122" w:name="_Toc133306683"/>
      <w:bookmarkStart w:id="123" w:name="_Toc135457129"/>
      <w:bookmarkStart w:id="124" w:name="_Toc135558459"/>
      <w:bookmarkStart w:id="125" w:name="_Toc142214851"/>
      <w:bookmarkStart w:id="126" w:name="_Toc143934076"/>
      <w:bookmarkStart w:id="127" w:name="_Toc143935109"/>
      <w:bookmarkStart w:id="128" w:name="_Toc143937391"/>
      <w:r>
        <w:rPr>
          <w:rStyle w:val="CharSchNo"/>
        </w:rPr>
        <w:t>Schedule 1 </w:t>
      </w:r>
      <w:r>
        <w:t>— </w:t>
      </w:r>
      <w:r>
        <w:rPr>
          <w:rStyle w:val="CharSchText"/>
        </w:rPr>
        <w:t>Forms</w:t>
      </w:r>
      <w:bookmarkEnd w:id="120"/>
      <w:bookmarkEnd w:id="121"/>
      <w:bookmarkEnd w:id="122"/>
      <w:bookmarkEnd w:id="123"/>
      <w:bookmarkEnd w:id="124"/>
      <w:bookmarkEnd w:id="125"/>
      <w:bookmarkEnd w:id="126"/>
      <w:bookmarkEnd w:id="127"/>
      <w:bookmarkEnd w:id="128"/>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29" w:name="_Toc8531533"/>
      <w:bookmarkStart w:id="130" w:name="_Toc107633812"/>
      <w:bookmarkStart w:id="131" w:name="_Toc133306684"/>
      <w:bookmarkStart w:id="132" w:name="_Toc135457130"/>
      <w:bookmarkStart w:id="133" w:name="_Toc135558460"/>
      <w:bookmarkStart w:id="134" w:name="_Toc142214852"/>
      <w:bookmarkStart w:id="135" w:name="_Toc143934077"/>
      <w:bookmarkStart w:id="136" w:name="_Toc143935110"/>
      <w:bookmarkStart w:id="137" w:name="_Toc143937392"/>
      <w:r>
        <w:rPr>
          <w:rStyle w:val="CharSchNo"/>
        </w:rPr>
        <w:t>Schedule 2</w:t>
      </w:r>
      <w:r>
        <w:t> — </w:t>
      </w:r>
      <w:r>
        <w:rPr>
          <w:rStyle w:val="CharSchText"/>
        </w:rPr>
        <w:t>Prescribed bodies</w:t>
      </w:r>
      <w:bookmarkEnd w:id="129"/>
      <w:bookmarkEnd w:id="130"/>
      <w:bookmarkEnd w:id="131"/>
      <w:bookmarkEnd w:id="132"/>
      <w:bookmarkEnd w:id="133"/>
      <w:bookmarkEnd w:id="134"/>
      <w:bookmarkEnd w:id="135"/>
      <w:bookmarkEnd w:id="136"/>
      <w:bookmarkEnd w:id="137"/>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38" w:name="_Toc8531534"/>
      <w:bookmarkStart w:id="139" w:name="_Toc107633813"/>
      <w:bookmarkStart w:id="140" w:name="_Toc133306685"/>
      <w:bookmarkStart w:id="141" w:name="_Toc135457131"/>
      <w:bookmarkStart w:id="142" w:name="_Toc135558461"/>
      <w:bookmarkStart w:id="143" w:name="_Toc142214853"/>
      <w:bookmarkStart w:id="144" w:name="_Toc143934078"/>
      <w:bookmarkStart w:id="145" w:name="_Toc143935111"/>
      <w:bookmarkStart w:id="146" w:name="_Toc143937393"/>
      <w:r>
        <w:rPr>
          <w:rStyle w:val="CharSchNo"/>
        </w:rPr>
        <w:t>Schedule 3</w:t>
      </w:r>
      <w:r>
        <w:t> — </w:t>
      </w:r>
      <w:r>
        <w:rPr>
          <w:rStyle w:val="CharSchText"/>
        </w:rPr>
        <w:t>Classes of vehicles</w:t>
      </w:r>
      <w:bookmarkEnd w:id="138"/>
      <w:bookmarkEnd w:id="139"/>
      <w:bookmarkEnd w:id="140"/>
      <w:bookmarkEnd w:id="141"/>
      <w:bookmarkEnd w:id="142"/>
      <w:bookmarkEnd w:id="143"/>
      <w:bookmarkEnd w:id="144"/>
      <w:bookmarkEnd w:id="145"/>
      <w:bookmarkEnd w:id="146"/>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47" w:name="_Toc8531535"/>
      <w:bookmarkStart w:id="148" w:name="_Toc107633814"/>
      <w:bookmarkStart w:id="149" w:name="_Toc133306686"/>
      <w:bookmarkStart w:id="150" w:name="_Toc135457132"/>
      <w:bookmarkStart w:id="151" w:name="_Toc135558462"/>
      <w:bookmarkStart w:id="152" w:name="_Toc142214854"/>
      <w:bookmarkStart w:id="153" w:name="_Toc143934079"/>
      <w:bookmarkStart w:id="154" w:name="_Toc143935112"/>
      <w:bookmarkStart w:id="155" w:name="_Toc143937394"/>
      <w:r>
        <w:rPr>
          <w:rStyle w:val="CharSchNo"/>
        </w:rPr>
        <w:t>Schedule 4</w:t>
      </w:r>
      <w:r>
        <w:t> — </w:t>
      </w:r>
      <w:r>
        <w:rPr>
          <w:rStyle w:val="CharSchText"/>
        </w:rPr>
        <w:t>Scope of a licence or permit</w:t>
      </w:r>
      <w:bookmarkEnd w:id="147"/>
      <w:bookmarkEnd w:id="148"/>
      <w:bookmarkEnd w:id="149"/>
      <w:bookmarkEnd w:id="150"/>
      <w:bookmarkEnd w:id="151"/>
      <w:bookmarkEnd w:id="152"/>
      <w:bookmarkEnd w:id="153"/>
      <w:bookmarkEnd w:id="154"/>
      <w:bookmarkEnd w:id="155"/>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56" w:name="_Toc92705505"/>
      <w:bookmarkStart w:id="157" w:name="_Toc92880618"/>
      <w:bookmarkStart w:id="158" w:name="_Toc92880679"/>
      <w:bookmarkStart w:id="159" w:name="_Toc104890510"/>
      <w:bookmarkStart w:id="160" w:name="_Toc104950792"/>
      <w:bookmarkStart w:id="161" w:name="_Toc104953593"/>
      <w:bookmarkStart w:id="162" w:name="_Toc107633815"/>
    </w:p>
    <w:p>
      <w:pPr>
        <w:pStyle w:val="nHeading2"/>
      </w:pPr>
      <w:bookmarkStart w:id="163" w:name="_Toc133306687"/>
      <w:bookmarkStart w:id="164" w:name="_Toc135457133"/>
      <w:bookmarkStart w:id="165" w:name="_Toc135558463"/>
      <w:bookmarkStart w:id="166" w:name="_Toc142214855"/>
      <w:bookmarkStart w:id="167" w:name="_Toc143934080"/>
      <w:bookmarkStart w:id="168" w:name="_Toc143935113"/>
      <w:bookmarkStart w:id="169" w:name="_Toc143937395"/>
      <w:r>
        <w:t>Notes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70" w:name="_Toc143934081"/>
      <w:bookmarkStart w:id="171" w:name="_Toc143937396"/>
      <w:r>
        <w:t>Compilation table</w:t>
      </w:r>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Regulations  2006</w:t>
            </w:r>
          </w:p>
        </w:tc>
        <w:tc>
          <w:tcPr>
            <w:tcW w:w="1276" w:type="dxa"/>
            <w:tcBorders>
              <w:bottom w:val="single" w:sz="4" w:space="0" w:color="auto"/>
            </w:tcBorders>
          </w:tcPr>
          <w:p>
            <w:pPr>
              <w:pStyle w:val="nTable"/>
              <w:spacing w:after="40"/>
              <w:rPr>
                <w:sz w:val="19"/>
              </w:rPr>
            </w:pPr>
            <w:r>
              <w:rPr>
                <w:sz w:val="19"/>
              </w:rPr>
              <w:t>18 Aug 2006 p. 3371</w:t>
            </w:r>
          </w:p>
        </w:tc>
        <w:tc>
          <w:tcPr>
            <w:tcW w:w="2693" w:type="dxa"/>
            <w:tcBorders>
              <w:bottom w:val="single" w:sz="4" w:space="0" w:color="auto"/>
            </w:tcBorders>
          </w:tcPr>
          <w:p>
            <w:pPr>
              <w:pStyle w:val="nTable"/>
              <w:spacing w:after="40"/>
              <w:rPr>
                <w:sz w:val="19"/>
              </w:rPr>
            </w:pPr>
            <w:r>
              <w:rPr>
                <w:sz w:val="19"/>
              </w:rPr>
              <w:t>18 Aug 2006</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35"/>
    <w:docVar w:name="WAFER_20151208142635" w:val="RemoveTrackChanges"/>
    <w:docVar w:name="WAFER_20151208142635_GUID" w:val="8fe993a4-75c4-4acd-969a-aa805fe1d7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5439</Words>
  <Characters>28446</Characters>
  <Application>Microsoft Office Word</Application>
  <DocSecurity>0</DocSecurity>
  <Lines>1053</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1964 - 04-b0-04</dc:title>
  <dc:subject/>
  <dc:creator/>
  <cp:keywords/>
  <dc:description/>
  <cp:lastModifiedBy>svcMRProcess</cp:lastModifiedBy>
  <cp:revision>4</cp:revision>
  <cp:lastPrinted>2006-08-11T01:15:00Z</cp:lastPrinted>
  <dcterms:created xsi:type="dcterms:W3CDTF">2015-12-10T20:16:00Z</dcterms:created>
  <dcterms:modified xsi:type="dcterms:W3CDTF">2015-12-10T20:16:00Z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AsAtDate">
    <vt:lpwstr>18 Aug 2006</vt:lpwstr>
  </property>
  <property fmtid="{D5CDD505-2E9C-101B-9397-08002B2CF9AE}" pid="9" name="Suffix">
    <vt:lpwstr>04-b0-04</vt:lpwstr>
  </property>
</Properties>
</file>