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Aboriginal Communities Act 1979</w:t>
      </w:r>
    </w:p>
    <w:p>
      <w:pPr>
        <w:pStyle w:val="NameofActReg"/>
        <w:spacing w:before="3760" w:after="4200"/>
      </w:pPr>
      <w:r>
        <w:rPr>
          <w:noProof/>
        </w:rPr>
        <w:t>Oombulgurri Association Incorporated By-laws</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June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Oombulgurri Association Incorporated By-laws</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_Toc473626478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_Toc473626479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_Toc473626480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_Toc473626482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_Toc473626483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_Toc473626484 \h </w:instrText>
      </w:r>
      <w:r>
        <w:fldChar w:fldCharType="separate"/>
      </w:r>
      <w:r>
        <w:t>4</w:t>
      </w:r>
      <w:r>
        <w:fldChar w:fldCharType="end"/>
      </w:r>
    </w:p>
    <w:p>
      <w:pPr>
        <w:pStyle w:val="TOC2"/>
        <w:tabs>
          <w:tab w:val="right" w:leader="dot" w:pos="708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_Toc473626486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_Toc473626487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_Toc473626488 \h </w:instrText>
      </w:r>
      <w:r>
        <w:fldChar w:fldCharType="separate"/>
      </w:r>
      <w:r>
        <w:t>5</w:t>
      </w:r>
      <w:r>
        <w:fldChar w:fldCharType="end"/>
      </w:r>
    </w:p>
    <w:p>
      <w:pPr>
        <w:pStyle w:val="TOC2"/>
        <w:tabs>
          <w:tab w:val="right" w:leader="dot" w:pos="7087"/>
        </w:tabs>
        <w:rPr>
          <w:rFonts w:asciiTheme="minorHAnsi" w:eastAsiaTheme="minorEastAsia" w:hAnsiTheme="minorHAnsi" w:cstheme="minorBidi"/>
          <w:b w:val="0"/>
          <w:sz w:val="22"/>
          <w:szCs w:val="22"/>
        </w:rPr>
      </w:pPr>
      <w:r>
        <w:t>Part 4 — Offences relating to alcohol</w:t>
      </w:r>
    </w:p>
    <w:p>
      <w:pPr>
        <w:pStyle w:val="TOC8"/>
        <w:rPr>
          <w:rFonts w:asciiTheme="minorHAnsi" w:eastAsiaTheme="minorEastAsia" w:hAnsiTheme="minorHAnsi" w:cstheme="minorBidi"/>
          <w:szCs w:val="22"/>
        </w:rPr>
      </w:pPr>
      <w:r>
        <w:t>10</w:t>
      </w:r>
      <w:r>
        <w:rPr>
          <w:snapToGrid w:val="0"/>
        </w:rPr>
        <w:t>.</w:t>
      </w:r>
      <w:r>
        <w:rPr>
          <w:snapToGrid w:val="0"/>
        </w:rPr>
        <w:tab/>
        <w:t>Prohibition of alcohol on community land</w:t>
      </w:r>
      <w:r>
        <w:tab/>
      </w:r>
      <w:r>
        <w:fldChar w:fldCharType="begin"/>
      </w:r>
      <w:r>
        <w:instrText xml:space="preserve"> PAGEREF _Toc473626490 \h </w:instrText>
      </w:r>
      <w:r>
        <w:fldChar w:fldCharType="separate"/>
      </w:r>
      <w:r>
        <w:t>6</w:t>
      </w:r>
      <w:r>
        <w:fldChar w:fldCharType="end"/>
      </w:r>
    </w:p>
    <w:p>
      <w:pPr>
        <w:pStyle w:val="TOC2"/>
        <w:tabs>
          <w:tab w:val="right" w:leader="dot" w:pos="7087"/>
        </w:tabs>
        <w:rPr>
          <w:rFonts w:asciiTheme="minorHAnsi" w:eastAsiaTheme="minorEastAsia" w:hAnsiTheme="minorHAnsi" w:cstheme="minorBidi"/>
          <w:b w:val="0"/>
          <w:sz w:val="22"/>
          <w:szCs w:val="22"/>
        </w:rPr>
      </w:pPr>
      <w:r>
        <w:t>Part 5 — Regulation of other matters</w:t>
      </w:r>
    </w:p>
    <w:p>
      <w:pPr>
        <w:pStyle w:val="TOC8"/>
        <w:rPr>
          <w:rFonts w:asciiTheme="minorHAnsi" w:eastAsiaTheme="minorEastAsia" w:hAnsiTheme="minorHAnsi" w:cstheme="minorBidi"/>
          <w:szCs w:val="22"/>
        </w:rPr>
      </w:pPr>
      <w:r>
        <w:t>11</w:t>
      </w:r>
      <w:r>
        <w:rPr>
          <w:snapToGrid w:val="0"/>
        </w:rPr>
        <w:t>.</w:t>
      </w:r>
      <w:r>
        <w:rPr>
          <w:snapToGrid w:val="0"/>
        </w:rPr>
        <w:tab/>
        <w:t>Wilful damage</w:t>
      </w:r>
      <w:r>
        <w:tab/>
      </w:r>
      <w:r>
        <w:fldChar w:fldCharType="begin"/>
      </w:r>
      <w:r>
        <w:instrText xml:space="preserve"> PAGEREF _Toc473626492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Litter</w:t>
      </w:r>
      <w:r>
        <w:tab/>
      </w:r>
      <w:r>
        <w:fldChar w:fldCharType="begin"/>
      </w:r>
      <w:r>
        <w:instrText xml:space="preserve"> PAGEREF _Toc473626493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_Toc473626494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Disruption of meetings</w:t>
      </w:r>
      <w:r>
        <w:tab/>
      </w:r>
      <w:r>
        <w:fldChar w:fldCharType="begin"/>
      </w:r>
      <w:r>
        <w:instrText xml:space="preserve"> PAGEREF _Toc473626495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Supervision of children in absence of guardian</w:t>
      </w:r>
      <w:r>
        <w:tab/>
      </w:r>
      <w:r>
        <w:fldChar w:fldCharType="begin"/>
      </w:r>
      <w:r>
        <w:instrText xml:space="preserve"> PAGEREF _Toc473626496 \h </w:instrText>
      </w:r>
      <w:r>
        <w:fldChar w:fldCharType="separate"/>
      </w:r>
      <w:r>
        <w:t>7</w:t>
      </w:r>
      <w:r>
        <w:fldChar w:fldCharType="end"/>
      </w:r>
    </w:p>
    <w:p>
      <w:pPr>
        <w:pStyle w:val="TOC2"/>
        <w:tabs>
          <w:tab w:val="right" w:leader="dot" w:pos="708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_Toc473626498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w:t>
      </w:r>
      <w:r>
        <w:tab/>
      </w:r>
      <w:r>
        <w:fldChar w:fldCharType="begin"/>
      </w:r>
      <w:r>
        <w:instrText xml:space="preserve"> PAGEREF _Toc473626499 \h </w:instrText>
      </w:r>
      <w:r>
        <w:fldChar w:fldCharType="separate"/>
      </w:r>
      <w:r>
        <w:t>8</w:t>
      </w:r>
      <w:r>
        <w:fldChar w:fldCharType="end"/>
      </w:r>
    </w:p>
    <w:p>
      <w:pPr>
        <w:pStyle w:val="TOC8"/>
        <w:rPr>
          <w:rFonts w:asciiTheme="minorHAnsi" w:eastAsiaTheme="minorEastAsia" w:hAnsiTheme="minorHAnsi" w:cstheme="minorBidi"/>
          <w:szCs w:val="22"/>
        </w:rPr>
      </w:pPr>
      <w:r>
        <w:t>18.</w:t>
      </w:r>
      <w:r>
        <w:tab/>
        <w:t>Fine</w:t>
      </w:r>
      <w:r>
        <w:tab/>
      </w:r>
      <w:r>
        <w:fldChar w:fldCharType="begin"/>
      </w:r>
      <w:r>
        <w:instrText xml:space="preserve"> PAGEREF _Toc473626500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Restitution</w:t>
      </w:r>
      <w:r>
        <w:tab/>
      </w:r>
      <w:r>
        <w:fldChar w:fldCharType="begin"/>
      </w:r>
      <w:r>
        <w:instrText xml:space="preserve"> PAGEREF _Toc473626501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_Toc473626503 \h </w:instrText>
      </w:r>
      <w:r>
        <w:fldChar w:fldCharType="separate"/>
      </w:r>
      <w:r>
        <w:t>10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June 2005</w:t>
            </w:r>
          </w:p>
        </w:tc>
      </w:tr>
    </w:tbl>
    <w:p>
      <w:pPr>
        <w:pStyle w:val="WA"/>
        <w:spacing w:before="120"/>
      </w:pPr>
      <w:r>
        <w:t>Western Australia</w:t>
      </w:r>
    </w:p>
    <w:p>
      <w:pPr>
        <w:pStyle w:val="PrincipalActReg"/>
        <w:rPr>
          <w:snapToGrid w:val="0"/>
        </w:rPr>
      </w:pPr>
      <w:r>
        <w:rPr>
          <w:snapToGrid w:val="0"/>
        </w:rPr>
        <w:t>Aboriginal Communities Act 1979</w:t>
      </w:r>
    </w:p>
    <w:p>
      <w:pPr>
        <w:pStyle w:val="NameofActReg"/>
      </w:pPr>
      <w:r>
        <w:t>Oombulgurri Association Incorporated By</w:t>
      </w:r>
      <w:r>
        <w:noBreakHyphen/>
        <w:t>laws</w:t>
      </w:r>
    </w:p>
    <w:p>
      <w:pPr>
        <w:pStyle w:val="Heading2"/>
        <w:pageBreakBefore w:val="0"/>
      </w:pPr>
      <w:bookmarkStart w:id="3" w:name="_Toc473626477"/>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73626478"/>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Oombulgurri Association Incorporated By</w:t>
      </w:r>
      <w:r>
        <w:rPr>
          <w:i/>
          <w:snapToGrid w:val="0"/>
        </w:rPr>
        <w:noBreakHyphen/>
        <w:t>laws</w:t>
      </w:r>
      <w:r>
        <w:rPr>
          <w:iCs/>
          <w:snapToGrid w:val="0"/>
          <w:vertAlign w:val="superscript"/>
        </w:rPr>
        <w:t> 1</w:t>
      </w:r>
      <w:r>
        <w:rPr>
          <w:snapToGrid w:val="0"/>
        </w:rPr>
        <w:t>.</w:t>
      </w:r>
    </w:p>
    <w:p>
      <w:pPr>
        <w:pStyle w:val="Heading5"/>
        <w:rPr>
          <w:snapToGrid w:val="0"/>
        </w:rPr>
      </w:pPr>
      <w:bookmarkStart w:id="5" w:name="_Toc47362647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iCs/>
          <w:snapToGrid w:val="0"/>
          <w:vertAlign w:val="superscript"/>
        </w:rPr>
        <w:t> 1</w:t>
      </w:r>
      <w:r>
        <w:rPr>
          <w:snapToGrid w:val="0"/>
        </w:rPr>
        <w:t>.</w:t>
      </w:r>
    </w:p>
    <w:p>
      <w:pPr>
        <w:pStyle w:val="Heading5"/>
        <w:rPr>
          <w:snapToGrid w:val="0"/>
        </w:rPr>
      </w:pPr>
      <w:bookmarkStart w:id="6" w:name="_Toc473626480"/>
      <w:r>
        <w:rPr>
          <w:rStyle w:val="CharSectno"/>
        </w:rPr>
        <w:t>3</w:t>
      </w:r>
      <w:r>
        <w:rPr>
          <w:snapToGrid w:val="0"/>
        </w:rPr>
        <w:t>.</w:t>
      </w:r>
      <w:r>
        <w:rPr>
          <w:snapToGrid w:val="0"/>
        </w:rPr>
        <w:tab/>
        <w:t>Definitions</w:t>
      </w:r>
      <w:bookmarkEnd w:id="6"/>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community</w:t>
      </w:r>
      <w:r>
        <w:t xml:space="preserve"> means the Oombulgurri Association Incorporated;</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Committee</w:t>
      </w:r>
      <w:r>
        <w:t xml:space="preserve"> means the Committee of the Oombulgurri Association Incorporated;</w:t>
      </w:r>
    </w:p>
    <w:p>
      <w:pPr>
        <w:pStyle w:val="Defstart"/>
      </w:pPr>
      <w:r>
        <w:rPr>
          <w:b/>
        </w:rPr>
        <w:tab/>
      </w:r>
      <w:r>
        <w:rPr>
          <w:rStyle w:val="CharDefText"/>
        </w:rPr>
        <w:t>fish</w:t>
      </w:r>
      <w:r>
        <w:t xml:space="preserve"> includes all fish and crustacea, marine and freshwater;</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vehicle</w:t>
      </w:r>
      <w:r>
        <w:t xml:space="preserve"> has the same meaning as it has under the </w:t>
      </w:r>
      <w:r>
        <w:rPr>
          <w:i/>
        </w:rPr>
        <w:t>Road Traffic Act 1974</w:t>
      </w:r>
      <w:r>
        <w:t xml:space="preserve"> (as amended).</w:t>
      </w:r>
    </w:p>
    <w:p>
      <w:pPr>
        <w:pStyle w:val="Heading2"/>
      </w:pPr>
      <w:bookmarkStart w:id="7" w:name="_Toc473626481"/>
      <w:r>
        <w:rPr>
          <w:rStyle w:val="CharPartNo"/>
        </w:rPr>
        <w:t>Part 2</w:t>
      </w:r>
      <w:r>
        <w:rPr>
          <w:rStyle w:val="CharDivNo"/>
        </w:rPr>
        <w:t> </w:t>
      </w:r>
      <w:r>
        <w:t>—</w:t>
      </w:r>
      <w:r>
        <w:rPr>
          <w:rStyle w:val="CharDivText"/>
        </w:rPr>
        <w:t> </w:t>
      </w:r>
      <w:r>
        <w:rPr>
          <w:rStyle w:val="CharPartText"/>
        </w:rPr>
        <w:t>Community land</w:t>
      </w:r>
      <w:bookmarkEnd w:id="7"/>
      <w:r>
        <w:rPr>
          <w:rStyle w:val="CharPartText"/>
        </w:rPr>
        <w:t xml:space="preserve"> </w:t>
      </w:r>
    </w:p>
    <w:p>
      <w:pPr>
        <w:pStyle w:val="Heading5"/>
        <w:rPr>
          <w:snapToGrid w:val="0"/>
        </w:rPr>
      </w:pPr>
      <w:bookmarkStart w:id="8" w:name="_Toc473626482"/>
      <w:r>
        <w:rPr>
          <w:rStyle w:val="CharSectno"/>
        </w:rPr>
        <w:t>4</w:t>
      </w:r>
      <w:r>
        <w:rPr>
          <w:snapToGrid w:val="0"/>
        </w:rPr>
        <w:t>.</w:t>
      </w:r>
      <w:r>
        <w:rPr>
          <w:snapToGrid w:val="0"/>
        </w:rPr>
        <w:tab/>
        <w:t>Permission required to enter and remain on community land</w:t>
      </w:r>
      <w:bookmarkEnd w:id="8"/>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Committee.</w:t>
      </w:r>
    </w:p>
    <w:p>
      <w:pPr>
        <w:pStyle w:val="Subsection"/>
        <w:rPr>
          <w:snapToGrid w:val="0"/>
        </w:rPr>
      </w:pPr>
      <w:r>
        <w:rPr>
          <w:snapToGrid w:val="0"/>
        </w:rPr>
        <w:tab/>
        <w:t>(2)</w:t>
      </w:r>
      <w:r>
        <w:rPr>
          <w:snapToGrid w:val="0"/>
        </w:rPr>
        <w:tab/>
        <w:t>The Committee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Committee may delegate its powers under this by</w:t>
      </w:r>
      <w:r>
        <w:rPr>
          <w:snapToGrid w:val="0"/>
        </w:rPr>
        <w:noBreakHyphen/>
        <w:t>law to any community adviser or other officer in the employ of the community as the Committee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9" w:name="_Toc473626483"/>
      <w:r>
        <w:rPr>
          <w:rStyle w:val="CharSectno"/>
        </w:rPr>
        <w:t>5</w:t>
      </w:r>
      <w:r>
        <w:rPr>
          <w:snapToGrid w:val="0"/>
        </w:rPr>
        <w:t>.</w:t>
      </w:r>
      <w:r>
        <w:rPr>
          <w:snapToGrid w:val="0"/>
        </w:rPr>
        <w:tab/>
        <w:t>Restriction of entry into areas</w:t>
      </w:r>
      <w:bookmarkEnd w:id="9"/>
      <w:r>
        <w:rPr>
          <w:snapToGrid w:val="0"/>
        </w:rPr>
        <w:t xml:space="preserve"> </w:t>
      </w:r>
    </w:p>
    <w:p>
      <w:pPr>
        <w:pStyle w:val="Subsection"/>
        <w:keepNext/>
        <w:keepLines/>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Committee may place signs on community land for the purpose of prohibiting entry to the part of the land on which the sign is placed or to such part of the community land indicated by the inscription on the sign</w:t>
      </w:r>
      <w:r>
        <w:t>;</w:t>
      </w:r>
    </w:p>
    <w:p>
      <w:pPr>
        <w:pStyle w:val="Indenta"/>
        <w:rPr>
          <w:snapToGrid w:val="0"/>
        </w:rPr>
      </w:pPr>
      <w:r>
        <w:rPr>
          <w:snapToGrid w:val="0"/>
        </w:rPr>
        <w:tab/>
        <w:t>(2)</w:t>
      </w:r>
      <w:r>
        <w:rPr>
          <w:snapToGrid w:val="0"/>
        </w:rPr>
        <w:tab/>
        <w:t>an inscription on such a sign operates and has effect according to its tenor</w:t>
      </w:r>
      <w:r>
        <w:t>;</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10" w:name="_Toc473626484"/>
      <w:r>
        <w:rPr>
          <w:rStyle w:val="CharSectno"/>
        </w:rPr>
        <w:t>6</w:t>
      </w:r>
      <w:r>
        <w:rPr>
          <w:snapToGrid w:val="0"/>
        </w:rPr>
        <w:t>.</w:t>
      </w:r>
      <w:r>
        <w:rPr>
          <w:snapToGrid w:val="0"/>
        </w:rPr>
        <w:tab/>
        <w:t>Homes</w:t>
      </w:r>
      <w:bookmarkEnd w:id="10"/>
      <w:r>
        <w:rPr>
          <w:snapToGrid w:val="0"/>
        </w:rPr>
        <w:t xml:space="preserve"> </w:t>
      </w:r>
    </w:p>
    <w:p>
      <w:pPr>
        <w:pStyle w:val="Subsection"/>
        <w:rPr>
          <w:snapToGrid w:val="0"/>
        </w:rPr>
      </w:pPr>
      <w:r>
        <w:rPr>
          <w:snapToGrid w:val="0"/>
        </w:rPr>
        <w:tab/>
        <w:t>(1)</w:t>
      </w:r>
      <w:r>
        <w:rPr>
          <w:snapToGrid w:val="0"/>
        </w:rPr>
        <w:tab/>
        <w:t>A person shall not enter the home of another person without obtaining the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11" w:name="_Toc473626485"/>
      <w:r>
        <w:rPr>
          <w:rStyle w:val="CharPartNo"/>
        </w:rPr>
        <w:t>Part 3</w:t>
      </w:r>
      <w:r>
        <w:rPr>
          <w:rStyle w:val="CharDivNo"/>
        </w:rPr>
        <w:t> </w:t>
      </w:r>
      <w:r>
        <w:t>—</w:t>
      </w:r>
      <w:r>
        <w:rPr>
          <w:rStyle w:val="CharDivText"/>
        </w:rPr>
        <w:t> </w:t>
      </w:r>
      <w:r>
        <w:rPr>
          <w:rStyle w:val="CharPartText"/>
        </w:rPr>
        <w:t>Traffic</w:t>
      </w:r>
      <w:bookmarkEnd w:id="11"/>
      <w:r>
        <w:rPr>
          <w:rStyle w:val="CharPartText"/>
        </w:rPr>
        <w:t xml:space="preserve"> </w:t>
      </w:r>
    </w:p>
    <w:p>
      <w:pPr>
        <w:pStyle w:val="Heading5"/>
        <w:rPr>
          <w:snapToGrid w:val="0"/>
        </w:rPr>
      </w:pPr>
      <w:bookmarkStart w:id="12" w:name="_Toc473626486"/>
      <w:r>
        <w:rPr>
          <w:rStyle w:val="CharSectno"/>
        </w:rPr>
        <w:t>7</w:t>
      </w:r>
      <w:r>
        <w:rPr>
          <w:snapToGrid w:val="0"/>
        </w:rPr>
        <w:t>.</w:t>
      </w:r>
      <w:r>
        <w:rPr>
          <w:snapToGrid w:val="0"/>
        </w:rPr>
        <w:tab/>
        <w:t>Traffic signs</w:t>
      </w:r>
      <w:bookmarkEnd w:id="12"/>
      <w:r>
        <w:rPr>
          <w:snapToGrid w:val="0"/>
        </w:rPr>
        <w:t xml:space="preserve"> </w:t>
      </w:r>
    </w:p>
    <w:p>
      <w:pPr>
        <w:pStyle w:val="Subsection"/>
        <w:rPr>
          <w:snapToGrid w:val="0"/>
        </w:rPr>
      </w:pPr>
      <w:r>
        <w:rPr>
          <w:snapToGrid w:val="0"/>
        </w:rPr>
        <w:tab/>
        <w:t>(1)</w:t>
      </w:r>
      <w:r>
        <w:rPr>
          <w:snapToGrid w:val="0"/>
        </w:rPr>
        <w:tab/>
        <w:t xml:space="preserve">The Committee may cause signs called </w:t>
      </w:r>
      <w:r>
        <w:rPr>
          <w:b/>
          <w:bCs/>
          <w:snapToGrid w:val="0"/>
        </w:rPr>
        <w:t>“traffic signs”</w:t>
      </w:r>
      <w:r>
        <w:rPr>
          <w:snapToGrid w:val="0"/>
        </w:rPr>
        <w:t xml:space="preserve">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13" w:name="_Toc473626487"/>
      <w:r>
        <w:rPr>
          <w:rStyle w:val="CharSectno"/>
        </w:rPr>
        <w:t>8</w:t>
      </w:r>
      <w:r>
        <w:rPr>
          <w:snapToGrid w:val="0"/>
        </w:rPr>
        <w:t>.</w:t>
      </w:r>
      <w:r>
        <w:rPr>
          <w:snapToGrid w:val="0"/>
        </w:rPr>
        <w:tab/>
        <w:t>Careless and dangerous driving</w:t>
      </w:r>
      <w:bookmarkEnd w:id="13"/>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14" w:name="_Toc473626488"/>
      <w:r>
        <w:rPr>
          <w:rStyle w:val="CharSectno"/>
        </w:rPr>
        <w:t>9</w:t>
      </w:r>
      <w:r>
        <w:rPr>
          <w:snapToGrid w:val="0"/>
        </w:rPr>
        <w:t>.</w:t>
      </w:r>
      <w:r>
        <w:rPr>
          <w:snapToGrid w:val="0"/>
        </w:rPr>
        <w:tab/>
        <w:t>Areas prohibited to vehicles</w:t>
      </w:r>
      <w:bookmarkEnd w:id="14"/>
      <w:r>
        <w:rPr>
          <w:snapToGrid w:val="0"/>
        </w:rPr>
        <w:t xml:space="preserve"> </w:t>
      </w:r>
    </w:p>
    <w:p>
      <w:pPr>
        <w:pStyle w:val="Subsection"/>
        <w:rPr>
          <w:snapToGrid w:val="0"/>
        </w:rPr>
      </w:pPr>
      <w:r>
        <w:rPr>
          <w:snapToGrid w:val="0"/>
        </w:rPr>
        <w:tab/>
        <w:t>(1)</w:t>
      </w:r>
      <w:r>
        <w:rPr>
          <w:snapToGrid w:val="0"/>
        </w:rPr>
        <w:tab/>
        <w:t>The Committee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15" w:name="_Toc473626489"/>
      <w:r>
        <w:rPr>
          <w:rStyle w:val="CharPartNo"/>
        </w:rPr>
        <w:t>Part 4</w:t>
      </w:r>
      <w:r>
        <w:rPr>
          <w:rStyle w:val="CharDivNo"/>
        </w:rPr>
        <w:t> </w:t>
      </w:r>
      <w:r>
        <w:t>—</w:t>
      </w:r>
      <w:r>
        <w:rPr>
          <w:rStyle w:val="CharDivText"/>
        </w:rPr>
        <w:t> </w:t>
      </w:r>
      <w:r>
        <w:rPr>
          <w:rStyle w:val="CharPartText"/>
        </w:rPr>
        <w:t>Offences relating to alcohol</w:t>
      </w:r>
      <w:bookmarkEnd w:id="15"/>
      <w:r>
        <w:rPr>
          <w:rStyle w:val="CharPartText"/>
        </w:rPr>
        <w:t xml:space="preserve"> </w:t>
      </w:r>
    </w:p>
    <w:p>
      <w:pPr>
        <w:pStyle w:val="Heading5"/>
        <w:rPr>
          <w:snapToGrid w:val="0"/>
        </w:rPr>
      </w:pPr>
      <w:bookmarkStart w:id="16" w:name="_Toc473626490"/>
      <w:r>
        <w:rPr>
          <w:rStyle w:val="CharSectno"/>
        </w:rPr>
        <w:t>10</w:t>
      </w:r>
      <w:r>
        <w:rPr>
          <w:snapToGrid w:val="0"/>
        </w:rPr>
        <w:t>.</w:t>
      </w:r>
      <w:r>
        <w:rPr>
          <w:snapToGrid w:val="0"/>
        </w:rPr>
        <w:tab/>
        <w:t>Prohibition of alcohol on community land</w:t>
      </w:r>
      <w:bookmarkEnd w:id="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 or</w:t>
      </w:r>
    </w:p>
    <w:p>
      <w:pPr>
        <w:pStyle w:val="Indenta"/>
        <w:rPr>
          <w:snapToGrid w:val="0"/>
        </w:rPr>
      </w:pPr>
      <w:r>
        <w:rPr>
          <w:snapToGrid w:val="0"/>
        </w:rPr>
        <w:tab/>
        <w:t>(7)</w:t>
      </w:r>
      <w:r>
        <w:rPr>
          <w:snapToGrid w:val="0"/>
        </w:rPr>
        <w:tab/>
        <w:t>drives a vehicle on community land whilst under the influence of alcohol;</w:t>
      </w:r>
    </w:p>
    <w:p>
      <w:pPr>
        <w:pStyle w:val="Subsection"/>
        <w:rPr>
          <w:snapToGrid w:val="0"/>
        </w:rPr>
      </w:pPr>
      <w:r>
        <w:rPr>
          <w:snapToGrid w:val="0"/>
        </w:rPr>
        <w:tab/>
      </w:r>
      <w:r>
        <w:rPr>
          <w:snapToGrid w:val="0"/>
        </w:rPr>
        <w:tab/>
        <w:t>commits an offence.</w:t>
      </w:r>
    </w:p>
    <w:p>
      <w:pPr>
        <w:pStyle w:val="Heading2"/>
      </w:pPr>
      <w:bookmarkStart w:id="17" w:name="_Toc473626491"/>
      <w:r>
        <w:rPr>
          <w:rStyle w:val="CharPartNo"/>
        </w:rPr>
        <w:t>Part 5</w:t>
      </w:r>
      <w:r>
        <w:rPr>
          <w:rStyle w:val="CharDivNo"/>
        </w:rPr>
        <w:t> </w:t>
      </w:r>
      <w:r>
        <w:t>—</w:t>
      </w:r>
      <w:r>
        <w:rPr>
          <w:rStyle w:val="CharDivText"/>
        </w:rPr>
        <w:t> </w:t>
      </w:r>
      <w:r>
        <w:rPr>
          <w:rStyle w:val="CharPartText"/>
        </w:rPr>
        <w:t>Regulation of other matters</w:t>
      </w:r>
      <w:bookmarkEnd w:id="17"/>
      <w:r>
        <w:rPr>
          <w:rStyle w:val="CharPartText"/>
        </w:rPr>
        <w:t xml:space="preserve"> </w:t>
      </w:r>
    </w:p>
    <w:p>
      <w:pPr>
        <w:pStyle w:val="Heading5"/>
        <w:rPr>
          <w:snapToGrid w:val="0"/>
        </w:rPr>
      </w:pPr>
      <w:bookmarkStart w:id="18" w:name="_Toc473626492"/>
      <w:r>
        <w:rPr>
          <w:rStyle w:val="CharSectno"/>
        </w:rPr>
        <w:t>11</w:t>
      </w:r>
      <w:r>
        <w:rPr>
          <w:snapToGrid w:val="0"/>
        </w:rPr>
        <w:t>.</w:t>
      </w:r>
      <w:r>
        <w:rPr>
          <w:snapToGrid w:val="0"/>
        </w:rPr>
        <w:tab/>
        <w:t>Wilful damage</w:t>
      </w:r>
      <w:bookmarkEnd w:id="18"/>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19" w:name="_Toc473626493"/>
      <w:r>
        <w:rPr>
          <w:rStyle w:val="CharSectno"/>
        </w:rPr>
        <w:t>12</w:t>
      </w:r>
      <w:r>
        <w:rPr>
          <w:snapToGrid w:val="0"/>
        </w:rPr>
        <w:t>.</w:t>
      </w:r>
      <w:r>
        <w:rPr>
          <w:snapToGrid w:val="0"/>
        </w:rPr>
        <w:tab/>
        <w:t>Litter</w:t>
      </w:r>
      <w:bookmarkEnd w:id="19"/>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Committee for leaving rubbish and litter.</w:t>
      </w:r>
    </w:p>
    <w:p>
      <w:pPr>
        <w:pStyle w:val="Heading5"/>
        <w:rPr>
          <w:snapToGrid w:val="0"/>
        </w:rPr>
      </w:pPr>
      <w:bookmarkStart w:id="20" w:name="_Toc473626494"/>
      <w:r>
        <w:rPr>
          <w:rStyle w:val="CharSectno"/>
        </w:rPr>
        <w:t>13</w:t>
      </w:r>
      <w:r>
        <w:rPr>
          <w:snapToGrid w:val="0"/>
        </w:rPr>
        <w:t>.</w:t>
      </w:r>
      <w:r>
        <w:rPr>
          <w:snapToGrid w:val="0"/>
        </w:rPr>
        <w:tab/>
        <w:t>Offensive behaviour</w:t>
      </w:r>
      <w:bookmarkEnd w:id="20"/>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21" w:name="_Toc473626495"/>
      <w:r>
        <w:rPr>
          <w:rStyle w:val="CharSectno"/>
        </w:rPr>
        <w:t>14</w:t>
      </w:r>
      <w:r>
        <w:rPr>
          <w:snapToGrid w:val="0"/>
        </w:rPr>
        <w:t>.</w:t>
      </w:r>
      <w:r>
        <w:rPr>
          <w:snapToGrid w:val="0"/>
        </w:rPr>
        <w:tab/>
        <w:t>Disruption of meetings</w:t>
      </w:r>
      <w:bookmarkEnd w:id="21"/>
      <w:r>
        <w:rPr>
          <w:snapToGrid w:val="0"/>
        </w:rPr>
        <w:t xml:space="preserve"> </w:t>
      </w:r>
    </w:p>
    <w:p>
      <w:pPr>
        <w:pStyle w:val="Subsection"/>
        <w:rPr>
          <w:snapToGrid w:val="0"/>
        </w:rPr>
      </w:pPr>
      <w:r>
        <w:rPr>
          <w:snapToGrid w:val="0"/>
        </w:rPr>
        <w:tab/>
      </w:r>
      <w:r>
        <w:rPr>
          <w:snapToGrid w:val="0"/>
        </w:rPr>
        <w:tab/>
        <w:t>A person shall not interrupt any meeting of the Committee or the community or any customary meeting by noise or any other offensive or disorderly behaviour.</w:t>
      </w:r>
    </w:p>
    <w:p>
      <w:pPr>
        <w:pStyle w:val="Heading5"/>
        <w:rPr>
          <w:snapToGrid w:val="0"/>
        </w:rPr>
      </w:pPr>
      <w:bookmarkStart w:id="22" w:name="_Toc473626496"/>
      <w:r>
        <w:rPr>
          <w:rStyle w:val="CharSectno"/>
        </w:rPr>
        <w:t>15</w:t>
      </w:r>
      <w:r>
        <w:rPr>
          <w:snapToGrid w:val="0"/>
        </w:rPr>
        <w:t>.</w:t>
      </w:r>
      <w:r>
        <w:rPr>
          <w:snapToGrid w:val="0"/>
        </w:rPr>
        <w:tab/>
        <w:t>Supervision of children in absence of guardian</w:t>
      </w:r>
      <w:bookmarkEnd w:id="22"/>
      <w:r>
        <w:rPr>
          <w:snapToGrid w:val="0"/>
        </w:rPr>
        <w:t xml:space="preserve"> </w:t>
      </w:r>
    </w:p>
    <w:p>
      <w:pPr>
        <w:pStyle w:val="Subsection"/>
        <w:rPr>
          <w:snapToGrid w:val="0"/>
        </w:rPr>
      </w:pPr>
      <w:r>
        <w:rPr>
          <w:snapToGrid w:val="0"/>
        </w:rPr>
        <w:tab/>
      </w:r>
      <w:r>
        <w:rPr>
          <w:snapToGrid w:val="0"/>
        </w:rPr>
        <w:tab/>
        <w:t>Every person residing on community land shall before departing from that land for any period of time make proper arrangements for the supervision and support of any children ordinarily in their custody who remain on community land during their absence.</w:t>
      </w:r>
    </w:p>
    <w:p>
      <w:pPr>
        <w:pStyle w:val="Heading2"/>
      </w:pPr>
      <w:bookmarkStart w:id="23" w:name="_Toc473626497"/>
      <w:r>
        <w:rPr>
          <w:rStyle w:val="CharPartNo"/>
        </w:rPr>
        <w:t>Part 6</w:t>
      </w:r>
      <w:r>
        <w:rPr>
          <w:rStyle w:val="CharDivNo"/>
        </w:rPr>
        <w:t> </w:t>
      </w:r>
      <w:r>
        <w:t>—</w:t>
      </w:r>
      <w:r>
        <w:rPr>
          <w:rStyle w:val="CharDivText"/>
        </w:rPr>
        <w:t> </w:t>
      </w:r>
      <w:r>
        <w:rPr>
          <w:rStyle w:val="CharPartText"/>
        </w:rPr>
        <w:t>Enforcement and proceedings</w:t>
      </w:r>
      <w:bookmarkEnd w:id="23"/>
      <w:r>
        <w:rPr>
          <w:rStyle w:val="CharPartText"/>
        </w:rPr>
        <w:t xml:space="preserve"> </w:t>
      </w:r>
    </w:p>
    <w:p>
      <w:pPr>
        <w:pStyle w:val="Heading5"/>
        <w:rPr>
          <w:snapToGrid w:val="0"/>
        </w:rPr>
      </w:pPr>
      <w:bookmarkStart w:id="24" w:name="_Toc473626498"/>
      <w:r>
        <w:rPr>
          <w:rStyle w:val="CharSectno"/>
        </w:rPr>
        <w:t>16</w:t>
      </w:r>
      <w:r>
        <w:rPr>
          <w:snapToGrid w:val="0"/>
        </w:rPr>
        <w:t>.</w:t>
      </w:r>
      <w:r>
        <w:rPr>
          <w:snapToGrid w:val="0"/>
        </w:rPr>
        <w:tab/>
        <w:t>Powers of police</w:t>
      </w:r>
      <w:bookmarkEnd w:id="24"/>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24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w:t>
      </w:r>
      <w:r>
        <w:rPr>
          <w:snapToGrid w:val="0"/>
        </w:rPr>
        <w:noBreakHyphen/>
        <w:t>law.</w:t>
      </w:r>
    </w:p>
    <w:p>
      <w:pPr>
        <w:pStyle w:val="Heading5"/>
        <w:rPr>
          <w:snapToGrid w:val="0"/>
        </w:rPr>
      </w:pPr>
      <w:bookmarkStart w:id="25" w:name="_Toc473626499"/>
      <w:r>
        <w:rPr>
          <w:rStyle w:val="CharSectno"/>
        </w:rPr>
        <w:t>17</w:t>
      </w:r>
      <w:r>
        <w:rPr>
          <w:snapToGrid w:val="0"/>
        </w:rPr>
        <w:t>.</w:t>
      </w:r>
      <w:r>
        <w:rPr>
          <w:snapToGrid w:val="0"/>
        </w:rPr>
        <w:tab/>
        <w:t>Offences</w:t>
      </w:r>
      <w:bookmarkEnd w:id="25"/>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and 15 commits an offence.</w:t>
      </w:r>
    </w:p>
    <w:p>
      <w:pPr>
        <w:pStyle w:val="Heading5"/>
      </w:pPr>
      <w:bookmarkStart w:id="26" w:name="_Toc473626500"/>
      <w:r>
        <w:rPr>
          <w:rStyle w:val="CharSectno"/>
        </w:rPr>
        <w:t>18</w:t>
      </w:r>
      <w:r>
        <w:t>.</w:t>
      </w:r>
      <w:r>
        <w:tab/>
        <w:t>Fine</w:t>
      </w:r>
      <w:bookmarkEnd w:id="26"/>
    </w:p>
    <w:p>
      <w:pPr>
        <w:pStyle w:val="Subsection"/>
      </w:pPr>
      <w:r>
        <w:tab/>
      </w:r>
      <w:r>
        <w:tab/>
        <w:t>A person who is convicted of an offence against a by</w:t>
      </w:r>
      <w:r>
        <w:noBreakHyphen/>
        <w:t>law is liable to a fine of $100.</w:t>
      </w:r>
    </w:p>
    <w:p>
      <w:pPr>
        <w:pStyle w:val="Footnotesection"/>
      </w:pPr>
      <w:r>
        <w:tab/>
        <w:t>[By-law 18 inserted: Gazette 14 May 2004 p. 1456.]</w:t>
      </w:r>
    </w:p>
    <w:p>
      <w:pPr>
        <w:pStyle w:val="Heading5"/>
        <w:rPr>
          <w:snapToGrid w:val="0"/>
        </w:rPr>
      </w:pPr>
      <w:bookmarkStart w:id="27" w:name="_Toc473626501"/>
      <w:r>
        <w:rPr>
          <w:rStyle w:val="CharSectno"/>
        </w:rPr>
        <w:t>19</w:t>
      </w:r>
      <w:r>
        <w:rPr>
          <w:snapToGrid w:val="0"/>
        </w:rPr>
        <w:t>.</w:t>
      </w:r>
      <w:r>
        <w:rPr>
          <w:snapToGrid w:val="0"/>
        </w:rPr>
        <w:tab/>
        <w:t>Restitution</w:t>
      </w:r>
      <w:bookmarkEnd w:id="27"/>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19 amended: Gazette 14 May 2004 p. 1457.]</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8" w:name="_Toc473626502"/>
      <w:r>
        <w:t>Notes</w:t>
      </w:r>
      <w:bookmarkEnd w:id="28"/>
    </w:p>
    <w:p>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Oombulgurri Association Incorporated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473626503"/>
      <w:r>
        <w:rPr>
          <w:snapToGrid w:val="0"/>
        </w:rPr>
        <w:t>Compilation table</w:t>
      </w:r>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Oombulgurri Association Incorporated By</w:t>
            </w:r>
            <w:r>
              <w:rPr>
                <w:i/>
              </w:rPr>
              <w:noBreakHyphen/>
              <w:t>laws</w:t>
            </w:r>
          </w:p>
        </w:tc>
        <w:tc>
          <w:tcPr>
            <w:tcW w:w="1276" w:type="dxa"/>
            <w:tcBorders>
              <w:top w:val="single" w:sz="8" w:space="0" w:color="auto"/>
            </w:tcBorders>
          </w:tcPr>
          <w:p>
            <w:pPr>
              <w:pStyle w:val="nTable"/>
              <w:spacing w:after="40"/>
            </w:pPr>
            <w:r>
              <w:t>26 Apr 1991 p. 1844</w:t>
            </w:r>
            <w:r>
              <w:noBreakHyphen/>
              <w:t>6</w:t>
            </w:r>
          </w:p>
        </w:tc>
        <w:tc>
          <w:tcPr>
            <w:tcW w:w="2693" w:type="dxa"/>
            <w:tcBorders>
              <w:top w:val="single" w:sz="8" w:space="0" w:color="auto"/>
            </w:tcBorders>
          </w:tcPr>
          <w:p>
            <w:pPr>
              <w:pStyle w:val="nTable"/>
              <w:spacing w:after="40"/>
            </w:pPr>
            <w:r>
              <w:t>26 Apr 1991 (see bl. 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16</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8" w:space="0" w:color="auto"/>
            </w:tcBorders>
          </w:tcPr>
          <w:p>
            <w:pPr>
              <w:pStyle w:val="nTable"/>
              <w:spacing w:after="40"/>
              <w:rPr>
                <w:iCs/>
              </w:rPr>
            </w:pPr>
            <w:r>
              <w:rPr>
                <w:b/>
                <w:bCs/>
              </w:rPr>
              <w:t xml:space="preserve">Reprint 1: The </w:t>
            </w:r>
            <w:r>
              <w:rPr>
                <w:b/>
                <w:bCs/>
                <w:i/>
              </w:rPr>
              <w:t>Oombulgurri Association Incorporated By</w:t>
            </w:r>
            <w:r>
              <w:rPr>
                <w:b/>
                <w:bCs/>
                <w:i/>
              </w:rPr>
              <w:noBreakHyphen/>
              <w:t>laws</w:t>
            </w:r>
            <w:r>
              <w:rPr>
                <w:b/>
                <w:bCs/>
                <w:iCs/>
              </w:rPr>
              <w:t xml:space="preserve"> as at 3 Jun 2005</w:t>
            </w:r>
            <w:r>
              <w:rPr>
                <w:iCs/>
              </w:rP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1" w:name="_Toc473626504"/>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3</w:t>
      </w:r>
    </w:p>
    <w:p>
      <w:pPr>
        <w:pStyle w:val="DefinedTerms"/>
      </w:pPr>
      <w:r>
        <w:t>community land</w:t>
      </w:r>
      <w:r>
        <w:tab/>
        <w:t>3</w:t>
      </w:r>
    </w:p>
    <w:p>
      <w:pPr>
        <w:pStyle w:val="DefinedTerms"/>
      </w:pPr>
      <w:r>
        <w:t>fish</w:t>
      </w:r>
      <w:r>
        <w:tab/>
        <w:t>3</w:t>
      </w:r>
    </w:p>
    <w:p>
      <w:pPr>
        <w:pStyle w:val="DefinedTerms"/>
      </w:pPr>
      <w:r>
        <w:t>member of the community</w:t>
      </w:r>
      <w:r>
        <w:tab/>
        <w:t>3</w:t>
      </w:r>
    </w:p>
    <w:p>
      <w:pPr>
        <w:pStyle w:val="DefinedTerms"/>
      </w:pPr>
      <w:r>
        <w:t>the Act</w:t>
      </w:r>
      <w:r>
        <w:tab/>
        <w:t>3</w:t>
      </w:r>
    </w:p>
    <w:p>
      <w:pPr>
        <w:pStyle w:val="DefinedTerms"/>
      </w:pPr>
      <w:r>
        <w:t>the Committee</w:t>
      </w:r>
      <w:r>
        <w:tab/>
        <w:t>3</w:t>
      </w:r>
    </w:p>
    <w:p>
      <w:pPr>
        <w:pStyle w:val="DefinedTerms"/>
      </w:pPr>
      <w:r>
        <w:t>vehicle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Oombulgurri Association Incorporated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Oombulgurri Association Incorporated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Oombulgurri Association Incorporated By-laws</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4416"/>
    <w:docVar w:name="WAFER_20140122111728" w:val="RemoveTocBookmarks,RemoveUnusedBookmarks,RemoveLanguageTags,UsedStyles,ResetPageSize,UpdateArrangement"/>
    <w:docVar w:name="WAFER_20140122111728_GUID" w:val="b7ae292a-2839-418b-9451-7ee52f6ca32a"/>
    <w:docVar w:name="WAFER_20140122115129" w:val="RemoveTocBookmarks,RunningHeaders"/>
    <w:docVar w:name="WAFER_20140122115129_GUID" w:val="dbcaec8e-d943-49d1-805a-2d1fae8a4782"/>
    <w:docVar w:name="WAFER_20150709123122" w:val="ResetPageSize,UpdateArrangement,UpdateNTable"/>
    <w:docVar w:name="WAFER_20150709123122_GUID" w:val="7a145e2b-1e13-4e72-93d6-deef25d34f6e"/>
    <w:docVar w:name="WAFER_20151109113207" w:val="UpdateStyles,UsedStyles"/>
    <w:docVar w:name="WAFER_20151109113207_GUID" w:val="f0c6491f-b964-4d43-ade9-235e0de09380"/>
    <w:docVar w:name="WAFER_20170131114416" w:val="RemoveTocBookmarks,RemoveUnusedBookmarks,RemoveLanguageTags,UsedStyles,ResetPageSize"/>
    <w:docVar w:name="WAFER_20170131114416_GUID" w:val="7e7c1ea5-2bd9-4ad6-83c3-774997fd5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1762</Words>
  <Characters>8481</Characters>
  <Application>Microsoft Office Word</Application>
  <DocSecurity>0</DocSecurity>
  <Lines>292</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10047</CharactersWithSpaces>
  <SharedDoc>false</SharedDoc>
  <HLinks>
    <vt:vector size="12" baseType="variant">
      <vt:variant>
        <vt:i4>65542</vt:i4>
      </vt:variant>
      <vt:variant>
        <vt:i4>2800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Oombulgurri Association Incorporated By-laws - 01-a0-12</dc:title>
  <dc:subject/>
  <dc:creator/>
  <cp:keywords/>
  <dc:description/>
  <cp:lastModifiedBy>svcMRProcess</cp:lastModifiedBy>
  <cp:revision>4</cp:revision>
  <cp:lastPrinted>2005-07-04T03:35:00Z</cp:lastPrinted>
  <dcterms:created xsi:type="dcterms:W3CDTF">2019-01-22T03:15:00Z</dcterms:created>
  <dcterms:modified xsi:type="dcterms:W3CDTF">2019-01-22T03:15:00Z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pp.1844-6</vt:lpwstr>
  </property>
  <property fmtid="{D5CDD505-2E9C-101B-9397-08002B2CF9AE}" pid="3" name="CommencementDate">
    <vt:lpwstr>20050603</vt:lpwstr>
  </property>
  <property fmtid="{D5CDD505-2E9C-101B-9397-08002B2CF9AE}" pid="4" name="ReprintNo">
    <vt:lpwstr>1</vt:lpwstr>
  </property>
  <property fmtid="{D5CDD505-2E9C-101B-9397-08002B2CF9AE}" pid="5" name="DocumentType">
    <vt:lpwstr>Reg</vt:lpwstr>
  </property>
  <property fmtid="{D5CDD505-2E9C-101B-9397-08002B2CF9AE}" pid="6" name="AsAtDate">
    <vt:lpwstr>03 Jun 2005</vt:lpwstr>
  </property>
  <property fmtid="{D5CDD505-2E9C-101B-9397-08002B2CF9AE}" pid="7" name="Suffix">
    <vt:lpwstr>01-a0-12</vt:lpwstr>
  </property>
</Properties>
</file>