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_Toc501633194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_Toc501633195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_Toc501633196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_Toc501633197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_Toc501633198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_Toc501633199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_Toc501633200 \h </w:instrText>
      </w:r>
      <w:r>
        <w:fldChar w:fldCharType="separate"/>
      </w:r>
      <w:r>
        <w:t>3</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_Toc501633201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_Toc501633202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_Toc501633203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_Toc501633204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_Toc501633206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_Toc501633207 \h </w:instrText>
      </w:r>
      <w:r>
        <w:fldChar w:fldCharType="separate"/>
      </w:r>
      <w:r>
        <w:t>6</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_Toc501633208 \h </w:instrText>
      </w:r>
      <w:r>
        <w:fldChar w:fldCharType="separate"/>
      </w:r>
      <w:r>
        <w:t>7</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_Toc501633209 \h </w:instrText>
      </w:r>
      <w:r>
        <w:fldChar w:fldCharType="separate"/>
      </w:r>
      <w:r>
        <w:t>7</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_Toc501633210 \h </w:instrText>
      </w:r>
      <w:r>
        <w:fldChar w:fldCharType="separate"/>
      </w:r>
      <w:r>
        <w:t>8</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_Toc501633211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_Toc501633215 \h </w:instrText>
      </w:r>
      <w:r>
        <w:fldChar w:fldCharType="separate"/>
      </w:r>
      <w:r>
        <w:t>12</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_Toc501633216 \h </w:instrText>
      </w:r>
      <w:r>
        <w:fldChar w:fldCharType="separate"/>
      </w:r>
      <w:r>
        <w:t>12</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_Toc501633217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_Toc501633221 \h </w:instrText>
      </w:r>
      <w:r>
        <w:fldChar w:fldCharType="separate"/>
      </w:r>
      <w:r>
        <w:t>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_Toc501633222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501633194"/>
      <w:r>
        <w:rPr>
          <w:rStyle w:val="CharSectno"/>
        </w:rPr>
        <w:t>1</w:t>
      </w:r>
      <w:r>
        <w:t>.</w:t>
      </w:r>
      <w:r>
        <w:tab/>
        <w:t>Citation</w:t>
      </w:r>
      <w:bookmarkEnd w:id="3"/>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4" w:name="_Toc501633195"/>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501633196"/>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6" w:name="_Toc501633197"/>
      <w:r>
        <w:rPr>
          <w:rStyle w:val="CharSectno"/>
        </w:rPr>
        <w:t>4</w:t>
      </w:r>
      <w:r>
        <w:t>.</w:t>
      </w:r>
      <w:r>
        <w:tab/>
      </w:r>
      <w:r>
        <w:rPr>
          <w:snapToGrid w:val="0"/>
        </w:rPr>
        <w:t>Electricity charges</w:t>
      </w:r>
      <w:bookmarkEnd w:id="6"/>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7" w:name="_Toc501633198"/>
      <w:r>
        <w:rPr>
          <w:rStyle w:val="CharSectno"/>
        </w:rPr>
        <w:t>5</w:t>
      </w:r>
      <w:r>
        <w:t>.</w:t>
      </w:r>
      <w:r>
        <w:tab/>
        <w:t>Application of residential tariffs</w:t>
      </w:r>
      <w:bookmarkEnd w:id="7"/>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8" w:name="_Toc501633199"/>
      <w:r>
        <w:rPr>
          <w:rStyle w:val="CharSectno"/>
        </w:rPr>
        <w:t>6</w:t>
      </w:r>
      <w:r>
        <w:t>.</w:t>
      </w:r>
      <w:r>
        <w:tab/>
        <w:t>Meter rental</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9" w:name="_Toc501633200"/>
      <w:r>
        <w:rPr>
          <w:rStyle w:val="CharSectno"/>
        </w:rPr>
        <w:t>7</w:t>
      </w:r>
      <w:r>
        <w:t>.</w:t>
      </w:r>
      <w:r>
        <w:tab/>
        <w:t>Fees</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501633201"/>
      <w:r>
        <w:rPr>
          <w:rStyle w:val="CharSectno"/>
        </w:rPr>
        <w:t>8</w:t>
      </w:r>
      <w:r>
        <w:t>.</w:t>
      </w:r>
      <w:r>
        <w:tab/>
        <w:t>Payment</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1" w:name="_Toc501633202"/>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12" w:name="_Toc501633203"/>
      <w:r>
        <w:rPr>
          <w:rStyle w:val="CharSectno"/>
        </w:rPr>
        <w:t>11</w:t>
      </w:r>
      <w:r>
        <w:t>.</w:t>
      </w:r>
      <w:r>
        <w:tab/>
        <w:t>Changes in rates</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501633204"/>
      <w:r>
        <w:rPr>
          <w:rStyle w:val="CharSectno"/>
        </w:rPr>
        <w:t>12</w:t>
      </w:r>
      <w:r>
        <w:t>.</w:t>
      </w:r>
      <w:r>
        <w:tab/>
        <w:t>Prescribed rate of interest for s. 62(16) of Act</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501633152"/>
      <w:bookmarkStart w:id="15" w:name="_Toc501633205"/>
      <w:r>
        <w:rPr>
          <w:rStyle w:val="CharSchNo"/>
        </w:rPr>
        <w:t>Schedule 1</w:t>
      </w:r>
      <w:r>
        <w:rPr>
          <w:rStyle w:val="CharSDivNo"/>
        </w:rPr>
        <w:t> </w:t>
      </w:r>
      <w:r>
        <w:t>—</w:t>
      </w:r>
      <w:r>
        <w:rPr>
          <w:rStyle w:val="CharSDivText"/>
        </w:rPr>
        <w:t> </w:t>
      </w:r>
      <w:r>
        <w:rPr>
          <w:rStyle w:val="CharSchText"/>
        </w:rPr>
        <w:t>Supply charges</w:t>
      </w:r>
      <w:bookmarkEnd w:id="14"/>
      <w:bookmarkEnd w:id="15"/>
    </w:p>
    <w:p>
      <w:pPr>
        <w:pStyle w:val="yShoulderClause"/>
      </w:pPr>
      <w:r>
        <w:t>[bl. 3, 4(1) and 10(1)]</w:t>
      </w:r>
    </w:p>
    <w:p>
      <w:pPr>
        <w:pStyle w:val="yFootnoteheading"/>
      </w:pPr>
      <w:r>
        <w:tab/>
        <w:t>[Heading inserted in Gazette 27 Jun 2017 p. 3420.]</w:t>
      </w:r>
    </w:p>
    <w:p>
      <w:pPr>
        <w:pStyle w:val="yHeading5"/>
      </w:pPr>
      <w:bookmarkStart w:id="16" w:name="_Toc501633206"/>
      <w:r>
        <w:rPr>
          <w:rStyle w:val="CharSClsNo"/>
        </w:rPr>
        <w:t>1</w:t>
      </w:r>
      <w:r>
        <w:t>.</w:t>
      </w:r>
      <w:r>
        <w:tab/>
        <w:t>Tariff L2 (general supply — low/medium voltage tariff)</w:t>
      </w:r>
      <w:bookmarkEnd w:id="16"/>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50.7504 cents per day; and</w:t>
      </w:r>
    </w:p>
    <w:p>
      <w:pPr>
        <w:pStyle w:val="yIndenta"/>
      </w:pPr>
      <w:r>
        <w:tab/>
        <w:t>(b)</w:t>
      </w:r>
      <w:r>
        <w:tab/>
        <w:t xml:space="preserve">a charge for metered consumption at the rate of — </w:t>
      </w:r>
    </w:p>
    <w:p>
      <w:pPr>
        <w:pStyle w:val="yIndenti0"/>
      </w:pPr>
      <w:r>
        <w:tab/>
        <w:t>(i)</w:t>
      </w:r>
      <w:r>
        <w:tab/>
        <w:t>33.3546 cents per unit for the first 1 650 units per day; and</w:t>
      </w:r>
    </w:p>
    <w:p>
      <w:pPr>
        <w:pStyle w:val="yIndenti0"/>
      </w:pPr>
      <w:r>
        <w:tab/>
        <w:t>(ii)</w:t>
      </w:r>
      <w:r>
        <w:tab/>
        <w:t>30.0972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in Gazette 27 Jun 2017 p. 3420.]</w:t>
      </w:r>
    </w:p>
    <w:p>
      <w:pPr>
        <w:pStyle w:val="yHeading5"/>
      </w:pPr>
      <w:bookmarkStart w:id="17" w:name="_Toc501633207"/>
      <w:r>
        <w:rPr>
          <w:rStyle w:val="CharSClsNo"/>
        </w:rPr>
        <w:t>2</w:t>
      </w:r>
      <w:r>
        <w:t>.</w:t>
      </w:r>
      <w:r>
        <w:tab/>
        <w:t>Tariff L4 (general supply — low/medium voltage tariff)</w:t>
      </w:r>
      <w:bookmarkEnd w:id="17"/>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53.7522 cents per day; and</w:t>
      </w:r>
    </w:p>
    <w:p>
      <w:pPr>
        <w:pStyle w:val="yIndenta"/>
      </w:pPr>
      <w:r>
        <w:tab/>
        <w:t>(b)</w:t>
      </w:r>
      <w:r>
        <w:tab/>
        <w:t xml:space="preserve">a charge for metered consumption at the rate of — </w:t>
      </w:r>
    </w:p>
    <w:p>
      <w:pPr>
        <w:pStyle w:val="yIndenti0"/>
      </w:pPr>
      <w:r>
        <w:tab/>
        <w:t>(i)</w:t>
      </w:r>
      <w:r>
        <w:tab/>
      </w:r>
      <w:r>
        <w:rPr>
          <w:szCs w:val="22"/>
        </w:rPr>
        <w:t xml:space="preserve">35.3197 </w:t>
      </w:r>
      <w:r>
        <w:t>cents per unit for the first 1 650 units per day; and</w:t>
      </w:r>
    </w:p>
    <w:p>
      <w:pPr>
        <w:pStyle w:val="yIndenti0"/>
      </w:pPr>
      <w:r>
        <w:tab/>
        <w:t>(ii)</w:t>
      </w:r>
      <w:r>
        <w:tab/>
      </w:r>
      <w:r>
        <w:rPr>
          <w:szCs w:val="22"/>
        </w:rPr>
        <w:t xml:space="preserve">31.8798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in Gazette 27 Jun 2017 p. 3420.]</w:t>
      </w:r>
    </w:p>
    <w:p>
      <w:pPr>
        <w:pStyle w:val="yHeading5"/>
      </w:pPr>
      <w:bookmarkStart w:id="18" w:name="_Toc501633208"/>
      <w:r>
        <w:rPr>
          <w:rStyle w:val="CharSClsNo"/>
        </w:rPr>
        <w:t>3</w:t>
      </w:r>
      <w:r>
        <w:t>.</w:t>
      </w:r>
      <w:r>
        <w:tab/>
        <w:t>Tariff A2 (residential tariff)</w:t>
      </w:r>
      <w:bookmarkEnd w:id="18"/>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94.9058 cents per day or, for multiple dwellings supplied through one metered supply point, a fixed charge at the rate of —</w:t>
      </w:r>
    </w:p>
    <w:p>
      <w:pPr>
        <w:pStyle w:val="yIndenti0"/>
      </w:pPr>
      <w:r>
        <w:tab/>
        <w:t>(i)</w:t>
      </w:r>
      <w:r>
        <w:tab/>
        <w:t>94.9058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3 inserted in Gazette 27 Jun 2017 p. 3420</w:t>
      </w:r>
      <w:r>
        <w:noBreakHyphen/>
        <w:t>1.]</w:t>
      </w:r>
    </w:p>
    <w:p>
      <w:pPr>
        <w:pStyle w:val="yHeading5"/>
      </w:pPr>
      <w:bookmarkStart w:id="19" w:name="_Toc501633209"/>
      <w:r>
        <w:rPr>
          <w:rStyle w:val="CharSClsNo"/>
        </w:rPr>
        <w:t>4</w:t>
      </w:r>
      <w:r>
        <w:t>.</w:t>
      </w:r>
      <w:r>
        <w:tab/>
        <w:t>Tariff C2 (special community service tariff)</w:t>
      </w:r>
      <w:bookmarkEnd w:id="19"/>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36.6182 cents per day; and</w:t>
      </w:r>
    </w:p>
    <w:p>
      <w:pPr>
        <w:pStyle w:val="yIndenta"/>
      </w:pPr>
      <w:r>
        <w:tab/>
        <w:t>(b)</w:t>
      </w:r>
      <w:r>
        <w:tab/>
        <w:t xml:space="preserve">a charge for metered consumption at the rate of — </w:t>
      </w:r>
    </w:p>
    <w:p>
      <w:pPr>
        <w:pStyle w:val="yIndenti0"/>
      </w:pPr>
      <w:r>
        <w:tab/>
        <w:t>(i)</w:t>
      </w:r>
      <w:r>
        <w:tab/>
        <w:t>19.9600 cents per unit for the first 20 units per day; and</w:t>
      </w:r>
    </w:p>
    <w:p>
      <w:pPr>
        <w:pStyle w:val="yIndenti0"/>
      </w:pPr>
      <w:r>
        <w:tab/>
        <w:t>(ii)</w:t>
      </w:r>
      <w:r>
        <w:tab/>
        <w:t>25.0081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in Gazette 27 Jun 2017 p. 3421.]</w:t>
      </w:r>
    </w:p>
    <w:p>
      <w:pPr>
        <w:pStyle w:val="yHeading5"/>
      </w:pPr>
      <w:bookmarkStart w:id="20" w:name="_Toc501633210"/>
      <w:r>
        <w:rPr>
          <w:rStyle w:val="CharSClsNo"/>
        </w:rPr>
        <w:t>5</w:t>
      </w:r>
      <w:r>
        <w:t>.</w:t>
      </w:r>
      <w:r>
        <w:tab/>
        <w:t>Tariff D2 (special tariff for certain premises)</w:t>
      </w:r>
      <w:bookmarkEnd w:id="20"/>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45.3145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24.7001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5 inserted in Gazette 27 Jun 2017 p. 3421</w:t>
      </w:r>
      <w:r>
        <w:noBreakHyphen/>
        <w:t>2.]</w:t>
      </w:r>
    </w:p>
    <w:p>
      <w:pPr>
        <w:pStyle w:val="yHeading5"/>
      </w:pPr>
      <w:bookmarkStart w:id="21" w:name="_Toc501633211"/>
      <w:r>
        <w:rPr>
          <w:rStyle w:val="CharSClsNo"/>
        </w:rPr>
        <w:t>6</w:t>
      </w:r>
      <w:r>
        <w:t>.</w:t>
      </w:r>
      <w:r>
        <w:tab/>
        <w:t>Tariff K2 (general supply with residential tariff)</w:t>
      </w:r>
      <w:bookmarkEnd w:id="21"/>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53.8864 cents per day; and</w:t>
      </w:r>
    </w:p>
    <w:p>
      <w:pPr>
        <w:pStyle w:val="yIndenta"/>
      </w:pPr>
      <w:r>
        <w:tab/>
        <w:t>(b)</w:t>
      </w:r>
      <w:r>
        <w:tab/>
        <w:t>a charge for metered consumption at the rate of —</w:t>
      </w:r>
    </w:p>
    <w:p>
      <w:pPr>
        <w:pStyle w:val="yIndenti0"/>
      </w:pPr>
      <w:r>
        <w:tab/>
        <w:t>(i)</w:t>
      </w:r>
      <w:r>
        <w:tab/>
        <w:t>29.3544 cents per unit for the first 20 units per day; and</w:t>
      </w:r>
    </w:p>
    <w:p>
      <w:pPr>
        <w:pStyle w:val="yIndenti0"/>
      </w:pPr>
      <w:r>
        <w:tab/>
        <w:t>(ii)</w:t>
      </w:r>
      <w:r>
        <w:tab/>
        <w:t>33.6081 cents per unit for the next 1 630 units per day; and</w:t>
      </w:r>
    </w:p>
    <w:p>
      <w:pPr>
        <w:pStyle w:val="yIndenti0"/>
      </w:pPr>
      <w:r>
        <w:tab/>
        <w:t>(iii)</w:t>
      </w:r>
      <w:r>
        <w:tab/>
        <w:t>30.3260 cents per unit for all units exceeding 1 650 units per day.</w:t>
      </w:r>
    </w:p>
    <w:p>
      <w:pPr>
        <w:pStyle w:val="yFootnotesection"/>
      </w:pPr>
      <w:r>
        <w:tab/>
        <w:t>[Clause 6 inserted in Gazette 27 Jun 2017 p. 3422.]</w:t>
      </w:r>
    </w:p>
    <w:p>
      <w:pPr>
        <w:pStyle w:val="yEdnoteschedule"/>
      </w:pPr>
      <w:r>
        <w:rPr>
          <w:rStyle w:val="CharSchNo"/>
        </w:rPr>
        <w:t xml:space="preserve"> </w:t>
      </w:r>
      <w:r>
        <w:t>[Schedule 2A deleted in Gazette 22 Aug 2014 p. 3021.]</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3" w:name="_Toc501633159"/>
      <w:bookmarkStart w:id="24" w:name="_Toc501633212"/>
      <w:r>
        <w:rPr>
          <w:rStyle w:val="CharSchNo"/>
        </w:rPr>
        <w:t>Schedule 2</w:t>
      </w:r>
      <w:r>
        <w:t> — </w:t>
      </w:r>
      <w:r>
        <w:rPr>
          <w:rStyle w:val="CharSchText"/>
        </w:rPr>
        <w:t>Unmetered supply</w:t>
      </w:r>
      <w:bookmarkEnd w:id="23"/>
      <w:bookmarkEnd w:id="24"/>
    </w:p>
    <w:p>
      <w:pPr>
        <w:pStyle w:val="yShoulderClause"/>
      </w:pPr>
      <w:r>
        <w:t>[bl. 4(2) and (3)]</w:t>
      </w:r>
    </w:p>
    <w:p>
      <w:pPr>
        <w:pStyle w:val="yFootnoteheading"/>
      </w:pPr>
      <w:r>
        <w:tab/>
        <w:t>[Heading inserted in Gazette 27 Jun 2017 p. 3422.]</w:t>
      </w:r>
    </w:p>
    <w:p>
      <w:pPr>
        <w:pStyle w:val="yHeading3"/>
      </w:pPr>
      <w:bookmarkStart w:id="25" w:name="_Toc501633160"/>
      <w:bookmarkStart w:id="26" w:name="_Toc501633213"/>
      <w:r>
        <w:rPr>
          <w:rStyle w:val="CharSDivNo"/>
        </w:rPr>
        <w:t>Division 1</w:t>
      </w:r>
      <w:r>
        <w:t> — </w:t>
      </w:r>
      <w:r>
        <w:rPr>
          <w:rStyle w:val="CharSDivText"/>
        </w:rPr>
        <w:t>Street lighting</w:t>
      </w:r>
      <w:bookmarkEnd w:id="25"/>
      <w:bookmarkEnd w:id="26"/>
    </w:p>
    <w:p>
      <w:pPr>
        <w:pStyle w:val="yFootnoteheading"/>
        <w:spacing w:after="60"/>
      </w:pPr>
      <w:r>
        <w:tab/>
        <w:t>[Heading inserted in Gazette 27 Jun 2017 p. 3422.]</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33.7892</w:t>
            </w:r>
          </w:p>
        </w:tc>
        <w:tc>
          <w:tcPr>
            <w:tcW w:w="1512" w:type="dxa"/>
          </w:tcPr>
          <w:p>
            <w:pPr>
              <w:pStyle w:val="yTableNAm"/>
            </w:pPr>
            <w:r>
              <w:rPr>
                <w:sz w:val="16"/>
                <w:szCs w:val="16"/>
              </w:rPr>
              <w:t>34.5129</w:t>
            </w:r>
          </w:p>
        </w:tc>
        <w:tc>
          <w:tcPr>
            <w:tcW w:w="1370" w:type="dxa"/>
          </w:tcPr>
          <w:p>
            <w:pPr>
              <w:pStyle w:val="yTableNAm"/>
            </w:pPr>
            <w:r>
              <w:rPr>
                <w:sz w:val="16"/>
                <w:szCs w:val="16"/>
              </w:rPr>
              <w:t>37.1271</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49.2123</w:t>
            </w:r>
          </w:p>
        </w:tc>
        <w:tc>
          <w:tcPr>
            <w:tcW w:w="1512" w:type="dxa"/>
          </w:tcPr>
          <w:p>
            <w:pPr>
              <w:pStyle w:val="yTableNAm"/>
            </w:pPr>
            <w:r>
              <w:rPr>
                <w:sz w:val="16"/>
                <w:szCs w:val="16"/>
              </w:rPr>
              <w:t>50.8074</w:t>
            </w:r>
          </w:p>
        </w:tc>
        <w:tc>
          <w:tcPr>
            <w:tcW w:w="1370" w:type="dxa"/>
          </w:tcPr>
          <w:p>
            <w:pPr>
              <w:pStyle w:val="yTableNAm"/>
            </w:pPr>
            <w:r>
              <w:rPr>
                <w:sz w:val="16"/>
                <w:szCs w:val="16"/>
              </w:rPr>
              <w:t>56.5621</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50.3634</w:t>
            </w:r>
          </w:p>
        </w:tc>
        <w:tc>
          <w:tcPr>
            <w:tcW w:w="1512" w:type="dxa"/>
          </w:tcPr>
          <w:p>
            <w:pPr>
              <w:pStyle w:val="yTableNAm"/>
            </w:pPr>
            <w:r>
              <w:rPr>
                <w:sz w:val="16"/>
                <w:szCs w:val="16"/>
              </w:rPr>
              <w:t>52.0077</w:t>
            </w:r>
          </w:p>
        </w:tc>
        <w:tc>
          <w:tcPr>
            <w:tcW w:w="1370" w:type="dxa"/>
          </w:tcPr>
          <w:p>
            <w:pPr>
              <w:pStyle w:val="yTableNAm"/>
            </w:pPr>
            <w:r>
              <w:rPr>
                <w:sz w:val="16"/>
                <w:szCs w:val="16"/>
              </w:rPr>
              <w:t>58.6175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61.0674</w:t>
            </w:r>
          </w:p>
        </w:tc>
        <w:tc>
          <w:tcPr>
            <w:tcW w:w="1512" w:type="dxa"/>
          </w:tcPr>
          <w:p>
            <w:pPr>
              <w:pStyle w:val="yTableNAm"/>
            </w:pPr>
            <w:r>
              <w:rPr>
                <w:sz w:val="16"/>
                <w:szCs w:val="16"/>
              </w:rPr>
              <w:t>64.1750</w:t>
            </w:r>
          </w:p>
        </w:tc>
        <w:tc>
          <w:tcPr>
            <w:tcW w:w="1370" w:type="dxa"/>
          </w:tcPr>
          <w:p>
            <w:pPr>
              <w:pStyle w:val="yTableNAm"/>
            </w:pPr>
            <w:r>
              <w:rPr>
                <w:sz w:val="16"/>
                <w:szCs w:val="16"/>
              </w:rPr>
              <w:t>75.7669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90.4665</w:t>
            </w:r>
          </w:p>
        </w:tc>
        <w:tc>
          <w:tcPr>
            <w:tcW w:w="1512" w:type="dxa"/>
          </w:tcPr>
          <w:p>
            <w:pPr>
              <w:pStyle w:val="yTableNAm"/>
            </w:pPr>
            <w:r>
              <w:rPr>
                <w:sz w:val="16"/>
                <w:szCs w:val="16"/>
              </w:rPr>
              <w:t>95.2019</w:t>
            </w:r>
          </w:p>
        </w:tc>
        <w:tc>
          <w:tcPr>
            <w:tcW w:w="1370" w:type="dxa"/>
          </w:tcPr>
          <w:p>
            <w:pPr>
              <w:pStyle w:val="yTableNAm"/>
            </w:pPr>
            <w:r>
              <w:rPr>
                <w:sz w:val="16"/>
                <w:szCs w:val="16"/>
              </w:rPr>
              <w:t>113.2886</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46.6144</w:t>
            </w:r>
          </w:p>
        </w:tc>
        <w:tc>
          <w:tcPr>
            <w:tcW w:w="1512" w:type="dxa"/>
          </w:tcPr>
          <w:p>
            <w:pPr>
              <w:pStyle w:val="yTableNAm"/>
            </w:pPr>
            <w:r>
              <w:rPr>
                <w:sz w:val="16"/>
                <w:szCs w:val="16"/>
              </w:rPr>
              <w:t>48.3245</w:t>
            </w:r>
          </w:p>
        </w:tc>
        <w:tc>
          <w:tcPr>
            <w:tcW w:w="1370" w:type="dxa"/>
          </w:tcPr>
          <w:p>
            <w:pPr>
              <w:pStyle w:val="yTableNAm"/>
            </w:pPr>
            <w:r>
              <w:rPr>
                <w:sz w:val="16"/>
                <w:szCs w:val="16"/>
              </w:rPr>
              <w:t>57.8938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69.1077</w:t>
            </w:r>
          </w:p>
        </w:tc>
        <w:tc>
          <w:tcPr>
            <w:tcW w:w="1512" w:type="dxa"/>
          </w:tcPr>
          <w:p>
            <w:pPr>
              <w:pStyle w:val="yTableNAm"/>
            </w:pPr>
            <w:r>
              <w:rPr>
                <w:sz w:val="16"/>
                <w:szCs w:val="16"/>
              </w:rPr>
              <w:t>72.7909</w:t>
            </w:r>
          </w:p>
        </w:tc>
        <w:tc>
          <w:tcPr>
            <w:tcW w:w="1370" w:type="dxa"/>
          </w:tcPr>
          <w:p>
            <w:pPr>
              <w:pStyle w:val="yTableNAm"/>
            </w:pPr>
            <w:r>
              <w:rPr>
                <w:sz w:val="16"/>
                <w:szCs w:val="16"/>
              </w:rPr>
              <w:t>86.9971</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252.2766</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34.3468</w:t>
            </w:r>
          </w:p>
        </w:tc>
        <w:tc>
          <w:tcPr>
            <w:tcW w:w="1512" w:type="dxa"/>
          </w:tcPr>
          <w:p>
            <w:pPr>
              <w:pStyle w:val="yTableNAm"/>
            </w:pPr>
            <w:r>
              <w:rPr>
                <w:sz w:val="16"/>
                <w:szCs w:val="16"/>
              </w:rPr>
              <w:t>35.3603</w:t>
            </w:r>
          </w:p>
        </w:tc>
        <w:tc>
          <w:tcPr>
            <w:tcW w:w="1370" w:type="dxa"/>
          </w:tcPr>
          <w:p>
            <w:pPr>
              <w:pStyle w:val="yTableNAm"/>
            </w:pPr>
            <w:r>
              <w:rPr>
                <w:sz w:val="16"/>
                <w:szCs w:val="16"/>
              </w:rPr>
              <w:t>38.2559</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45.8493</w:t>
            </w:r>
          </w:p>
        </w:tc>
        <w:tc>
          <w:tcPr>
            <w:tcW w:w="1512" w:type="dxa"/>
          </w:tcPr>
          <w:p>
            <w:pPr>
              <w:pStyle w:val="yTableNAm"/>
            </w:pPr>
            <w:r>
              <w:rPr>
                <w:sz w:val="16"/>
                <w:szCs w:val="16"/>
              </w:rPr>
              <w:t>48.0285</w:t>
            </w:r>
          </w:p>
        </w:tc>
        <w:tc>
          <w:tcPr>
            <w:tcW w:w="1370" w:type="dxa"/>
          </w:tcPr>
          <w:p>
            <w:pPr>
              <w:pStyle w:val="yTableNAm"/>
            </w:pPr>
            <w:r>
              <w:rPr>
                <w:sz w:val="16"/>
                <w:szCs w:val="16"/>
              </w:rPr>
              <w:t>58.2494</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49.9658</w:t>
            </w:r>
          </w:p>
        </w:tc>
        <w:tc>
          <w:tcPr>
            <w:tcW w:w="1512" w:type="dxa"/>
          </w:tcPr>
          <w:p>
            <w:pPr>
              <w:pStyle w:val="yTableNAm"/>
            </w:pPr>
            <w:r>
              <w:rPr>
                <w:sz w:val="16"/>
                <w:szCs w:val="16"/>
              </w:rPr>
              <w:t>53.5122</w:t>
            </w:r>
          </w:p>
        </w:tc>
        <w:tc>
          <w:tcPr>
            <w:tcW w:w="1370" w:type="dxa"/>
          </w:tcPr>
          <w:p>
            <w:pPr>
              <w:pStyle w:val="yTableNAm"/>
            </w:pPr>
            <w:r>
              <w:rPr>
                <w:sz w:val="16"/>
                <w:szCs w:val="16"/>
              </w:rPr>
              <w:t>69.5104</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31.6270</w:t>
            </w:r>
          </w:p>
        </w:tc>
        <w:tc>
          <w:tcPr>
            <w:tcW w:w="1512" w:type="dxa"/>
          </w:tcPr>
          <w:p>
            <w:pPr>
              <w:pStyle w:val="yTableNAm"/>
            </w:pPr>
            <w:r>
              <w:rPr>
                <w:sz w:val="16"/>
                <w:szCs w:val="16"/>
              </w:rPr>
              <w:t>31.9752</w:t>
            </w:r>
          </w:p>
        </w:tc>
        <w:tc>
          <w:tcPr>
            <w:tcW w:w="1370" w:type="dxa"/>
          </w:tcPr>
          <w:p>
            <w:pPr>
              <w:pStyle w:val="yTableNAm"/>
            </w:pPr>
            <w:r>
              <w:rPr>
                <w:sz w:val="16"/>
                <w:szCs w:val="16"/>
              </w:rPr>
              <w:t>32.3461</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70.0942</w:t>
            </w:r>
          </w:p>
        </w:tc>
        <w:tc>
          <w:tcPr>
            <w:tcW w:w="1512" w:type="dxa"/>
          </w:tcPr>
          <w:p>
            <w:pPr>
              <w:pStyle w:val="yTableNAm"/>
            </w:pPr>
            <w:r>
              <w:rPr>
                <w:sz w:val="16"/>
                <w:szCs w:val="16"/>
              </w:rPr>
              <w:t>73.1527</w:t>
            </w:r>
          </w:p>
        </w:tc>
        <w:tc>
          <w:tcPr>
            <w:tcW w:w="1370" w:type="dxa"/>
          </w:tcPr>
          <w:p>
            <w:pPr>
              <w:pStyle w:val="yTableNAm"/>
            </w:pPr>
            <w:r>
              <w:rPr>
                <w:sz w:val="16"/>
                <w:szCs w:val="16"/>
              </w:rPr>
              <w:t>84.7939</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99.5098</w:t>
            </w:r>
          </w:p>
        </w:tc>
        <w:tc>
          <w:tcPr>
            <w:tcW w:w="1512" w:type="dxa"/>
          </w:tcPr>
          <w:p>
            <w:pPr>
              <w:pStyle w:val="yTableNAm"/>
            </w:pPr>
            <w:r>
              <w:rPr>
                <w:sz w:val="16"/>
                <w:szCs w:val="16"/>
              </w:rPr>
              <w:t>104.2619</w:t>
            </w:r>
          </w:p>
        </w:tc>
        <w:tc>
          <w:tcPr>
            <w:tcW w:w="1370" w:type="dxa"/>
          </w:tcPr>
          <w:p>
            <w:pPr>
              <w:pStyle w:val="yTableNAm"/>
            </w:pPr>
            <w:r>
              <w:rPr>
                <w:sz w:val="16"/>
                <w:szCs w:val="16"/>
              </w:rPr>
              <w:t>122.2827</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71.9193</w:t>
            </w:r>
          </w:p>
        </w:tc>
        <w:tc>
          <w:tcPr>
            <w:tcW w:w="1512" w:type="dxa"/>
          </w:tcPr>
          <w:p>
            <w:pPr>
              <w:pStyle w:val="yTableNAm"/>
            </w:pPr>
            <w:r>
              <w:rPr>
                <w:sz w:val="16"/>
                <w:szCs w:val="16"/>
              </w:rPr>
              <w:t>73.5965</w:t>
            </w:r>
          </w:p>
        </w:tc>
        <w:tc>
          <w:tcPr>
            <w:tcW w:w="1370" w:type="dxa"/>
          </w:tcPr>
          <w:p>
            <w:pPr>
              <w:pStyle w:val="yTableNAm"/>
            </w:pPr>
            <w:r>
              <w:rPr>
                <w:sz w:val="16"/>
                <w:szCs w:val="16"/>
              </w:rPr>
              <w:t>83.1331</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82.6399</w:t>
            </w:r>
          </w:p>
        </w:tc>
        <w:tc>
          <w:tcPr>
            <w:tcW w:w="1512" w:type="dxa"/>
          </w:tcPr>
          <w:p>
            <w:pPr>
              <w:pStyle w:val="yTableNAm"/>
            </w:pPr>
            <w:r>
              <w:rPr>
                <w:sz w:val="16"/>
                <w:szCs w:val="16"/>
              </w:rPr>
              <w:t>86.3559</w:t>
            </w:r>
          </w:p>
        </w:tc>
        <w:tc>
          <w:tcPr>
            <w:tcW w:w="1370" w:type="dxa"/>
          </w:tcPr>
          <w:p>
            <w:pPr>
              <w:pStyle w:val="yTableNAm"/>
            </w:pPr>
            <w:r>
              <w:rPr>
                <w:sz w:val="16"/>
                <w:szCs w:val="16"/>
              </w:rPr>
              <w:t>100.5293</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96.1390</w:t>
            </w:r>
          </w:p>
        </w:tc>
        <w:tc>
          <w:tcPr>
            <w:tcW w:w="1512" w:type="dxa"/>
          </w:tcPr>
          <w:p>
            <w:pPr>
              <w:pStyle w:val="yTableNAm"/>
            </w:pPr>
            <w:r>
              <w:rPr>
                <w:sz w:val="16"/>
                <w:szCs w:val="16"/>
              </w:rPr>
              <w:t>99.9044</w:t>
            </w:r>
          </w:p>
        </w:tc>
        <w:tc>
          <w:tcPr>
            <w:tcW w:w="1370" w:type="dxa"/>
          </w:tcPr>
          <w:p>
            <w:pPr>
              <w:pStyle w:val="yTableNAm"/>
            </w:pPr>
            <w:r>
              <w:rPr>
                <w:sz w:val="16"/>
                <w:szCs w:val="16"/>
              </w:rPr>
              <w:t>114.0943</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 xml:space="preserve">33.7893 </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37.1269</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39.7908</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49.2123</w:t>
            </w:r>
          </w:p>
        </w:tc>
        <w:tc>
          <w:tcPr>
            <w:tcW w:w="1512" w:type="dxa"/>
          </w:tcPr>
          <w:p>
            <w:pPr>
              <w:pStyle w:val="yTableNAm"/>
            </w:pPr>
            <w:r>
              <w:rPr>
                <w:sz w:val="16"/>
                <w:szCs w:val="16"/>
              </w:rPr>
              <w:t>50.8072</w:t>
            </w:r>
          </w:p>
        </w:tc>
        <w:tc>
          <w:tcPr>
            <w:tcW w:w="1370" w:type="dxa"/>
          </w:tcPr>
          <w:p>
            <w:pPr>
              <w:pStyle w:val="yTableNAm"/>
            </w:pPr>
            <w:r>
              <w:rPr>
                <w:sz w:val="16"/>
                <w:szCs w:val="16"/>
              </w:rPr>
              <w:t>56.5620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79.1375</w:t>
            </w:r>
          </w:p>
        </w:tc>
        <w:tc>
          <w:tcPr>
            <w:tcW w:w="1512" w:type="dxa"/>
          </w:tcPr>
          <w:p>
            <w:pPr>
              <w:pStyle w:val="yTableNAm"/>
            </w:pPr>
            <w:r>
              <w:rPr>
                <w:sz w:val="16"/>
                <w:szCs w:val="16"/>
              </w:rPr>
              <w:t>82.2287</w:t>
            </w:r>
          </w:p>
        </w:tc>
        <w:tc>
          <w:tcPr>
            <w:tcW w:w="1370" w:type="dxa"/>
          </w:tcPr>
          <w:p>
            <w:pPr>
              <w:pStyle w:val="yTableNAm"/>
            </w:pPr>
            <w:r>
              <w:rPr>
                <w:sz w:val="16"/>
                <w:szCs w:val="16"/>
              </w:rPr>
              <w:t>93.8371</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55.6580</w:t>
            </w:r>
          </w:p>
        </w:tc>
        <w:tc>
          <w:tcPr>
            <w:tcW w:w="1512" w:type="dxa"/>
            <w:tcBorders>
              <w:bottom w:val="single" w:sz="4" w:space="0" w:color="auto"/>
            </w:tcBorders>
          </w:tcPr>
          <w:p>
            <w:pPr>
              <w:pStyle w:val="yTableNAm"/>
            </w:pPr>
            <w:r>
              <w:rPr>
                <w:sz w:val="16"/>
                <w:szCs w:val="16"/>
              </w:rPr>
              <w:t>56.4305</w:t>
            </w:r>
          </w:p>
        </w:tc>
        <w:tc>
          <w:tcPr>
            <w:tcW w:w="1370" w:type="dxa"/>
            <w:tcBorders>
              <w:bottom w:val="single" w:sz="4" w:space="0" w:color="auto"/>
            </w:tcBorders>
          </w:tcPr>
          <w:p>
            <w:pPr>
              <w:pStyle w:val="yTableNAm"/>
            </w:pPr>
            <w:r>
              <w:rPr>
                <w:sz w:val="16"/>
                <w:szCs w:val="16"/>
              </w:rPr>
              <w:t>65.4738</w:t>
            </w:r>
          </w:p>
        </w:tc>
      </w:tr>
    </w:tbl>
    <w:p>
      <w:pPr>
        <w:pStyle w:val="yFootnotesection"/>
      </w:pPr>
      <w:r>
        <w:tab/>
        <w:t>[Division 1 inserted in Gazette 27 Jun 2017 p. 3422</w:t>
      </w:r>
      <w:r>
        <w:noBreakHyphen/>
        <w:t>3.]</w:t>
      </w:r>
    </w:p>
    <w:p>
      <w:pPr>
        <w:pStyle w:val="yHeading3"/>
      </w:pPr>
      <w:bookmarkStart w:id="27" w:name="_Toc501633161"/>
      <w:bookmarkStart w:id="28" w:name="_Toc501633214"/>
      <w:r>
        <w:rPr>
          <w:rStyle w:val="CharSDivNo"/>
        </w:rPr>
        <w:t>Division 2</w:t>
      </w:r>
      <w:r>
        <w:t> — </w:t>
      </w:r>
      <w:r>
        <w:rPr>
          <w:rStyle w:val="CharSDivText"/>
        </w:rPr>
        <w:t>Miscellaneous</w:t>
      </w:r>
      <w:bookmarkEnd w:id="27"/>
      <w:bookmarkEnd w:id="28"/>
    </w:p>
    <w:p>
      <w:pPr>
        <w:pStyle w:val="yFootnoteheading"/>
        <w:spacing w:after="60"/>
      </w:pPr>
      <w:r>
        <w:tab/>
        <w:t>[Heading inserted in Gazette 27 Jun 2017 p. 3423.]</w:t>
      </w:r>
    </w:p>
    <w:p>
      <w:pPr>
        <w:pStyle w:val="yHeading5"/>
      </w:pPr>
      <w:bookmarkStart w:id="29" w:name="_Toc501633215"/>
      <w:r>
        <w:rPr>
          <w:rStyle w:val="CharSClsNo"/>
        </w:rPr>
        <w:t>1</w:t>
      </w:r>
      <w:r>
        <w:t>.</w:t>
      </w:r>
      <w:r>
        <w:tab/>
        <w:t>Traffic light installation</w:t>
      </w:r>
      <w:bookmarkEnd w:id="29"/>
    </w:p>
    <w:p>
      <w:pPr>
        <w:pStyle w:val="ySubsection"/>
      </w:pPr>
      <w:r>
        <w:tab/>
      </w:r>
      <w:r>
        <w:tab/>
        <w:t xml:space="preserve">Supply of electricity to traffic light installations comprises a charge of </w:t>
      </w:r>
      <w:r>
        <w:rPr>
          <w:szCs w:val="22"/>
        </w:rPr>
        <w:t xml:space="preserve">$6.8593 </w:t>
      </w:r>
      <w:r>
        <w:t>per day per kW of installed wattage.</w:t>
      </w:r>
    </w:p>
    <w:p>
      <w:pPr>
        <w:pStyle w:val="yFootnotesection"/>
      </w:pPr>
      <w:r>
        <w:tab/>
        <w:t>[Clause 1 inserted in Gazette 27 Jun 2017 p. 3423.]</w:t>
      </w:r>
    </w:p>
    <w:p>
      <w:pPr>
        <w:pStyle w:val="yHeading5"/>
      </w:pPr>
      <w:bookmarkStart w:id="30" w:name="_Toc501633216"/>
      <w:r>
        <w:rPr>
          <w:rStyle w:val="CharSClsNo"/>
        </w:rPr>
        <w:t>2</w:t>
      </w:r>
      <w:r>
        <w:t>.</w:t>
      </w:r>
      <w:r>
        <w:tab/>
        <w:t>Public telephone facility</w:t>
      </w:r>
      <w:bookmarkEnd w:id="30"/>
    </w:p>
    <w:p>
      <w:pPr>
        <w:pStyle w:val="ySubsection"/>
      </w:pPr>
      <w:r>
        <w:tab/>
      </w:r>
      <w:r>
        <w:tab/>
        <w:t xml:space="preserve">Supply of electricity to a standard public telephone facility where supply is not independently metered comprises a charge of </w:t>
      </w:r>
      <w:r>
        <w:rPr>
          <w:szCs w:val="22"/>
        </w:rPr>
        <w:t>59.7018</w:t>
      </w:r>
      <w:r>
        <w:t xml:space="preserve"> cents per day.</w:t>
      </w:r>
    </w:p>
    <w:p>
      <w:pPr>
        <w:pStyle w:val="yFootnotesection"/>
      </w:pPr>
      <w:r>
        <w:tab/>
        <w:t>[Clause 2 inserted in Gazette 27 Jun 2017 p. 3424.]</w:t>
      </w:r>
    </w:p>
    <w:p>
      <w:pPr>
        <w:pStyle w:val="yHeading5"/>
      </w:pPr>
      <w:bookmarkStart w:id="31" w:name="_Toc501633217"/>
      <w:r>
        <w:rPr>
          <w:rStyle w:val="CharSClsNo"/>
        </w:rPr>
        <w:t>3</w:t>
      </w:r>
      <w:r>
        <w:t>.</w:t>
      </w:r>
      <w:r>
        <w:tab/>
        <w:t>Railway crossing</w:t>
      </w:r>
      <w:bookmarkEnd w:id="31"/>
    </w:p>
    <w:p>
      <w:pPr>
        <w:pStyle w:val="ySubsection"/>
      </w:pPr>
      <w:r>
        <w:tab/>
      </w:r>
      <w:r>
        <w:tab/>
        <w:t xml:space="preserve">Supply of electricity to standard railway crossing lights comprises a charge of </w:t>
      </w:r>
      <w:r>
        <w:rPr>
          <w:szCs w:val="22"/>
        </w:rPr>
        <w:t xml:space="preserve">76.2950 </w:t>
      </w:r>
      <w:r>
        <w:t>cents per day.</w:t>
      </w:r>
    </w:p>
    <w:p>
      <w:pPr>
        <w:pStyle w:val="yFootnotesection"/>
      </w:pPr>
      <w:r>
        <w:tab/>
        <w:t>[Clause 3 inserted in Gazette 27 Jun 2017 p. 3424.]</w:t>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 w:name="_Toc501633165"/>
      <w:bookmarkStart w:id="33" w:name="_Toc501633218"/>
      <w:r>
        <w:rPr>
          <w:rStyle w:val="CharSchNo"/>
        </w:rPr>
        <w:t>Schedule 3</w:t>
      </w:r>
      <w:r>
        <w:rPr>
          <w:rStyle w:val="CharSDivNo"/>
        </w:rPr>
        <w:t> </w:t>
      </w:r>
      <w:r>
        <w:t>—</w:t>
      </w:r>
      <w:r>
        <w:rPr>
          <w:rStyle w:val="CharSDivText"/>
        </w:rPr>
        <w:t> </w:t>
      </w:r>
      <w:r>
        <w:rPr>
          <w:rStyle w:val="CharSchText"/>
        </w:rPr>
        <w:t>Meter rentals</w:t>
      </w:r>
      <w:bookmarkEnd w:id="32"/>
      <w:bookmarkEnd w:id="33"/>
    </w:p>
    <w:p>
      <w:pPr>
        <w:pStyle w:val="yShoulderClause"/>
        <w:spacing w:after="60"/>
      </w:pPr>
      <w:r>
        <w:t>[bl. 6(1)]</w:t>
      </w:r>
    </w:p>
    <w:p>
      <w:pPr>
        <w:pStyle w:val="yMiscellaneousBody"/>
      </w:pPr>
      <w:r>
        <w:t>The rental payable in respect of a subsidiary meter is 16.25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Footnotesection"/>
      </w:pPr>
      <w:r>
        <w:tab/>
        <w:t>[Schedule 3 amended in Gazette 30 Jun 2017 p. 3562.]</w:t>
      </w:r>
    </w:p>
    <w:p>
      <w:pPr>
        <w:pStyle w:val="yScheduleHeading"/>
      </w:pPr>
      <w:bookmarkStart w:id="34" w:name="_Toc501633166"/>
      <w:bookmarkStart w:id="35" w:name="_Toc501633219"/>
      <w:r>
        <w:rPr>
          <w:rStyle w:val="CharSchNo"/>
        </w:rPr>
        <w:t>Schedule 4</w:t>
      </w:r>
      <w:r>
        <w:rPr>
          <w:rStyle w:val="CharSDivNo"/>
        </w:rPr>
        <w:t> </w:t>
      </w:r>
      <w:r>
        <w:t>—</w:t>
      </w:r>
      <w:r>
        <w:rPr>
          <w:rStyle w:val="CharSDivText"/>
        </w:rPr>
        <w:t> </w:t>
      </w:r>
      <w:r>
        <w:rPr>
          <w:rStyle w:val="CharSchText"/>
        </w:rPr>
        <w:t>Fees</w:t>
      </w:r>
      <w:bookmarkEnd w:id="34"/>
      <w:bookmarkEnd w:id="35"/>
    </w:p>
    <w:p>
      <w:pPr>
        <w:pStyle w:val="yShoulderClause"/>
      </w:pPr>
      <w:r>
        <w:t>[bl. 7]</w:t>
      </w:r>
    </w:p>
    <w:p>
      <w:pPr>
        <w:pStyle w:val="yFootnoteheading"/>
        <w:spacing w:after="60"/>
      </w:pPr>
      <w:r>
        <w:tab/>
        <w:t>[Heading inserted in Gazette 30 Jun 2017 p. 3563.]</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160"/>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$34.75</w:t>
            </w:r>
          </w:p>
        </w:tc>
      </w:tr>
      <w:tr>
        <w:trPr>
          <w:cantSplit/>
        </w:trP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52"/>
                <w:tab w:val="left" w:pos="766"/>
                <w:tab w:val="right" w:leader="dot" w:pos="5160"/>
              </w:tabs>
              <w:ind w:left="766" w:hanging="766"/>
            </w:pPr>
            <w:r>
              <w:tab/>
              <w:t>(a)</w:t>
            </w:r>
            <w:r>
              <w:tab/>
              <w:t xml:space="preserve">new installation of three phase meter or replacement of single phase meter with three phase meter </w:t>
            </w:r>
            <w:r>
              <w:tab/>
            </w:r>
          </w:p>
          <w:p>
            <w:pPr>
              <w:pStyle w:val="yTableNAm"/>
              <w:tabs>
                <w:tab w:val="clear" w:pos="567"/>
                <w:tab w:val="left" w:pos="252"/>
                <w:tab w:val="left" w:pos="766"/>
                <w:tab w:val="right" w:leader="dot" w:pos="5160"/>
              </w:tabs>
              <w:ind w:left="766" w:hanging="766"/>
              <w:rPr>
                <w:b/>
                <w:iCs/>
              </w:rPr>
            </w:pPr>
            <w:r>
              <w:tab/>
              <w:t>(b)</w:t>
            </w:r>
            <w:r>
              <w:tab/>
              <w:t xml:space="preserve">installation of subsidiary three phase meter (each installation) </w:t>
            </w:r>
            <w:r>
              <w:tab/>
            </w:r>
          </w:p>
        </w:tc>
        <w:tc>
          <w:tcPr>
            <w:tcW w:w="1276" w:type="dxa"/>
          </w:tcPr>
          <w:p>
            <w:pPr>
              <w:pStyle w:val="yTableNAm"/>
            </w:pPr>
          </w:p>
          <w:p>
            <w:pPr>
              <w:pStyle w:val="yTableNAm"/>
            </w:pPr>
            <w:r>
              <w:br/>
            </w:r>
            <w:r>
              <w:br/>
              <w:t>$595.00</w:t>
            </w:r>
          </w:p>
          <w:p>
            <w:pPr>
              <w:pStyle w:val="yTableNAm"/>
            </w:pPr>
            <w:r>
              <w:rPr>
                <w:sz w:val="24"/>
              </w:rPr>
              <w:br/>
            </w:r>
            <w:r>
              <w:t>$149.99</w:t>
            </w:r>
          </w:p>
        </w:tc>
      </w:tr>
      <w:tr>
        <w:trPr>
          <w:cantSplit/>
        </w:trPr>
        <w:tc>
          <w:tcPr>
            <w:tcW w:w="567" w:type="dxa"/>
          </w:tcPr>
          <w:p>
            <w:pPr>
              <w:pStyle w:val="yTableNAm"/>
            </w:pPr>
            <w:r>
              <w:t>3.</w:t>
            </w:r>
          </w:p>
        </w:tc>
        <w:tc>
          <w:tcPr>
            <w:tcW w:w="5245" w:type="dxa"/>
          </w:tcPr>
          <w:p>
            <w:pPr>
              <w:pStyle w:val="yTableNAm"/>
              <w:tabs>
                <w:tab w:val="right" w:leader="dot" w:pos="5160"/>
              </w:tabs>
            </w:pPr>
            <w:r>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rPr>
                <w:bCs/>
                <w:iCs/>
              </w:rPr>
              <w:br/>
            </w:r>
            <w:r>
              <w:rPr>
                <w:bCs/>
                <w:iCs/>
              </w:rPr>
              <w:br/>
              <w:t>$31.41</w:t>
            </w:r>
          </w:p>
        </w:tc>
      </w:tr>
      <w:tr>
        <w:trPr>
          <w:cantSplit/>
        </w:trPr>
        <w:tc>
          <w:tcPr>
            <w:tcW w:w="567" w:type="dxa"/>
          </w:tcPr>
          <w:p>
            <w:pPr>
              <w:pStyle w:val="yTableNAm"/>
            </w:pPr>
            <w:r>
              <w:t>4.</w:t>
            </w:r>
          </w:p>
        </w:tc>
        <w:tc>
          <w:tcPr>
            <w:tcW w:w="5245" w:type="dxa"/>
          </w:tcPr>
          <w:p>
            <w:pPr>
              <w:pStyle w:val="yTableNAm"/>
            </w:pPr>
            <w:r>
              <w:t>Temporary supply connection — </w:t>
            </w:r>
          </w:p>
          <w:p>
            <w:pPr>
              <w:pStyle w:val="yTableNAm"/>
              <w:tabs>
                <w:tab w:val="clear" w:pos="567"/>
                <w:tab w:val="left" w:pos="252"/>
                <w:tab w:val="left" w:pos="766"/>
                <w:tab w:val="right" w:leader="dot" w:pos="5160"/>
              </w:tabs>
              <w:ind w:left="766" w:hanging="766"/>
            </w:pPr>
            <w:r>
              <w:tab/>
              <w:t>(a)</w:t>
            </w:r>
            <w:r>
              <w:tab/>
              <w:t xml:space="preserve">single phase (overhead) </w:t>
            </w:r>
            <w:r>
              <w:tab/>
            </w:r>
          </w:p>
          <w:p>
            <w:pPr>
              <w:pStyle w:val="yTableNAm"/>
              <w:tabs>
                <w:tab w:val="clear" w:pos="567"/>
                <w:tab w:val="left" w:pos="252"/>
                <w:tab w:val="left" w:pos="766"/>
                <w:tab w:val="right" w:leader="dot" w:pos="5160"/>
              </w:tabs>
              <w:ind w:left="766" w:hanging="766"/>
              <w:rPr>
                <w:b/>
                <w:iCs/>
              </w:rPr>
            </w:pPr>
            <w:r>
              <w:tab/>
              <w:t>(b)</w:t>
            </w:r>
            <w:r>
              <w:tab/>
              <w:t xml:space="preserve">three phase (overhead) </w:t>
            </w:r>
            <w:r>
              <w:tab/>
            </w:r>
          </w:p>
        </w:tc>
        <w:tc>
          <w:tcPr>
            <w:tcW w:w="1276" w:type="dxa"/>
          </w:tcPr>
          <w:p>
            <w:pPr>
              <w:pStyle w:val="yTableNAm"/>
            </w:pPr>
          </w:p>
          <w:p>
            <w:pPr>
              <w:pStyle w:val="yTableNAm"/>
            </w:pPr>
            <w:r>
              <w:t>$1 084.00</w:t>
            </w:r>
          </w:p>
          <w:p>
            <w:pPr>
              <w:pStyle w:val="yTableNAm"/>
            </w:pPr>
            <w:r>
              <w:t>$1 084.00</w:t>
            </w:r>
          </w:p>
        </w:tc>
      </w:tr>
      <w:tr>
        <w:trPr>
          <w:cantSplit/>
        </w:trPr>
        <w:tc>
          <w:tcPr>
            <w:tcW w:w="567" w:type="dxa"/>
          </w:tcPr>
          <w:p>
            <w:pPr>
              <w:pStyle w:val="yTableNAm"/>
            </w:pPr>
            <w:r>
              <w:t>5.</w:t>
            </w:r>
          </w:p>
        </w:tc>
        <w:tc>
          <w:tcPr>
            <w:tcW w:w="5245" w:type="dxa"/>
          </w:tcPr>
          <w:p>
            <w:pPr>
              <w:pStyle w:val="yTableNAm"/>
            </w:pPr>
            <w:r>
              <w:t>Meter testing — </w:t>
            </w:r>
          </w:p>
          <w:p>
            <w:pPr>
              <w:pStyle w:val="yTableNAm"/>
              <w:tabs>
                <w:tab w:val="clear" w:pos="567"/>
                <w:tab w:val="left" w:pos="252"/>
                <w:tab w:val="left" w:pos="766"/>
                <w:tab w:val="right" w:leader="dot" w:pos="5160"/>
              </w:tabs>
              <w:ind w:left="766" w:hanging="766"/>
            </w:pPr>
            <w:r>
              <w:tab/>
              <w:t>(a)</w:t>
            </w:r>
            <w:r>
              <w:tab/>
              <w:t xml:space="preserve">standard meter testing fee </w:t>
            </w:r>
            <w:r>
              <w:tab/>
            </w:r>
          </w:p>
          <w:p>
            <w:pPr>
              <w:pStyle w:val="yTableNAm"/>
              <w:tabs>
                <w:tab w:val="clear" w:pos="567"/>
                <w:tab w:val="left" w:pos="252"/>
                <w:tab w:val="left" w:pos="766"/>
                <w:tab w:val="right" w:leader="dot" w:pos="5160"/>
              </w:tabs>
              <w:ind w:left="766" w:hanging="766"/>
            </w:pPr>
            <w:r>
              <w:tab/>
              <w:t>(b)</w:t>
            </w:r>
            <w:r>
              <w:tab/>
              <w:t xml:space="preserve">reduced meter testing fee </w:t>
            </w:r>
            <w:r>
              <w:tab/>
            </w:r>
          </w:p>
        </w:tc>
        <w:tc>
          <w:tcPr>
            <w:tcW w:w="1276" w:type="dxa"/>
          </w:tcPr>
          <w:p>
            <w:pPr>
              <w:pStyle w:val="yTableNAm"/>
            </w:pPr>
          </w:p>
          <w:p>
            <w:pPr>
              <w:pStyle w:val="yTableNAm"/>
            </w:pPr>
            <w:r>
              <w:t>$240.00</w:t>
            </w:r>
          </w:p>
          <w:p>
            <w:pPr>
              <w:pStyle w:val="yTableNAm"/>
            </w:pPr>
            <w:r>
              <w:t>$143.00</w:t>
            </w:r>
          </w:p>
        </w:tc>
      </w:tr>
      <w:tr>
        <w:trPr>
          <w:cantSplit/>
        </w:trPr>
        <w:tc>
          <w:tcPr>
            <w:tcW w:w="567" w:type="dxa"/>
          </w:tcPr>
          <w:p>
            <w:pPr>
              <w:pStyle w:val="yTableNAm"/>
            </w:pPr>
            <w:r>
              <w:t>6.</w:t>
            </w:r>
          </w:p>
        </w:tc>
        <w:tc>
          <w:tcPr>
            <w:tcW w:w="5245" w:type="dxa"/>
          </w:tcPr>
          <w:p>
            <w:pPr>
              <w:pStyle w:val="yTableNAm"/>
              <w:tabs>
                <w:tab w:val="right" w:leader="dot" w:pos="5160"/>
              </w:tabs>
            </w:pPr>
            <w:r>
              <w:t xml:space="preserve">Disconnection of overhead service leads following unauthorised reconnection </w:t>
            </w:r>
            <w:r>
              <w:tab/>
            </w:r>
          </w:p>
        </w:tc>
        <w:tc>
          <w:tcPr>
            <w:tcW w:w="1276" w:type="dxa"/>
          </w:tcPr>
          <w:p>
            <w:pPr>
              <w:pStyle w:val="yTableNAm"/>
            </w:pPr>
            <w:r>
              <w:rPr>
                <w:bCs/>
                <w:iCs/>
              </w:rPr>
              <w:br/>
            </w:r>
            <w:r>
              <w:t>$781.00</w:t>
            </w:r>
          </w:p>
        </w:tc>
      </w:tr>
      <w:tr>
        <w:trPr>
          <w:cantSplit/>
        </w:trPr>
        <w:tc>
          <w:tcPr>
            <w:tcW w:w="567" w:type="dxa"/>
          </w:tcPr>
          <w:p>
            <w:pPr>
              <w:pStyle w:val="yTableNAm"/>
            </w:pPr>
            <w:r>
              <w:t>7.</w:t>
            </w:r>
          </w:p>
        </w:tc>
        <w:tc>
          <w:tcPr>
            <w:tcW w:w="5245" w:type="dxa"/>
          </w:tcPr>
          <w:p>
            <w:pPr>
              <w:pStyle w:val="yTableNAm"/>
              <w:tabs>
                <w:tab w:val="right" w:leader="dot" w:pos="5160"/>
              </w:tabs>
            </w:pPr>
            <w:r>
              <w:t xml:space="preserve">Meter reading where reading requested by consumer </w:t>
            </w:r>
            <w:r>
              <w:tab/>
            </w:r>
          </w:p>
        </w:tc>
        <w:tc>
          <w:tcPr>
            <w:tcW w:w="1276" w:type="dxa"/>
          </w:tcPr>
          <w:p>
            <w:pPr>
              <w:pStyle w:val="yTableNAm"/>
            </w:pPr>
            <w:r>
              <w:t>$23.00</w:t>
            </w:r>
          </w:p>
        </w:tc>
      </w:tr>
      <w:tr>
        <w:trPr>
          <w:cantSplit/>
        </w:trPr>
        <w:tc>
          <w:tcPr>
            <w:tcW w:w="567" w:type="dxa"/>
          </w:tcPr>
          <w:p>
            <w:pPr>
              <w:pStyle w:val="yTableNAm"/>
            </w:pPr>
            <w:r>
              <w:t>8.</w:t>
            </w:r>
          </w:p>
        </w:tc>
        <w:tc>
          <w:tcPr>
            <w:tcW w:w="5245" w:type="dxa"/>
          </w:tcPr>
          <w:p>
            <w:pPr>
              <w:pStyle w:val="yTableNAm"/>
              <w:tabs>
                <w:tab w:val="right" w:leader="dot" w:pos="5160"/>
              </w:tabs>
            </w:pPr>
            <w:r>
              <w:t xml:space="preserve">Overdue account notices </w:t>
            </w:r>
            <w:r>
              <w:tab/>
            </w:r>
          </w:p>
        </w:tc>
        <w:tc>
          <w:tcPr>
            <w:tcW w:w="1276" w:type="dxa"/>
          </w:tcPr>
          <w:p>
            <w:pPr>
              <w:pStyle w:val="yTableNAm"/>
            </w:pPr>
            <w:r>
              <w:rPr>
                <w:szCs w:val="22"/>
              </w:rPr>
              <w:t>$5.50</w:t>
            </w:r>
          </w:p>
        </w:tc>
      </w:tr>
      <w:tr>
        <w:trPr>
          <w:cantSplit/>
        </w:trPr>
        <w:tc>
          <w:tcPr>
            <w:tcW w:w="567" w:type="dxa"/>
          </w:tcPr>
          <w:p>
            <w:pPr>
              <w:pStyle w:val="yTableNAm"/>
            </w:pPr>
            <w:r>
              <w:t>9.</w:t>
            </w:r>
          </w:p>
        </w:tc>
        <w:tc>
          <w:tcPr>
            <w:tcW w:w="5245" w:type="dxa"/>
          </w:tcPr>
          <w:p>
            <w:pPr>
              <w:pStyle w:val="yTableNAm"/>
              <w:tabs>
                <w:tab w:val="right" w:leader="dot" w:pos="5160"/>
              </w:tabs>
            </w:pPr>
            <w:r>
              <w:t xml:space="preserve">Rejected account payment (where payment made through Australia Post) </w:t>
            </w:r>
            <w:r>
              <w:tab/>
            </w:r>
          </w:p>
        </w:tc>
        <w:tc>
          <w:tcPr>
            <w:tcW w:w="1276" w:type="dxa"/>
          </w:tcPr>
          <w:p>
            <w:pPr>
              <w:pStyle w:val="yTableNAm"/>
            </w:pPr>
            <w:r>
              <w:rPr>
                <w:bCs/>
                <w:iCs/>
              </w:rPr>
              <w:br/>
            </w:r>
            <w:r>
              <w:t>$24.44</w:t>
            </w:r>
          </w:p>
        </w:tc>
      </w:tr>
      <w:tr>
        <w:trPr>
          <w:cantSplit/>
        </w:trPr>
        <w:tc>
          <w:tcPr>
            <w:tcW w:w="567" w:type="dxa"/>
          </w:tcPr>
          <w:p>
            <w:pPr>
              <w:pStyle w:val="yTableNAm"/>
            </w:pPr>
            <w:r>
              <w:t>10.</w:t>
            </w:r>
          </w:p>
        </w:tc>
        <w:tc>
          <w:tcPr>
            <w:tcW w:w="5245" w:type="dxa"/>
          </w:tcPr>
          <w:p>
            <w:pPr>
              <w:pStyle w:val="yTableNAm"/>
            </w:pPr>
            <w:r>
              <w:t>A transaction fee where a consumer makes a payment to the corporation by means of one of the following — </w:t>
            </w:r>
          </w:p>
        </w:tc>
        <w:tc>
          <w:tcPr>
            <w:tcW w:w="1276" w:type="dxa"/>
          </w:tcPr>
          <w:p>
            <w:pPr>
              <w:pStyle w:val="yTableNAm"/>
            </w:pPr>
          </w:p>
        </w:tc>
      </w:tr>
      <w:tr>
        <w:trPr>
          <w:cantSplit/>
        </w:trPr>
        <w:tc>
          <w:tcPr>
            <w:tcW w:w="567" w:type="dxa"/>
          </w:tcPr>
          <w:p>
            <w:pPr>
              <w:pStyle w:val="zyTableNAm"/>
            </w:pPr>
          </w:p>
        </w:tc>
        <w:tc>
          <w:tcPr>
            <w:tcW w:w="5245" w:type="dxa"/>
          </w:tcPr>
          <w:p>
            <w:pPr>
              <w:pStyle w:val="yTableNAm"/>
              <w:tabs>
                <w:tab w:val="clear" w:pos="567"/>
                <w:tab w:val="left" w:pos="252"/>
                <w:tab w:val="left" w:pos="766"/>
                <w:tab w:val="right" w:leader="dot" w:pos="5160"/>
              </w:tabs>
              <w:ind w:left="766" w:hanging="766"/>
            </w:pPr>
            <w:r>
              <w:tab/>
              <w:t>(a)</w:t>
            </w:r>
            <w:r>
              <w:tab/>
              <w:t xml:space="preserve">a Visa or a MasterCard credit card or debit card </w:t>
            </w:r>
            <w:r>
              <w:tab/>
            </w:r>
          </w:p>
        </w:tc>
        <w:tc>
          <w:tcPr>
            <w:tcW w:w="1276" w:type="dxa"/>
          </w:tcPr>
          <w:p>
            <w:pPr>
              <w:pStyle w:val="yTableNAm"/>
            </w:pPr>
            <w:r>
              <w:t>0.47%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252"/>
                <w:tab w:val="left" w:pos="766"/>
                <w:tab w:val="right" w:leader="dot" w:pos="5160"/>
              </w:tabs>
              <w:ind w:left="766" w:hanging="766"/>
            </w:pPr>
            <w:r>
              <w:tab/>
              <w:t>(b)</w:t>
            </w:r>
            <w:r>
              <w:tab/>
              <w:t xml:space="preserve">an American Express credit card </w:t>
            </w:r>
            <w:r>
              <w:tab/>
            </w:r>
          </w:p>
        </w:tc>
        <w:tc>
          <w:tcPr>
            <w:tcW w:w="1276" w:type="dxa"/>
          </w:tcPr>
          <w:p>
            <w:pPr>
              <w:pStyle w:val="yTableNAm"/>
            </w:pPr>
            <w:r>
              <w:t>0.84% of the amount of the charge</w:t>
            </w:r>
          </w:p>
        </w:tc>
      </w:tr>
      <w:tr>
        <w:trPr>
          <w:cantSplit/>
        </w:trPr>
        <w:tc>
          <w:tcPr>
            <w:tcW w:w="567" w:type="dxa"/>
          </w:tcPr>
          <w:p>
            <w:pPr>
              <w:pStyle w:val="yTableNAm"/>
            </w:pPr>
            <w:r>
              <w:t>11.</w:t>
            </w:r>
          </w:p>
        </w:tc>
        <w:tc>
          <w:tcPr>
            <w:tcW w:w="5245" w:type="dxa"/>
          </w:tcPr>
          <w:p>
            <w:pPr>
              <w:pStyle w:val="yTableNAm"/>
              <w:tabs>
                <w:tab w:val="right" w:leader="dot" w:pos="5160"/>
              </w:tabs>
            </w:pPr>
            <w:r>
              <w:t xml:space="preserve">Remote configurations </w:t>
            </w:r>
            <w:r>
              <w:tab/>
            </w:r>
          </w:p>
        </w:tc>
        <w:tc>
          <w:tcPr>
            <w:tcW w:w="1276" w:type="dxa"/>
          </w:tcPr>
          <w:p>
            <w:pPr>
              <w:pStyle w:val="yTableNAm"/>
            </w:pPr>
            <w:r>
              <w:t>$25.40</w:t>
            </w:r>
          </w:p>
        </w:tc>
      </w:tr>
      <w:tr>
        <w:trPr>
          <w:cantSplit/>
        </w:trPr>
        <w:tc>
          <w:tcPr>
            <w:tcW w:w="567" w:type="dxa"/>
          </w:tcPr>
          <w:p>
            <w:pPr>
              <w:pStyle w:val="yTableNAm"/>
            </w:pPr>
            <w:r>
              <w:t>12.</w:t>
            </w:r>
          </w:p>
        </w:tc>
        <w:tc>
          <w:tcPr>
            <w:tcW w:w="5245" w:type="dxa"/>
          </w:tcPr>
          <w:p>
            <w:pPr>
              <w:pStyle w:val="yTableNAm"/>
              <w:tabs>
                <w:tab w:val="right" w:leader="dot" w:pos="5160"/>
              </w:tabs>
            </w:pPr>
            <w:r>
              <w:t xml:space="preserve">Meter damage fee </w:t>
            </w:r>
            <w:r>
              <w:tab/>
            </w:r>
          </w:p>
        </w:tc>
        <w:tc>
          <w:tcPr>
            <w:tcW w:w="1276" w:type="dxa"/>
          </w:tcPr>
          <w:p>
            <w:pPr>
              <w:pStyle w:val="yTableNAm"/>
            </w:pPr>
            <w:r>
              <w:t>$984.00</w:t>
            </w:r>
          </w:p>
        </w:tc>
      </w:tr>
      <w:tr>
        <w:trPr>
          <w:cantSplit/>
        </w:trPr>
        <w:tc>
          <w:tcPr>
            <w:tcW w:w="567" w:type="dxa"/>
            <w:tcBorders>
              <w:bottom w:val="single" w:sz="4" w:space="0" w:color="auto"/>
            </w:tcBorders>
          </w:tcPr>
          <w:p>
            <w:pPr>
              <w:pStyle w:val="yTableNAm"/>
            </w:pPr>
            <w:r>
              <w:t>13.</w:t>
            </w:r>
          </w:p>
        </w:tc>
        <w:tc>
          <w:tcPr>
            <w:tcW w:w="5245" w:type="dxa"/>
            <w:tcBorders>
              <w:bottom w:val="single" w:sz="4" w:space="0" w:color="auto"/>
            </w:tcBorders>
          </w:tcPr>
          <w:p>
            <w:pPr>
              <w:pStyle w:val="yTableNAm"/>
              <w:tabs>
                <w:tab w:val="right" w:leader="dot" w:pos="5160"/>
              </w:tabs>
            </w:pPr>
            <w:r>
              <w:t xml:space="preserve">Remote connection or disconnection </w:t>
            </w:r>
            <w:r>
              <w:tab/>
            </w:r>
          </w:p>
        </w:tc>
        <w:tc>
          <w:tcPr>
            <w:tcW w:w="1276" w:type="dxa"/>
            <w:tcBorders>
              <w:bottom w:val="single" w:sz="4" w:space="0" w:color="auto"/>
            </w:tcBorders>
          </w:tcPr>
          <w:p>
            <w:pPr>
              <w:pStyle w:val="yTableNAm"/>
            </w:pPr>
            <w:r>
              <w:t>$6.10</w:t>
            </w:r>
          </w:p>
        </w:tc>
      </w:tr>
    </w:tbl>
    <w:p>
      <w:pPr>
        <w:pStyle w:val="yFootnotesection"/>
      </w:pPr>
      <w:r>
        <w:tab/>
        <w:t>[Schedule 4 inserted in Gazette 30 Jun 2017 p. 3563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36" w:name="_Toc501633167"/>
      <w:bookmarkStart w:id="37" w:name="_Toc501633220"/>
      <w:r>
        <w:t>Notes</w:t>
      </w:r>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8" w:name="_Toc501633221"/>
      <w:r>
        <w:t>Compilation table</w:t>
      </w:r>
      <w:bookmarkEnd w:id="3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Next/>
              <w:keepLines/>
              <w:spacing w:after="40"/>
            </w:pPr>
            <w:r>
              <w:t>27 Jun 2017 p. 3419</w:t>
            </w:r>
            <w:r>
              <w:noBreakHyphen/>
              <w:t>24</w:t>
            </w:r>
          </w:p>
        </w:tc>
        <w:tc>
          <w:tcPr>
            <w:tcW w:w="2694" w:type="dxa"/>
            <w:shd w:val="clear" w:color="auto" w:fill="auto"/>
          </w:tcPr>
          <w:p>
            <w:pPr>
              <w:pStyle w:val="nTable"/>
              <w:keepNext/>
              <w:keepLines/>
              <w:spacing w:after="40"/>
            </w:pPr>
            <w:r>
              <w:t>bl. 1 and 2: 27 Jun 2017 (see bl. 2(a));</w:t>
            </w:r>
            <w:r>
              <w:br/>
              <w:t>By-laws other than bl. 1 and 2: 1 Jul 2017 (see bl. 2(b))</w:t>
            </w:r>
          </w:p>
        </w:tc>
      </w:tr>
      <w:tr>
        <w:tc>
          <w:tcPr>
            <w:tcW w:w="3119" w:type="dxa"/>
            <w:tcBorders>
              <w:bottom w:val="single" w:sz="8" w:space="0" w:color="auto"/>
            </w:tcBorders>
            <w:shd w:val="clear" w:color="auto" w:fill="auto"/>
          </w:tcPr>
          <w:p>
            <w:pPr>
              <w:pStyle w:val="nTable"/>
              <w:keepNext/>
              <w:keepLines/>
              <w:spacing w:after="40"/>
              <w:rPr>
                <w:i/>
              </w:rPr>
            </w:pPr>
            <w:r>
              <w:rPr>
                <w:i/>
              </w:rPr>
              <w:t>Energy Operators (Regional Power Corporation) (Charges) Amendment By</w:t>
            </w:r>
            <w:r>
              <w:rPr>
                <w:i/>
              </w:rPr>
              <w:noBreakHyphen/>
              <w:t>laws (No. 2) 2017</w:t>
            </w:r>
          </w:p>
        </w:tc>
        <w:tc>
          <w:tcPr>
            <w:tcW w:w="1276" w:type="dxa"/>
            <w:tcBorders>
              <w:bottom w:val="single" w:sz="8" w:space="0" w:color="auto"/>
            </w:tcBorders>
            <w:shd w:val="clear" w:color="auto" w:fill="auto"/>
          </w:tcPr>
          <w:p>
            <w:pPr>
              <w:pStyle w:val="nTable"/>
              <w:keepNext/>
              <w:keepLines/>
              <w:spacing w:after="40"/>
            </w:pPr>
            <w:r>
              <w:t>30 Jun 2017 p. 3562</w:t>
            </w:r>
            <w:r>
              <w:noBreakHyphen/>
              <w:t>4</w:t>
            </w:r>
          </w:p>
        </w:tc>
        <w:tc>
          <w:tcPr>
            <w:tcW w:w="2694" w:type="dxa"/>
            <w:tcBorders>
              <w:bottom w:val="single" w:sz="8" w:space="0" w:color="auto"/>
            </w:tcBorders>
            <w:shd w:val="clear" w:color="auto" w:fill="auto"/>
          </w:tcPr>
          <w:p>
            <w:pPr>
              <w:pStyle w:val="nTable"/>
              <w:keepNext/>
              <w:keepLines/>
              <w:spacing w:after="40"/>
            </w:pPr>
            <w:r>
              <w:t>bl. 1 and 2: 30 Jun 2017 (see bl. 2(a));</w:t>
            </w:r>
            <w:r>
              <w:br/>
              <w:t>By-laws other than bl. 1 and 2: 1 Jul 2017 (see bl. 2(b)(i))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501633222"/>
      <w:r>
        <w:t>Provisions that have not come into operation</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Energy Operators (Regional Power Corporation) (Charges) Amendment By-laws (No. 3) 2017</w:t>
            </w:r>
            <w:r>
              <w:t xml:space="preserve"> bl. 3</w:t>
            </w:r>
            <w:r>
              <w:noBreakHyphen/>
              <w:t>9 </w:t>
            </w:r>
            <w:r>
              <w:rPr>
                <w:vertAlign w:val="superscript"/>
              </w:rPr>
              <w:t>2</w:t>
            </w:r>
          </w:p>
        </w:tc>
        <w:tc>
          <w:tcPr>
            <w:tcW w:w="1276" w:type="dxa"/>
          </w:tcPr>
          <w:p>
            <w:pPr>
              <w:pStyle w:val="nTable"/>
              <w:spacing w:after="40"/>
            </w:pPr>
            <w:r>
              <w:t>22 Dec 2017 p. 5978</w:t>
            </w:r>
            <w:r>
              <w:noBreakHyphen/>
              <w:t>83</w:t>
            </w:r>
          </w:p>
        </w:tc>
        <w:tc>
          <w:tcPr>
            <w:tcW w:w="2693" w:type="dxa"/>
          </w:tcPr>
          <w:p>
            <w:pPr>
              <w:pStyle w:val="nTable"/>
              <w:spacing w:after="40"/>
            </w:pPr>
            <w:r>
              <w:t>1 Jan 2018 (see bl. 2(b))</w:t>
            </w:r>
          </w:p>
        </w:tc>
      </w:tr>
    </w:tbl>
    <w:p>
      <w:pPr>
        <w:pStyle w:val="nSubsection"/>
        <w:keepLines/>
        <w:rPr>
          <w:snapToGrid w:val="0"/>
        </w:rPr>
      </w:pPr>
      <w:r>
        <w:rPr>
          <w:snapToGrid w:val="0"/>
          <w:vertAlign w:val="superscript"/>
        </w:rPr>
        <w:t>2</w:t>
      </w:r>
      <w:r>
        <w:rPr>
          <w:snapToGrid w:val="0"/>
        </w:rPr>
        <w:t xml:space="preserve"> </w:t>
      </w:r>
      <w:r>
        <w:rPr>
          <w:snapToGrid w:val="0"/>
        </w:rPr>
        <w:tab/>
        <w:t>On the date as at which this compilation was prepared, the</w:t>
      </w:r>
      <w:r>
        <w:t xml:space="preserve"> </w:t>
      </w:r>
      <w:r>
        <w:rPr>
          <w:i/>
          <w:snapToGrid w:val="0"/>
        </w:rPr>
        <w:t xml:space="preserve">Energy Operators (Regional Power Corporation) (Charges) Amendment By laws (No. 3) 2017 </w:t>
      </w:r>
      <w:r>
        <w:rPr>
          <w:snapToGrid w:val="0"/>
        </w:rPr>
        <w:t>bl. 3</w:t>
      </w:r>
      <w:r>
        <w:rPr>
          <w:snapToGrid w:val="0"/>
        </w:rPr>
        <w:noBreakHyphen/>
        <w:t>9</w:t>
      </w:r>
      <w:r>
        <w:rPr>
          <w:i/>
          <w:snapToGrid w:val="0"/>
        </w:rPr>
        <w:t xml:space="preserve"> </w:t>
      </w:r>
      <w:r>
        <w:rPr>
          <w:snapToGrid w:val="0"/>
        </w:rPr>
        <w:t>had not come into operation.  They read as follows:</w:t>
      </w:r>
    </w:p>
    <w:p>
      <w:pPr>
        <w:pStyle w:val="BlankOpen"/>
      </w:pPr>
    </w:p>
    <w:p>
      <w:pPr>
        <w:pStyle w:val="nzHeading5"/>
        <w:rPr>
          <w:snapToGrid w:val="0"/>
        </w:rPr>
      </w:pPr>
      <w:bookmarkStart w:id="40" w:name="_Toc500745775"/>
      <w:bookmarkStart w:id="41" w:name="_Toc500746219"/>
      <w:r>
        <w:rPr>
          <w:rStyle w:val="CharSectno"/>
        </w:rPr>
        <w:t>3</w:t>
      </w:r>
      <w:r>
        <w:rPr>
          <w:snapToGrid w:val="0"/>
        </w:rPr>
        <w:t>.</w:t>
      </w:r>
      <w:r>
        <w:rPr>
          <w:snapToGrid w:val="0"/>
        </w:rPr>
        <w:tab/>
        <w:t>By-laws amended</w:t>
      </w:r>
      <w:bookmarkEnd w:id="40"/>
      <w:bookmarkEnd w:id="41"/>
    </w:p>
    <w:p>
      <w:pPr>
        <w:pStyle w:val="nzSubsection"/>
      </w:pPr>
      <w:r>
        <w:tab/>
      </w:r>
      <w:r>
        <w:tab/>
        <w:t xml:space="preserve">These </w:t>
      </w:r>
      <w:r>
        <w:rPr>
          <w:spacing w:val="-2"/>
        </w:rPr>
        <w:t>by-laws amend</w:t>
      </w:r>
      <w:r>
        <w:t xml:space="preserve"> the </w:t>
      </w:r>
      <w:r>
        <w:rPr>
          <w:i/>
        </w:rPr>
        <w:t>Energy Operators (Regional Power Corporation) (Charges) By</w:t>
      </w:r>
      <w:r>
        <w:rPr>
          <w:i/>
        </w:rPr>
        <w:noBreakHyphen/>
        <w:t>laws 2006</w:t>
      </w:r>
      <w:r>
        <w:t>.</w:t>
      </w:r>
    </w:p>
    <w:p>
      <w:pPr>
        <w:pStyle w:val="nzHeading5"/>
      </w:pPr>
      <w:bookmarkStart w:id="42" w:name="_Toc500745776"/>
      <w:bookmarkStart w:id="43" w:name="_Toc500746220"/>
      <w:r>
        <w:rPr>
          <w:rStyle w:val="CharSectno"/>
        </w:rPr>
        <w:t>4</w:t>
      </w:r>
      <w:r>
        <w:t>.</w:t>
      </w:r>
      <w:r>
        <w:tab/>
        <w:t>By</w:t>
      </w:r>
      <w:r>
        <w:noBreakHyphen/>
        <w:t>law 3 amended</w:t>
      </w:r>
      <w:bookmarkEnd w:id="42"/>
      <w:bookmarkEnd w:id="43"/>
    </w:p>
    <w:p>
      <w:pPr>
        <w:pStyle w:val="nzSubsection"/>
      </w:pPr>
      <w:r>
        <w:tab/>
      </w:r>
      <w:r>
        <w:tab/>
        <w:t>In by</w:t>
      </w:r>
      <w:r>
        <w:noBreakHyphen/>
        <w:t xml:space="preserve">law 3 delete the definition of </w:t>
      </w:r>
      <w:r>
        <w:rPr>
          <w:b/>
          <w:i/>
        </w:rPr>
        <w:t>residential tariff</w:t>
      </w:r>
      <w:r>
        <w:t xml:space="preserve"> and insert:</w:t>
      </w:r>
    </w:p>
    <w:p>
      <w:pPr>
        <w:pStyle w:val="BlankOpen"/>
      </w:pPr>
    </w:p>
    <w:p>
      <w:pPr>
        <w:pStyle w:val="nzSubsection"/>
      </w:pPr>
      <w:r>
        <w:tab/>
      </w:r>
      <w:r>
        <w:tab/>
      </w:r>
      <w:r>
        <w:rPr>
          <w:rStyle w:val="CharDefText"/>
        </w:rPr>
        <w:t>residential tariff</w:t>
      </w:r>
      <w:r>
        <w:t xml:space="preserve"> means Tariff A2 or a MyPower residential tariff as defined in Schedule 1 clause 8(1);</w:t>
      </w:r>
    </w:p>
    <w:p>
      <w:pPr>
        <w:pStyle w:val="BlankClose"/>
      </w:pPr>
    </w:p>
    <w:p>
      <w:pPr>
        <w:pStyle w:val="nzHeading5"/>
      </w:pPr>
      <w:bookmarkStart w:id="44" w:name="_Toc500745777"/>
      <w:bookmarkStart w:id="45" w:name="_Toc500746221"/>
      <w:r>
        <w:rPr>
          <w:rStyle w:val="CharSectno"/>
        </w:rPr>
        <w:t>5</w:t>
      </w:r>
      <w:r>
        <w:t>.</w:t>
      </w:r>
      <w:r>
        <w:tab/>
        <w:t>By</w:t>
      </w:r>
      <w:r>
        <w:noBreakHyphen/>
        <w:t>law 5 amended</w:t>
      </w:r>
      <w:bookmarkEnd w:id="44"/>
      <w:bookmarkEnd w:id="45"/>
    </w:p>
    <w:p>
      <w:pPr>
        <w:pStyle w:val="nzSubsection"/>
      </w:pPr>
      <w:r>
        <w:tab/>
      </w:r>
      <w:r>
        <w:tab/>
        <w:t>In by</w:t>
      </w:r>
      <w:r>
        <w:noBreakHyphen/>
        <w:t>law 5(1) and (2) delete “the residential tarif</w:t>
      </w:r>
      <w:r>
        <w:rPr>
          <w:spacing w:val="20"/>
        </w:rPr>
        <w:t>f”</w:t>
      </w:r>
      <w:r>
        <w:t xml:space="preserve"> and insert:</w:t>
      </w:r>
    </w:p>
    <w:p>
      <w:pPr>
        <w:pStyle w:val="BlankOpen"/>
      </w:pPr>
    </w:p>
    <w:p>
      <w:pPr>
        <w:pStyle w:val="nzSubsection"/>
      </w:pPr>
      <w:r>
        <w:tab/>
      </w:r>
      <w:r>
        <w:tab/>
        <w:t>a residential tariff</w:t>
      </w:r>
    </w:p>
    <w:p>
      <w:pPr>
        <w:pStyle w:val="BlankClose"/>
      </w:pPr>
    </w:p>
    <w:p>
      <w:pPr>
        <w:pStyle w:val="nzHeading5"/>
      </w:pPr>
      <w:bookmarkStart w:id="46" w:name="_Toc500745778"/>
      <w:bookmarkStart w:id="47" w:name="_Toc500746222"/>
      <w:r>
        <w:rPr>
          <w:rStyle w:val="CharSectno"/>
        </w:rPr>
        <w:t>6</w:t>
      </w:r>
      <w:r>
        <w:t>.</w:t>
      </w:r>
      <w:r>
        <w:tab/>
        <w:t>Schedule 1 amended</w:t>
      </w:r>
      <w:bookmarkEnd w:id="46"/>
      <w:bookmarkEnd w:id="47"/>
    </w:p>
    <w:p>
      <w:pPr>
        <w:pStyle w:val="nzSubsection"/>
      </w:pPr>
      <w:r>
        <w:tab/>
        <w:t>(1)</w:t>
      </w:r>
      <w:r>
        <w:tab/>
        <w:t>Before Schedule 1 clause 1 insert:</w:t>
      </w:r>
    </w:p>
    <w:p>
      <w:pPr>
        <w:pStyle w:val="BlankOpen"/>
      </w:pPr>
    </w:p>
    <w:p>
      <w:pPr>
        <w:pStyle w:val="nzHeading3"/>
      </w:pPr>
      <w:bookmarkStart w:id="48" w:name="_Toc500409573"/>
      <w:bookmarkStart w:id="49" w:name="_Toc500409585"/>
      <w:bookmarkStart w:id="50" w:name="_Toc500580939"/>
      <w:bookmarkStart w:id="51" w:name="_Toc500580950"/>
      <w:bookmarkStart w:id="52" w:name="_Toc500581031"/>
      <w:bookmarkStart w:id="53" w:name="_Toc500745779"/>
      <w:bookmarkStart w:id="54" w:name="_Toc500746223"/>
      <w:r>
        <w:t>Division 1 — Tariffs other than MyPower tariffs</w:t>
      </w:r>
      <w:bookmarkEnd w:id="48"/>
      <w:bookmarkEnd w:id="49"/>
      <w:bookmarkEnd w:id="50"/>
      <w:bookmarkEnd w:id="51"/>
      <w:bookmarkEnd w:id="52"/>
      <w:bookmarkEnd w:id="53"/>
      <w:bookmarkEnd w:id="54"/>
    </w:p>
    <w:p>
      <w:pPr>
        <w:pStyle w:val="BlankClose"/>
      </w:pPr>
    </w:p>
    <w:p>
      <w:pPr>
        <w:pStyle w:val="nzSubsection"/>
      </w:pPr>
      <w:r>
        <w:tab/>
        <w:t>(2)</w:t>
      </w:r>
      <w:r>
        <w:tab/>
        <w:t>At the end of Schedule 1 insert:</w:t>
      </w:r>
    </w:p>
    <w:p>
      <w:pPr>
        <w:pStyle w:val="BlankOpen"/>
      </w:pPr>
    </w:p>
    <w:p>
      <w:pPr>
        <w:pStyle w:val="nzHeading3"/>
      </w:pPr>
      <w:bookmarkStart w:id="55" w:name="_Toc500409574"/>
      <w:bookmarkStart w:id="56" w:name="_Toc500409586"/>
      <w:bookmarkStart w:id="57" w:name="_Toc500580940"/>
      <w:bookmarkStart w:id="58" w:name="_Toc500580951"/>
      <w:bookmarkStart w:id="59" w:name="_Toc500581032"/>
      <w:bookmarkStart w:id="60" w:name="_Toc500745780"/>
      <w:bookmarkStart w:id="61" w:name="_Toc500746224"/>
      <w:r>
        <w:t>Division 2 — MyPower tariffs</w:t>
      </w:r>
      <w:bookmarkEnd w:id="55"/>
      <w:bookmarkEnd w:id="56"/>
      <w:bookmarkEnd w:id="57"/>
      <w:bookmarkEnd w:id="58"/>
      <w:bookmarkEnd w:id="59"/>
      <w:bookmarkEnd w:id="60"/>
      <w:bookmarkEnd w:id="61"/>
    </w:p>
    <w:p>
      <w:pPr>
        <w:pStyle w:val="nzHeading5"/>
      </w:pPr>
      <w:bookmarkStart w:id="62" w:name="_Toc500745781"/>
      <w:bookmarkStart w:id="63" w:name="_Toc500746225"/>
      <w:r>
        <w:t>7.</w:t>
      </w:r>
      <w:r>
        <w:tab/>
        <w:t>Terms used</w:t>
      </w:r>
      <w:bookmarkEnd w:id="62"/>
      <w:bookmarkEnd w:id="63"/>
    </w:p>
    <w:p>
      <w:pPr>
        <w:pStyle w:val="nzSubsection"/>
      </w:pPr>
      <w:r>
        <w:tab/>
        <w:t>(1)</w:t>
      </w:r>
      <w:r>
        <w:tab/>
        <w:t xml:space="preserve">In this Division — </w:t>
      </w:r>
    </w:p>
    <w:p>
      <w:pPr>
        <w:pStyle w:val="nzDefstart"/>
      </w:pPr>
      <w:r>
        <w:tab/>
      </w:r>
      <w:r>
        <w:rPr>
          <w:rStyle w:val="CharDefText"/>
        </w:rPr>
        <w:t>Esperance network</w:t>
      </w:r>
      <w:r>
        <w:t xml:space="preserve"> means the electricity network operated by the corporation that supplies electricity to the town of Esperance and surrounding areas;</w:t>
      </w:r>
    </w:p>
    <w:p>
      <w:pPr>
        <w:pStyle w:val="nzDefstart"/>
      </w:pPr>
      <w:r>
        <w:tab/>
      </w:r>
      <w:r>
        <w:rPr>
          <w:rStyle w:val="CharDefText"/>
        </w:rPr>
        <w:t>peak day</w:t>
      </w:r>
      <w:r>
        <w:t xml:space="preserve"> means — </w:t>
      </w:r>
    </w:p>
    <w:p>
      <w:pPr>
        <w:pStyle w:val="nz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nzDefpara"/>
      </w:pPr>
      <w:r>
        <w:tab/>
        <w:t>(b)</w:t>
      </w:r>
      <w:r>
        <w:tab/>
        <w:t>in relation to a tariff determined under clause 9 — a day that is in a peak period and is not a public holiday in the place in which the relevant premises to which electricity is supplied are situated;</w:t>
      </w:r>
    </w:p>
    <w:p>
      <w:pPr>
        <w:pStyle w:val="nzDefstart"/>
      </w:pPr>
      <w:r>
        <w:tab/>
      </w:r>
      <w:r>
        <w:rPr>
          <w:rStyle w:val="CharDefText"/>
        </w:rPr>
        <w:t>peak period</w:t>
      </w:r>
      <w:r>
        <w:t xml:space="preserve"> means — </w:t>
      </w:r>
    </w:p>
    <w:p>
      <w:pPr>
        <w:pStyle w:val="nzDefpara"/>
      </w:pPr>
      <w:r>
        <w:tab/>
        <w:t>(a)</w:t>
      </w:r>
      <w:r>
        <w:tab/>
        <w:t>in relation to electricity supplied otherwise than as described in paragraph (b) — a period beginning on 1 December in a year and ending on 30 April in the following year; or</w:t>
      </w:r>
    </w:p>
    <w:p>
      <w:pPr>
        <w:pStyle w:val="nz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nzDefstart"/>
      </w:pPr>
      <w:r>
        <w:tab/>
      </w:r>
      <w:r>
        <w:rPr>
          <w:rStyle w:val="CharDefText"/>
        </w:rPr>
        <w:t>peak time</w:t>
      </w:r>
      <w:r>
        <w:t xml:space="preserve"> means a period beginning at 1 pm and ending at 8 pm.</w:t>
      </w:r>
    </w:p>
    <w:p>
      <w:pPr>
        <w:pStyle w:val="nz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nzIndenta"/>
      </w:pPr>
      <w:r>
        <w:tab/>
        <w:t>(a)</w:t>
      </w:r>
      <w:r>
        <w:tab/>
        <w:t>the contract under which the electricity is supplied has been in force for a period of 14 days or fewer; or</w:t>
      </w:r>
    </w:p>
    <w:p>
      <w:pPr>
        <w:pStyle w:val="nzIndenta"/>
      </w:pPr>
      <w:r>
        <w:tab/>
        <w:t>(b)</w:t>
      </w:r>
      <w:r>
        <w:tab/>
        <w:t>the corporation considers that on the relevant day the consumer was affected by an emergency event (for example, a cyclone or bushfire).</w:t>
      </w:r>
    </w:p>
    <w:p>
      <w:pPr>
        <w:pStyle w:val="nzHeading5"/>
      </w:pPr>
      <w:bookmarkStart w:id="64" w:name="_Toc500745782"/>
      <w:bookmarkStart w:id="65" w:name="_Toc500746226"/>
      <w:r>
        <w:t>8.</w:t>
      </w:r>
      <w:r>
        <w:tab/>
        <w:t>MyPower residential tariffs</w:t>
      </w:r>
      <w:bookmarkEnd w:id="64"/>
      <w:bookmarkEnd w:id="65"/>
    </w:p>
    <w:p>
      <w:pPr>
        <w:pStyle w:val="nzSubsection"/>
      </w:pPr>
      <w:r>
        <w:tab/>
        <w:t>(1)</w:t>
      </w:r>
      <w:r>
        <w:tab/>
        <w:t xml:space="preserve">Each tariff determined under this clause (a </w:t>
      </w:r>
      <w:r>
        <w:rPr>
          <w:rStyle w:val="CharDefText"/>
        </w:rPr>
        <w:t>MyPower residential tariff</w:t>
      </w:r>
      <w:r>
        <w:t xml:space="preserve">) is available only — </w:t>
      </w:r>
    </w:p>
    <w:p>
      <w:pPr>
        <w:pStyle w:val="nzIndenta"/>
      </w:pPr>
      <w:r>
        <w:tab/>
        <w:t>(a)</w:t>
      </w:r>
      <w:r>
        <w:tab/>
        <w:t>for residential use; and</w:t>
      </w:r>
    </w:p>
    <w:p>
      <w:pPr>
        <w:pStyle w:val="nz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nzSubsection"/>
      </w:pPr>
      <w:r>
        <w:tab/>
        <w:t>(2)</w:t>
      </w:r>
      <w:r>
        <w:tab/>
        <w:t xml:space="preserve">Each MyPower residential tariff comprises the following charges, adjusted (where relevant) in accordance with subclause (3) — </w:t>
      </w:r>
    </w:p>
    <w:p>
      <w:pPr>
        <w:pStyle w:val="nzIndenta"/>
      </w:pPr>
      <w:r>
        <w:tab/>
        <w:t>(a)</w:t>
      </w:r>
      <w:r>
        <w:tab/>
        <w:t>a fixed charge at the applicable rate; and</w:t>
      </w:r>
    </w:p>
    <w:p>
      <w:pPr>
        <w:pStyle w:val="nzIndenta"/>
      </w:pPr>
      <w:r>
        <w:tab/>
        <w:t>(b)</w:t>
      </w:r>
      <w:r>
        <w:tab/>
        <w:t>a charge for metered consumption at the applicable rate.</w:t>
      </w:r>
    </w:p>
    <w:p>
      <w:pPr>
        <w:pStyle w:val="nzSubsection"/>
      </w:pPr>
      <w:r>
        <w:tab/>
        <w:t>(3)</w:t>
      </w:r>
      <w:r>
        <w:tab/>
        <w:t xml:space="preserve">The charges calculated under subclause (2) for electricity supplied to a consumer during a peak period are to be adjusted as follows — </w:t>
      </w:r>
    </w:p>
    <w:p>
      <w:pPr>
        <w:pStyle w:val="nzIndenta"/>
      </w:pPr>
      <w:r>
        <w:tab/>
        <w:t>(a)</w:t>
      </w:r>
      <w:r>
        <w:tab/>
        <w:t>3 rebates of the applicable peak rebate amount are to be applied to the consumer’s account at the end of the peak period; but</w:t>
      </w:r>
    </w:p>
    <w:p>
      <w:pPr>
        <w:pStyle w:val="nzIndenta"/>
      </w:pPr>
      <w:r>
        <w:tab/>
        <w:t>(b)</w:t>
      </w:r>
      <w:r>
        <w:tab/>
        <w:t>for each peak day on which the consumer exceeds the applicable peak allowance, 1 of the rebates referred to in paragraph (a) is not to be applied.</w:t>
      </w:r>
    </w:p>
    <w:p>
      <w:pPr>
        <w:pStyle w:val="nzSubsection"/>
      </w:pPr>
      <w:r>
        <w:tab/>
        <w:t>(4)</w:t>
      </w:r>
      <w:r>
        <w:tab/>
        <w:t xml:space="preserve">If electricity is supplied to a consumer at a MyPower residential tariff for part only of a peak period (the </w:t>
      </w:r>
      <w:r>
        <w:rPr>
          <w:rStyle w:val="CharDefText"/>
        </w:rPr>
        <w:t>part</w:t>
      </w:r>
      <w:r>
        <w:rPr>
          <w:rStyle w:val="CharDefText"/>
        </w:rPr>
        <w:noBreakHyphen/>
        <w:t>period</w:t>
      </w:r>
      <w:r>
        <w:t xml:space="preserve">) — </w:t>
      </w:r>
    </w:p>
    <w:p>
      <w:pPr>
        <w:pStyle w:val="nzIndenta"/>
      </w:pPr>
      <w:r>
        <w:tab/>
        <w:t>(a)</w:t>
      </w:r>
      <w:r>
        <w:tab/>
        <w:t>subclause (3) applies as if a reference to the peak period were a reference to the part</w:t>
      </w:r>
      <w:r>
        <w:noBreakHyphen/>
        <w:t>period; and</w:t>
      </w:r>
    </w:p>
    <w:p>
      <w:pPr>
        <w:pStyle w:val="nzIndenta"/>
      </w:pPr>
      <w:r>
        <w:tab/>
        <w:t>(b)</w:t>
      </w:r>
      <w:r>
        <w:tab/>
        <w:t>the applicable peak rebate amount is to be reduced on a pro rata basis.</w:t>
      </w:r>
    </w:p>
    <w:p>
      <w:pPr>
        <w:pStyle w:val="nzSubsection"/>
      </w:pPr>
      <w:r>
        <w:tab/>
        <w:t>(5)</w:t>
      </w:r>
      <w:r>
        <w:tab/>
        <w:t>For each MyPower residential tariff, the applicable rates of the fixed charge and metered consumption charge, the applicable peak allowance and the applicable peak rebate amount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trPr>
        <w:tc>
          <w:tcPr>
            <w:tcW w:w="1276" w:type="dxa"/>
          </w:tcPr>
          <w:p>
            <w:pPr>
              <w:pStyle w:val="yTableNAm"/>
              <w:rPr>
                <w:sz w:val="20"/>
              </w:rPr>
            </w:pPr>
            <w:r>
              <w:rPr>
                <w:b/>
                <w:sz w:val="20"/>
              </w:rPr>
              <w:t>Tariff name</w:t>
            </w:r>
          </w:p>
        </w:tc>
        <w:tc>
          <w:tcPr>
            <w:tcW w:w="1417" w:type="dxa"/>
          </w:tcPr>
          <w:p>
            <w:pPr>
              <w:pStyle w:val="yTableNAm"/>
              <w:rPr>
                <w:sz w:val="20"/>
              </w:rPr>
            </w:pPr>
            <w:r>
              <w:rPr>
                <w:b/>
                <w:sz w:val="20"/>
              </w:rPr>
              <w:t>Rate of fixed charge</w:t>
            </w:r>
          </w:p>
        </w:tc>
        <w:tc>
          <w:tcPr>
            <w:tcW w:w="1560" w:type="dxa"/>
          </w:tcPr>
          <w:p>
            <w:pPr>
              <w:pStyle w:val="yTableNAm"/>
              <w:rPr>
                <w:sz w:val="20"/>
              </w:rPr>
            </w:pPr>
            <w:r>
              <w:rPr>
                <w:b/>
                <w:sz w:val="20"/>
              </w:rPr>
              <w:t>Rate of metered consumption charge</w:t>
            </w:r>
          </w:p>
        </w:tc>
        <w:tc>
          <w:tcPr>
            <w:tcW w:w="1275" w:type="dxa"/>
          </w:tcPr>
          <w:p>
            <w:pPr>
              <w:pStyle w:val="yTableNAm"/>
              <w:rPr>
                <w:sz w:val="20"/>
              </w:rPr>
            </w:pPr>
            <w:r>
              <w:rPr>
                <w:b/>
                <w:sz w:val="20"/>
              </w:rPr>
              <w:t>Peak allowance</w:t>
            </w:r>
          </w:p>
        </w:tc>
        <w:tc>
          <w:tcPr>
            <w:tcW w:w="1276" w:type="dxa"/>
          </w:tcPr>
          <w:p>
            <w:pPr>
              <w:pStyle w:val="yTableNAm"/>
              <w:rPr>
                <w:sz w:val="20"/>
              </w:rPr>
            </w:pPr>
            <w:r>
              <w:rPr>
                <w:b/>
                <w:sz w:val="20"/>
              </w:rPr>
              <w:t>Peak rebate amount</w:t>
            </w:r>
          </w:p>
        </w:tc>
      </w:tr>
      <w:tr>
        <w:trPr>
          <w:cantSplit/>
        </w:trPr>
        <w:tc>
          <w:tcPr>
            <w:tcW w:w="1276" w:type="dxa"/>
          </w:tcPr>
          <w:p>
            <w:pPr>
              <w:pStyle w:val="yTableNAm"/>
              <w:rPr>
                <w:sz w:val="20"/>
              </w:rPr>
            </w:pPr>
            <w:r>
              <w:rPr>
                <w:sz w:val="20"/>
              </w:rPr>
              <w:t>MyPower residential 1.5 fixed plan price</w:t>
            </w:r>
          </w:p>
        </w:tc>
        <w:tc>
          <w:tcPr>
            <w:tcW w:w="1417" w:type="dxa"/>
          </w:tcPr>
          <w:p>
            <w:pPr>
              <w:pStyle w:val="yTableNAm"/>
              <w:rPr>
                <w:sz w:val="20"/>
              </w:rPr>
            </w:pPr>
            <w:r>
              <w:rPr>
                <w:sz w:val="20"/>
              </w:rPr>
              <w:t>$1.836595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1.5 units 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residential 3 fixed plan price</w:t>
            </w:r>
          </w:p>
        </w:tc>
        <w:tc>
          <w:tcPr>
            <w:tcW w:w="1417" w:type="dxa"/>
          </w:tcPr>
          <w:p>
            <w:pPr>
              <w:pStyle w:val="yTableNAm"/>
              <w:rPr>
                <w:sz w:val="20"/>
              </w:rPr>
            </w:pPr>
            <w:r>
              <w:rPr>
                <w:sz w:val="20"/>
              </w:rPr>
              <w:t>$3.017641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 xml:space="preserve">3 units </w:t>
            </w:r>
            <w:r>
              <w:rPr>
                <w:sz w:val="20"/>
              </w:rPr>
              <w:br/>
              <w:t>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residential 5 fixed plan price</w:t>
            </w:r>
          </w:p>
        </w:tc>
        <w:tc>
          <w:tcPr>
            <w:tcW w:w="1417" w:type="dxa"/>
          </w:tcPr>
          <w:p>
            <w:pPr>
              <w:pStyle w:val="yTableNAm"/>
              <w:rPr>
                <w:sz w:val="20"/>
              </w:rPr>
            </w:pPr>
            <w:r>
              <w:rPr>
                <w:sz w:val="20"/>
              </w:rPr>
              <w:t>$5.265043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 xml:space="preserve">5 units </w:t>
            </w:r>
            <w:r>
              <w:rPr>
                <w:sz w:val="20"/>
              </w:rPr>
              <w:br/>
              <w:t>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residential 7 fixed plan price</w:t>
            </w:r>
          </w:p>
        </w:tc>
        <w:tc>
          <w:tcPr>
            <w:tcW w:w="1417" w:type="dxa"/>
          </w:tcPr>
          <w:p>
            <w:pPr>
              <w:pStyle w:val="yTableNAm"/>
              <w:rPr>
                <w:sz w:val="20"/>
              </w:rPr>
            </w:pPr>
            <w:r>
              <w:rPr>
                <w:sz w:val="20"/>
              </w:rPr>
              <w:t>$8.139920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 xml:space="preserve">7 units </w:t>
            </w:r>
            <w:r>
              <w:rPr>
                <w:sz w:val="20"/>
              </w:rPr>
              <w:br/>
              <w:t>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residential 10 fixed plan price</w:t>
            </w:r>
          </w:p>
        </w:tc>
        <w:tc>
          <w:tcPr>
            <w:tcW w:w="1417" w:type="dxa"/>
          </w:tcPr>
          <w:p>
            <w:pPr>
              <w:pStyle w:val="yTableNAm"/>
              <w:rPr>
                <w:sz w:val="20"/>
              </w:rPr>
            </w:pPr>
            <w:r>
              <w:rPr>
                <w:sz w:val="20"/>
              </w:rPr>
              <w:t>$11.868759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10 units 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residential 15 fixed plan price</w:t>
            </w:r>
          </w:p>
        </w:tc>
        <w:tc>
          <w:tcPr>
            <w:tcW w:w="1417" w:type="dxa"/>
          </w:tcPr>
          <w:p>
            <w:pPr>
              <w:pStyle w:val="yTableNAm"/>
              <w:rPr>
                <w:sz w:val="20"/>
              </w:rPr>
            </w:pPr>
            <w:r>
              <w:rPr>
                <w:sz w:val="20"/>
              </w:rPr>
              <w:t>$25.258053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15 units per hour</w:t>
            </w:r>
          </w:p>
        </w:tc>
        <w:tc>
          <w:tcPr>
            <w:tcW w:w="1276" w:type="dxa"/>
          </w:tcPr>
          <w:p>
            <w:pPr>
              <w:pStyle w:val="yTableNAm"/>
              <w:rPr>
                <w:sz w:val="20"/>
              </w:rPr>
            </w:pPr>
            <w:r>
              <w:rPr>
                <w:sz w:val="20"/>
              </w:rPr>
              <w:t>$100</w:t>
            </w:r>
          </w:p>
        </w:tc>
      </w:tr>
    </w:tbl>
    <w:p>
      <w:pPr>
        <w:pStyle w:val="nzSubsection"/>
      </w:pPr>
      <w:r>
        <w:tab/>
        <w:t>(6)</w:t>
      </w:r>
      <w:r>
        <w:tab/>
        <w:t>Each MyPower residential tariff is available subject to the condition that the consumer does not exceed the applicable peak allowance on 4 or more peak days in a peak period.</w:t>
      </w:r>
    </w:p>
    <w:p>
      <w:pPr>
        <w:pStyle w:val="nzHeading5"/>
      </w:pPr>
      <w:bookmarkStart w:id="66" w:name="_Toc500745783"/>
      <w:bookmarkStart w:id="67" w:name="_Toc500746227"/>
      <w:r>
        <w:t>9.</w:t>
      </w:r>
      <w:r>
        <w:tab/>
        <w:t>MyPower non</w:t>
      </w:r>
      <w:r>
        <w:noBreakHyphen/>
        <w:t>residential tariffs</w:t>
      </w:r>
      <w:bookmarkEnd w:id="66"/>
      <w:bookmarkEnd w:id="67"/>
    </w:p>
    <w:p>
      <w:pPr>
        <w:pStyle w:val="nz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nzIndenta"/>
      </w:pPr>
      <w:r>
        <w:tab/>
        <w:t>(a)</w:t>
      </w:r>
      <w:r>
        <w:tab/>
        <w:t>for non</w:t>
      </w:r>
      <w:r>
        <w:noBreakHyphen/>
        <w:t>residential use; and</w:t>
      </w:r>
    </w:p>
    <w:p>
      <w:pPr>
        <w:pStyle w:val="nz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nzSubsection"/>
      </w:pPr>
      <w:r>
        <w:tab/>
        <w:t>(2)</w:t>
      </w:r>
      <w:r>
        <w:tab/>
        <w:t>Each MyPower non</w:t>
      </w:r>
      <w:r>
        <w:noBreakHyphen/>
        <w:t xml:space="preserve">residential tariff comprises the following charges, adjusted (where relevant) in accordance with subclause (3) — </w:t>
      </w:r>
    </w:p>
    <w:p>
      <w:pPr>
        <w:pStyle w:val="nzIndenta"/>
      </w:pPr>
      <w:r>
        <w:tab/>
        <w:t>(a)</w:t>
      </w:r>
      <w:r>
        <w:tab/>
        <w:t>a fixed charge at applicable rate; and</w:t>
      </w:r>
    </w:p>
    <w:p>
      <w:pPr>
        <w:pStyle w:val="nzIndenta"/>
      </w:pPr>
      <w:r>
        <w:tab/>
        <w:t>(b)</w:t>
      </w:r>
      <w:r>
        <w:tab/>
        <w:t>a charge for metered consumption at the applicable rate.</w:t>
      </w:r>
    </w:p>
    <w:p>
      <w:pPr>
        <w:pStyle w:val="nzSubsection"/>
      </w:pPr>
      <w:r>
        <w:tab/>
        <w:t>(3)</w:t>
      </w:r>
      <w:r>
        <w:tab/>
        <w:t xml:space="preserve">The charges calculated under subclause (2) for electricity supplied to a consumer during a peak period are to be adjusted as follows — </w:t>
      </w:r>
    </w:p>
    <w:p>
      <w:pPr>
        <w:pStyle w:val="nzIndenta"/>
      </w:pPr>
      <w:r>
        <w:tab/>
        <w:t>(a)</w:t>
      </w:r>
      <w:r>
        <w:tab/>
        <w:t>3 rebates of the applicable peak rebate amount are to be applied to the consumer’s account at the end of the peak period; but</w:t>
      </w:r>
    </w:p>
    <w:p>
      <w:pPr>
        <w:pStyle w:val="nzIndenta"/>
      </w:pPr>
      <w:r>
        <w:tab/>
        <w:t>(b)</w:t>
      </w:r>
      <w:r>
        <w:tab/>
        <w:t>for each peak day on which the consumer exceeds the applicable peak allowance, 1 of the rebates referred to in paragraph (a) is not to be applied.</w:t>
      </w:r>
    </w:p>
    <w:p>
      <w:pPr>
        <w:pStyle w:val="nzSubsection"/>
      </w:pPr>
      <w:r>
        <w:tab/>
        <w:t>(4)</w:t>
      </w:r>
      <w:r>
        <w:tab/>
        <w:t>If electricity is supplied to a consumer at a MyPower non</w:t>
      </w:r>
      <w:r>
        <w:noBreakHyphen/>
        <w:t xml:space="preserve">residential tariff for part only of a peak period (the </w:t>
      </w:r>
      <w:r>
        <w:rPr>
          <w:rStyle w:val="CharDefText"/>
        </w:rPr>
        <w:t>part</w:t>
      </w:r>
      <w:r>
        <w:rPr>
          <w:rStyle w:val="CharDefText"/>
        </w:rPr>
        <w:noBreakHyphen/>
        <w:t>period</w:t>
      </w:r>
      <w:r>
        <w:t xml:space="preserve">) — </w:t>
      </w:r>
    </w:p>
    <w:p>
      <w:pPr>
        <w:pStyle w:val="nzIndenta"/>
      </w:pPr>
      <w:r>
        <w:tab/>
        <w:t>(a)</w:t>
      </w:r>
      <w:r>
        <w:tab/>
        <w:t>subclause (3) applies as if a reference to the peak period were a reference to the part</w:t>
      </w:r>
      <w:r>
        <w:noBreakHyphen/>
        <w:t>period; and</w:t>
      </w:r>
    </w:p>
    <w:p>
      <w:pPr>
        <w:pStyle w:val="nzIndenta"/>
      </w:pPr>
      <w:r>
        <w:tab/>
        <w:t>(b)</w:t>
      </w:r>
      <w:r>
        <w:tab/>
        <w:t>the applicable peak rebate amount is to be reduced on a pro rata basis.</w:t>
      </w:r>
    </w:p>
    <w:p>
      <w:pPr>
        <w:pStyle w:val="nzSubsection"/>
      </w:pPr>
      <w:r>
        <w:tab/>
        <w:t>(5)</w:t>
      </w:r>
      <w:r>
        <w:tab/>
        <w:t>For each MyPower non</w:t>
      </w:r>
      <w:r>
        <w:noBreakHyphen/>
        <w:t>residential tariff, the applicable rates of the fixed charge and metered consumption charge, the applicable peak allowance and the applicable peak rebate amount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trPr>
        <w:tc>
          <w:tcPr>
            <w:tcW w:w="1276" w:type="dxa"/>
          </w:tcPr>
          <w:p>
            <w:pPr>
              <w:pStyle w:val="yTableNAm"/>
              <w:rPr>
                <w:sz w:val="20"/>
              </w:rPr>
            </w:pPr>
            <w:r>
              <w:rPr>
                <w:b/>
                <w:sz w:val="20"/>
              </w:rPr>
              <w:t>Tariff name</w:t>
            </w:r>
          </w:p>
        </w:tc>
        <w:tc>
          <w:tcPr>
            <w:tcW w:w="1417" w:type="dxa"/>
          </w:tcPr>
          <w:p>
            <w:pPr>
              <w:pStyle w:val="yTableNAm"/>
              <w:rPr>
                <w:sz w:val="20"/>
              </w:rPr>
            </w:pPr>
            <w:r>
              <w:rPr>
                <w:b/>
                <w:sz w:val="20"/>
              </w:rPr>
              <w:t>Rate of fixed charge</w:t>
            </w:r>
          </w:p>
        </w:tc>
        <w:tc>
          <w:tcPr>
            <w:tcW w:w="1560" w:type="dxa"/>
          </w:tcPr>
          <w:p>
            <w:pPr>
              <w:pStyle w:val="yTableNAm"/>
              <w:rPr>
                <w:sz w:val="20"/>
              </w:rPr>
            </w:pPr>
            <w:r>
              <w:rPr>
                <w:b/>
                <w:sz w:val="20"/>
              </w:rPr>
              <w:t>Rate of metered consumption charge</w:t>
            </w:r>
          </w:p>
        </w:tc>
        <w:tc>
          <w:tcPr>
            <w:tcW w:w="1275" w:type="dxa"/>
          </w:tcPr>
          <w:p>
            <w:pPr>
              <w:pStyle w:val="yTableNAm"/>
              <w:rPr>
                <w:sz w:val="20"/>
              </w:rPr>
            </w:pPr>
            <w:r>
              <w:rPr>
                <w:b/>
                <w:sz w:val="20"/>
              </w:rPr>
              <w:t>Peak allowance</w:t>
            </w:r>
          </w:p>
        </w:tc>
        <w:tc>
          <w:tcPr>
            <w:tcW w:w="1276" w:type="dxa"/>
          </w:tcPr>
          <w:p>
            <w:pPr>
              <w:pStyle w:val="yTableNAm"/>
              <w:rPr>
                <w:sz w:val="20"/>
              </w:rPr>
            </w:pPr>
            <w:r>
              <w:rPr>
                <w:b/>
                <w:sz w:val="20"/>
              </w:rPr>
              <w:t>Peak rebate amount</w:t>
            </w:r>
          </w:p>
        </w:tc>
      </w:tr>
      <w:tr>
        <w:trPr>
          <w:cantSplit/>
        </w:trPr>
        <w:tc>
          <w:tcPr>
            <w:tcW w:w="1276" w:type="dxa"/>
          </w:tcPr>
          <w:p>
            <w:pPr>
              <w:pStyle w:val="yTableNAm"/>
              <w:rPr>
                <w:sz w:val="20"/>
              </w:rPr>
            </w:pPr>
            <w:r>
              <w:rPr>
                <w:sz w:val="20"/>
              </w:rPr>
              <w:t>MyPower business 3 fixed plan price</w:t>
            </w:r>
          </w:p>
        </w:tc>
        <w:tc>
          <w:tcPr>
            <w:tcW w:w="1417" w:type="dxa"/>
          </w:tcPr>
          <w:p>
            <w:pPr>
              <w:pStyle w:val="yTableNAm"/>
              <w:rPr>
                <w:sz w:val="20"/>
              </w:rPr>
            </w:pPr>
            <w:r>
              <w:rPr>
                <w:sz w:val="20"/>
              </w:rPr>
              <w:t>$3.330959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 xml:space="preserve">3 units </w:t>
            </w:r>
            <w:r>
              <w:rPr>
                <w:sz w:val="20"/>
              </w:rPr>
              <w:br/>
              <w:t>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business 5 fixed plan price</w:t>
            </w:r>
          </w:p>
        </w:tc>
        <w:tc>
          <w:tcPr>
            <w:tcW w:w="1417" w:type="dxa"/>
          </w:tcPr>
          <w:p>
            <w:pPr>
              <w:pStyle w:val="yTableNAm"/>
              <w:rPr>
                <w:sz w:val="20"/>
              </w:rPr>
            </w:pPr>
            <w:r>
              <w:rPr>
                <w:sz w:val="20"/>
              </w:rPr>
              <w:t>$6.792026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 xml:space="preserve">5 units </w:t>
            </w:r>
            <w:r>
              <w:rPr>
                <w:sz w:val="20"/>
              </w:rPr>
              <w:br/>
              <w:t>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business 7 fixed plan price</w:t>
            </w:r>
          </w:p>
        </w:tc>
        <w:tc>
          <w:tcPr>
            <w:tcW w:w="1417" w:type="dxa"/>
          </w:tcPr>
          <w:p>
            <w:pPr>
              <w:pStyle w:val="yTableNAm"/>
              <w:rPr>
                <w:sz w:val="20"/>
              </w:rPr>
            </w:pPr>
            <w:r>
              <w:rPr>
                <w:sz w:val="20"/>
              </w:rPr>
              <w:t>$11.504898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 xml:space="preserve">7 units </w:t>
            </w:r>
            <w:r>
              <w:rPr>
                <w:sz w:val="20"/>
              </w:rPr>
              <w:br/>
              <w:t>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business 10 fixed plan price</w:t>
            </w:r>
          </w:p>
        </w:tc>
        <w:tc>
          <w:tcPr>
            <w:tcW w:w="1417" w:type="dxa"/>
          </w:tcPr>
          <w:p>
            <w:pPr>
              <w:pStyle w:val="yTableNAm"/>
              <w:rPr>
                <w:sz w:val="20"/>
              </w:rPr>
            </w:pPr>
            <w:r>
              <w:rPr>
                <w:sz w:val="20"/>
              </w:rPr>
              <w:t>$16.739049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10 units 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business 15 fixed plan price</w:t>
            </w:r>
          </w:p>
        </w:tc>
        <w:tc>
          <w:tcPr>
            <w:tcW w:w="1417" w:type="dxa"/>
          </w:tcPr>
          <w:p>
            <w:pPr>
              <w:pStyle w:val="yTableNAm"/>
              <w:rPr>
                <w:sz w:val="20"/>
              </w:rPr>
            </w:pPr>
            <w:r>
              <w:rPr>
                <w:sz w:val="20"/>
              </w:rPr>
              <w:t>$25.258053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15 units per hour</w:t>
            </w:r>
          </w:p>
        </w:tc>
        <w:tc>
          <w:tcPr>
            <w:tcW w:w="1276" w:type="dxa"/>
          </w:tcPr>
          <w:p>
            <w:pPr>
              <w:pStyle w:val="yTableNAm"/>
              <w:rPr>
                <w:sz w:val="20"/>
              </w:rPr>
            </w:pPr>
            <w:r>
              <w:rPr>
                <w:sz w:val="20"/>
              </w:rPr>
              <w:t>$100</w:t>
            </w:r>
          </w:p>
        </w:tc>
      </w:tr>
      <w:tr>
        <w:trPr>
          <w:cantSplit/>
        </w:trPr>
        <w:tc>
          <w:tcPr>
            <w:tcW w:w="1276" w:type="dxa"/>
          </w:tcPr>
          <w:p>
            <w:pPr>
              <w:pStyle w:val="yTableNAm"/>
              <w:rPr>
                <w:sz w:val="20"/>
              </w:rPr>
            </w:pPr>
            <w:r>
              <w:rPr>
                <w:sz w:val="20"/>
              </w:rPr>
              <w:t>MyPower business 20 fixed plan price</w:t>
            </w:r>
          </w:p>
        </w:tc>
        <w:tc>
          <w:tcPr>
            <w:tcW w:w="1417" w:type="dxa"/>
          </w:tcPr>
          <w:p>
            <w:pPr>
              <w:pStyle w:val="yTableNAm"/>
              <w:rPr>
                <w:sz w:val="20"/>
              </w:rPr>
            </w:pPr>
            <w:r>
              <w:rPr>
                <w:sz w:val="20"/>
              </w:rPr>
              <w:t>$43.025630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20 units per hour</w:t>
            </w:r>
          </w:p>
        </w:tc>
        <w:tc>
          <w:tcPr>
            <w:tcW w:w="1276" w:type="dxa"/>
          </w:tcPr>
          <w:p>
            <w:pPr>
              <w:pStyle w:val="yTableNAm"/>
              <w:rPr>
                <w:sz w:val="20"/>
              </w:rPr>
            </w:pPr>
            <w:r>
              <w:rPr>
                <w:sz w:val="20"/>
              </w:rPr>
              <w:t>$200</w:t>
            </w:r>
          </w:p>
        </w:tc>
      </w:tr>
      <w:tr>
        <w:trPr>
          <w:cantSplit/>
        </w:trPr>
        <w:tc>
          <w:tcPr>
            <w:tcW w:w="1276" w:type="dxa"/>
          </w:tcPr>
          <w:p>
            <w:pPr>
              <w:pStyle w:val="yTableNAm"/>
              <w:rPr>
                <w:sz w:val="20"/>
              </w:rPr>
            </w:pPr>
            <w:r>
              <w:rPr>
                <w:sz w:val="20"/>
              </w:rPr>
              <w:t>MyPower business 30 fixed plan price</w:t>
            </w:r>
          </w:p>
        </w:tc>
        <w:tc>
          <w:tcPr>
            <w:tcW w:w="1417" w:type="dxa"/>
          </w:tcPr>
          <w:p>
            <w:pPr>
              <w:pStyle w:val="yTableNAm"/>
              <w:rPr>
                <w:sz w:val="20"/>
              </w:rPr>
            </w:pPr>
            <w:r>
              <w:rPr>
                <w:sz w:val="20"/>
              </w:rPr>
              <w:t>$60.033161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30 units per hour</w:t>
            </w:r>
          </w:p>
        </w:tc>
        <w:tc>
          <w:tcPr>
            <w:tcW w:w="1276" w:type="dxa"/>
          </w:tcPr>
          <w:p>
            <w:pPr>
              <w:pStyle w:val="yTableNAm"/>
              <w:rPr>
                <w:sz w:val="20"/>
              </w:rPr>
            </w:pPr>
            <w:r>
              <w:rPr>
                <w:sz w:val="20"/>
              </w:rPr>
              <w:t>$200</w:t>
            </w:r>
          </w:p>
        </w:tc>
      </w:tr>
      <w:tr>
        <w:trPr>
          <w:cantSplit/>
        </w:trPr>
        <w:tc>
          <w:tcPr>
            <w:tcW w:w="1276" w:type="dxa"/>
          </w:tcPr>
          <w:p>
            <w:pPr>
              <w:pStyle w:val="yTableNAm"/>
              <w:rPr>
                <w:sz w:val="20"/>
              </w:rPr>
            </w:pPr>
            <w:r>
              <w:rPr>
                <w:sz w:val="20"/>
              </w:rPr>
              <w:t>MyPower business 40 fixed plan price</w:t>
            </w:r>
          </w:p>
        </w:tc>
        <w:tc>
          <w:tcPr>
            <w:tcW w:w="1417" w:type="dxa"/>
          </w:tcPr>
          <w:p>
            <w:pPr>
              <w:pStyle w:val="yTableNAm"/>
              <w:rPr>
                <w:sz w:val="20"/>
              </w:rPr>
            </w:pPr>
            <w:r>
              <w:rPr>
                <w:sz w:val="20"/>
              </w:rPr>
              <w:t>$86.834447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40 units per hour</w:t>
            </w:r>
          </w:p>
        </w:tc>
        <w:tc>
          <w:tcPr>
            <w:tcW w:w="1276" w:type="dxa"/>
          </w:tcPr>
          <w:p>
            <w:pPr>
              <w:pStyle w:val="yTableNAm"/>
              <w:rPr>
                <w:sz w:val="20"/>
              </w:rPr>
            </w:pPr>
            <w:r>
              <w:rPr>
                <w:sz w:val="20"/>
              </w:rPr>
              <w:t>$200</w:t>
            </w:r>
          </w:p>
        </w:tc>
      </w:tr>
      <w:tr>
        <w:trPr>
          <w:cantSplit/>
        </w:trPr>
        <w:tc>
          <w:tcPr>
            <w:tcW w:w="1276" w:type="dxa"/>
          </w:tcPr>
          <w:p>
            <w:pPr>
              <w:pStyle w:val="yTableNAm"/>
              <w:rPr>
                <w:sz w:val="20"/>
              </w:rPr>
            </w:pPr>
            <w:r>
              <w:rPr>
                <w:sz w:val="20"/>
              </w:rPr>
              <w:t>MyPower business 50 fixed plan price</w:t>
            </w:r>
          </w:p>
        </w:tc>
        <w:tc>
          <w:tcPr>
            <w:tcW w:w="1417" w:type="dxa"/>
          </w:tcPr>
          <w:p>
            <w:pPr>
              <w:pStyle w:val="yTableNAm"/>
              <w:rPr>
                <w:sz w:val="20"/>
              </w:rPr>
            </w:pPr>
            <w:r>
              <w:rPr>
                <w:sz w:val="20"/>
              </w:rPr>
              <w:t>$119.302041 per day</w:t>
            </w:r>
          </w:p>
        </w:tc>
        <w:tc>
          <w:tcPr>
            <w:tcW w:w="1560" w:type="dxa"/>
          </w:tcPr>
          <w:p>
            <w:pPr>
              <w:pStyle w:val="yTableNAm"/>
              <w:rPr>
                <w:sz w:val="20"/>
              </w:rPr>
            </w:pPr>
            <w:r>
              <w:rPr>
                <w:sz w:val="20"/>
              </w:rPr>
              <w:t>$0.099703 per unit</w:t>
            </w:r>
          </w:p>
        </w:tc>
        <w:tc>
          <w:tcPr>
            <w:tcW w:w="1275" w:type="dxa"/>
          </w:tcPr>
          <w:p>
            <w:pPr>
              <w:pStyle w:val="yTableNAm"/>
              <w:rPr>
                <w:sz w:val="20"/>
              </w:rPr>
            </w:pPr>
            <w:r>
              <w:rPr>
                <w:sz w:val="20"/>
              </w:rPr>
              <w:t>50 units per hour</w:t>
            </w:r>
          </w:p>
        </w:tc>
        <w:tc>
          <w:tcPr>
            <w:tcW w:w="1276" w:type="dxa"/>
          </w:tcPr>
          <w:p>
            <w:pPr>
              <w:pStyle w:val="yTableNAm"/>
              <w:rPr>
                <w:sz w:val="20"/>
              </w:rPr>
            </w:pPr>
            <w:r>
              <w:rPr>
                <w:sz w:val="20"/>
              </w:rPr>
              <w:t>$300</w:t>
            </w:r>
          </w:p>
        </w:tc>
      </w:tr>
    </w:tbl>
    <w:p>
      <w:pPr>
        <w:pStyle w:val="nzSubsection"/>
      </w:pPr>
      <w:r>
        <w:tab/>
        <w:t>(6)</w:t>
      </w:r>
      <w:r>
        <w:tab/>
        <w:t>Each MyPower non</w:t>
      </w:r>
      <w:r>
        <w:noBreakHyphen/>
        <w:t>residential tariff is available subject to the condition that the consumer does not exceed the applicable peak allowance on 4 or more peak days in a peak period.</w:t>
      </w:r>
    </w:p>
    <w:p>
      <w:pPr>
        <w:pStyle w:val="BlankClose"/>
      </w:pPr>
    </w:p>
    <w:p>
      <w:pPr>
        <w:pStyle w:val="BlankClose"/>
      </w:pPr>
    </w:p>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9" w:name="_Toc501633170"/>
      <w:bookmarkStart w:id="70" w:name="_Toc501633223"/>
      <w:r>
        <w:rPr>
          <w:sz w:val="28"/>
        </w:rPr>
        <w:t>Defined terms</w:t>
      </w:r>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r>
        <w:t>North West interconnected system</w:t>
      </w:r>
      <w:r>
        <w:tab/>
        <w:t>4(1A), 4(2A)</w:t>
      </w:r>
    </w:p>
    <w:p>
      <w:pPr>
        <w:pStyle w:val="DefinedTerms"/>
      </w:pPr>
      <w:r>
        <w:t>RBA cash rate</w:t>
      </w:r>
      <w:r>
        <w:tab/>
        <w:t>3</w:t>
      </w:r>
    </w:p>
    <w:p>
      <w:pPr>
        <w:pStyle w:val="DefinedTerms"/>
      </w:pPr>
      <w:r>
        <w:t>regional non</w:t>
      </w:r>
      <w:r>
        <w:noBreakHyphen/>
        <w:t>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436"/>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4F3A-C0D0-4809-8A97-386D369F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5154</Words>
  <Characters>25308</Characters>
  <Application>Microsoft Office Word</Application>
  <DocSecurity>0</DocSecurity>
  <Lines>1205</Lines>
  <Paragraphs>823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2006 - 02-f0-00</dc:title>
  <dc:subject/>
  <dc:creator/>
  <cp:keywords/>
  <dc:description/>
  <cp:lastModifiedBy>svcMRProcess</cp:lastModifiedBy>
  <cp:revision>4</cp:revision>
  <cp:lastPrinted>2014-10-21T01:03:00Z</cp:lastPrinted>
  <dcterms:created xsi:type="dcterms:W3CDTF">2020-02-24T16:51:00Z</dcterms:created>
  <dcterms:modified xsi:type="dcterms:W3CDTF">2020-02-24T16:51:00Z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22 Dec 2017</vt:lpwstr>
  </property>
  <property fmtid="{D5CDD505-2E9C-101B-9397-08002B2CF9AE}" pid="8" name="Suffix">
    <vt:lpwstr>02-f0-00</vt:lpwstr>
  </property>
  <property fmtid="{D5CDD505-2E9C-101B-9397-08002B2CF9AE}" pid="9" name="CommencementDate">
    <vt:lpwstr>20171222</vt:lpwstr>
  </property>
</Properties>
</file>