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National Gas Access (WA) Act 2009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National Gas Access (WA) Act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_Toc536781793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_Toc536781794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_Toc536781795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_Toc536781796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to coastal waters</w:t>
      </w:r>
      <w:r>
        <w:tab/>
      </w:r>
      <w:r>
        <w:fldChar w:fldCharType="begin"/>
      </w:r>
      <w:r>
        <w:instrText xml:space="preserve"> PAGEREF _Toc536781797 \h </w:instrText>
      </w:r>
      <w:r>
        <w:fldChar w:fldCharType="separate"/>
      </w:r>
      <w:r>
        <w:t>3</w:t>
      </w:r>
      <w:r>
        <w:fldChar w:fldCharType="end"/>
      </w:r>
    </w:p>
    <w:p>
      <w:pPr>
        <w:pStyle w:val="TOC8"/>
        <w:rPr>
          <w:rFonts w:asciiTheme="minorHAnsi" w:eastAsiaTheme="minorEastAsia" w:hAnsiTheme="minorHAnsi" w:cstheme="minorBidi"/>
          <w:szCs w:val="22"/>
        </w:rPr>
      </w:pPr>
      <w:r>
        <w:t>6.</w:t>
      </w:r>
      <w:r>
        <w:tab/>
        <w:t>Extra</w:t>
      </w:r>
      <w:r>
        <w:noBreakHyphen/>
        <w:t>territorial operation</w:t>
      </w:r>
      <w:r>
        <w:tab/>
      </w:r>
      <w:r>
        <w:fldChar w:fldCharType="begin"/>
      </w:r>
      <w:r>
        <w:instrText xml:space="preserve"> PAGEREF _Toc536781798 \h </w:instrText>
      </w:r>
      <w:r>
        <w:fldChar w:fldCharType="separate"/>
      </w:r>
      <w:r>
        <w:t>3</w:t>
      </w:r>
      <w:r>
        <w:fldChar w:fldCharType="end"/>
      </w:r>
    </w:p>
    <w:p>
      <w:pPr>
        <w:pStyle w:val="TOC8"/>
        <w:rPr>
          <w:rFonts w:asciiTheme="minorHAnsi" w:eastAsiaTheme="minorEastAsia" w:hAnsiTheme="minorHAnsi" w:cstheme="minorBidi"/>
          <w:szCs w:val="22"/>
        </w:rPr>
      </w:pPr>
      <w:r>
        <w:rPr>
          <w:bCs/>
        </w:rPr>
        <w:t>6A</w:t>
      </w:r>
      <w:r>
        <w:t>.</w:t>
      </w:r>
      <w:r>
        <w:tab/>
        <w:t>Extension to certain pipelines for hauling gas other than natural gas</w:t>
      </w:r>
      <w:r>
        <w:tab/>
      </w:r>
      <w:r>
        <w:fldChar w:fldCharType="begin"/>
      </w:r>
      <w:r>
        <w:instrText xml:space="preserve"> PAGEREF _Toc536781799 \h </w:instrText>
      </w:r>
      <w:r>
        <w:fldChar w:fldCharType="separate"/>
      </w:r>
      <w:r>
        <w:t>3</w:t>
      </w:r>
      <w:r>
        <w:fldChar w:fldCharType="end"/>
      </w:r>
    </w:p>
    <w:p>
      <w:pPr>
        <w:pStyle w:val="TOC8"/>
        <w:rPr>
          <w:rFonts w:asciiTheme="minorHAnsi" w:eastAsiaTheme="minorEastAsia" w:hAnsiTheme="minorHAnsi" w:cstheme="minorBidi"/>
          <w:szCs w:val="22"/>
        </w:rPr>
      </w:pPr>
      <w:r>
        <w:t>6B.</w:t>
      </w:r>
      <w:r>
        <w:tab/>
      </w:r>
      <w:r>
        <w:rPr>
          <w:i/>
          <w:iCs/>
        </w:rPr>
        <w:t>Interpretation Act 1984</w:t>
      </w:r>
      <w:r>
        <w:t xml:space="preserve"> does not apply</w:t>
      </w:r>
      <w:r>
        <w:tab/>
      </w:r>
      <w:r>
        <w:fldChar w:fldCharType="begin"/>
      </w:r>
      <w:r>
        <w:instrText xml:space="preserve"> PAGEREF _Toc536781800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National Gas Access (Western Australia) Law and its regulations</w:t>
      </w:r>
    </w:p>
    <w:p>
      <w:pPr>
        <w:pStyle w:val="TOC8"/>
        <w:rPr>
          <w:rFonts w:asciiTheme="minorHAnsi" w:eastAsiaTheme="minorEastAsia" w:hAnsiTheme="minorHAnsi" w:cstheme="minorBidi"/>
          <w:szCs w:val="22"/>
        </w:rPr>
      </w:pPr>
      <w:r>
        <w:t>7.</w:t>
      </w:r>
      <w:r>
        <w:tab/>
        <w:t>National Gas Access (Western Australia) Law</w:t>
      </w:r>
      <w:r>
        <w:tab/>
      </w:r>
      <w:r>
        <w:fldChar w:fldCharType="begin"/>
      </w:r>
      <w:r>
        <w:instrText xml:space="preserve"> PAGEREF _Toc536781802 \h </w:instrText>
      </w:r>
      <w:r>
        <w:fldChar w:fldCharType="separate"/>
      </w:r>
      <w:r>
        <w:t>5</w:t>
      </w:r>
      <w:r>
        <w:fldChar w:fldCharType="end"/>
      </w:r>
    </w:p>
    <w:p>
      <w:pPr>
        <w:pStyle w:val="TOC8"/>
        <w:rPr>
          <w:rFonts w:asciiTheme="minorHAnsi" w:eastAsiaTheme="minorEastAsia" w:hAnsiTheme="minorHAnsi" w:cstheme="minorBidi"/>
          <w:szCs w:val="22"/>
        </w:rPr>
      </w:pPr>
      <w:r>
        <w:t>7A.</w:t>
      </w:r>
      <w:r>
        <w:tab/>
        <w:t>Amendments to Schedule to South Australian Act</w:t>
      </w:r>
      <w:r>
        <w:tab/>
      </w:r>
      <w:r>
        <w:fldChar w:fldCharType="begin"/>
      </w:r>
      <w:r>
        <w:instrText xml:space="preserve"> PAGEREF _Toc536781803 \h </w:instrText>
      </w:r>
      <w:r>
        <w:fldChar w:fldCharType="separate"/>
      </w:r>
      <w:r>
        <w:t>5</w:t>
      </w:r>
      <w:r>
        <w:fldChar w:fldCharType="end"/>
      </w:r>
    </w:p>
    <w:p>
      <w:pPr>
        <w:pStyle w:val="TOC8"/>
        <w:rPr>
          <w:rFonts w:asciiTheme="minorHAnsi" w:eastAsiaTheme="minorEastAsia" w:hAnsiTheme="minorHAnsi" w:cstheme="minorBidi"/>
          <w:szCs w:val="22"/>
        </w:rPr>
      </w:pPr>
      <w:r>
        <w:t>7B.</w:t>
      </w:r>
      <w:r>
        <w:tab/>
        <w:t>Regulations amending Schedule 1 consequentially</w:t>
      </w:r>
      <w:r>
        <w:tab/>
      </w:r>
      <w:r>
        <w:fldChar w:fldCharType="begin"/>
      </w:r>
      <w:r>
        <w:instrText xml:space="preserve"> PAGEREF _Toc536781804 \h </w:instrText>
      </w:r>
      <w:r>
        <w:fldChar w:fldCharType="separate"/>
      </w:r>
      <w:r>
        <w:t>6</w:t>
      </w:r>
      <w:r>
        <w:fldChar w:fldCharType="end"/>
      </w:r>
    </w:p>
    <w:p>
      <w:pPr>
        <w:pStyle w:val="TOC8"/>
        <w:rPr>
          <w:rFonts w:asciiTheme="minorHAnsi" w:eastAsiaTheme="minorEastAsia" w:hAnsiTheme="minorHAnsi" w:cstheme="minorBidi"/>
          <w:szCs w:val="22"/>
        </w:rPr>
      </w:pPr>
      <w:r>
        <w:rPr>
          <w:bCs/>
        </w:rPr>
        <w:t>8</w:t>
      </w:r>
      <w:r>
        <w:t>.</w:t>
      </w:r>
      <w:r>
        <w:tab/>
        <w:t>National Gas Access (Western Australia) Regulations</w:t>
      </w:r>
      <w:r>
        <w:tab/>
      </w:r>
      <w:r>
        <w:fldChar w:fldCharType="begin"/>
      </w:r>
      <w:r>
        <w:instrText xml:space="preserve"> PAGEREF _Toc536781805 \h </w:instrText>
      </w:r>
      <w:r>
        <w:fldChar w:fldCharType="separate"/>
      </w:r>
      <w:r>
        <w:t>6</w:t>
      </w:r>
      <w:r>
        <w:fldChar w:fldCharType="end"/>
      </w:r>
    </w:p>
    <w:p>
      <w:pPr>
        <w:pStyle w:val="TOC8"/>
        <w:rPr>
          <w:rFonts w:asciiTheme="minorHAnsi" w:eastAsiaTheme="minorEastAsia" w:hAnsiTheme="minorHAnsi" w:cstheme="minorBidi"/>
          <w:szCs w:val="22"/>
        </w:rPr>
      </w:pPr>
      <w:r>
        <w:t>9.</w:t>
      </w:r>
      <w:r>
        <w:tab/>
        <w:t>Terms used in National Gas Access (Western Australia) Law and its regulations</w:t>
      </w:r>
      <w:r>
        <w:tab/>
      </w:r>
      <w:r>
        <w:fldChar w:fldCharType="begin"/>
      </w:r>
      <w:r>
        <w:instrText xml:space="preserve"> PAGEREF _Toc536781806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Regulations for the National Gas Access (Western Australia) Law</w:t>
      </w:r>
    </w:p>
    <w:p>
      <w:pPr>
        <w:pStyle w:val="TOC8"/>
        <w:rPr>
          <w:rFonts w:asciiTheme="minorHAnsi" w:eastAsiaTheme="minorEastAsia" w:hAnsiTheme="minorHAnsi" w:cstheme="minorBidi"/>
          <w:szCs w:val="22"/>
        </w:rPr>
      </w:pPr>
      <w:r>
        <w:t>10.</w:t>
      </w:r>
      <w:r>
        <w:tab/>
        <w:t>Making regulations</w:t>
      </w:r>
      <w:r>
        <w:tab/>
      </w:r>
      <w:r>
        <w:fldChar w:fldCharType="begin"/>
      </w:r>
      <w:r>
        <w:instrText xml:space="preserve"> PAGEREF _Toc536781808 \h </w:instrText>
      </w:r>
      <w:r>
        <w:fldChar w:fldCharType="separate"/>
      </w:r>
      <w:r>
        <w:t>9</w:t>
      </w:r>
      <w:r>
        <w:fldChar w:fldCharType="end"/>
      </w:r>
    </w:p>
    <w:p>
      <w:pPr>
        <w:pStyle w:val="TOC8"/>
        <w:rPr>
          <w:rFonts w:asciiTheme="minorHAnsi" w:eastAsiaTheme="minorEastAsia" w:hAnsiTheme="minorHAnsi" w:cstheme="minorBidi"/>
          <w:szCs w:val="22"/>
        </w:rPr>
      </w:pPr>
      <w:r>
        <w:t>11.</w:t>
      </w:r>
      <w:r>
        <w:tab/>
        <w:t>Regulations may deal with transitional matters</w:t>
      </w:r>
      <w:r>
        <w:tab/>
      </w:r>
      <w:r>
        <w:fldChar w:fldCharType="begin"/>
      </w:r>
      <w:r>
        <w:instrText xml:space="preserve"> PAGEREF _Toc536781809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Cross vesting of functions and powers</w:t>
      </w:r>
    </w:p>
    <w:p>
      <w:pPr>
        <w:pStyle w:val="TOC8"/>
        <w:rPr>
          <w:rFonts w:asciiTheme="minorHAnsi" w:eastAsiaTheme="minorEastAsia" w:hAnsiTheme="minorHAnsi" w:cstheme="minorBidi"/>
          <w:szCs w:val="22"/>
        </w:rPr>
      </w:pPr>
      <w:r>
        <w:t>12.</w:t>
      </w:r>
      <w:r>
        <w:tab/>
        <w:t>Conferral of powers on Commonwealth Minister and Commonwealth bodies to act in this State</w:t>
      </w:r>
      <w:r>
        <w:tab/>
      </w:r>
      <w:r>
        <w:fldChar w:fldCharType="begin"/>
      </w:r>
      <w:r>
        <w:instrText xml:space="preserve"> PAGEREF _Toc536781811 \h </w:instrText>
      </w:r>
      <w:r>
        <w:fldChar w:fldCharType="separate"/>
      </w:r>
      <w:r>
        <w:t>12</w:t>
      </w:r>
      <w:r>
        <w:fldChar w:fldCharType="end"/>
      </w:r>
    </w:p>
    <w:p>
      <w:pPr>
        <w:pStyle w:val="TOC8"/>
        <w:rPr>
          <w:rFonts w:asciiTheme="minorHAnsi" w:eastAsiaTheme="minorEastAsia" w:hAnsiTheme="minorHAnsi" w:cstheme="minorBidi"/>
          <w:szCs w:val="22"/>
        </w:rPr>
      </w:pPr>
      <w:r>
        <w:t>13.</w:t>
      </w:r>
      <w:r>
        <w:tab/>
        <w:t>Conferral of powers on Ministers of other</w:t>
      </w:r>
      <w:r>
        <w:rPr>
          <w:bCs/>
        </w:rPr>
        <w:t xml:space="preserve"> </w:t>
      </w:r>
      <w:r>
        <w:t>participating States and Territories to act in this State</w:t>
      </w:r>
      <w:r>
        <w:tab/>
      </w:r>
      <w:r>
        <w:fldChar w:fldCharType="begin"/>
      </w:r>
      <w:r>
        <w:instrText xml:space="preserve"> PAGEREF _Toc536781812 \h </w:instrText>
      </w:r>
      <w:r>
        <w:fldChar w:fldCharType="separate"/>
      </w:r>
      <w:r>
        <w:t>12</w:t>
      </w:r>
      <w:r>
        <w:fldChar w:fldCharType="end"/>
      </w:r>
    </w:p>
    <w:p>
      <w:pPr>
        <w:pStyle w:val="TOC8"/>
        <w:rPr>
          <w:rFonts w:asciiTheme="minorHAnsi" w:eastAsiaTheme="minorEastAsia" w:hAnsiTheme="minorHAnsi" w:cstheme="minorBidi"/>
          <w:szCs w:val="22"/>
        </w:rPr>
      </w:pPr>
      <w:r>
        <w:t>14.</w:t>
      </w:r>
      <w:r>
        <w:tab/>
        <w:t>Conferral of functions or powers on State bodies</w:t>
      </w:r>
      <w:r>
        <w:tab/>
      </w:r>
      <w:r>
        <w:fldChar w:fldCharType="begin"/>
      </w:r>
      <w:r>
        <w:instrText xml:space="preserve"> PAGEREF _Toc536781813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15.</w:t>
      </w:r>
      <w:r>
        <w:tab/>
        <w:t>Exemption from taxes</w:t>
      </w:r>
      <w:r>
        <w:tab/>
      </w:r>
      <w:r>
        <w:fldChar w:fldCharType="begin"/>
      </w:r>
      <w:r>
        <w:instrText xml:space="preserve"> PAGEREF _Toc536781815 \h </w:instrText>
      </w:r>
      <w:r>
        <w:fldChar w:fldCharType="separate"/>
      </w:r>
      <w:r>
        <w:t>13</w:t>
      </w:r>
      <w:r>
        <w:fldChar w:fldCharType="end"/>
      </w:r>
    </w:p>
    <w:p>
      <w:pPr>
        <w:pStyle w:val="TOC8"/>
        <w:rPr>
          <w:rFonts w:asciiTheme="minorHAnsi" w:eastAsiaTheme="minorEastAsia" w:hAnsiTheme="minorHAnsi" w:cstheme="minorBidi"/>
          <w:szCs w:val="22"/>
        </w:rPr>
      </w:pPr>
      <w:r>
        <w:t>16.</w:t>
      </w:r>
      <w:r>
        <w:tab/>
        <w:t>Actions in relation to cross boundary pipelines</w:t>
      </w:r>
      <w:r>
        <w:tab/>
      </w:r>
      <w:r>
        <w:fldChar w:fldCharType="begin"/>
      </w:r>
      <w:r>
        <w:instrText xml:space="preserve"> PAGEREF _Toc536781816 \h </w:instrText>
      </w:r>
      <w:r>
        <w:fldChar w:fldCharType="separate"/>
      </w:r>
      <w:r>
        <w:t>13</w:t>
      </w:r>
      <w:r>
        <w:fldChar w:fldCharType="end"/>
      </w:r>
    </w:p>
    <w:p>
      <w:pPr>
        <w:pStyle w:val="TOC8"/>
        <w:rPr>
          <w:rFonts w:asciiTheme="minorHAnsi" w:eastAsiaTheme="minorEastAsia" w:hAnsiTheme="minorHAnsi" w:cstheme="minorBidi"/>
          <w:szCs w:val="22"/>
        </w:rPr>
      </w:pPr>
      <w:r>
        <w:t>17.</w:t>
      </w:r>
      <w:r>
        <w:tab/>
        <w:t>Conferral of functions and powers on Commonwealth bodies</w:t>
      </w:r>
      <w:r>
        <w:tab/>
      </w:r>
      <w:r>
        <w:fldChar w:fldCharType="begin"/>
      </w:r>
      <w:r>
        <w:instrText xml:space="preserve"> PAGEREF _Toc536781817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6 — Other local provisions</w:t>
      </w:r>
    </w:p>
    <w:p>
      <w:pPr>
        <w:pStyle w:val="TOC4"/>
        <w:tabs>
          <w:tab w:val="right" w:leader="dot" w:pos="7077"/>
        </w:tabs>
        <w:rPr>
          <w:rFonts w:asciiTheme="minorHAnsi" w:eastAsiaTheme="minorEastAsia" w:hAnsiTheme="minorHAnsi" w:cstheme="minorBidi"/>
          <w:b w:val="0"/>
          <w:szCs w:val="22"/>
        </w:rPr>
      </w:pPr>
      <w:r>
        <w:t>Division 1 — Economic Regulation Authority</w:t>
      </w:r>
    </w:p>
    <w:p>
      <w:pPr>
        <w:pStyle w:val="TOC8"/>
        <w:rPr>
          <w:rFonts w:asciiTheme="minorHAnsi" w:eastAsiaTheme="minorEastAsia" w:hAnsiTheme="minorHAnsi" w:cstheme="minorBidi"/>
          <w:szCs w:val="22"/>
        </w:rPr>
      </w:pPr>
      <w:r>
        <w:t>18.</w:t>
      </w:r>
      <w:r>
        <w:tab/>
        <w:t>Expertise of Director of Energy Safety to be used</w:t>
      </w:r>
      <w:r>
        <w:tab/>
      </w:r>
      <w:r>
        <w:fldChar w:fldCharType="begin"/>
      </w:r>
      <w:r>
        <w:instrText xml:space="preserve"> PAGEREF _Toc536781820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19</w:t>
      </w:r>
      <w:r>
        <w:rPr>
          <w:snapToGrid w:val="0"/>
        </w:rPr>
        <w:t>.</w:t>
      </w:r>
      <w:r>
        <w:rPr>
          <w:snapToGrid w:val="0"/>
        </w:rPr>
        <w:tab/>
        <w:t>Preservation of certain contracts relating to privatised DBNGP system</w:t>
      </w:r>
      <w:r>
        <w:tab/>
      </w:r>
      <w:r>
        <w:fldChar w:fldCharType="begin"/>
      </w:r>
      <w:r>
        <w:instrText xml:space="preserve"> PAGEREF _Toc536781822 \h </w:instrText>
      </w:r>
      <w:r>
        <w:fldChar w:fldCharType="separate"/>
      </w:r>
      <w:r>
        <w:t>16</w:t>
      </w:r>
      <w:r>
        <w:fldChar w:fldCharType="end"/>
      </w:r>
    </w:p>
    <w:p>
      <w:pPr>
        <w:pStyle w:val="TOC8"/>
        <w:rPr>
          <w:rFonts w:asciiTheme="minorHAnsi" w:eastAsiaTheme="minorEastAsia" w:hAnsiTheme="minorHAnsi" w:cstheme="minorBidi"/>
          <w:szCs w:val="22"/>
        </w:rPr>
      </w:pPr>
      <w:r>
        <w:t>20.</w:t>
      </w:r>
      <w:r>
        <w:tab/>
        <w:t>Transitional provisions for Kalgoorlie to Kambalda pipeline</w:t>
      </w:r>
      <w:r>
        <w:tab/>
      </w:r>
      <w:r>
        <w:fldChar w:fldCharType="begin"/>
      </w:r>
      <w:r>
        <w:instrText xml:space="preserve"> PAGEREF _Toc536781823 \h </w:instrText>
      </w:r>
      <w:r>
        <w:fldChar w:fldCharType="separate"/>
      </w:r>
      <w:r>
        <w:t>17</w:t>
      </w:r>
      <w:r>
        <w:fldChar w:fldCharType="end"/>
      </w:r>
    </w:p>
    <w:p>
      <w:pPr>
        <w:pStyle w:val="TOC8"/>
        <w:rPr>
          <w:rFonts w:asciiTheme="minorHAnsi" w:eastAsiaTheme="minorEastAsia" w:hAnsiTheme="minorHAnsi" w:cstheme="minorBidi"/>
          <w:szCs w:val="22"/>
        </w:rPr>
      </w:pPr>
      <w:r>
        <w:t>21.</w:t>
      </w:r>
      <w:r>
        <w:tab/>
        <w:t>Regulations</w:t>
      </w:r>
      <w:r>
        <w:tab/>
      </w:r>
      <w:r>
        <w:fldChar w:fldCharType="begin"/>
      </w:r>
      <w:r>
        <w:instrText xml:space="preserve"> PAGEREF _Toc536781824 \h </w:instrText>
      </w:r>
      <w:r>
        <w:fldChar w:fldCharType="separate"/>
      </w:r>
      <w:r>
        <w:t>17</w:t>
      </w:r>
      <w:r>
        <w:fldChar w:fldCharType="end"/>
      </w:r>
    </w:p>
    <w:p>
      <w:pPr>
        <w:pStyle w:val="TOC8"/>
        <w:rPr>
          <w:rFonts w:asciiTheme="minorHAnsi" w:eastAsiaTheme="minorEastAsia" w:hAnsiTheme="minorHAnsi" w:cstheme="minorBidi"/>
          <w:szCs w:val="22"/>
        </w:rPr>
      </w:pPr>
      <w:r>
        <w:t>22.</w:t>
      </w:r>
      <w:r>
        <w:tab/>
        <w:t>Review of Act</w:t>
      </w:r>
      <w:r>
        <w:tab/>
      </w:r>
      <w:r>
        <w:fldChar w:fldCharType="begin"/>
      </w:r>
      <w:r>
        <w:instrText xml:space="preserve"> PAGEREF _Toc536781825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7 — Various Acts amended</w:t>
      </w:r>
    </w:p>
    <w:p>
      <w:pPr>
        <w:pStyle w:val="TOC4"/>
        <w:tabs>
          <w:tab w:val="right" w:leader="dot" w:pos="7077"/>
        </w:tabs>
        <w:rPr>
          <w:rFonts w:asciiTheme="minorHAnsi" w:eastAsiaTheme="minorEastAsia" w:hAnsiTheme="minorHAnsi" w:cstheme="minorBidi"/>
          <w:b w:val="0"/>
          <w:szCs w:val="22"/>
        </w:rPr>
      </w:pPr>
      <w:r>
        <w:t>Division 1 — </w:t>
      </w:r>
      <w:r>
        <w:rPr>
          <w:i/>
        </w:rPr>
        <w:t>Gas Pipelines Access (Western Australia) Act 1998</w:t>
      </w:r>
    </w:p>
    <w:p>
      <w:pPr>
        <w:pStyle w:val="TOC8"/>
        <w:rPr>
          <w:rFonts w:asciiTheme="minorHAnsi" w:eastAsiaTheme="minorEastAsia" w:hAnsiTheme="minorHAnsi" w:cstheme="minorBidi"/>
          <w:szCs w:val="22"/>
        </w:rPr>
      </w:pPr>
      <w:r>
        <w:t>23.</w:t>
      </w:r>
      <w:r>
        <w:tab/>
        <w:t>Act amended</w:t>
      </w:r>
      <w:r>
        <w:tab/>
      </w:r>
      <w:r>
        <w:fldChar w:fldCharType="begin"/>
      </w:r>
      <w:r>
        <w:instrText xml:space="preserve"> PAGEREF _Toc536781828 \h </w:instrText>
      </w:r>
      <w:r>
        <w:fldChar w:fldCharType="separate"/>
      </w:r>
      <w:r>
        <w:t>20</w:t>
      </w:r>
      <w:r>
        <w:fldChar w:fldCharType="end"/>
      </w:r>
    </w:p>
    <w:p>
      <w:pPr>
        <w:pStyle w:val="TOC8"/>
        <w:rPr>
          <w:rFonts w:asciiTheme="minorHAnsi" w:eastAsiaTheme="minorEastAsia" w:hAnsiTheme="minorHAnsi" w:cstheme="minorBidi"/>
          <w:szCs w:val="22"/>
        </w:rPr>
      </w:pPr>
      <w:r>
        <w:t>24.</w:t>
      </w:r>
      <w:r>
        <w:tab/>
        <w:t>Long title replaced</w:t>
      </w:r>
      <w:r>
        <w:tab/>
      </w:r>
      <w:r>
        <w:fldChar w:fldCharType="begin"/>
      </w:r>
      <w:r>
        <w:instrText xml:space="preserve"> PAGEREF _Toc536781829 \h </w:instrText>
      </w:r>
      <w:r>
        <w:fldChar w:fldCharType="separate"/>
      </w:r>
      <w:r>
        <w:t>20</w:t>
      </w:r>
      <w:r>
        <w:fldChar w:fldCharType="end"/>
      </w:r>
    </w:p>
    <w:p>
      <w:pPr>
        <w:pStyle w:val="TOC8"/>
        <w:rPr>
          <w:rFonts w:asciiTheme="minorHAnsi" w:eastAsiaTheme="minorEastAsia" w:hAnsiTheme="minorHAnsi" w:cstheme="minorBidi"/>
          <w:szCs w:val="22"/>
        </w:rPr>
      </w:pPr>
      <w:r>
        <w:t>25.</w:t>
      </w:r>
      <w:r>
        <w:tab/>
        <w:t>Preamble deleted</w:t>
      </w:r>
      <w:r>
        <w:tab/>
      </w:r>
      <w:r>
        <w:fldChar w:fldCharType="begin"/>
      </w:r>
      <w:r>
        <w:instrText xml:space="preserve"> PAGEREF _Toc536781830 \h </w:instrText>
      </w:r>
      <w:r>
        <w:fldChar w:fldCharType="separate"/>
      </w:r>
      <w:r>
        <w:t>20</w:t>
      </w:r>
      <w:r>
        <w:fldChar w:fldCharType="end"/>
      </w:r>
    </w:p>
    <w:p>
      <w:pPr>
        <w:pStyle w:val="TOC8"/>
        <w:rPr>
          <w:rFonts w:asciiTheme="minorHAnsi" w:eastAsiaTheme="minorEastAsia" w:hAnsiTheme="minorHAnsi" w:cstheme="minorBidi"/>
          <w:szCs w:val="22"/>
        </w:rPr>
      </w:pPr>
      <w:r>
        <w:t>26.</w:t>
      </w:r>
      <w:r>
        <w:tab/>
        <w:t>Section 1 amended</w:t>
      </w:r>
      <w:r>
        <w:tab/>
      </w:r>
      <w:r>
        <w:fldChar w:fldCharType="begin"/>
      </w:r>
      <w:r>
        <w:instrText xml:space="preserve"> PAGEREF _Toc536781831 \h </w:instrText>
      </w:r>
      <w:r>
        <w:fldChar w:fldCharType="separate"/>
      </w:r>
      <w:r>
        <w:t>20</w:t>
      </w:r>
      <w:r>
        <w:fldChar w:fldCharType="end"/>
      </w:r>
    </w:p>
    <w:p>
      <w:pPr>
        <w:pStyle w:val="TOC8"/>
        <w:rPr>
          <w:rFonts w:asciiTheme="minorHAnsi" w:eastAsiaTheme="minorEastAsia" w:hAnsiTheme="minorHAnsi" w:cstheme="minorBidi"/>
          <w:szCs w:val="22"/>
        </w:rPr>
      </w:pPr>
      <w:r>
        <w:t>27.</w:t>
      </w:r>
      <w:r>
        <w:tab/>
        <w:t>Sections 2 to 4 deleted</w:t>
      </w:r>
      <w:r>
        <w:tab/>
      </w:r>
      <w:r>
        <w:fldChar w:fldCharType="begin"/>
      </w:r>
      <w:r>
        <w:instrText xml:space="preserve"> PAGEREF _Toc536781832 \h </w:instrText>
      </w:r>
      <w:r>
        <w:fldChar w:fldCharType="separate"/>
      </w:r>
      <w:r>
        <w:t>20</w:t>
      </w:r>
      <w:r>
        <w:fldChar w:fldCharType="end"/>
      </w:r>
    </w:p>
    <w:p>
      <w:pPr>
        <w:pStyle w:val="TOC8"/>
        <w:rPr>
          <w:rFonts w:asciiTheme="minorHAnsi" w:eastAsiaTheme="minorEastAsia" w:hAnsiTheme="minorHAnsi" w:cstheme="minorBidi"/>
          <w:szCs w:val="22"/>
        </w:rPr>
      </w:pPr>
      <w:r>
        <w:t>28.</w:t>
      </w:r>
      <w:r>
        <w:tab/>
        <w:t>Section 5 amended</w:t>
      </w:r>
      <w:r>
        <w:tab/>
      </w:r>
      <w:r>
        <w:fldChar w:fldCharType="begin"/>
      </w:r>
      <w:r>
        <w:instrText xml:space="preserve"> PAGEREF _Toc536781833 \h </w:instrText>
      </w:r>
      <w:r>
        <w:fldChar w:fldCharType="separate"/>
      </w:r>
      <w:r>
        <w:t>20</w:t>
      </w:r>
      <w:r>
        <w:fldChar w:fldCharType="end"/>
      </w:r>
    </w:p>
    <w:p>
      <w:pPr>
        <w:pStyle w:val="TOC8"/>
        <w:rPr>
          <w:rFonts w:asciiTheme="minorHAnsi" w:eastAsiaTheme="minorEastAsia" w:hAnsiTheme="minorHAnsi" w:cstheme="minorBidi"/>
          <w:szCs w:val="22"/>
        </w:rPr>
      </w:pPr>
      <w:r>
        <w:t>29.</w:t>
      </w:r>
      <w:r>
        <w:tab/>
        <w:t>Sections 6 to 8 deleted</w:t>
      </w:r>
      <w:r>
        <w:tab/>
      </w:r>
      <w:r>
        <w:fldChar w:fldCharType="begin"/>
      </w:r>
      <w:r>
        <w:instrText xml:space="preserve"> PAGEREF _Toc536781834 \h </w:instrText>
      </w:r>
      <w:r>
        <w:fldChar w:fldCharType="separate"/>
      </w:r>
      <w:r>
        <w:t>21</w:t>
      </w:r>
      <w:r>
        <w:fldChar w:fldCharType="end"/>
      </w:r>
    </w:p>
    <w:p>
      <w:pPr>
        <w:pStyle w:val="TOC8"/>
        <w:rPr>
          <w:rFonts w:asciiTheme="minorHAnsi" w:eastAsiaTheme="minorEastAsia" w:hAnsiTheme="minorHAnsi" w:cstheme="minorBidi"/>
          <w:szCs w:val="22"/>
        </w:rPr>
      </w:pPr>
      <w:r>
        <w:t>30.</w:t>
      </w:r>
      <w:r>
        <w:tab/>
        <w:t>Parts 2 to 5 deleted</w:t>
      </w:r>
      <w:r>
        <w:tab/>
      </w:r>
      <w:r>
        <w:fldChar w:fldCharType="begin"/>
      </w:r>
      <w:r>
        <w:instrText xml:space="preserve"> PAGEREF _Toc536781835 \h </w:instrText>
      </w:r>
      <w:r>
        <w:fldChar w:fldCharType="separate"/>
      </w:r>
      <w:r>
        <w:t>21</w:t>
      </w:r>
      <w:r>
        <w:fldChar w:fldCharType="end"/>
      </w:r>
    </w:p>
    <w:p>
      <w:pPr>
        <w:pStyle w:val="TOC8"/>
        <w:rPr>
          <w:rFonts w:asciiTheme="minorHAnsi" w:eastAsiaTheme="minorEastAsia" w:hAnsiTheme="minorHAnsi" w:cstheme="minorBidi"/>
          <w:szCs w:val="22"/>
        </w:rPr>
      </w:pPr>
      <w:r>
        <w:t>31.</w:t>
      </w:r>
      <w:r>
        <w:tab/>
        <w:t>Part 6 heading replaced</w:t>
      </w:r>
      <w:r>
        <w:tab/>
      </w:r>
      <w:r>
        <w:fldChar w:fldCharType="begin"/>
      </w:r>
      <w:r>
        <w:instrText xml:space="preserve"> PAGEREF _Toc536781836 \h </w:instrText>
      </w:r>
      <w:r>
        <w:fldChar w:fldCharType="separate"/>
      </w:r>
      <w:r>
        <w:t>21</w:t>
      </w:r>
      <w:r>
        <w:fldChar w:fldCharType="end"/>
      </w:r>
    </w:p>
    <w:p>
      <w:pPr>
        <w:pStyle w:val="TOC3"/>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Review board and arbitrator</w:t>
      </w:r>
    </w:p>
    <w:p>
      <w:pPr>
        <w:pStyle w:val="TOC8"/>
        <w:rPr>
          <w:rFonts w:asciiTheme="minorHAnsi" w:eastAsiaTheme="minorEastAsia" w:hAnsiTheme="minorHAnsi" w:cstheme="minorBidi"/>
          <w:szCs w:val="22"/>
        </w:rPr>
      </w:pPr>
      <w:r>
        <w:t>32.</w:t>
      </w:r>
      <w:r>
        <w:tab/>
        <w:t>Part 6 Division 1 deleted</w:t>
      </w:r>
      <w:r>
        <w:tab/>
      </w:r>
      <w:r>
        <w:fldChar w:fldCharType="begin"/>
      </w:r>
      <w:r>
        <w:instrText xml:space="preserve"> PAGEREF _Toc536781838 \h </w:instrText>
      </w:r>
      <w:r>
        <w:fldChar w:fldCharType="separate"/>
      </w:r>
      <w:r>
        <w:t>21</w:t>
      </w:r>
      <w:r>
        <w:fldChar w:fldCharType="end"/>
      </w:r>
    </w:p>
    <w:p>
      <w:pPr>
        <w:pStyle w:val="TOC8"/>
        <w:rPr>
          <w:rFonts w:asciiTheme="minorHAnsi" w:eastAsiaTheme="minorEastAsia" w:hAnsiTheme="minorHAnsi" w:cstheme="minorBidi"/>
          <w:szCs w:val="22"/>
        </w:rPr>
      </w:pPr>
      <w:r>
        <w:t>33.</w:t>
      </w:r>
      <w:r>
        <w:tab/>
        <w:t>Part 6 Division 2 heading replaced</w:t>
      </w:r>
      <w:r>
        <w:tab/>
      </w:r>
      <w:r>
        <w:fldChar w:fldCharType="begin"/>
      </w:r>
      <w:r>
        <w:instrText xml:space="preserve"> PAGEREF _Toc536781839 \h </w:instrText>
      </w:r>
      <w:r>
        <w:fldChar w:fldCharType="separate"/>
      </w:r>
      <w:r>
        <w:t>21</w:t>
      </w:r>
      <w:r>
        <w:fldChar w:fldCharType="end"/>
      </w:r>
    </w:p>
    <w:p>
      <w:pPr>
        <w:pStyle w:val="TOC5"/>
        <w:tabs>
          <w:tab w:val="right" w:leader="dot" w:pos="7077"/>
        </w:tabs>
        <w:rPr>
          <w:rFonts w:asciiTheme="minorHAnsi" w:eastAsiaTheme="minorEastAsia" w:hAnsiTheme="minorHAnsi" w:cstheme="minorBidi"/>
          <w:b w:val="0"/>
          <w:sz w:val="22"/>
          <w:szCs w:val="22"/>
        </w:rPr>
      </w:pPr>
      <w:r>
        <w:t>Division 2 — Review board</w:t>
      </w:r>
    </w:p>
    <w:p>
      <w:pPr>
        <w:pStyle w:val="TOC8"/>
        <w:rPr>
          <w:rFonts w:asciiTheme="minorHAnsi" w:eastAsiaTheme="minorEastAsia" w:hAnsiTheme="minorHAnsi" w:cstheme="minorBidi"/>
          <w:szCs w:val="22"/>
        </w:rPr>
      </w:pPr>
      <w:r>
        <w:t>34.</w:t>
      </w:r>
      <w:r>
        <w:tab/>
        <w:t>Section 49 amended</w:t>
      </w:r>
      <w:r>
        <w:tab/>
      </w:r>
      <w:r>
        <w:fldChar w:fldCharType="begin"/>
      </w:r>
      <w:r>
        <w:instrText xml:space="preserve"> PAGEREF _Toc536781841 \h </w:instrText>
      </w:r>
      <w:r>
        <w:fldChar w:fldCharType="separate"/>
      </w:r>
      <w:r>
        <w:t>21</w:t>
      </w:r>
      <w:r>
        <w:fldChar w:fldCharType="end"/>
      </w:r>
    </w:p>
    <w:p>
      <w:pPr>
        <w:pStyle w:val="TOC8"/>
        <w:rPr>
          <w:rFonts w:asciiTheme="minorHAnsi" w:eastAsiaTheme="minorEastAsia" w:hAnsiTheme="minorHAnsi" w:cstheme="minorBidi"/>
          <w:szCs w:val="22"/>
        </w:rPr>
      </w:pPr>
      <w:r>
        <w:t>35.</w:t>
      </w:r>
      <w:r>
        <w:tab/>
        <w:t>Part 6 Division 2 Subdivision 2 heading replaced</w:t>
      </w:r>
      <w:r>
        <w:tab/>
      </w:r>
      <w:r>
        <w:fldChar w:fldCharType="begin"/>
      </w:r>
      <w:r>
        <w:instrText xml:space="preserve"> PAGEREF _Toc536781842 \h </w:instrText>
      </w:r>
      <w:r>
        <w:fldChar w:fldCharType="separate"/>
      </w:r>
      <w:r>
        <w:t>21</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Western Australian Electricity Review Board established</w:t>
      </w:r>
    </w:p>
    <w:p>
      <w:pPr>
        <w:pStyle w:val="TOC8"/>
        <w:rPr>
          <w:rFonts w:asciiTheme="minorHAnsi" w:eastAsiaTheme="minorEastAsia" w:hAnsiTheme="minorHAnsi" w:cstheme="minorBidi"/>
          <w:szCs w:val="22"/>
        </w:rPr>
      </w:pPr>
      <w:r>
        <w:t>36.</w:t>
      </w:r>
      <w:r>
        <w:tab/>
        <w:t>Section 50 amended</w:t>
      </w:r>
      <w:r>
        <w:tab/>
      </w:r>
      <w:r>
        <w:fldChar w:fldCharType="begin"/>
      </w:r>
      <w:r>
        <w:instrText xml:space="preserve"> PAGEREF _Toc536781844 \h </w:instrText>
      </w:r>
      <w:r>
        <w:fldChar w:fldCharType="separate"/>
      </w:r>
      <w:r>
        <w:t>22</w:t>
      </w:r>
      <w:r>
        <w:fldChar w:fldCharType="end"/>
      </w:r>
    </w:p>
    <w:p>
      <w:pPr>
        <w:pStyle w:val="TOC8"/>
        <w:rPr>
          <w:rFonts w:asciiTheme="minorHAnsi" w:eastAsiaTheme="minorEastAsia" w:hAnsiTheme="minorHAnsi" w:cstheme="minorBidi"/>
          <w:szCs w:val="22"/>
        </w:rPr>
      </w:pPr>
      <w:r>
        <w:t>37.</w:t>
      </w:r>
      <w:r>
        <w:tab/>
        <w:t>Section 57 amended</w:t>
      </w:r>
      <w:r>
        <w:tab/>
      </w:r>
      <w:r>
        <w:fldChar w:fldCharType="begin"/>
      </w:r>
      <w:r>
        <w:instrText xml:space="preserve"> PAGEREF _Toc536781845 \h </w:instrText>
      </w:r>
      <w:r>
        <w:fldChar w:fldCharType="separate"/>
      </w:r>
      <w:r>
        <w:t>22</w:t>
      </w:r>
      <w:r>
        <w:fldChar w:fldCharType="end"/>
      </w:r>
    </w:p>
    <w:p>
      <w:pPr>
        <w:pStyle w:val="TOC8"/>
        <w:rPr>
          <w:rFonts w:asciiTheme="minorHAnsi" w:eastAsiaTheme="minorEastAsia" w:hAnsiTheme="minorHAnsi" w:cstheme="minorBidi"/>
          <w:szCs w:val="22"/>
        </w:rPr>
      </w:pPr>
      <w:r>
        <w:t>38.</w:t>
      </w:r>
      <w:r>
        <w:tab/>
        <w:t>Section 59 amended</w:t>
      </w:r>
      <w:r>
        <w:tab/>
      </w:r>
      <w:r>
        <w:fldChar w:fldCharType="begin"/>
      </w:r>
      <w:r>
        <w:instrText xml:space="preserve"> PAGEREF _Toc536781846 \h </w:instrText>
      </w:r>
      <w:r>
        <w:fldChar w:fldCharType="separate"/>
      </w:r>
      <w:r>
        <w:t>22</w:t>
      </w:r>
      <w:r>
        <w:fldChar w:fldCharType="end"/>
      </w:r>
    </w:p>
    <w:p>
      <w:pPr>
        <w:pStyle w:val="TOC8"/>
        <w:rPr>
          <w:rFonts w:asciiTheme="minorHAnsi" w:eastAsiaTheme="minorEastAsia" w:hAnsiTheme="minorHAnsi" w:cstheme="minorBidi"/>
          <w:szCs w:val="22"/>
        </w:rPr>
      </w:pPr>
      <w:r>
        <w:t>39.</w:t>
      </w:r>
      <w:r>
        <w:tab/>
        <w:t>Section 61 amended</w:t>
      </w:r>
      <w:r>
        <w:tab/>
      </w:r>
      <w:r>
        <w:fldChar w:fldCharType="begin"/>
      </w:r>
      <w:r>
        <w:instrText xml:space="preserve"> PAGEREF _Toc536781847 \h </w:instrText>
      </w:r>
      <w:r>
        <w:fldChar w:fldCharType="separate"/>
      </w:r>
      <w:r>
        <w:t>22</w:t>
      </w:r>
      <w:r>
        <w:fldChar w:fldCharType="end"/>
      </w:r>
    </w:p>
    <w:p>
      <w:pPr>
        <w:pStyle w:val="TOC8"/>
        <w:rPr>
          <w:rFonts w:asciiTheme="minorHAnsi" w:eastAsiaTheme="minorEastAsia" w:hAnsiTheme="minorHAnsi" w:cstheme="minorBidi"/>
          <w:szCs w:val="22"/>
        </w:rPr>
      </w:pPr>
      <w:r>
        <w:t>40.</w:t>
      </w:r>
      <w:r>
        <w:tab/>
        <w:t>Part 6 Division 3 Subdivision 2 heading amended</w:t>
      </w:r>
      <w:r>
        <w:tab/>
      </w:r>
      <w:r>
        <w:fldChar w:fldCharType="begin"/>
      </w:r>
      <w:r>
        <w:instrText xml:space="preserve"> PAGEREF _Toc536781848 \h </w:instrText>
      </w:r>
      <w:r>
        <w:fldChar w:fldCharType="separate"/>
      </w:r>
      <w:r>
        <w:t>23</w:t>
      </w:r>
      <w:r>
        <w:fldChar w:fldCharType="end"/>
      </w:r>
    </w:p>
    <w:p>
      <w:pPr>
        <w:pStyle w:val="TOC8"/>
        <w:rPr>
          <w:rFonts w:asciiTheme="minorHAnsi" w:eastAsiaTheme="minorEastAsia" w:hAnsiTheme="minorHAnsi" w:cstheme="minorBidi"/>
          <w:szCs w:val="22"/>
        </w:rPr>
      </w:pPr>
      <w:r>
        <w:t>41.</w:t>
      </w:r>
      <w:r>
        <w:tab/>
        <w:t>Section 62 amended</w:t>
      </w:r>
      <w:r>
        <w:tab/>
      </w:r>
      <w:r>
        <w:fldChar w:fldCharType="begin"/>
      </w:r>
      <w:r>
        <w:instrText xml:space="preserve"> PAGEREF _Toc536781849 \h </w:instrText>
      </w:r>
      <w:r>
        <w:fldChar w:fldCharType="separate"/>
      </w:r>
      <w:r>
        <w:t>23</w:t>
      </w:r>
      <w:r>
        <w:fldChar w:fldCharType="end"/>
      </w:r>
    </w:p>
    <w:p>
      <w:pPr>
        <w:pStyle w:val="TOC8"/>
        <w:rPr>
          <w:rFonts w:asciiTheme="minorHAnsi" w:eastAsiaTheme="minorEastAsia" w:hAnsiTheme="minorHAnsi" w:cstheme="minorBidi"/>
          <w:szCs w:val="22"/>
        </w:rPr>
      </w:pPr>
      <w:r>
        <w:t>42.</w:t>
      </w:r>
      <w:r>
        <w:tab/>
        <w:t>Section 73 amended</w:t>
      </w:r>
      <w:r>
        <w:tab/>
      </w:r>
      <w:r>
        <w:fldChar w:fldCharType="begin"/>
      </w:r>
      <w:r>
        <w:instrText xml:space="preserve"> PAGEREF _Toc536781850 \h </w:instrText>
      </w:r>
      <w:r>
        <w:fldChar w:fldCharType="separate"/>
      </w:r>
      <w:r>
        <w:t>23</w:t>
      </w:r>
      <w:r>
        <w:fldChar w:fldCharType="end"/>
      </w:r>
    </w:p>
    <w:p>
      <w:pPr>
        <w:pStyle w:val="TOC8"/>
        <w:rPr>
          <w:rFonts w:asciiTheme="minorHAnsi" w:eastAsiaTheme="minorEastAsia" w:hAnsiTheme="minorHAnsi" w:cstheme="minorBidi"/>
          <w:szCs w:val="22"/>
        </w:rPr>
      </w:pPr>
      <w:r>
        <w:t>43.</w:t>
      </w:r>
      <w:r>
        <w:tab/>
        <w:t>Section 74 amended</w:t>
      </w:r>
      <w:r>
        <w:tab/>
      </w:r>
      <w:r>
        <w:fldChar w:fldCharType="begin"/>
      </w:r>
      <w:r>
        <w:instrText xml:space="preserve"> PAGEREF _Toc536781851 \h </w:instrText>
      </w:r>
      <w:r>
        <w:fldChar w:fldCharType="separate"/>
      </w:r>
      <w:r>
        <w:t>23</w:t>
      </w:r>
      <w:r>
        <w:fldChar w:fldCharType="end"/>
      </w:r>
    </w:p>
    <w:p>
      <w:pPr>
        <w:pStyle w:val="TOC8"/>
        <w:rPr>
          <w:rFonts w:asciiTheme="minorHAnsi" w:eastAsiaTheme="minorEastAsia" w:hAnsiTheme="minorHAnsi" w:cstheme="minorBidi"/>
          <w:szCs w:val="22"/>
        </w:rPr>
      </w:pPr>
      <w:r>
        <w:t>44.</w:t>
      </w:r>
      <w:r>
        <w:tab/>
        <w:t>Section 76 amended</w:t>
      </w:r>
      <w:r>
        <w:tab/>
      </w:r>
      <w:r>
        <w:fldChar w:fldCharType="begin"/>
      </w:r>
      <w:r>
        <w:instrText xml:space="preserve"> PAGEREF _Toc536781852 \h </w:instrText>
      </w:r>
      <w:r>
        <w:fldChar w:fldCharType="separate"/>
      </w:r>
      <w:r>
        <w:t>24</w:t>
      </w:r>
      <w:r>
        <w:fldChar w:fldCharType="end"/>
      </w:r>
    </w:p>
    <w:p>
      <w:pPr>
        <w:pStyle w:val="TOC8"/>
        <w:rPr>
          <w:rFonts w:asciiTheme="minorHAnsi" w:eastAsiaTheme="minorEastAsia" w:hAnsiTheme="minorHAnsi" w:cstheme="minorBidi"/>
          <w:szCs w:val="22"/>
        </w:rPr>
      </w:pPr>
      <w:r>
        <w:t>45.</w:t>
      </w:r>
      <w:r>
        <w:tab/>
        <w:t>Section 77 amended</w:t>
      </w:r>
      <w:r>
        <w:tab/>
      </w:r>
      <w:r>
        <w:fldChar w:fldCharType="begin"/>
      </w:r>
      <w:r>
        <w:instrText xml:space="preserve"> PAGEREF _Toc536781853 \h </w:instrText>
      </w:r>
      <w:r>
        <w:fldChar w:fldCharType="separate"/>
      </w:r>
      <w:r>
        <w:t>24</w:t>
      </w:r>
      <w:r>
        <w:fldChar w:fldCharType="end"/>
      </w:r>
    </w:p>
    <w:p>
      <w:pPr>
        <w:pStyle w:val="TOC8"/>
        <w:rPr>
          <w:rFonts w:asciiTheme="minorHAnsi" w:eastAsiaTheme="minorEastAsia" w:hAnsiTheme="minorHAnsi" w:cstheme="minorBidi"/>
          <w:szCs w:val="22"/>
        </w:rPr>
      </w:pPr>
      <w:r>
        <w:t>46.</w:t>
      </w:r>
      <w:r>
        <w:tab/>
        <w:t>Section 81 amended</w:t>
      </w:r>
      <w:r>
        <w:tab/>
      </w:r>
      <w:r>
        <w:fldChar w:fldCharType="begin"/>
      </w:r>
      <w:r>
        <w:instrText xml:space="preserve"> PAGEREF _Toc536781854 \h </w:instrText>
      </w:r>
      <w:r>
        <w:fldChar w:fldCharType="separate"/>
      </w:r>
      <w:r>
        <w:t>24</w:t>
      </w:r>
      <w:r>
        <w:fldChar w:fldCharType="end"/>
      </w:r>
    </w:p>
    <w:p>
      <w:pPr>
        <w:pStyle w:val="TOC8"/>
        <w:rPr>
          <w:rFonts w:asciiTheme="minorHAnsi" w:eastAsiaTheme="minorEastAsia" w:hAnsiTheme="minorHAnsi" w:cstheme="minorBidi"/>
          <w:szCs w:val="22"/>
        </w:rPr>
      </w:pPr>
      <w:r>
        <w:t>47.</w:t>
      </w:r>
      <w:r>
        <w:tab/>
        <w:t>Section 82 amended</w:t>
      </w:r>
      <w:r>
        <w:tab/>
      </w:r>
      <w:r>
        <w:fldChar w:fldCharType="begin"/>
      </w:r>
      <w:r>
        <w:instrText xml:space="preserve"> PAGEREF _Toc536781855 \h </w:instrText>
      </w:r>
      <w:r>
        <w:fldChar w:fldCharType="separate"/>
      </w:r>
      <w:r>
        <w:t>25</w:t>
      </w:r>
      <w:r>
        <w:fldChar w:fldCharType="end"/>
      </w:r>
    </w:p>
    <w:p>
      <w:pPr>
        <w:pStyle w:val="TOC8"/>
        <w:rPr>
          <w:rFonts w:asciiTheme="minorHAnsi" w:eastAsiaTheme="minorEastAsia" w:hAnsiTheme="minorHAnsi" w:cstheme="minorBidi"/>
          <w:szCs w:val="22"/>
        </w:rPr>
      </w:pPr>
      <w:r>
        <w:t>48.</w:t>
      </w:r>
      <w:r>
        <w:tab/>
        <w:t>Section 87 deleted</w:t>
      </w:r>
      <w:r>
        <w:tab/>
      </w:r>
      <w:r>
        <w:fldChar w:fldCharType="begin"/>
      </w:r>
      <w:r>
        <w:instrText xml:space="preserve"> PAGEREF _Toc536781856 \h </w:instrText>
      </w:r>
      <w:r>
        <w:fldChar w:fldCharType="separate"/>
      </w:r>
      <w:r>
        <w:t>25</w:t>
      </w:r>
      <w:r>
        <w:fldChar w:fldCharType="end"/>
      </w:r>
    </w:p>
    <w:p>
      <w:pPr>
        <w:pStyle w:val="TOC8"/>
        <w:rPr>
          <w:rFonts w:asciiTheme="minorHAnsi" w:eastAsiaTheme="minorEastAsia" w:hAnsiTheme="minorHAnsi" w:cstheme="minorBidi"/>
          <w:szCs w:val="22"/>
        </w:rPr>
      </w:pPr>
      <w:r>
        <w:t>49.</w:t>
      </w:r>
      <w:r>
        <w:tab/>
        <w:t>Section 88 deleted</w:t>
      </w:r>
      <w:r>
        <w:tab/>
      </w:r>
      <w:r>
        <w:fldChar w:fldCharType="begin"/>
      </w:r>
      <w:r>
        <w:instrText xml:space="preserve"> PAGEREF _Toc536781857 \h </w:instrText>
      </w:r>
      <w:r>
        <w:fldChar w:fldCharType="separate"/>
      </w:r>
      <w:r>
        <w:t>25</w:t>
      </w:r>
      <w:r>
        <w:fldChar w:fldCharType="end"/>
      </w:r>
    </w:p>
    <w:p>
      <w:pPr>
        <w:pStyle w:val="TOC8"/>
        <w:rPr>
          <w:rFonts w:asciiTheme="minorHAnsi" w:eastAsiaTheme="minorEastAsia" w:hAnsiTheme="minorHAnsi" w:cstheme="minorBidi"/>
          <w:szCs w:val="22"/>
        </w:rPr>
      </w:pPr>
      <w:r>
        <w:t>50.</w:t>
      </w:r>
      <w:r>
        <w:tab/>
        <w:t>Parts 7 and 8 deleted</w:t>
      </w:r>
      <w:r>
        <w:tab/>
      </w:r>
      <w:r>
        <w:fldChar w:fldCharType="begin"/>
      </w:r>
      <w:r>
        <w:instrText xml:space="preserve"> PAGEREF _Toc536781858 \h </w:instrText>
      </w:r>
      <w:r>
        <w:fldChar w:fldCharType="separate"/>
      </w:r>
      <w:r>
        <w:t>25</w:t>
      </w:r>
      <w:r>
        <w:fldChar w:fldCharType="end"/>
      </w:r>
    </w:p>
    <w:p>
      <w:pPr>
        <w:pStyle w:val="TOC8"/>
        <w:rPr>
          <w:rFonts w:asciiTheme="minorHAnsi" w:eastAsiaTheme="minorEastAsia" w:hAnsiTheme="minorHAnsi" w:cstheme="minorBidi"/>
          <w:szCs w:val="22"/>
        </w:rPr>
      </w:pPr>
      <w:r>
        <w:t>51.</w:t>
      </w:r>
      <w:r>
        <w:tab/>
        <w:t>Schedules deleted</w:t>
      </w:r>
      <w:r>
        <w:tab/>
      </w:r>
      <w:r>
        <w:fldChar w:fldCharType="begin"/>
      </w:r>
      <w:r>
        <w:instrText xml:space="preserve"> PAGEREF _Toc536781859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Economic Regulation Authority Act 2003</w:t>
      </w:r>
    </w:p>
    <w:p>
      <w:pPr>
        <w:pStyle w:val="TOC8"/>
        <w:rPr>
          <w:rFonts w:asciiTheme="minorHAnsi" w:eastAsiaTheme="minorEastAsia" w:hAnsiTheme="minorHAnsi" w:cstheme="minorBidi"/>
          <w:szCs w:val="22"/>
        </w:rPr>
      </w:pPr>
      <w:r>
        <w:t>52.</w:t>
      </w:r>
      <w:r>
        <w:tab/>
        <w:t>Act amended</w:t>
      </w:r>
      <w:r>
        <w:tab/>
      </w:r>
      <w:r>
        <w:fldChar w:fldCharType="begin"/>
      </w:r>
      <w:r>
        <w:instrText xml:space="preserve"> PAGEREF _Toc536781861 \h </w:instrText>
      </w:r>
      <w:r>
        <w:fldChar w:fldCharType="separate"/>
      </w:r>
      <w:r>
        <w:t>25</w:t>
      </w:r>
      <w:r>
        <w:fldChar w:fldCharType="end"/>
      </w:r>
    </w:p>
    <w:p>
      <w:pPr>
        <w:pStyle w:val="TOC8"/>
        <w:rPr>
          <w:rFonts w:asciiTheme="minorHAnsi" w:eastAsiaTheme="minorEastAsia" w:hAnsiTheme="minorHAnsi" w:cstheme="minorBidi"/>
          <w:szCs w:val="22"/>
        </w:rPr>
      </w:pPr>
      <w:r>
        <w:t>53.</w:t>
      </w:r>
      <w:r>
        <w:tab/>
        <w:t>Section 25 amended</w:t>
      </w:r>
      <w:r>
        <w:tab/>
      </w:r>
      <w:r>
        <w:fldChar w:fldCharType="begin"/>
      </w:r>
      <w:r>
        <w:instrText xml:space="preserve"> PAGEREF _Toc536781862 \h </w:instrText>
      </w:r>
      <w:r>
        <w:fldChar w:fldCharType="separate"/>
      </w:r>
      <w:r>
        <w:t>26</w:t>
      </w:r>
      <w:r>
        <w:fldChar w:fldCharType="end"/>
      </w:r>
    </w:p>
    <w:p>
      <w:pPr>
        <w:pStyle w:val="TOC8"/>
        <w:rPr>
          <w:rFonts w:asciiTheme="minorHAnsi" w:eastAsiaTheme="minorEastAsia" w:hAnsiTheme="minorHAnsi" w:cstheme="minorBidi"/>
          <w:szCs w:val="22"/>
        </w:rPr>
      </w:pPr>
      <w:r>
        <w:t>54.</w:t>
      </w:r>
      <w:r>
        <w:tab/>
        <w:t>Section 28 amended</w:t>
      </w:r>
      <w:r>
        <w:tab/>
      </w:r>
      <w:r>
        <w:fldChar w:fldCharType="begin"/>
      </w:r>
      <w:r>
        <w:instrText xml:space="preserve"> PAGEREF _Toc536781863 \h </w:instrText>
      </w:r>
      <w:r>
        <w:fldChar w:fldCharType="separate"/>
      </w:r>
      <w:r>
        <w:t>26</w:t>
      </w:r>
      <w:r>
        <w:fldChar w:fldCharType="end"/>
      </w:r>
    </w:p>
    <w:p>
      <w:pPr>
        <w:pStyle w:val="TOC8"/>
        <w:rPr>
          <w:rFonts w:asciiTheme="minorHAnsi" w:eastAsiaTheme="minorEastAsia" w:hAnsiTheme="minorHAnsi" w:cstheme="minorBidi"/>
          <w:szCs w:val="22"/>
        </w:rPr>
      </w:pPr>
      <w:r>
        <w:t>55.</w:t>
      </w:r>
      <w:r>
        <w:tab/>
        <w:t>Section 32 amended</w:t>
      </w:r>
      <w:r>
        <w:tab/>
      </w:r>
      <w:r>
        <w:fldChar w:fldCharType="begin"/>
      </w:r>
      <w:r>
        <w:instrText xml:space="preserve"> PAGEREF _Toc536781864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iCs/>
        </w:rPr>
        <w:t>Electricity Industry Act 2004</w:t>
      </w:r>
    </w:p>
    <w:p>
      <w:pPr>
        <w:pStyle w:val="TOC8"/>
        <w:rPr>
          <w:rFonts w:asciiTheme="minorHAnsi" w:eastAsiaTheme="minorEastAsia" w:hAnsiTheme="minorHAnsi" w:cstheme="minorBidi"/>
          <w:szCs w:val="22"/>
        </w:rPr>
      </w:pPr>
      <w:r>
        <w:t>56.</w:t>
      </w:r>
      <w:r>
        <w:tab/>
        <w:t>Act amended</w:t>
      </w:r>
      <w:r>
        <w:tab/>
      </w:r>
      <w:r>
        <w:fldChar w:fldCharType="begin"/>
      </w:r>
      <w:r>
        <w:instrText xml:space="preserve"> PAGEREF _Toc536781866 \h </w:instrText>
      </w:r>
      <w:r>
        <w:fldChar w:fldCharType="separate"/>
      </w:r>
      <w:r>
        <w:t>27</w:t>
      </w:r>
      <w:r>
        <w:fldChar w:fldCharType="end"/>
      </w:r>
    </w:p>
    <w:p>
      <w:pPr>
        <w:pStyle w:val="TOC8"/>
        <w:rPr>
          <w:rFonts w:asciiTheme="minorHAnsi" w:eastAsiaTheme="minorEastAsia" w:hAnsiTheme="minorHAnsi" w:cstheme="minorBidi"/>
          <w:szCs w:val="22"/>
        </w:rPr>
      </w:pPr>
      <w:r>
        <w:t>57.</w:t>
      </w:r>
      <w:r>
        <w:tab/>
        <w:t>Section 3 amended</w:t>
      </w:r>
      <w:r>
        <w:tab/>
      </w:r>
      <w:r>
        <w:fldChar w:fldCharType="begin"/>
      </w:r>
      <w:r>
        <w:instrText xml:space="preserve"> PAGEREF _Toc536781867 \h </w:instrText>
      </w:r>
      <w:r>
        <w:fldChar w:fldCharType="separate"/>
      </w:r>
      <w:r>
        <w:t>27</w:t>
      </w:r>
      <w:r>
        <w:fldChar w:fldCharType="end"/>
      </w:r>
    </w:p>
    <w:p>
      <w:pPr>
        <w:pStyle w:val="TOC8"/>
        <w:rPr>
          <w:rFonts w:asciiTheme="minorHAnsi" w:eastAsiaTheme="minorEastAsia" w:hAnsiTheme="minorHAnsi" w:cstheme="minorBidi"/>
          <w:szCs w:val="22"/>
        </w:rPr>
      </w:pPr>
      <w:r>
        <w:t>58.</w:t>
      </w:r>
      <w:r>
        <w:tab/>
        <w:t>Section 113 deleted</w:t>
      </w:r>
      <w:r>
        <w:tab/>
      </w:r>
      <w:r>
        <w:fldChar w:fldCharType="begin"/>
      </w:r>
      <w:r>
        <w:instrText xml:space="preserve"> PAGEREF _Toc536781868 \h </w:instrText>
      </w:r>
      <w:r>
        <w:fldChar w:fldCharType="separate"/>
      </w:r>
      <w:r>
        <w:t>27</w:t>
      </w:r>
      <w:r>
        <w:fldChar w:fldCharType="end"/>
      </w:r>
    </w:p>
    <w:p>
      <w:pPr>
        <w:pStyle w:val="TOC8"/>
        <w:rPr>
          <w:rFonts w:asciiTheme="minorHAnsi" w:eastAsiaTheme="minorEastAsia" w:hAnsiTheme="minorHAnsi" w:cstheme="minorBidi"/>
          <w:szCs w:val="22"/>
        </w:rPr>
      </w:pPr>
      <w:r>
        <w:t>59.</w:t>
      </w:r>
      <w:r>
        <w:tab/>
        <w:t>Section 125 amended</w:t>
      </w:r>
      <w:r>
        <w:tab/>
      </w:r>
      <w:r>
        <w:fldChar w:fldCharType="begin"/>
      </w:r>
      <w:r>
        <w:instrText xml:space="preserve"> PAGEREF _Toc536781869 \h </w:instrText>
      </w:r>
      <w:r>
        <w:fldChar w:fldCharType="separate"/>
      </w:r>
      <w:r>
        <w:t>27</w:t>
      </w:r>
      <w:r>
        <w:fldChar w:fldCharType="end"/>
      </w:r>
    </w:p>
    <w:p>
      <w:pPr>
        <w:pStyle w:val="TOC8"/>
        <w:rPr>
          <w:rFonts w:asciiTheme="minorHAnsi" w:eastAsiaTheme="minorEastAsia" w:hAnsiTheme="minorHAnsi" w:cstheme="minorBidi"/>
          <w:szCs w:val="22"/>
        </w:rPr>
      </w:pPr>
      <w:r>
        <w:t>60.</w:t>
      </w:r>
      <w:r>
        <w:tab/>
        <w:t>Section 130 amended</w:t>
      </w:r>
      <w:r>
        <w:tab/>
      </w:r>
      <w:r>
        <w:fldChar w:fldCharType="begin"/>
      </w:r>
      <w:r>
        <w:instrText xml:space="preserve"> PAGEREF _Toc536781870 \h </w:instrText>
      </w:r>
      <w:r>
        <w:fldChar w:fldCharType="separate"/>
      </w:r>
      <w:r>
        <w:t>28</w:t>
      </w:r>
      <w:r>
        <w:fldChar w:fldCharType="end"/>
      </w:r>
    </w:p>
    <w:p>
      <w:pPr>
        <w:pStyle w:val="TOC8"/>
        <w:rPr>
          <w:rFonts w:asciiTheme="minorHAnsi" w:eastAsiaTheme="minorEastAsia" w:hAnsiTheme="minorHAnsi" w:cstheme="minorBidi"/>
          <w:szCs w:val="22"/>
        </w:rPr>
      </w:pPr>
      <w:r>
        <w:t>61.</w:t>
      </w:r>
      <w:r>
        <w:tab/>
        <w:t>Section 133 amended</w:t>
      </w:r>
      <w:r>
        <w:tab/>
      </w:r>
      <w:r>
        <w:fldChar w:fldCharType="begin"/>
      </w:r>
      <w:r>
        <w:instrText xml:space="preserve"> PAGEREF _Toc536781871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iCs/>
        </w:rPr>
        <w:t>Energy Coordination Act 1994</w:t>
      </w:r>
    </w:p>
    <w:p>
      <w:pPr>
        <w:pStyle w:val="TOC8"/>
        <w:rPr>
          <w:rFonts w:asciiTheme="minorHAnsi" w:eastAsiaTheme="minorEastAsia" w:hAnsiTheme="minorHAnsi" w:cstheme="minorBidi"/>
          <w:szCs w:val="22"/>
        </w:rPr>
      </w:pPr>
      <w:r>
        <w:t>62.</w:t>
      </w:r>
      <w:r>
        <w:tab/>
        <w:t>Act amended</w:t>
      </w:r>
      <w:r>
        <w:tab/>
      </w:r>
      <w:r>
        <w:fldChar w:fldCharType="begin"/>
      </w:r>
      <w:r>
        <w:instrText xml:space="preserve"> PAGEREF _Toc536781873 \h </w:instrText>
      </w:r>
      <w:r>
        <w:fldChar w:fldCharType="separate"/>
      </w:r>
      <w:r>
        <w:t>29</w:t>
      </w:r>
      <w:r>
        <w:fldChar w:fldCharType="end"/>
      </w:r>
    </w:p>
    <w:p>
      <w:pPr>
        <w:pStyle w:val="TOC8"/>
        <w:rPr>
          <w:rFonts w:asciiTheme="minorHAnsi" w:eastAsiaTheme="minorEastAsia" w:hAnsiTheme="minorHAnsi" w:cstheme="minorBidi"/>
          <w:szCs w:val="22"/>
        </w:rPr>
      </w:pPr>
      <w:r>
        <w:t>63.</w:t>
      </w:r>
      <w:r>
        <w:tab/>
        <w:t>Section 11J deleted</w:t>
      </w:r>
      <w:r>
        <w:tab/>
      </w:r>
      <w:r>
        <w:fldChar w:fldCharType="begin"/>
      </w:r>
      <w:r>
        <w:instrText xml:space="preserve"> PAGEREF _Toc536781874 \h </w:instrText>
      </w:r>
      <w:r>
        <w:fldChar w:fldCharType="separate"/>
      </w:r>
      <w:r>
        <w:t>29</w:t>
      </w:r>
      <w:r>
        <w:fldChar w:fldCharType="end"/>
      </w:r>
    </w:p>
    <w:p>
      <w:pPr>
        <w:pStyle w:val="TOC8"/>
        <w:rPr>
          <w:rFonts w:asciiTheme="minorHAnsi" w:eastAsiaTheme="minorEastAsia" w:hAnsiTheme="minorHAnsi" w:cstheme="minorBidi"/>
          <w:szCs w:val="22"/>
        </w:rPr>
      </w:pPr>
      <w:r>
        <w:t>64.</w:t>
      </w:r>
      <w:r>
        <w:tab/>
        <w:t>Section 11M amended</w:t>
      </w:r>
      <w:r>
        <w:tab/>
      </w:r>
      <w:r>
        <w:fldChar w:fldCharType="begin"/>
      </w:r>
      <w:r>
        <w:instrText xml:space="preserve"> PAGEREF _Toc536781875 \h </w:instrText>
      </w:r>
      <w:r>
        <w:fldChar w:fldCharType="separate"/>
      </w:r>
      <w:r>
        <w:t>29</w:t>
      </w:r>
      <w:r>
        <w:fldChar w:fldCharType="end"/>
      </w:r>
    </w:p>
    <w:p>
      <w:pPr>
        <w:pStyle w:val="TOC8"/>
        <w:rPr>
          <w:rFonts w:asciiTheme="minorHAnsi" w:eastAsiaTheme="minorEastAsia" w:hAnsiTheme="minorHAnsi" w:cstheme="minorBidi"/>
          <w:szCs w:val="22"/>
        </w:rPr>
      </w:pPr>
      <w:r>
        <w:t>65.</w:t>
      </w:r>
      <w:r>
        <w:tab/>
        <w:t>Section 11V amended</w:t>
      </w:r>
      <w:r>
        <w:tab/>
      </w:r>
      <w:r>
        <w:fldChar w:fldCharType="begin"/>
      </w:r>
      <w:r>
        <w:instrText xml:space="preserve"> PAGEREF _Toc536781876 \h </w:instrText>
      </w:r>
      <w:r>
        <w:fldChar w:fldCharType="separate"/>
      </w:r>
      <w:r>
        <w:t>29</w:t>
      </w:r>
      <w:r>
        <w:fldChar w:fldCharType="end"/>
      </w:r>
    </w:p>
    <w:p>
      <w:pPr>
        <w:pStyle w:val="TOC8"/>
        <w:rPr>
          <w:rFonts w:asciiTheme="minorHAnsi" w:eastAsiaTheme="minorEastAsia" w:hAnsiTheme="minorHAnsi" w:cstheme="minorBidi"/>
          <w:szCs w:val="22"/>
        </w:rPr>
      </w:pPr>
      <w:r>
        <w:t>66.</w:t>
      </w:r>
      <w:r>
        <w:tab/>
        <w:t>Section 11ZAC amended</w:t>
      </w:r>
      <w:r>
        <w:tab/>
      </w:r>
      <w:r>
        <w:fldChar w:fldCharType="begin"/>
      </w:r>
      <w:r>
        <w:instrText xml:space="preserve"> PAGEREF _Toc536781877 \h </w:instrText>
      </w:r>
      <w:r>
        <w:fldChar w:fldCharType="separate"/>
      </w:r>
      <w:r>
        <w:t>30</w:t>
      </w:r>
      <w:r>
        <w:fldChar w:fldCharType="end"/>
      </w:r>
    </w:p>
    <w:p>
      <w:pPr>
        <w:pStyle w:val="TOC8"/>
        <w:rPr>
          <w:rFonts w:asciiTheme="minorHAnsi" w:eastAsiaTheme="minorEastAsia" w:hAnsiTheme="minorHAnsi" w:cstheme="minorBidi"/>
          <w:szCs w:val="22"/>
        </w:rPr>
      </w:pPr>
      <w:r>
        <w:t>67.</w:t>
      </w:r>
      <w:r>
        <w:tab/>
        <w:t>Schedule 1A amended</w:t>
      </w:r>
      <w:r>
        <w:tab/>
      </w:r>
      <w:r>
        <w:fldChar w:fldCharType="begin"/>
      </w:r>
      <w:r>
        <w:instrText xml:space="preserve"> PAGEREF _Toc536781878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Cs/>
        </w:rPr>
        <w:t>Other Acts amended</w:t>
      </w:r>
    </w:p>
    <w:p>
      <w:pPr>
        <w:pStyle w:val="TOC8"/>
        <w:rPr>
          <w:rFonts w:asciiTheme="minorHAnsi" w:eastAsiaTheme="minorEastAsia" w:hAnsiTheme="minorHAnsi" w:cstheme="minorBidi"/>
          <w:szCs w:val="22"/>
        </w:rPr>
      </w:pPr>
      <w:r>
        <w:t>68.</w:t>
      </w:r>
      <w:r>
        <w:tab/>
      </w:r>
      <w:r>
        <w:rPr>
          <w:i/>
          <w:iCs/>
        </w:rPr>
        <w:t>Constitution Acts Amendment Act 1899 amended</w:t>
      </w:r>
      <w:r>
        <w:tab/>
      </w:r>
      <w:r>
        <w:fldChar w:fldCharType="begin"/>
      </w:r>
      <w:r>
        <w:instrText xml:space="preserve"> PAGEREF _Toc536781880 \h </w:instrText>
      </w:r>
      <w:r>
        <w:fldChar w:fldCharType="separate"/>
      </w:r>
      <w:r>
        <w:t>30</w:t>
      </w:r>
      <w:r>
        <w:fldChar w:fldCharType="end"/>
      </w:r>
    </w:p>
    <w:p>
      <w:pPr>
        <w:pStyle w:val="TOC8"/>
        <w:rPr>
          <w:rFonts w:asciiTheme="minorHAnsi" w:eastAsiaTheme="minorEastAsia" w:hAnsiTheme="minorHAnsi" w:cstheme="minorBidi"/>
          <w:szCs w:val="22"/>
        </w:rPr>
      </w:pPr>
      <w:r>
        <w:t>69.</w:t>
      </w:r>
      <w:r>
        <w:tab/>
      </w:r>
      <w:r>
        <w:rPr>
          <w:i/>
          <w:iCs/>
        </w:rPr>
        <w:t>Financial Management Act 2006 amended</w:t>
      </w:r>
      <w:r>
        <w:tab/>
      </w:r>
      <w:r>
        <w:fldChar w:fldCharType="begin"/>
      </w:r>
      <w:r>
        <w:instrText xml:space="preserve"> PAGEREF _Toc536781881 \h </w:instrText>
      </w:r>
      <w:r>
        <w:fldChar w:fldCharType="separate"/>
      </w:r>
      <w:r>
        <w:t>30</w:t>
      </w:r>
      <w:r>
        <w:fldChar w:fldCharType="end"/>
      </w:r>
    </w:p>
    <w:p>
      <w:pPr>
        <w:pStyle w:val="TOC8"/>
        <w:rPr>
          <w:rFonts w:asciiTheme="minorHAnsi" w:eastAsiaTheme="minorEastAsia" w:hAnsiTheme="minorHAnsi" w:cstheme="minorBidi"/>
          <w:szCs w:val="22"/>
        </w:rPr>
      </w:pPr>
      <w:r>
        <w:t>70.</w:t>
      </w:r>
      <w:r>
        <w:tab/>
      </w:r>
      <w:r>
        <w:rPr>
          <w:i/>
          <w:iCs/>
        </w:rPr>
        <w:t>Freedom of Information Act 1992 amended</w:t>
      </w:r>
      <w:r>
        <w:tab/>
      </w:r>
      <w:r>
        <w:fldChar w:fldCharType="begin"/>
      </w:r>
      <w:r>
        <w:instrText xml:space="preserve"> PAGEREF _Toc536781882 \h </w:instrText>
      </w:r>
      <w:r>
        <w:fldChar w:fldCharType="separate"/>
      </w:r>
      <w:r>
        <w:t>31</w:t>
      </w:r>
      <w:r>
        <w:fldChar w:fldCharType="end"/>
      </w:r>
    </w:p>
    <w:p>
      <w:pPr>
        <w:pStyle w:val="TOC8"/>
        <w:rPr>
          <w:rFonts w:asciiTheme="minorHAnsi" w:eastAsiaTheme="minorEastAsia" w:hAnsiTheme="minorHAnsi" w:cstheme="minorBidi"/>
          <w:szCs w:val="22"/>
        </w:rPr>
      </w:pPr>
      <w:r>
        <w:t>71.</w:t>
      </w:r>
      <w:r>
        <w:tab/>
      </w:r>
      <w:r>
        <w:rPr>
          <w:i/>
        </w:rPr>
        <w:t>Parliamentary Commissioner Act 1971</w:t>
      </w:r>
      <w:r>
        <w:rPr>
          <w:i/>
          <w:iCs/>
        </w:rPr>
        <w:t xml:space="preserve"> amended</w:t>
      </w:r>
      <w:r>
        <w:tab/>
      </w:r>
      <w:r>
        <w:fldChar w:fldCharType="begin"/>
      </w:r>
      <w:r>
        <w:instrText xml:space="preserve"> PAGEREF _Toc536781883 \h </w:instrText>
      </w:r>
      <w:r>
        <w:fldChar w:fldCharType="separate"/>
      </w:r>
      <w:r>
        <w:t>31</w:t>
      </w:r>
      <w:r>
        <w:fldChar w:fldCharType="end"/>
      </w:r>
    </w:p>
    <w:p>
      <w:pPr>
        <w:pStyle w:val="TOC8"/>
        <w:rPr>
          <w:rFonts w:asciiTheme="minorHAnsi" w:eastAsiaTheme="minorEastAsia" w:hAnsiTheme="minorHAnsi" w:cstheme="minorBidi"/>
          <w:szCs w:val="22"/>
        </w:rPr>
      </w:pPr>
      <w:r>
        <w:t>72.</w:t>
      </w:r>
      <w:r>
        <w:tab/>
      </w:r>
      <w:r>
        <w:rPr>
          <w:i/>
          <w:iCs/>
        </w:rPr>
        <w:t>Petroleum Pipelines Act 1969 amended</w:t>
      </w:r>
      <w:r>
        <w:tab/>
      </w:r>
      <w:r>
        <w:fldChar w:fldCharType="begin"/>
      </w:r>
      <w:r>
        <w:instrText xml:space="preserve"> PAGEREF _Toc536781884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Schedule 1 — Some modifications to National Gas Law as in Schedule to South Australian Act</w:t>
      </w:r>
    </w:p>
    <w:p>
      <w:pPr>
        <w:pStyle w:val="TOC8"/>
        <w:rPr>
          <w:rFonts w:asciiTheme="minorHAnsi" w:eastAsiaTheme="minorEastAsia" w:hAnsiTheme="minorHAnsi" w:cstheme="minorBidi"/>
          <w:szCs w:val="22"/>
        </w:rPr>
      </w:pPr>
      <w:r>
        <w:t>1.</w:t>
      </w:r>
      <w:r>
        <w:tab/>
        <w:t>Purpose of this Schedule</w:t>
      </w:r>
      <w:r>
        <w:tab/>
      </w:r>
      <w:r>
        <w:fldChar w:fldCharType="begin"/>
      </w:r>
      <w:r>
        <w:instrText xml:space="preserve"> PAGEREF _Toc536781886 \h </w:instrText>
      </w:r>
      <w:r>
        <w:fldChar w:fldCharType="separate"/>
      </w:r>
      <w:r>
        <w:t>32</w:t>
      </w:r>
      <w:r>
        <w:fldChar w:fldCharType="end"/>
      </w:r>
    </w:p>
    <w:p>
      <w:pPr>
        <w:pStyle w:val="TOC8"/>
        <w:rPr>
          <w:rFonts w:asciiTheme="minorHAnsi" w:eastAsiaTheme="minorEastAsia" w:hAnsiTheme="minorHAnsi" w:cstheme="minorBidi"/>
          <w:szCs w:val="22"/>
        </w:rPr>
      </w:pPr>
      <w:r>
        <w:t>2.</w:t>
      </w:r>
      <w:r>
        <w:tab/>
        <w:t>Section 1 modified</w:t>
      </w:r>
      <w:r>
        <w:tab/>
      </w:r>
      <w:r>
        <w:fldChar w:fldCharType="begin"/>
      </w:r>
      <w:r>
        <w:instrText xml:space="preserve"> PAGEREF _Toc536781887 \h </w:instrText>
      </w:r>
      <w:r>
        <w:fldChar w:fldCharType="separate"/>
      </w:r>
      <w:r>
        <w:t>32</w:t>
      </w:r>
      <w:r>
        <w:fldChar w:fldCharType="end"/>
      </w:r>
    </w:p>
    <w:p>
      <w:pPr>
        <w:pStyle w:val="TOC8"/>
        <w:rPr>
          <w:rFonts w:asciiTheme="minorHAnsi" w:eastAsiaTheme="minorEastAsia" w:hAnsiTheme="minorHAnsi" w:cstheme="minorBidi"/>
          <w:szCs w:val="22"/>
        </w:rPr>
      </w:pPr>
      <w:r>
        <w:t>3.</w:t>
      </w:r>
      <w:r>
        <w:tab/>
        <w:t>Section 2 modified</w:t>
      </w:r>
      <w:r>
        <w:tab/>
      </w:r>
      <w:r>
        <w:fldChar w:fldCharType="begin"/>
      </w:r>
      <w:r>
        <w:instrText xml:space="preserve"> PAGEREF _Toc536781888 \h </w:instrText>
      </w:r>
      <w:r>
        <w:fldChar w:fldCharType="separate"/>
      </w:r>
      <w:r>
        <w:t>32</w:t>
      </w:r>
      <w:r>
        <w:fldChar w:fldCharType="end"/>
      </w:r>
    </w:p>
    <w:p>
      <w:pPr>
        <w:pStyle w:val="TOC8"/>
        <w:rPr>
          <w:rFonts w:asciiTheme="minorHAnsi" w:eastAsiaTheme="minorEastAsia" w:hAnsiTheme="minorHAnsi" w:cstheme="minorBidi"/>
          <w:szCs w:val="22"/>
        </w:rPr>
      </w:pPr>
      <w:r>
        <w:t>4.</w:t>
      </w:r>
      <w:r>
        <w:tab/>
        <w:t>Sections 2A and 2B inserted</w:t>
      </w:r>
      <w:r>
        <w:tab/>
      </w:r>
      <w:r>
        <w:fldChar w:fldCharType="begin"/>
      </w:r>
      <w:r>
        <w:instrText xml:space="preserve"> PAGEREF _Toc536781889 \h </w:instrText>
      </w:r>
      <w:r>
        <w:fldChar w:fldCharType="separate"/>
      </w:r>
      <w:r>
        <w:t>34</w:t>
      </w:r>
      <w:r>
        <w:fldChar w:fldCharType="end"/>
      </w:r>
    </w:p>
    <w:p>
      <w:pPr>
        <w:pStyle w:val="TOC9"/>
        <w:rPr>
          <w:rFonts w:asciiTheme="minorHAnsi" w:eastAsiaTheme="minorEastAsia" w:hAnsiTheme="minorHAnsi" w:cstheme="minorBidi"/>
          <w:noProof/>
          <w:sz w:val="22"/>
          <w:szCs w:val="22"/>
        </w:rPr>
      </w:pPr>
      <w:r>
        <w:rPr>
          <w:noProof/>
        </w:rPr>
        <w:t>2A.</w:t>
      </w:r>
      <w:r>
        <w:rPr>
          <w:noProof/>
        </w:rPr>
        <w:tab/>
        <w:t>Meaning of AER modified</w:t>
      </w:r>
      <w:r>
        <w:rPr>
          <w:noProof/>
        </w:rPr>
        <w:tab/>
      </w:r>
      <w:r>
        <w:rPr>
          <w:noProof/>
        </w:rPr>
        <w:fldChar w:fldCharType="begin"/>
      </w:r>
      <w:r>
        <w:rPr>
          <w:noProof/>
        </w:rPr>
        <w:instrText xml:space="preserve"> PAGEREF _Toc536781890 \h </w:instrText>
      </w:r>
      <w:r>
        <w:rPr>
          <w:noProof/>
        </w:rPr>
      </w:r>
      <w:r>
        <w:rPr>
          <w:noProof/>
        </w:rPr>
        <w:fldChar w:fldCharType="separate"/>
      </w:r>
      <w:r>
        <w:rPr>
          <w:noProof/>
        </w:rPr>
        <w:t>34</w:t>
      </w:r>
      <w:r>
        <w:rPr>
          <w:noProof/>
        </w:rPr>
        <w:fldChar w:fldCharType="end"/>
      </w:r>
    </w:p>
    <w:p>
      <w:pPr>
        <w:pStyle w:val="TOC9"/>
        <w:rPr>
          <w:rFonts w:asciiTheme="minorHAnsi" w:eastAsiaTheme="minorEastAsia" w:hAnsiTheme="minorHAnsi" w:cstheme="minorBidi"/>
          <w:noProof/>
          <w:sz w:val="22"/>
          <w:szCs w:val="22"/>
        </w:rPr>
      </w:pPr>
      <w:r>
        <w:rPr>
          <w:noProof/>
        </w:rPr>
        <w:t>2B.</w:t>
      </w:r>
      <w:r>
        <w:rPr>
          <w:noProof/>
        </w:rPr>
        <w:tab/>
        <w:t>References to WA application Act</w:t>
      </w:r>
      <w:r>
        <w:rPr>
          <w:noProof/>
        </w:rPr>
        <w:tab/>
      </w:r>
      <w:r>
        <w:rPr>
          <w:noProof/>
        </w:rPr>
        <w:fldChar w:fldCharType="begin"/>
      </w:r>
      <w:r>
        <w:rPr>
          <w:noProof/>
        </w:rPr>
        <w:instrText xml:space="preserve"> PAGEREF _Toc536781891 \h </w:instrText>
      </w:r>
      <w:r>
        <w:rPr>
          <w:noProof/>
        </w:rPr>
      </w:r>
      <w:r>
        <w:rPr>
          <w:noProof/>
        </w:rPr>
        <w:fldChar w:fldCharType="separate"/>
      </w:r>
      <w:r>
        <w:rPr>
          <w:noProof/>
        </w:rPr>
        <w:t>34</w:t>
      </w:r>
      <w:r>
        <w:rPr>
          <w:noProof/>
        </w:rPr>
        <w:fldChar w:fldCharType="end"/>
      </w:r>
    </w:p>
    <w:p>
      <w:pPr>
        <w:pStyle w:val="TOC8"/>
        <w:rPr>
          <w:rFonts w:asciiTheme="minorHAnsi" w:eastAsiaTheme="minorEastAsia" w:hAnsiTheme="minorHAnsi" w:cstheme="minorBidi"/>
          <w:szCs w:val="22"/>
        </w:rPr>
      </w:pPr>
      <w:r>
        <w:t>5.</w:t>
      </w:r>
      <w:r>
        <w:tab/>
        <w:t>Chapter 1 Part 1A inserted</w:t>
      </w:r>
      <w:r>
        <w:tab/>
      </w:r>
      <w:r>
        <w:fldChar w:fldCharType="begin"/>
      </w:r>
      <w:r>
        <w:instrText xml:space="preserve"> PAGEREF _Toc536781892 \h </w:instrText>
      </w:r>
      <w:r>
        <w:fldChar w:fldCharType="separate"/>
      </w:r>
      <w:r>
        <w:t>35</w:t>
      </w:r>
      <w:r>
        <w:fldChar w:fldCharType="end"/>
      </w:r>
    </w:p>
    <w:p>
      <w:pPr>
        <w:pStyle w:val="TOC5"/>
        <w:tabs>
          <w:tab w:val="right" w:leader="dot" w:pos="7077"/>
        </w:tabs>
        <w:rPr>
          <w:rFonts w:asciiTheme="minorHAnsi" w:eastAsiaTheme="minorEastAsia" w:hAnsiTheme="minorHAnsi" w:cstheme="minorBidi"/>
          <w:b w:val="0"/>
          <w:sz w:val="22"/>
          <w:szCs w:val="22"/>
        </w:rPr>
      </w:pPr>
      <w:r>
        <w:t>Part 1A</w:t>
      </w:r>
      <w:r>
        <w:rPr>
          <w:b w:val="0"/>
        </w:rPr>
        <w:t> — </w:t>
      </w:r>
      <w:r>
        <w:t>Postponement of Natural Gas Services Bulletin Board provisions</w:t>
      </w:r>
    </w:p>
    <w:p>
      <w:pPr>
        <w:pStyle w:val="TOC9"/>
        <w:rPr>
          <w:rFonts w:asciiTheme="minorHAnsi" w:eastAsiaTheme="minorEastAsia" w:hAnsiTheme="minorHAnsi" w:cstheme="minorBidi"/>
          <w:noProof/>
          <w:sz w:val="22"/>
          <w:szCs w:val="22"/>
        </w:rPr>
      </w:pPr>
      <w:r>
        <w:rPr>
          <w:noProof/>
        </w:rPr>
        <w:t>20A.</w:t>
      </w:r>
      <w:r>
        <w:rPr>
          <w:noProof/>
        </w:rPr>
        <w:tab/>
        <w:t>Minister may fix day on which provisions apply</w:t>
      </w:r>
      <w:r>
        <w:rPr>
          <w:noProof/>
        </w:rPr>
        <w:tab/>
      </w:r>
      <w:r>
        <w:rPr>
          <w:noProof/>
        </w:rPr>
        <w:fldChar w:fldCharType="begin"/>
      </w:r>
      <w:r>
        <w:rPr>
          <w:noProof/>
        </w:rPr>
        <w:instrText xml:space="preserve"> PAGEREF _Toc536781894 \h </w:instrText>
      </w:r>
      <w:r>
        <w:rPr>
          <w:noProof/>
        </w:rPr>
      </w:r>
      <w:r>
        <w:rPr>
          <w:noProof/>
        </w:rPr>
        <w:fldChar w:fldCharType="separate"/>
      </w:r>
      <w:r>
        <w:rPr>
          <w:noProof/>
        </w:rPr>
        <w:t>35</w:t>
      </w:r>
      <w:r>
        <w:rPr>
          <w:noProof/>
        </w:rPr>
        <w:fldChar w:fldCharType="end"/>
      </w:r>
    </w:p>
    <w:p>
      <w:pPr>
        <w:pStyle w:val="TOC8"/>
        <w:rPr>
          <w:rFonts w:asciiTheme="minorHAnsi" w:eastAsiaTheme="minorEastAsia" w:hAnsiTheme="minorHAnsi" w:cstheme="minorBidi"/>
          <w:szCs w:val="22"/>
        </w:rPr>
      </w:pPr>
      <w:r>
        <w:t>6.</w:t>
      </w:r>
      <w:r>
        <w:tab/>
        <w:t>Section 29 modified</w:t>
      </w:r>
      <w:r>
        <w:tab/>
      </w:r>
      <w:r>
        <w:fldChar w:fldCharType="begin"/>
      </w:r>
      <w:r>
        <w:instrText xml:space="preserve"> PAGEREF _Toc536781895 \h </w:instrText>
      </w:r>
      <w:r>
        <w:fldChar w:fldCharType="separate"/>
      </w:r>
      <w:r>
        <w:t>35</w:t>
      </w:r>
      <w:r>
        <w:fldChar w:fldCharType="end"/>
      </w:r>
    </w:p>
    <w:p>
      <w:pPr>
        <w:pStyle w:val="TOC8"/>
        <w:rPr>
          <w:rFonts w:asciiTheme="minorHAnsi" w:eastAsiaTheme="minorEastAsia" w:hAnsiTheme="minorHAnsi" w:cstheme="minorBidi"/>
          <w:szCs w:val="22"/>
        </w:rPr>
      </w:pPr>
      <w:r>
        <w:t>7.</w:t>
      </w:r>
      <w:r>
        <w:tab/>
        <w:t>Section 30 modified</w:t>
      </w:r>
      <w:r>
        <w:tab/>
      </w:r>
      <w:r>
        <w:fldChar w:fldCharType="begin"/>
      </w:r>
      <w:r>
        <w:instrText xml:space="preserve"> PAGEREF _Toc536781896 \h </w:instrText>
      </w:r>
      <w:r>
        <w:fldChar w:fldCharType="separate"/>
      </w:r>
      <w:r>
        <w:t>35</w:t>
      </w:r>
      <w:r>
        <w:fldChar w:fldCharType="end"/>
      </w:r>
    </w:p>
    <w:p>
      <w:pPr>
        <w:pStyle w:val="TOC8"/>
        <w:rPr>
          <w:rFonts w:asciiTheme="minorHAnsi" w:eastAsiaTheme="minorEastAsia" w:hAnsiTheme="minorHAnsi" w:cstheme="minorBidi"/>
          <w:szCs w:val="22"/>
        </w:rPr>
      </w:pPr>
      <w:r>
        <w:t>8.</w:t>
      </w:r>
      <w:r>
        <w:tab/>
        <w:t>Chapter 2 Part 1A inserted</w:t>
      </w:r>
      <w:r>
        <w:tab/>
      </w:r>
      <w:r>
        <w:fldChar w:fldCharType="begin"/>
      </w:r>
      <w:r>
        <w:instrText xml:space="preserve"> PAGEREF _Toc536781897 \h </w:instrText>
      </w:r>
      <w:r>
        <w:fldChar w:fldCharType="separate"/>
      </w:r>
      <w:r>
        <w:t>36</w:t>
      </w:r>
      <w:r>
        <w:fldChar w:fldCharType="end"/>
      </w:r>
    </w:p>
    <w:p>
      <w:pPr>
        <w:pStyle w:val="TOC5"/>
        <w:tabs>
          <w:tab w:val="right" w:leader="dot" w:pos="7077"/>
        </w:tabs>
        <w:rPr>
          <w:rFonts w:asciiTheme="minorHAnsi" w:eastAsiaTheme="minorEastAsia" w:hAnsiTheme="minorHAnsi" w:cstheme="minorBidi"/>
          <w:b w:val="0"/>
          <w:sz w:val="22"/>
          <w:szCs w:val="22"/>
        </w:rPr>
      </w:pPr>
      <w:r>
        <w:t>Part 1A</w:t>
      </w:r>
      <w:r>
        <w:rPr>
          <w:b w:val="0"/>
        </w:rPr>
        <w:t> — </w:t>
      </w:r>
      <w:r>
        <w:t>Functions and powers of WA arbitrator</w:t>
      </w:r>
    </w:p>
    <w:p>
      <w:pPr>
        <w:pStyle w:val="TOC9"/>
        <w:rPr>
          <w:rFonts w:asciiTheme="minorHAnsi" w:eastAsiaTheme="minorEastAsia" w:hAnsiTheme="minorHAnsi" w:cstheme="minorBidi"/>
          <w:noProof/>
          <w:sz w:val="22"/>
          <w:szCs w:val="22"/>
        </w:rPr>
      </w:pPr>
      <w:r>
        <w:rPr>
          <w:noProof/>
        </w:rPr>
        <w:t>68A.</w:t>
      </w:r>
      <w:r>
        <w:rPr>
          <w:noProof/>
        </w:rPr>
        <w:tab/>
        <w:t>Manner in which WA arbitrator must perform or exercise certain functions or powers</w:t>
      </w:r>
      <w:r>
        <w:rPr>
          <w:noProof/>
        </w:rPr>
        <w:tab/>
      </w:r>
      <w:r>
        <w:rPr>
          <w:noProof/>
        </w:rPr>
        <w:fldChar w:fldCharType="begin"/>
      </w:r>
      <w:r>
        <w:rPr>
          <w:noProof/>
        </w:rPr>
        <w:instrText xml:space="preserve"> PAGEREF _Toc536781899 \h </w:instrText>
      </w:r>
      <w:r>
        <w:rPr>
          <w:noProof/>
        </w:rPr>
      </w:r>
      <w:r>
        <w:rPr>
          <w:noProof/>
        </w:rPr>
        <w:fldChar w:fldCharType="separate"/>
      </w:r>
      <w:r>
        <w:rPr>
          <w:noProof/>
        </w:rPr>
        <w:t>36</w:t>
      </w:r>
      <w:r>
        <w:rPr>
          <w:noProof/>
        </w:rPr>
        <w:fldChar w:fldCharType="end"/>
      </w:r>
    </w:p>
    <w:p>
      <w:pPr>
        <w:pStyle w:val="TOC8"/>
        <w:rPr>
          <w:rFonts w:asciiTheme="minorHAnsi" w:eastAsiaTheme="minorEastAsia" w:hAnsiTheme="minorHAnsi" w:cstheme="minorBidi"/>
          <w:szCs w:val="22"/>
        </w:rPr>
      </w:pPr>
      <w:r>
        <w:t>9.</w:t>
      </w:r>
      <w:r>
        <w:tab/>
        <w:t>Section 181A inserted</w:t>
      </w:r>
      <w:r>
        <w:tab/>
      </w:r>
      <w:r>
        <w:fldChar w:fldCharType="begin"/>
      </w:r>
      <w:r>
        <w:instrText xml:space="preserve"> PAGEREF _Toc536781900 \h </w:instrText>
      </w:r>
      <w:r>
        <w:fldChar w:fldCharType="separate"/>
      </w:r>
      <w:r>
        <w:t>37</w:t>
      </w:r>
      <w:r>
        <w:fldChar w:fldCharType="end"/>
      </w:r>
    </w:p>
    <w:p>
      <w:pPr>
        <w:pStyle w:val="TOC9"/>
        <w:rPr>
          <w:rFonts w:asciiTheme="minorHAnsi" w:eastAsiaTheme="minorEastAsia" w:hAnsiTheme="minorHAnsi" w:cstheme="minorBidi"/>
          <w:noProof/>
          <w:sz w:val="22"/>
          <w:szCs w:val="22"/>
        </w:rPr>
      </w:pPr>
      <w:r>
        <w:rPr>
          <w:noProof/>
        </w:rPr>
        <w:t>181A.</w:t>
      </w:r>
      <w:r>
        <w:rPr>
          <w:noProof/>
        </w:rPr>
        <w:tab/>
        <w:t>Providing information for certain disputes</w:t>
      </w:r>
      <w:r>
        <w:rPr>
          <w:noProof/>
        </w:rPr>
        <w:tab/>
      </w:r>
      <w:r>
        <w:rPr>
          <w:noProof/>
        </w:rPr>
        <w:fldChar w:fldCharType="begin"/>
      </w:r>
      <w:r>
        <w:rPr>
          <w:noProof/>
        </w:rPr>
        <w:instrText xml:space="preserve"> PAGEREF _Toc536781901 \h </w:instrText>
      </w:r>
      <w:r>
        <w:rPr>
          <w:noProof/>
        </w:rPr>
      </w:r>
      <w:r>
        <w:rPr>
          <w:noProof/>
        </w:rPr>
        <w:fldChar w:fldCharType="separate"/>
      </w:r>
      <w:r>
        <w:rPr>
          <w:noProof/>
        </w:rPr>
        <w:t>37</w:t>
      </w:r>
      <w:r>
        <w:rPr>
          <w:noProof/>
        </w:rPr>
        <w:fldChar w:fldCharType="end"/>
      </w:r>
    </w:p>
    <w:p>
      <w:pPr>
        <w:pStyle w:val="TOC8"/>
        <w:rPr>
          <w:rFonts w:asciiTheme="minorHAnsi" w:eastAsiaTheme="minorEastAsia" w:hAnsiTheme="minorHAnsi" w:cstheme="minorBidi"/>
          <w:szCs w:val="22"/>
        </w:rPr>
      </w:pPr>
      <w:r>
        <w:t>10.</w:t>
      </w:r>
      <w:r>
        <w:tab/>
        <w:t>Section 231 modified</w:t>
      </w:r>
      <w:r>
        <w:tab/>
      </w:r>
      <w:r>
        <w:fldChar w:fldCharType="begin"/>
      </w:r>
      <w:r>
        <w:instrText xml:space="preserve"> PAGEREF _Toc536781902 \h </w:instrText>
      </w:r>
      <w:r>
        <w:fldChar w:fldCharType="separate"/>
      </w:r>
      <w:r>
        <w:t>37</w:t>
      </w:r>
      <w:r>
        <w:fldChar w:fldCharType="end"/>
      </w:r>
    </w:p>
    <w:p>
      <w:pPr>
        <w:pStyle w:val="TOC8"/>
        <w:rPr>
          <w:rFonts w:asciiTheme="minorHAnsi" w:eastAsiaTheme="minorEastAsia" w:hAnsiTheme="minorHAnsi" w:cstheme="minorBidi"/>
          <w:szCs w:val="22"/>
        </w:rPr>
      </w:pPr>
      <w:r>
        <w:t>11.</w:t>
      </w:r>
      <w:r>
        <w:tab/>
        <w:t>Section 240 modified</w:t>
      </w:r>
      <w:r>
        <w:tab/>
      </w:r>
      <w:r>
        <w:fldChar w:fldCharType="begin"/>
      </w:r>
      <w:r>
        <w:instrText xml:space="preserve"> PAGEREF _Toc536781903 \h </w:instrText>
      </w:r>
      <w:r>
        <w:fldChar w:fldCharType="separate"/>
      </w:r>
      <w:r>
        <w:t>38</w:t>
      </w:r>
      <w:r>
        <w:fldChar w:fldCharType="end"/>
      </w:r>
    </w:p>
    <w:p>
      <w:pPr>
        <w:pStyle w:val="TOC8"/>
        <w:rPr>
          <w:rFonts w:asciiTheme="minorHAnsi" w:eastAsiaTheme="minorEastAsia" w:hAnsiTheme="minorHAnsi" w:cstheme="minorBidi"/>
          <w:szCs w:val="22"/>
        </w:rPr>
      </w:pPr>
      <w:r>
        <w:t>12.</w:t>
      </w:r>
      <w:r>
        <w:tab/>
        <w:t>Section 290 modified</w:t>
      </w:r>
      <w:r>
        <w:tab/>
      </w:r>
      <w:r>
        <w:fldChar w:fldCharType="begin"/>
      </w:r>
      <w:r>
        <w:instrText xml:space="preserve"> PAGEREF _Toc536781904 \h </w:instrText>
      </w:r>
      <w:r>
        <w:fldChar w:fldCharType="separate"/>
      </w:r>
      <w:r>
        <w:t>38</w:t>
      </w:r>
      <w:r>
        <w:fldChar w:fldCharType="end"/>
      </w:r>
    </w:p>
    <w:p>
      <w:pPr>
        <w:pStyle w:val="TOC8"/>
        <w:rPr>
          <w:rFonts w:asciiTheme="minorHAnsi" w:eastAsiaTheme="minorEastAsia" w:hAnsiTheme="minorHAnsi" w:cstheme="minorBidi"/>
          <w:szCs w:val="22"/>
        </w:rPr>
      </w:pPr>
      <w:r>
        <w:t>13.</w:t>
      </w:r>
      <w:r>
        <w:tab/>
        <w:t>Section 294 replaced</w:t>
      </w:r>
      <w:r>
        <w:tab/>
      </w:r>
      <w:r>
        <w:fldChar w:fldCharType="begin"/>
      </w:r>
      <w:r>
        <w:instrText xml:space="preserve"> PAGEREF _Toc536781905 \h </w:instrText>
      </w:r>
      <w:r>
        <w:fldChar w:fldCharType="separate"/>
      </w:r>
      <w:r>
        <w:t>38</w:t>
      </w:r>
      <w:r>
        <w:fldChar w:fldCharType="end"/>
      </w:r>
    </w:p>
    <w:p>
      <w:pPr>
        <w:pStyle w:val="TOC9"/>
        <w:rPr>
          <w:rFonts w:asciiTheme="minorHAnsi" w:eastAsiaTheme="minorEastAsia" w:hAnsiTheme="minorHAnsi" w:cstheme="minorBidi"/>
          <w:noProof/>
          <w:sz w:val="22"/>
          <w:szCs w:val="22"/>
        </w:rPr>
      </w:pPr>
      <w:r>
        <w:rPr>
          <w:noProof/>
        </w:rPr>
        <w:t>294.</w:t>
      </w:r>
      <w:r>
        <w:rPr>
          <w:noProof/>
        </w:rPr>
        <w:tab/>
        <w:t>Initial National Gas Rules for WA</w:t>
      </w:r>
      <w:r>
        <w:rPr>
          <w:noProof/>
        </w:rPr>
        <w:tab/>
      </w:r>
      <w:r>
        <w:rPr>
          <w:noProof/>
        </w:rPr>
        <w:fldChar w:fldCharType="begin"/>
      </w:r>
      <w:r>
        <w:rPr>
          <w:noProof/>
        </w:rPr>
        <w:instrText xml:space="preserve"> PAGEREF _Toc536781906 \h </w:instrText>
      </w:r>
      <w:r>
        <w:rPr>
          <w:noProof/>
        </w:rPr>
      </w:r>
      <w:r>
        <w:rPr>
          <w:noProof/>
        </w:rPr>
        <w:fldChar w:fldCharType="separate"/>
      </w:r>
      <w:r>
        <w:rPr>
          <w:noProof/>
        </w:rPr>
        <w:t>38</w:t>
      </w:r>
      <w:r>
        <w:rPr>
          <w:noProof/>
        </w:rPr>
        <w:fldChar w:fldCharType="end"/>
      </w:r>
    </w:p>
    <w:p>
      <w:pPr>
        <w:pStyle w:val="TOC8"/>
        <w:rPr>
          <w:rFonts w:asciiTheme="minorHAnsi" w:eastAsiaTheme="minorEastAsia" w:hAnsiTheme="minorHAnsi" w:cstheme="minorBidi"/>
          <w:szCs w:val="22"/>
        </w:rPr>
      </w:pPr>
      <w:r>
        <w:t>14.</w:t>
      </w:r>
      <w:r>
        <w:tab/>
        <w:t>Schedule 1 modified</w:t>
      </w:r>
      <w:r>
        <w:tab/>
      </w:r>
      <w:r>
        <w:fldChar w:fldCharType="begin"/>
      </w:r>
      <w:r>
        <w:instrText xml:space="preserve"> PAGEREF _Toc536781907 \h </w:instrText>
      </w:r>
      <w:r>
        <w:fldChar w:fldCharType="separate"/>
      </w:r>
      <w:r>
        <w:t>39</w:t>
      </w:r>
      <w:r>
        <w:fldChar w:fldCharType="end"/>
      </w:r>
    </w:p>
    <w:p>
      <w:pPr>
        <w:pStyle w:val="TOC8"/>
        <w:rPr>
          <w:rFonts w:asciiTheme="minorHAnsi" w:eastAsiaTheme="minorEastAsia" w:hAnsiTheme="minorHAnsi" w:cstheme="minorBidi"/>
          <w:szCs w:val="22"/>
        </w:rPr>
      </w:pPr>
      <w:r>
        <w:t>15.</w:t>
      </w:r>
      <w:r>
        <w:tab/>
        <w:t>Schedule 2 clause 27A inserted</w:t>
      </w:r>
      <w:r>
        <w:tab/>
      </w:r>
      <w:r>
        <w:fldChar w:fldCharType="begin"/>
      </w:r>
      <w:r>
        <w:instrText xml:space="preserve"> PAGEREF _Toc536781908 \h </w:instrText>
      </w:r>
      <w:r>
        <w:fldChar w:fldCharType="separate"/>
      </w:r>
      <w:r>
        <w:t>39</w:t>
      </w:r>
      <w:r>
        <w:fldChar w:fldCharType="end"/>
      </w:r>
    </w:p>
    <w:p>
      <w:pPr>
        <w:pStyle w:val="TOC9"/>
        <w:rPr>
          <w:rFonts w:asciiTheme="minorHAnsi" w:eastAsiaTheme="minorEastAsia" w:hAnsiTheme="minorHAnsi" w:cstheme="minorBidi"/>
          <w:noProof/>
          <w:sz w:val="22"/>
          <w:szCs w:val="22"/>
        </w:rPr>
      </w:pPr>
      <w:r>
        <w:rPr>
          <w:noProof/>
        </w:rPr>
        <w:t>27A.</w:t>
      </w:r>
      <w:r>
        <w:rPr>
          <w:noProof/>
        </w:rPr>
        <w:tab/>
        <w:t>WA modifications of clause 27</w:t>
      </w:r>
      <w:r>
        <w:rPr>
          <w:noProof/>
        </w:rPr>
        <w:tab/>
      </w:r>
      <w:r>
        <w:rPr>
          <w:noProof/>
        </w:rPr>
        <w:fldChar w:fldCharType="begin"/>
      </w:r>
      <w:r>
        <w:rPr>
          <w:noProof/>
        </w:rPr>
        <w:instrText xml:space="preserve"> PAGEREF _Toc536781909 \h </w:instrText>
      </w:r>
      <w:r>
        <w:rPr>
          <w:noProof/>
        </w:rPr>
      </w:r>
      <w:r>
        <w:rPr>
          <w:noProof/>
        </w:rPr>
        <w:fldChar w:fldCharType="separate"/>
      </w:r>
      <w:r>
        <w:rPr>
          <w:noProof/>
        </w:rPr>
        <w:t>39</w:t>
      </w:r>
      <w:r>
        <w:rPr>
          <w:noProof/>
        </w:rPr>
        <w:fldChar w:fldCharType="end"/>
      </w:r>
    </w:p>
    <w:p>
      <w:pPr>
        <w:pStyle w:val="TOC8"/>
        <w:rPr>
          <w:rFonts w:asciiTheme="minorHAnsi" w:eastAsiaTheme="minorEastAsia" w:hAnsiTheme="minorHAnsi" w:cstheme="minorBidi"/>
          <w:szCs w:val="22"/>
        </w:rPr>
      </w:pPr>
      <w:r>
        <w:t>16.</w:t>
      </w:r>
      <w:r>
        <w:tab/>
        <w:t>Schedule 2 clause 34 modified</w:t>
      </w:r>
      <w:r>
        <w:tab/>
      </w:r>
      <w:r>
        <w:fldChar w:fldCharType="begin"/>
      </w:r>
      <w:r>
        <w:instrText xml:space="preserve"> PAGEREF _Toc536781910 \h </w:instrText>
      </w:r>
      <w:r>
        <w:fldChar w:fldCharType="separate"/>
      </w:r>
      <w:r>
        <w:t>40</w:t>
      </w:r>
      <w:r>
        <w:fldChar w:fldCharType="end"/>
      </w:r>
    </w:p>
    <w:p>
      <w:pPr>
        <w:pStyle w:val="TOC8"/>
        <w:rPr>
          <w:rFonts w:asciiTheme="minorHAnsi" w:eastAsiaTheme="minorEastAsia" w:hAnsiTheme="minorHAnsi" w:cstheme="minorBidi"/>
          <w:szCs w:val="22"/>
        </w:rPr>
      </w:pPr>
      <w:r>
        <w:t>17.</w:t>
      </w:r>
      <w:r>
        <w:tab/>
        <w:t>Schedule 2 clause 50 replaced</w:t>
      </w:r>
      <w:r>
        <w:tab/>
      </w:r>
      <w:r>
        <w:fldChar w:fldCharType="begin"/>
      </w:r>
      <w:r>
        <w:instrText xml:space="preserve"> PAGEREF _Toc536781911 \h </w:instrText>
      </w:r>
      <w:r>
        <w:fldChar w:fldCharType="separate"/>
      </w:r>
      <w:r>
        <w:t>40</w:t>
      </w:r>
      <w:r>
        <w:fldChar w:fldCharType="end"/>
      </w:r>
    </w:p>
    <w:p>
      <w:pPr>
        <w:pStyle w:val="TOC9"/>
        <w:rPr>
          <w:rFonts w:asciiTheme="minorHAnsi" w:eastAsiaTheme="minorEastAsia" w:hAnsiTheme="minorHAnsi" w:cstheme="minorBidi"/>
          <w:noProof/>
          <w:sz w:val="22"/>
          <w:szCs w:val="22"/>
        </w:rPr>
      </w:pPr>
      <w:r>
        <w:rPr>
          <w:noProof/>
        </w:rPr>
        <w:t>50.</w:t>
      </w:r>
      <w:r>
        <w:rPr>
          <w:noProof/>
        </w:rPr>
        <w:tab/>
        <w:t>Attempts and incitement</w:t>
      </w:r>
      <w:r>
        <w:rPr>
          <w:noProof/>
        </w:rPr>
        <w:tab/>
      </w:r>
      <w:r>
        <w:rPr>
          <w:noProof/>
        </w:rPr>
        <w:fldChar w:fldCharType="begin"/>
      </w:r>
      <w:r>
        <w:rPr>
          <w:noProof/>
        </w:rPr>
        <w:instrText xml:space="preserve"> PAGEREF _Toc536781912 \h </w:instrText>
      </w:r>
      <w:r>
        <w:rPr>
          <w:noProof/>
        </w:rPr>
      </w:r>
      <w:r>
        <w:rPr>
          <w:noProof/>
        </w:rPr>
        <w:fldChar w:fldCharType="separate"/>
      </w:r>
      <w:r>
        <w:rPr>
          <w:noProof/>
        </w:rPr>
        <w:t>40</w:t>
      </w:r>
      <w:r>
        <w:rPr>
          <w:noProof/>
        </w:rPr>
        <w:fldChar w:fldCharType="end"/>
      </w:r>
    </w:p>
    <w:p>
      <w:pPr>
        <w:pStyle w:val="TOC8"/>
        <w:rPr>
          <w:rFonts w:asciiTheme="minorHAnsi" w:eastAsiaTheme="minorEastAsia" w:hAnsiTheme="minorHAnsi" w:cstheme="minorBidi"/>
          <w:szCs w:val="22"/>
        </w:rPr>
      </w:pPr>
      <w:r>
        <w:t>18.</w:t>
      </w:r>
      <w:r>
        <w:tab/>
        <w:t>Schedule 3 modified</w:t>
      </w:r>
      <w:r>
        <w:tab/>
      </w:r>
      <w:r>
        <w:fldChar w:fldCharType="begin"/>
      </w:r>
      <w:r>
        <w:instrText xml:space="preserve"> PAGEREF _Toc536781913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Notes about </w:t>
      </w:r>
      <w:r>
        <w:rPr>
          <w:i/>
          <w:iCs/>
        </w:rPr>
        <w:t>National Gas Access (WA) Act 2009</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_Toc536781915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Note — Western Australian National Gas Access Law text</w:t>
      </w:r>
    </w:p>
    <w:p>
      <w:pPr>
        <w:pStyle w:val="TOC2"/>
        <w:tabs>
          <w:tab w:val="right" w:leader="dot" w:pos="7077"/>
        </w:tabs>
        <w:rPr>
          <w:rFonts w:asciiTheme="minorHAnsi" w:eastAsiaTheme="minorEastAsia" w:hAnsiTheme="minorHAnsi" w:cstheme="minorBidi"/>
          <w:b w:val="0"/>
          <w:sz w:val="22"/>
          <w:szCs w:val="22"/>
        </w:rPr>
      </w:pPr>
      <w:r>
        <w:t>Chapter 1 —</w:t>
      </w:r>
      <w:r>
        <w:rPr>
          <w:color w:val="000000"/>
        </w:rPr>
        <w:t xml:space="preserve"> </w:t>
      </w:r>
      <w:r>
        <w:t>Preliminary</w:t>
      </w:r>
    </w:p>
    <w:p>
      <w:pPr>
        <w:pStyle w:val="TOC4"/>
        <w:tabs>
          <w:tab w:val="right" w:leader="dot" w:pos="7077"/>
        </w:tabs>
        <w:rPr>
          <w:rFonts w:asciiTheme="minorHAnsi" w:eastAsiaTheme="minorEastAsia" w:hAnsiTheme="minorHAnsi" w:cstheme="minorBidi"/>
          <w:b w:val="0"/>
          <w:szCs w:val="22"/>
        </w:rPr>
      </w:pPr>
      <w:r>
        <w:t>Part 1 —</w:t>
      </w:r>
      <w:r>
        <w:rPr>
          <w:color w:val="000000"/>
        </w:rPr>
        <w:t xml:space="preserve"> </w:t>
      </w:r>
      <w:r>
        <w:t>Citation and interpretation</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_Toc536781919 \h </w:instrText>
      </w:r>
      <w:r>
        <w:fldChar w:fldCharType="separate"/>
      </w:r>
      <w:r>
        <w:t>43</w:t>
      </w:r>
      <w:r>
        <w:fldChar w:fldCharType="end"/>
      </w:r>
    </w:p>
    <w:p>
      <w:pPr>
        <w:pStyle w:val="TOC8"/>
        <w:rPr>
          <w:rFonts w:asciiTheme="minorHAnsi" w:eastAsiaTheme="minorEastAsia" w:hAnsiTheme="minorHAnsi" w:cstheme="minorBidi"/>
          <w:szCs w:val="22"/>
        </w:rPr>
      </w:pPr>
      <w:r>
        <w:t>2.</w:t>
      </w:r>
      <w:r>
        <w:tab/>
        <w:t>Definitions</w:t>
      </w:r>
      <w:r>
        <w:tab/>
      </w:r>
      <w:r>
        <w:fldChar w:fldCharType="begin"/>
      </w:r>
      <w:r>
        <w:instrText xml:space="preserve"> PAGEREF _Toc536781920 \h </w:instrText>
      </w:r>
      <w:r>
        <w:fldChar w:fldCharType="separate"/>
      </w:r>
      <w:r>
        <w:t>43</w:t>
      </w:r>
      <w:r>
        <w:fldChar w:fldCharType="end"/>
      </w:r>
    </w:p>
    <w:p>
      <w:pPr>
        <w:pStyle w:val="TOC8"/>
        <w:rPr>
          <w:rFonts w:asciiTheme="minorHAnsi" w:eastAsiaTheme="minorEastAsia" w:hAnsiTheme="minorHAnsi" w:cstheme="minorBidi"/>
          <w:szCs w:val="22"/>
        </w:rPr>
      </w:pPr>
      <w:r>
        <w:t>2A.</w:t>
      </w:r>
      <w:r>
        <w:tab/>
        <w:t>Meaning of AER modified</w:t>
      </w:r>
      <w:r>
        <w:tab/>
      </w:r>
      <w:r>
        <w:fldChar w:fldCharType="begin"/>
      </w:r>
      <w:r>
        <w:instrText xml:space="preserve"> PAGEREF _Toc536781921 \h </w:instrText>
      </w:r>
      <w:r>
        <w:fldChar w:fldCharType="separate"/>
      </w:r>
      <w:r>
        <w:t>64</w:t>
      </w:r>
      <w:r>
        <w:fldChar w:fldCharType="end"/>
      </w:r>
    </w:p>
    <w:p>
      <w:pPr>
        <w:pStyle w:val="TOC8"/>
        <w:rPr>
          <w:rFonts w:asciiTheme="minorHAnsi" w:eastAsiaTheme="minorEastAsia" w:hAnsiTheme="minorHAnsi" w:cstheme="minorBidi"/>
          <w:szCs w:val="22"/>
        </w:rPr>
      </w:pPr>
      <w:r>
        <w:t>2B.</w:t>
      </w:r>
      <w:r>
        <w:tab/>
        <w:t>References to WA application Act</w:t>
      </w:r>
      <w:r>
        <w:tab/>
      </w:r>
      <w:r>
        <w:fldChar w:fldCharType="begin"/>
      </w:r>
      <w:r>
        <w:instrText xml:space="preserve"> PAGEREF _Toc536781922 \h </w:instrText>
      </w:r>
      <w:r>
        <w:fldChar w:fldCharType="separate"/>
      </w:r>
      <w:r>
        <w:t>64</w:t>
      </w:r>
      <w:r>
        <w:fldChar w:fldCharType="end"/>
      </w:r>
    </w:p>
    <w:p>
      <w:pPr>
        <w:pStyle w:val="TOC8"/>
        <w:rPr>
          <w:rFonts w:asciiTheme="minorHAnsi" w:eastAsiaTheme="minorEastAsia" w:hAnsiTheme="minorHAnsi" w:cstheme="minorBidi"/>
          <w:szCs w:val="22"/>
        </w:rPr>
      </w:pPr>
      <w:r>
        <w:t>3.</w:t>
      </w:r>
      <w:r>
        <w:tab/>
        <w:t>Meaning of civil penalty provision</w:t>
      </w:r>
      <w:r>
        <w:tab/>
      </w:r>
      <w:r>
        <w:fldChar w:fldCharType="begin"/>
      </w:r>
      <w:r>
        <w:instrText xml:space="preserve"> PAGEREF _Toc536781923 \h </w:instrText>
      </w:r>
      <w:r>
        <w:fldChar w:fldCharType="separate"/>
      </w:r>
      <w:r>
        <w:t>64</w:t>
      </w:r>
      <w:r>
        <w:fldChar w:fldCharType="end"/>
      </w:r>
    </w:p>
    <w:p>
      <w:pPr>
        <w:pStyle w:val="TOC8"/>
        <w:rPr>
          <w:rFonts w:asciiTheme="minorHAnsi" w:eastAsiaTheme="minorEastAsia" w:hAnsiTheme="minorHAnsi" w:cstheme="minorBidi"/>
          <w:szCs w:val="22"/>
        </w:rPr>
      </w:pPr>
      <w:r>
        <w:t>4.</w:t>
      </w:r>
      <w:r>
        <w:tab/>
        <w:t>Meaning of conduct provision</w:t>
      </w:r>
      <w:r>
        <w:tab/>
      </w:r>
      <w:r>
        <w:fldChar w:fldCharType="begin"/>
      </w:r>
      <w:r>
        <w:instrText xml:space="preserve"> PAGEREF _Toc536781924 \h </w:instrText>
      </w:r>
      <w:r>
        <w:fldChar w:fldCharType="separate"/>
      </w:r>
      <w:r>
        <w:t>65</w:t>
      </w:r>
      <w:r>
        <w:fldChar w:fldCharType="end"/>
      </w:r>
    </w:p>
    <w:p>
      <w:pPr>
        <w:pStyle w:val="TOC8"/>
        <w:rPr>
          <w:rFonts w:asciiTheme="minorHAnsi" w:eastAsiaTheme="minorEastAsia" w:hAnsiTheme="minorHAnsi" w:cstheme="minorBidi"/>
          <w:szCs w:val="22"/>
        </w:rPr>
      </w:pPr>
      <w:r>
        <w:t>5.</w:t>
      </w:r>
      <w:r>
        <w:tab/>
        <w:t>Meaning of prospective user</w:t>
      </w:r>
      <w:r>
        <w:tab/>
      </w:r>
      <w:r>
        <w:fldChar w:fldCharType="begin"/>
      </w:r>
      <w:r>
        <w:instrText xml:space="preserve"> PAGEREF _Toc536781925 \h </w:instrText>
      </w:r>
      <w:r>
        <w:fldChar w:fldCharType="separate"/>
      </w:r>
      <w:r>
        <w:t>66</w:t>
      </w:r>
      <w:r>
        <w:fldChar w:fldCharType="end"/>
      </w:r>
    </w:p>
    <w:p>
      <w:pPr>
        <w:pStyle w:val="TOC8"/>
        <w:rPr>
          <w:rFonts w:asciiTheme="minorHAnsi" w:eastAsiaTheme="minorEastAsia" w:hAnsiTheme="minorHAnsi" w:cstheme="minorBidi"/>
          <w:szCs w:val="22"/>
        </w:rPr>
      </w:pPr>
      <w:r>
        <w:t>6.</w:t>
      </w:r>
      <w:r>
        <w:tab/>
        <w:t>Meaning of regulatory obligation or requirement</w:t>
      </w:r>
      <w:r>
        <w:tab/>
      </w:r>
      <w:r>
        <w:fldChar w:fldCharType="begin"/>
      </w:r>
      <w:r>
        <w:instrText xml:space="preserve"> PAGEREF _Toc536781926 \h </w:instrText>
      </w:r>
      <w:r>
        <w:fldChar w:fldCharType="separate"/>
      </w:r>
      <w:r>
        <w:t>66</w:t>
      </w:r>
      <w:r>
        <w:fldChar w:fldCharType="end"/>
      </w:r>
    </w:p>
    <w:p>
      <w:pPr>
        <w:pStyle w:val="TOC8"/>
        <w:rPr>
          <w:rFonts w:asciiTheme="minorHAnsi" w:eastAsiaTheme="minorEastAsia" w:hAnsiTheme="minorHAnsi" w:cstheme="minorBidi"/>
          <w:szCs w:val="22"/>
        </w:rPr>
      </w:pPr>
      <w:r>
        <w:t>7.</w:t>
      </w:r>
      <w:r>
        <w:tab/>
        <w:t>Meaning of regulatory payment</w:t>
      </w:r>
      <w:r>
        <w:tab/>
      </w:r>
      <w:r>
        <w:fldChar w:fldCharType="begin"/>
      </w:r>
      <w:r>
        <w:instrText xml:space="preserve"> PAGEREF _Toc536781927 \h </w:instrText>
      </w:r>
      <w:r>
        <w:fldChar w:fldCharType="separate"/>
      </w:r>
      <w:r>
        <w:t>68</w:t>
      </w:r>
      <w:r>
        <w:fldChar w:fldCharType="end"/>
      </w:r>
    </w:p>
    <w:p>
      <w:pPr>
        <w:pStyle w:val="TOC8"/>
        <w:rPr>
          <w:rFonts w:asciiTheme="minorHAnsi" w:eastAsiaTheme="minorEastAsia" w:hAnsiTheme="minorHAnsi" w:cstheme="minorBidi"/>
          <w:szCs w:val="22"/>
        </w:rPr>
      </w:pPr>
      <w:r>
        <w:t>8.</w:t>
      </w:r>
      <w:r>
        <w:tab/>
        <w:t>Meaning of service provider</w:t>
      </w:r>
      <w:r>
        <w:tab/>
      </w:r>
      <w:r>
        <w:fldChar w:fldCharType="begin"/>
      </w:r>
      <w:r>
        <w:instrText xml:space="preserve"> PAGEREF _Toc536781928 \h </w:instrText>
      </w:r>
      <w:r>
        <w:fldChar w:fldCharType="separate"/>
      </w:r>
      <w:r>
        <w:t>68</w:t>
      </w:r>
      <w:r>
        <w:fldChar w:fldCharType="end"/>
      </w:r>
    </w:p>
    <w:p>
      <w:pPr>
        <w:pStyle w:val="TOC8"/>
        <w:rPr>
          <w:rFonts w:asciiTheme="minorHAnsi" w:eastAsiaTheme="minorEastAsia" w:hAnsiTheme="minorHAnsi" w:cstheme="minorBidi"/>
          <w:szCs w:val="22"/>
        </w:rPr>
      </w:pPr>
      <w:r>
        <w:t>9.</w:t>
      </w:r>
      <w:r>
        <w:tab/>
        <w:t>Passive owners of scheme pipelines deemed to provide or intend to provide pipeline services</w:t>
      </w:r>
      <w:r>
        <w:tab/>
      </w:r>
      <w:r>
        <w:fldChar w:fldCharType="begin"/>
      </w:r>
      <w:r>
        <w:instrText xml:space="preserve"> PAGEREF _Toc536781929 \h </w:instrText>
      </w:r>
      <w:r>
        <w:fldChar w:fldCharType="separate"/>
      </w:r>
      <w:r>
        <w:t>69</w:t>
      </w:r>
      <w:r>
        <w:fldChar w:fldCharType="end"/>
      </w:r>
    </w:p>
    <w:p>
      <w:pPr>
        <w:pStyle w:val="TOC8"/>
        <w:rPr>
          <w:rFonts w:asciiTheme="minorHAnsi" w:eastAsiaTheme="minorEastAsia" w:hAnsiTheme="minorHAnsi" w:cstheme="minorBidi"/>
          <w:szCs w:val="22"/>
        </w:rPr>
      </w:pPr>
      <w:r>
        <w:t>10.</w:t>
      </w:r>
      <w:r>
        <w:tab/>
        <w:t>Things done by 1 service provider to be treated as being done by all of service provider group</w:t>
      </w:r>
      <w:r>
        <w:tab/>
      </w:r>
      <w:r>
        <w:fldChar w:fldCharType="begin"/>
      </w:r>
      <w:r>
        <w:instrText xml:space="preserve"> PAGEREF _Toc536781930 \h </w:instrText>
      </w:r>
      <w:r>
        <w:fldChar w:fldCharType="separate"/>
      </w:r>
      <w:r>
        <w:t>69</w:t>
      </w:r>
      <w:r>
        <w:fldChar w:fldCharType="end"/>
      </w:r>
    </w:p>
    <w:p>
      <w:pPr>
        <w:pStyle w:val="TOC8"/>
        <w:rPr>
          <w:rFonts w:asciiTheme="minorHAnsi" w:eastAsiaTheme="minorEastAsia" w:hAnsiTheme="minorHAnsi" w:cstheme="minorBidi"/>
          <w:szCs w:val="22"/>
        </w:rPr>
      </w:pPr>
      <w:r>
        <w:t>11.</w:t>
      </w:r>
      <w:r>
        <w:tab/>
        <w:t>Local agents of foreign service providers</w:t>
      </w:r>
      <w:r>
        <w:tab/>
      </w:r>
      <w:r>
        <w:fldChar w:fldCharType="begin"/>
      </w:r>
      <w:r>
        <w:instrText xml:space="preserve"> PAGEREF _Toc536781931 \h </w:instrText>
      </w:r>
      <w:r>
        <w:fldChar w:fldCharType="separate"/>
      </w:r>
      <w:r>
        <w:t>70</w:t>
      </w:r>
      <w:r>
        <w:fldChar w:fldCharType="end"/>
      </w:r>
    </w:p>
    <w:p>
      <w:pPr>
        <w:pStyle w:val="TOC8"/>
        <w:rPr>
          <w:rFonts w:asciiTheme="minorHAnsi" w:eastAsiaTheme="minorEastAsia" w:hAnsiTheme="minorHAnsi" w:cstheme="minorBidi"/>
          <w:szCs w:val="22"/>
        </w:rPr>
      </w:pPr>
      <w:r>
        <w:t>12</w:t>
      </w:r>
      <w:r>
        <w:rPr>
          <w:bCs/>
        </w:rPr>
        <w:t>.</w:t>
      </w:r>
      <w:r>
        <w:rPr>
          <w:bCs/>
        </w:rPr>
        <w:tab/>
      </w:r>
      <w:r>
        <w:t>Commissioning of a pipeline</w:t>
      </w:r>
      <w:r>
        <w:tab/>
      </w:r>
      <w:r>
        <w:fldChar w:fldCharType="begin"/>
      </w:r>
      <w:r>
        <w:instrText xml:space="preserve"> PAGEREF _Toc536781932 \h </w:instrText>
      </w:r>
      <w:r>
        <w:fldChar w:fldCharType="separate"/>
      </w:r>
      <w:r>
        <w:t>70</w:t>
      </w:r>
      <w:r>
        <w:fldChar w:fldCharType="end"/>
      </w:r>
    </w:p>
    <w:p>
      <w:pPr>
        <w:pStyle w:val="TOC8"/>
        <w:rPr>
          <w:rFonts w:asciiTheme="minorHAnsi" w:eastAsiaTheme="minorEastAsia" w:hAnsiTheme="minorHAnsi" w:cstheme="minorBidi"/>
          <w:szCs w:val="22"/>
        </w:rPr>
      </w:pPr>
      <w:r>
        <w:t>13</w:t>
      </w:r>
      <w:r>
        <w:rPr>
          <w:bCs/>
        </w:rPr>
        <w:t>.</w:t>
      </w:r>
      <w:r>
        <w:rPr>
          <w:bCs/>
        </w:rPr>
        <w:tab/>
      </w:r>
      <w:r>
        <w:t>Pipeline classification criterion</w:t>
      </w:r>
      <w:r>
        <w:tab/>
      </w:r>
      <w:r>
        <w:fldChar w:fldCharType="begin"/>
      </w:r>
      <w:r>
        <w:instrText xml:space="preserve"> PAGEREF _Toc536781933 \h </w:instrText>
      </w:r>
      <w:r>
        <w:fldChar w:fldCharType="separate"/>
      </w:r>
      <w:r>
        <w:t>71</w:t>
      </w:r>
      <w:r>
        <w:fldChar w:fldCharType="end"/>
      </w:r>
    </w:p>
    <w:p>
      <w:pPr>
        <w:pStyle w:val="TOC8"/>
        <w:rPr>
          <w:rFonts w:asciiTheme="minorHAnsi" w:eastAsiaTheme="minorEastAsia" w:hAnsiTheme="minorHAnsi" w:cstheme="minorBidi"/>
          <w:szCs w:val="22"/>
        </w:rPr>
      </w:pPr>
      <w:r>
        <w:t>14.</w:t>
      </w:r>
      <w:r>
        <w:rPr>
          <w:bCs/>
        </w:rPr>
        <w:tab/>
      </w:r>
      <w:r>
        <w:t>Jurisdictional determination criteria—cross boundary distribution pipelines</w:t>
      </w:r>
      <w:r>
        <w:tab/>
      </w:r>
      <w:r>
        <w:fldChar w:fldCharType="begin"/>
      </w:r>
      <w:r>
        <w:instrText xml:space="preserve"> PAGEREF _Toc536781934 \h </w:instrText>
      </w:r>
      <w:r>
        <w:fldChar w:fldCharType="separate"/>
      </w:r>
      <w:r>
        <w:t>72</w:t>
      </w:r>
      <w:r>
        <w:fldChar w:fldCharType="end"/>
      </w:r>
    </w:p>
    <w:p>
      <w:pPr>
        <w:pStyle w:val="TOC8"/>
        <w:rPr>
          <w:rFonts w:asciiTheme="minorHAnsi" w:eastAsiaTheme="minorEastAsia" w:hAnsiTheme="minorHAnsi" w:cstheme="minorBidi"/>
          <w:szCs w:val="22"/>
        </w:rPr>
      </w:pPr>
      <w:r>
        <w:t>15.</w:t>
      </w:r>
      <w:r>
        <w:tab/>
        <w:t>Pipeline coverage criteria</w:t>
      </w:r>
      <w:r>
        <w:tab/>
      </w:r>
      <w:r>
        <w:fldChar w:fldCharType="begin"/>
      </w:r>
      <w:r>
        <w:instrText xml:space="preserve"> PAGEREF _Toc536781935 \h </w:instrText>
      </w:r>
      <w:r>
        <w:fldChar w:fldCharType="separate"/>
      </w:r>
      <w:r>
        <w:t>72</w:t>
      </w:r>
      <w:r>
        <w:fldChar w:fldCharType="end"/>
      </w:r>
    </w:p>
    <w:p>
      <w:pPr>
        <w:pStyle w:val="TOC8"/>
        <w:rPr>
          <w:rFonts w:asciiTheme="minorHAnsi" w:eastAsiaTheme="minorEastAsia" w:hAnsiTheme="minorHAnsi" w:cstheme="minorBidi"/>
          <w:szCs w:val="22"/>
        </w:rPr>
      </w:pPr>
      <w:r>
        <w:t>16.</w:t>
      </w:r>
      <w:r>
        <w:tab/>
        <w:t>Form of regulation factors</w:t>
      </w:r>
      <w:r>
        <w:tab/>
      </w:r>
      <w:r>
        <w:fldChar w:fldCharType="begin"/>
      </w:r>
      <w:r>
        <w:instrText xml:space="preserve"> PAGEREF _Toc536781936 \h </w:instrText>
      </w:r>
      <w:r>
        <w:fldChar w:fldCharType="separate"/>
      </w:r>
      <w:r>
        <w:t>73</w:t>
      </w:r>
      <w:r>
        <w:fldChar w:fldCharType="end"/>
      </w:r>
    </w:p>
    <w:p>
      <w:pPr>
        <w:pStyle w:val="TOC8"/>
        <w:rPr>
          <w:rFonts w:asciiTheme="minorHAnsi" w:eastAsiaTheme="minorEastAsia" w:hAnsiTheme="minorHAnsi" w:cstheme="minorBidi"/>
          <w:szCs w:val="22"/>
        </w:rPr>
      </w:pPr>
      <w:r>
        <w:t>17</w:t>
      </w:r>
      <w:r>
        <w:rPr>
          <w:bCs/>
        </w:rPr>
        <w:t>.</w:t>
      </w:r>
      <w:r>
        <w:rPr>
          <w:bCs/>
        </w:rPr>
        <w:tab/>
      </w:r>
      <w:r>
        <w:t>Effect of separate and consolidated access arrangements in certain cases</w:t>
      </w:r>
      <w:r>
        <w:tab/>
      </w:r>
      <w:r>
        <w:fldChar w:fldCharType="begin"/>
      </w:r>
      <w:r>
        <w:instrText xml:space="preserve"> PAGEREF _Toc536781937 \h </w:instrText>
      </w:r>
      <w:r>
        <w:fldChar w:fldCharType="separate"/>
      </w:r>
      <w:r>
        <w:t>74</w:t>
      </w:r>
      <w:r>
        <w:fldChar w:fldCharType="end"/>
      </w:r>
    </w:p>
    <w:p>
      <w:pPr>
        <w:pStyle w:val="TOC8"/>
        <w:rPr>
          <w:rFonts w:asciiTheme="minorHAnsi" w:eastAsiaTheme="minorEastAsia" w:hAnsiTheme="minorHAnsi" w:cstheme="minorBidi"/>
          <w:szCs w:val="22"/>
        </w:rPr>
      </w:pPr>
      <w:r>
        <w:t>18.</w:t>
      </w:r>
      <w:r>
        <w:tab/>
        <w:t>Certain extensions to, or expansion of the capacity of, pipelines to be taken to be part of a covered pipeline</w:t>
      </w:r>
      <w:r>
        <w:tab/>
      </w:r>
      <w:r>
        <w:fldChar w:fldCharType="begin"/>
      </w:r>
      <w:r>
        <w:instrText xml:space="preserve"> PAGEREF _Toc536781938 \h </w:instrText>
      </w:r>
      <w:r>
        <w:fldChar w:fldCharType="separate"/>
      </w:r>
      <w:r>
        <w:t>75</w:t>
      </w:r>
      <w:r>
        <w:fldChar w:fldCharType="end"/>
      </w:r>
    </w:p>
    <w:p>
      <w:pPr>
        <w:pStyle w:val="TOC8"/>
        <w:rPr>
          <w:rFonts w:asciiTheme="minorHAnsi" w:eastAsiaTheme="minorEastAsia" w:hAnsiTheme="minorHAnsi" w:cstheme="minorBidi"/>
          <w:szCs w:val="22"/>
        </w:rPr>
      </w:pPr>
      <w:r>
        <w:t>19</w:t>
      </w:r>
      <w:r>
        <w:rPr>
          <w:bCs/>
        </w:rPr>
        <w:t>.</w:t>
      </w:r>
      <w:r>
        <w:rPr>
          <w:bCs/>
        </w:rPr>
        <w:tab/>
      </w:r>
      <w:r>
        <w:t>Expansions of and extensions to covered pipeline by which light regulation services are provided</w:t>
      </w:r>
      <w:r>
        <w:tab/>
      </w:r>
      <w:r>
        <w:fldChar w:fldCharType="begin"/>
      </w:r>
      <w:r>
        <w:instrText xml:space="preserve"> PAGEREF _Toc536781939 \h </w:instrText>
      </w:r>
      <w:r>
        <w:fldChar w:fldCharType="separate"/>
      </w:r>
      <w:r>
        <w:t>75</w:t>
      </w:r>
      <w:r>
        <w:fldChar w:fldCharType="end"/>
      </w:r>
    </w:p>
    <w:p>
      <w:pPr>
        <w:pStyle w:val="TOC8"/>
        <w:rPr>
          <w:rFonts w:asciiTheme="minorHAnsi" w:eastAsiaTheme="minorEastAsia" w:hAnsiTheme="minorHAnsi" w:cstheme="minorBidi"/>
          <w:szCs w:val="22"/>
        </w:rPr>
      </w:pPr>
      <w:r>
        <w:t>20.</w:t>
      </w:r>
      <w:r>
        <w:tab/>
        <w:t>Interpretation generally</w:t>
      </w:r>
      <w:r>
        <w:tab/>
      </w:r>
      <w:r>
        <w:fldChar w:fldCharType="begin"/>
      </w:r>
      <w:r>
        <w:instrText xml:space="preserve"> PAGEREF _Toc536781940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Part 1A</w:t>
      </w:r>
      <w:r>
        <w:rPr>
          <w:color w:val="000000"/>
        </w:rPr>
        <w:t xml:space="preserve"> </w:t>
      </w:r>
      <w:r>
        <w:t>—</w:t>
      </w:r>
      <w:r>
        <w:rPr>
          <w:color w:val="000000"/>
        </w:rPr>
        <w:t xml:space="preserve"> </w:t>
      </w:r>
      <w:r>
        <w:t>Postponement of Natural Gas Services Bulletin Board provisions</w:t>
      </w:r>
    </w:p>
    <w:p>
      <w:pPr>
        <w:pStyle w:val="TOC8"/>
        <w:rPr>
          <w:rFonts w:asciiTheme="minorHAnsi" w:eastAsiaTheme="minorEastAsia" w:hAnsiTheme="minorHAnsi" w:cstheme="minorBidi"/>
          <w:szCs w:val="22"/>
        </w:rPr>
      </w:pPr>
      <w:r>
        <w:t>20A</w:t>
      </w:r>
      <w:r>
        <w:rPr>
          <w:bCs/>
        </w:rPr>
        <w:t>.</w:t>
      </w:r>
      <w:r>
        <w:rPr>
          <w:bCs/>
        </w:rPr>
        <w:tab/>
      </w:r>
      <w:r>
        <w:t>Minister may fix day on which provisions apply</w:t>
      </w:r>
      <w:r>
        <w:tab/>
      </w:r>
      <w:r>
        <w:fldChar w:fldCharType="begin"/>
      </w:r>
      <w:r>
        <w:instrText xml:space="preserve"> PAGEREF _Toc536781942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Part 2</w:t>
      </w:r>
      <w:r>
        <w:rPr>
          <w:color w:val="000000"/>
        </w:rPr>
        <w:t xml:space="preserve"> — </w:t>
      </w:r>
      <w:r>
        <w:t>Participating jurisdictions</w:t>
      </w:r>
    </w:p>
    <w:p>
      <w:pPr>
        <w:pStyle w:val="TOC8"/>
        <w:rPr>
          <w:rFonts w:asciiTheme="minorHAnsi" w:eastAsiaTheme="minorEastAsia" w:hAnsiTheme="minorHAnsi" w:cstheme="minorBidi"/>
          <w:szCs w:val="22"/>
        </w:rPr>
      </w:pPr>
      <w:r>
        <w:t>21.</w:t>
      </w:r>
      <w:r>
        <w:tab/>
        <w:t>Participating jurisdictions</w:t>
      </w:r>
      <w:r>
        <w:tab/>
      </w:r>
      <w:r>
        <w:fldChar w:fldCharType="begin"/>
      </w:r>
      <w:r>
        <w:instrText xml:space="preserve"> PAGEREF _Toc536781944 \h </w:instrText>
      </w:r>
      <w:r>
        <w:fldChar w:fldCharType="separate"/>
      </w:r>
      <w:r>
        <w:t>76</w:t>
      </w:r>
      <w:r>
        <w:fldChar w:fldCharType="end"/>
      </w:r>
    </w:p>
    <w:p>
      <w:pPr>
        <w:pStyle w:val="TOC8"/>
        <w:rPr>
          <w:rFonts w:asciiTheme="minorHAnsi" w:eastAsiaTheme="minorEastAsia" w:hAnsiTheme="minorHAnsi" w:cstheme="minorBidi"/>
          <w:szCs w:val="22"/>
        </w:rPr>
      </w:pPr>
      <w:r>
        <w:t>22</w:t>
      </w:r>
      <w:r>
        <w:rPr>
          <w:bCs/>
        </w:rPr>
        <w:t>.</w:t>
      </w:r>
      <w:r>
        <w:rPr>
          <w:bCs/>
        </w:rPr>
        <w:tab/>
      </w:r>
      <w:r>
        <w:t>Ministers of participating jurisdictions</w:t>
      </w:r>
      <w:r>
        <w:tab/>
      </w:r>
      <w:r>
        <w:fldChar w:fldCharType="begin"/>
      </w:r>
      <w:r>
        <w:instrText xml:space="preserve"> PAGEREF _Toc536781945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Part 3</w:t>
      </w:r>
      <w:r>
        <w:rPr>
          <w:color w:val="000000"/>
        </w:rPr>
        <w:t xml:space="preserve"> — </w:t>
      </w:r>
      <w:r>
        <w:t>National gas objective and principles</w:t>
      </w:r>
    </w:p>
    <w:p>
      <w:pPr>
        <w:pStyle w:val="TOC6"/>
        <w:tabs>
          <w:tab w:val="right" w:leader="dot" w:pos="7077"/>
        </w:tabs>
        <w:rPr>
          <w:rFonts w:asciiTheme="minorHAnsi" w:eastAsiaTheme="minorEastAsia" w:hAnsiTheme="minorHAnsi" w:cstheme="minorBidi"/>
          <w:b w:val="0"/>
          <w:sz w:val="22"/>
          <w:szCs w:val="22"/>
        </w:rPr>
      </w:pPr>
      <w:r>
        <w:t>Division 1 — National gas objective</w:t>
      </w:r>
    </w:p>
    <w:p>
      <w:pPr>
        <w:pStyle w:val="TOC8"/>
        <w:rPr>
          <w:rFonts w:asciiTheme="minorHAnsi" w:eastAsiaTheme="minorEastAsia" w:hAnsiTheme="minorHAnsi" w:cstheme="minorBidi"/>
          <w:szCs w:val="22"/>
        </w:rPr>
      </w:pPr>
      <w:r>
        <w:t>23.</w:t>
      </w:r>
      <w:r>
        <w:tab/>
        <w:t>National gas objective</w:t>
      </w:r>
      <w:r>
        <w:tab/>
      </w:r>
      <w:r>
        <w:fldChar w:fldCharType="begin"/>
      </w:r>
      <w:r>
        <w:instrText xml:space="preserve"> PAGEREF _Toc536781948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Division 2 — Revenue and pricing principles</w:t>
      </w:r>
    </w:p>
    <w:p>
      <w:pPr>
        <w:pStyle w:val="TOC8"/>
        <w:rPr>
          <w:rFonts w:asciiTheme="minorHAnsi" w:eastAsiaTheme="minorEastAsia" w:hAnsiTheme="minorHAnsi" w:cstheme="minorBidi"/>
          <w:szCs w:val="22"/>
        </w:rPr>
      </w:pPr>
      <w:r>
        <w:t>24</w:t>
      </w:r>
      <w:r>
        <w:rPr>
          <w:bCs/>
        </w:rPr>
        <w:t>.</w:t>
      </w:r>
      <w:r>
        <w:rPr>
          <w:bCs/>
        </w:rPr>
        <w:tab/>
      </w:r>
      <w:r>
        <w:t>Revenue and pricing principles</w:t>
      </w:r>
      <w:r>
        <w:tab/>
      </w:r>
      <w:r>
        <w:fldChar w:fldCharType="begin"/>
      </w:r>
      <w:r>
        <w:instrText xml:space="preserve"> PAGEREF _Toc536781950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Division 3 — MCE policy principles</w:t>
      </w:r>
    </w:p>
    <w:p>
      <w:pPr>
        <w:pStyle w:val="TOC8"/>
        <w:rPr>
          <w:rFonts w:asciiTheme="minorHAnsi" w:eastAsiaTheme="minorEastAsia" w:hAnsiTheme="minorHAnsi" w:cstheme="minorBidi"/>
          <w:szCs w:val="22"/>
        </w:rPr>
      </w:pPr>
      <w:r>
        <w:t>25</w:t>
      </w:r>
      <w:r>
        <w:rPr>
          <w:bCs/>
        </w:rPr>
        <w:t>.</w:t>
      </w:r>
      <w:r>
        <w:rPr>
          <w:bCs/>
        </w:rPr>
        <w:tab/>
      </w:r>
      <w:r>
        <w:t>MCE statements of policy principles</w:t>
      </w:r>
      <w:r>
        <w:tab/>
      </w:r>
      <w:r>
        <w:fldChar w:fldCharType="begin"/>
      </w:r>
      <w:r>
        <w:instrText xml:space="preserve"> PAGEREF _Toc536781952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Part 4 — Operation and effect of National Gas Rules</w:t>
      </w:r>
    </w:p>
    <w:p>
      <w:pPr>
        <w:pStyle w:val="TOC8"/>
        <w:rPr>
          <w:rFonts w:asciiTheme="minorHAnsi" w:eastAsiaTheme="minorEastAsia" w:hAnsiTheme="minorHAnsi" w:cstheme="minorBidi"/>
          <w:szCs w:val="22"/>
        </w:rPr>
      </w:pPr>
      <w:r>
        <w:t>26.</w:t>
      </w:r>
      <w:r>
        <w:tab/>
        <w:t>National Gas Rules to have force of law</w:t>
      </w:r>
      <w:r>
        <w:tab/>
      </w:r>
      <w:r>
        <w:fldChar w:fldCharType="begin"/>
      </w:r>
      <w:r>
        <w:instrText xml:space="preserve"> PAGEREF _Toc536781954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Chapter 2 — Functions and powers of gas market regulatory entities</w:t>
      </w:r>
    </w:p>
    <w:p>
      <w:pPr>
        <w:pStyle w:val="TOC4"/>
        <w:tabs>
          <w:tab w:val="right" w:leader="dot" w:pos="7077"/>
        </w:tabs>
        <w:rPr>
          <w:rFonts w:asciiTheme="minorHAnsi" w:eastAsiaTheme="minorEastAsia" w:hAnsiTheme="minorHAnsi" w:cstheme="minorBidi"/>
          <w:b w:val="0"/>
          <w:szCs w:val="22"/>
        </w:rPr>
      </w:pPr>
      <w:r>
        <w:t>Part 1 — Functions and powers of the Australian Energy Regulator</w:t>
      </w:r>
    </w:p>
    <w:p>
      <w:pPr>
        <w:pStyle w:val="TOC6"/>
        <w:tabs>
          <w:tab w:val="right" w:leader="dot" w:pos="7077"/>
        </w:tabs>
        <w:rPr>
          <w:rFonts w:asciiTheme="minorHAnsi" w:eastAsiaTheme="minorEastAsia" w:hAnsiTheme="minorHAnsi" w:cstheme="minorBidi"/>
          <w:b w:val="0"/>
          <w:sz w:val="22"/>
          <w:szCs w:val="22"/>
        </w:rPr>
      </w:pPr>
      <w:r>
        <w:t>Division 1 — General</w:t>
      </w:r>
    </w:p>
    <w:p>
      <w:pPr>
        <w:pStyle w:val="TOC8"/>
        <w:rPr>
          <w:rFonts w:asciiTheme="minorHAnsi" w:eastAsiaTheme="minorEastAsia" w:hAnsiTheme="minorHAnsi" w:cstheme="minorBidi"/>
          <w:szCs w:val="22"/>
        </w:rPr>
      </w:pPr>
      <w:r>
        <w:t>27.</w:t>
      </w:r>
      <w:r>
        <w:rPr>
          <w:bCs/>
        </w:rPr>
        <w:tab/>
      </w:r>
      <w:r>
        <w:t>Functions and powers of the AER</w:t>
      </w:r>
      <w:r>
        <w:tab/>
      </w:r>
      <w:r>
        <w:fldChar w:fldCharType="begin"/>
      </w:r>
      <w:r>
        <w:instrText xml:space="preserve"> PAGEREF _Toc536781958 \h </w:instrText>
      </w:r>
      <w:r>
        <w:fldChar w:fldCharType="separate"/>
      </w:r>
      <w:r>
        <w:t>80</w:t>
      </w:r>
      <w:r>
        <w:fldChar w:fldCharType="end"/>
      </w:r>
    </w:p>
    <w:p>
      <w:pPr>
        <w:pStyle w:val="TOC8"/>
        <w:rPr>
          <w:rFonts w:asciiTheme="minorHAnsi" w:eastAsiaTheme="minorEastAsia" w:hAnsiTheme="minorHAnsi" w:cstheme="minorBidi"/>
          <w:szCs w:val="22"/>
        </w:rPr>
      </w:pPr>
      <w:r>
        <w:t>28.</w:t>
      </w:r>
      <w:r>
        <w:tab/>
        <w:t>Manner in which AER must perform or exercise AER economic regulatory functions or powers</w:t>
      </w:r>
      <w:r>
        <w:tab/>
      </w:r>
      <w:r>
        <w:fldChar w:fldCharType="begin"/>
      </w:r>
      <w:r>
        <w:instrText xml:space="preserve"> PAGEREF _Toc536781959 \h </w:instrText>
      </w:r>
      <w:r>
        <w:fldChar w:fldCharType="separate"/>
      </w:r>
      <w:r>
        <w:t>81</w:t>
      </w:r>
      <w:r>
        <w:fldChar w:fldCharType="end"/>
      </w:r>
    </w:p>
    <w:p>
      <w:pPr>
        <w:pStyle w:val="TOC8"/>
        <w:rPr>
          <w:rFonts w:asciiTheme="minorHAnsi" w:eastAsiaTheme="minorEastAsia" w:hAnsiTheme="minorHAnsi" w:cstheme="minorBidi"/>
          <w:szCs w:val="22"/>
        </w:rPr>
      </w:pPr>
      <w:r>
        <w:t>29.</w:t>
      </w:r>
      <w:r>
        <w:tab/>
        <w:t>Delegations</w:t>
      </w:r>
      <w:r>
        <w:tab/>
      </w:r>
      <w:r>
        <w:fldChar w:fldCharType="begin"/>
      </w:r>
      <w:r>
        <w:instrText xml:space="preserve"> PAGEREF _Toc536781960 \h </w:instrText>
      </w:r>
      <w:r>
        <w:fldChar w:fldCharType="separate"/>
      </w:r>
      <w:r>
        <w:t>83</w:t>
      </w:r>
      <w:r>
        <w:fldChar w:fldCharType="end"/>
      </w:r>
    </w:p>
    <w:p>
      <w:pPr>
        <w:pStyle w:val="TOC8"/>
        <w:rPr>
          <w:rFonts w:asciiTheme="minorHAnsi" w:eastAsiaTheme="minorEastAsia" w:hAnsiTheme="minorHAnsi" w:cstheme="minorBidi"/>
          <w:szCs w:val="22"/>
        </w:rPr>
      </w:pPr>
      <w:r>
        <w:t>30.</w:t>
      </w:r>
      <w:r>
        <w:tab/>
        <w:t>Confidentiality</w:t>
      </w:r>
      <w:r>
        <w:tab/>
      </w:r>
      <w:r>
        <w:fldChar w:fldCharType="begin"/>
      </w:r>
      <w:r>
        <w:instrText xml:space="preserve"> PAGEREF _Toc536781961 \h </w:instrText>
      </w:r>
      <w:r>
        <w:fldChar w:fldCharType="separate"/>
      </w:r>
      <w:r>
        <w:t>83</w:t>
      </w:r>
      <w:r>
        <w:fldChar w:fldCharType="end"/>
      </w:r>
    </w:p>
    <w:p>
      <w:pPr>
        <w:pStyle w:val="TOC6"/>
        <w:tabs>
          <w:tab w:val="right" w:leader="dot" w:pos="7077"/>
        </w:tabs>
        <w:rPr>
          <w:rFonts w:asciiTheme="minorHAnsi" w:eastAsiaTheme="minorEastAsia" w:hAnsiTheme="minorHAnsi" w:cstheme="minorBidi"/>
          <w:b w:val="0"/>
          <w:sz w:val="22"/>
          <w:szCs w:val="22"/>
        </w:rPr>
      </w:pPr>
      <w:r>
        <w:t>Division 2 — Search warrants</w:t>
      </w:r>
    </w:p>
    <w:p>
      <w:pPr>
        <w:pStyle w:val="TOC8"/>
        <w:rPr>
          <w:rFonts w:asciiTheme="minorHAnsi" w:eastAsiaTheme="minorEastAsia" w:hAnsiTheme="minorHAnsi" w:cstheme="minorBidi"/>
          <w:szCs w:val="22"/>
        </w:rPr>
      </w:pPr>
      <w:r>
        <w:t>31.</w:t>
      </w:r>
      <w:r>
        <w:tab/>
        <w:t>Definitions</w:t>
      </w:r>
      <w:r>
        <w:tab/>
      </w:r>
      <w:r>
        <w:fldChar w:fldCharType="begin"/>
      </w:r>
      <w:r>
        <w:instrText xml:space="preserve"> PAGEREF _Toc536781963 \h </w:instrText>
      </w:r>
      <w:r>
        <w:fldChar w:fldCharType="separate"/>
      </w:r>
      <w:r>
        <w:t>84</w:t>
      </w:r>
      <w:r>
        <w:fldChar w:fldCharType="end"/>
      </w:r>
    </w:p>
    <w:p>
      <w:pPr>
        <w:pStyle w:val="TOC8"/>
        <w:rPr>
          <w:rFonts w:asciiTheme="minorHAnsi" w:eastAsiaTheme="minorEastAsia" w:hAnsiTheme="minorHAnsi" w:cstheme="minorBidi"/>
          <w:szCs w:val="22"/>
        </w:rPr>
      </w:pPr>
      <w:r>
        <w:t>32.</w:t>
      </w:r>
      <w:r>
        <w:tab/>
        <w:t>Authorised person</w:t>
      </w:r>
      <w:r>
        <w:tab/>
      </w:r>
      <w:r>
        <w:fldChar w:fldCharType="begin"/>
      </w:r>
      <w:r>
        <w:instrText xml:space="preserve"> PAGEREF _Toc536781964 \h </w:instrText>
      </w:r>
      <w:r>
        <w:fldChar w:fldCharType="separate"/>
      </w:r>
      <w:r>
        <w:t>84</w:t>
      </w:r>
      <w:r>
        <w:fldChar w:fldCharType="end"/>
      </w:r>
    </w:p>
    <w:p>
      <w:pPr>
        <w:pStyle w:val="TOC8"/>
        <w:rPr>
          <w:rFonts w:asciiTheme="minorHAnsi" w:eastAsiaTheme="minorEastAsia" w:hAnsiTheme="minorHAnsi" w:cstheme="minorBidi"/>
          <w:szCs w:val="22"/>
        </w:rPr>
      </w:pPr>
      <w:r>
        <w:t>33.</w:t>
      </w:r>
      <w:r>
        <w:tab/>
        <w:t>Identity cards</w:t>
      </w:r>
      <w:r>
        <w:tab/>
      </w:r>
      <w:r>
        <w:fldChar w:fldCharType="begin"/>
      </w:r>
      <w:r>
        <w:instrText xml:space="preserve"> PAGEREF _Toc536781965 \h </w:instrText>
      </w:r>
      <w:r>
        <w:fldChar w:fldCharType="separate"/>
      </w:r>
      <w:r>
        <w:t>85</w:t>
      </w:r>
      <w:r>
        <w:fldChar w:fldCharType="end"/>
      </w:r>
    </w:p>
    <w:p>
      <w:pPr>
        <w:pStyle w:val="TOC8"/>
        <w:rPr>
          <w:rFonts w:asciiTheme="minorHAnsi" w:eastAsiaTheme="minorEastAsia" w:hAnsiTheme="minorHAnsi" w:cstheme="minorBidi"/>
          <w:szCs w:val="22"/>
        </w:rPr>
      </w:pPr>
      <w:r>
        <w:t>34.</w:t>
      </w:r>
      <w:r>
        <w:tab/>
        <w:t>Return of identity cards</w:t>
      </w:r>
      <w:r>
        <w:tab/>
      </w:r>
      <w:r>
        <w:fldChar w:fldCharType="begin"/>
      </w:r>
      <w:r>
        <w:instrText xml:space="preserve"> PAGEREF _Toc536781966 \h </w:instrText>
      </w:r>
      <w:r>
        <w:fldChar w:fldCharType="separate"/>
      </w:r>
      <w:r>
        <w:t>85</w:t>
      </w:r>
      <w:r>
        <w:fldChar w:fldCharType="end"/>
      </w:r>
    </w:p>
    <w:p>
      <w:pPr>
        <w:pStyle w:val="TOC8"/>
        <w:rPr>
          <w:rFonts w:asciiTheme="minorHAnsi" w:eastAsiaTheme="minorEastAsia" w:hAnsiTheme="minorHAnsi" w:cstheme="minorBidi"/>
          <w:szCs w:val="22"/>
        </w:rPr>
      </w:pPr>
      <w:r>
        <w:t>35.</w:t>
      </w:r>
      <w:r>
        <w:tab/>
        <w:t>Search warrant</w:t>
      </w:r>
      <w:r>
        <w:tab/>
      </w:r>
      <w:r>
        <w:fldChar w:fldCharType="begin"/>
      </w:r>
      <w:r>
        <w:instrText xml:space="preserve"> PAGEREF _Toc536781967 \h </w:instrText>
      </w:r>
      <w:r>
        <w:fldChar w:fldCharType="separate"/>
      </w:r>
      <w:r>
        <w:t>85</w:t>
      </w:r>
      <w:r>
        <w:fldChar w:fldCharType="end"/>
      </w:r>
    </w:p>
    <w:p>
      <w:pPr>
        <w:pStyle w:val="TOC8"/>
        <w:rPr>
          <w:rFonts w:asciiTheme="minorHAnsi" w:eastAsiaTheme="minorEastAsia" w:hAnsiTheme="minorHAnsi" w:cstheme="minorBidi"/>
          <w:szCs w:val="22"/>
        </w:rPr>
      </w:pPr>
      <w:r>
        <w:t>36.</w:t>
      </w:r>
      <w:r>
        <w:tab/>
        <w:t>Announcement of entry and details of warrant to be given to occupier or other person at premises</w:t>
      </w:r>
      <w:r>
        <w:tab/>
      </w:r>
      <w:r>
        <w:fldChar w:fldCharType="begin"/>
      </w:r>
      <w:r>
        <w:instrText xml:space="preserve"> PAGEREF _Toc536781968 \h </w:instrText>
      </w:r>
      <w:r>
        <w:fldChar w:fldCharType="separate"/>
      </w:r>
      <w:r>
        <w:t>87</w:t>
      </w:r>
      <w:r>
        <w:fldChar w:fldCharType="end"/>
      </w:r>
    </w:p>
    <w:p>
      <w:pPr>
        <w:pStyle w:val="TOC8"/>
        <w:rPr>
          <w:rFonts w:asciiTheme="minorHAnsi" w:eastAsiaTheme="minorEastAsia" w:hAnsiTheme="minorHAnsi" w:cstheme="minorBidi"/>
          <w:szCs w:val="22"/>
        </w:rPr>
      </w:pPr>
      <w:r>
        <w:t>37.</w:t>
      </w:r>
      <w:r>
        <w:tab/>
        <w:t>Immediate entry permitted in certain cases</w:t>
      </w:r>
      <w:r>
        <w:tab/>
      </w:r>
      <w:r>
        <w:fldChar w:fldCharType="begin"/>
      </w:r>
      <w:r>
        <w:instrText xml:space="preserve"> PAGEREF _Toc536781969 \h </w:instrText>
      </w:r>
      <w:r>
        <w:fldChar w:fldCharType="separate"/>
      </w:r>
      <w:r>
        <w:t>87</w:t>
      </w:r>
      <w:r>
        <w:fldChar w:fldCharType="end"/>
      </w:r>
    </w:p>
    <w:p>
      <w:pPr>
        <w:pStyle w:val="TOC8"/>
        <w:rPr>
          <w:rFonts w:asciiTheme="minorHAnsi" w:eastAsiaTheme="minorEastAsia" w:hAnsiTheme="minorHAnsi" w:cstheme="minorBidi"/>
          <w:szCs w:val="22"/>
        </w:rPr>
      </w:pPr>
      <w:r>
        <w:t>38.</w:t>
      </w:r>
      <w:r>
        <w:tab/>
        <w:t>Copies of seized documents</w:t>
      </w:r>
      <w:r>
        <w:tab/>
      </w:r>
      <w:r>
        <w:fldChar w:fldCharType="begin"/>
      </w:r>
      <w:r>
        <w:instrText xml:space="preserve"> PAGEREF _Toc536781970 \h </w:instrText>
      </w:r>
      <w:r>
        <w:fldChar w:fldCharType="separate"/>
      </w:r>
      <w:r>
        <w:t>88</w:t>
      </w:r>
      <w:r>
        <w:fldChar w:fldCharType="end"/>
      </w:r>
    </w:p>
    <w:p>
      <w:pPr>
        <w:pStyle w:val="TOC8"/>
        <w:rPr>
          <w:rFonts w:asciiTheme="minorHAnsi" w:eastAsiaTheme="minorEastAsia" w:hAnsiTheme="minorHAnsi" w:cstheme="minorBidi"/>
          <w:szCs w:val="22"/>
        </w:rPr>
      </w:pPr>
      <w:r>
        <w:t>39.</w:t>
      </w:r>
      <w:r>
        <w:tab/>
        <w:t>Retention and return of seized documents or things</w:t>
      </w:r>
      <w:r>
        <w:tab/>
      </w:r>
      <w:r>
        <w:fldChar w:fldCharType="begin"/>
      </w:r>
      <w:r>
        <w:instrText xml:space="preserve"> PAGEREF _Toc536781971 \h </w:instrText>
      </w:r>
      <w:r>
        <w:fldChar w:fldCharType="separate"/>
      </w:r>
      <w:r>
        <w:t>88</w:t>
      </w:r>
      <w:r>
        <w:fldChar w:fldCharType="end"/>
      </w:r>
    </w:p>
    <w:p>
      <w:pPr>
        <w:pStyle w:val="TOC8"/>
        <w:rPr>
          <w:rFonts w:asciiTheme="minorHAnsi" w:eastAsiaTheme="minorEastAsia" w:hAnsiTheme="minorHAnsi" w:cstheme="minorBidi"/>
          <w:szCs w:val="22"/>
        </w:rPr>
      </w:pPr>
      <w:r>
        <w:t>40.</w:t>
      </w:r>
      <w:r>
        <w:tab/>
        <w:t>Extension of period of retention of documents or things seized</w:t>
      </w:r>
      <w:r>
        <w:tab/>
      </w:r>
      <w:r>
        <w:fldChar w:fldCharType="begin"/>
      </w:r>
      <w:r>
        <w:instrText xml:space="preserve"> PAGEREF _Toc536781972 \h </w:instrText>
      </w:r>
      <w:r>
        <w:fldChar w:fldCharType="separate"/>
      </w:r>
      <w:r>
        <w:t>89</w:t>
      </w:r>
      <w:r>
        <w:fldChar w:fldCharType="end"/>
      </w:r>
    </w:p>
    <w:p>
      <w:pPr>
        <w:pStyle w:val="TOC8"/>
        <w:rPr>
          <w:rFonts w:asciiTheme="minorHAnsi" w:eastAsiaTheme="minorEastAsia" w:hAnsiTheme="minorHAnsi" w:cstheme="minorBidi"/>
          <w:szCs w:val="22"/>
        </w:rPr>
      </w:pPr>
      <w:r>
        <w:t>41.</w:t>
      </w:r>
      <w:r>
        <w:tab/>
        <w:t>Obstruction of persons authorised to enter</w:t>
      </w:r>
      <w:r>
        <w:tab/>
      </w:r>
      <w:r>
        <w:fldChar w:fldCharType="begin"/>
      </w:r>
      <w:r>
        <w:instrText xml:space="preserve"> PAGEREF _Toc536781973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Division 3 — General information gathering powers</w:t>
      </w:r>
    </w:p>
    <w:p>
      <w:pPr>
        <w:pStyle w:val="TOC8"/>
        <w:rPr>
          <w:rFonts w:asciiTheme="minorHAnsi" w:eastAsiaTheme="minorEastAsia" w:hAnsiTheme="minorHAnsi" w:cstheme="minorBidi"/>
          <w:szCs w:val="22"/>
        </w:rPr>
      </w:pPr>
      <w:r>
        <w:t>42.</w:t>
      </w:r>
      <w:r>
        <w:tab/>
        <w:t>Power to obtain information and documents in relation to performance and exercise of functions and powers</w:t>
      </w:r>
      <w:r>
        <w:tab/>
      </w:r>
      <w:r>
        <w:fldChar w:fldCharType="begin"/>
      </w:r>
      <w:r>
        <w:instrText xml:space="preserve"> PAGEREF _Toc536781975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Division 4 — Regulatory information notices and general regulatory information orders</w:t>
      </w:r>
    </w:p>
    <w:p>
      <w:pPr>
        <w:pStyle w:val="TOC6"/>
        <w:tabs>
          <w:tab w:val="right" w:leader="dot" w:pos="7077"/>
        </w:tabs>
        <w:rPr>
          <w:rFonts w:asciiTheme="minorHAnsi" w:eastAsiaTheme="minorEastAsia" w:hAnsiTheme="minorHAnsi" w:cstheme="minorBidi"/>
          <w:b w:val="0"/>
          <w:sz w:val="22"/>
          <w:szCs w:val="22"/>
        </w:rPr>
      </w:pPr>
      <w:r>
        <w:t>Subdivision 1 — Interpretation</w:t>
      </w:r>
    </w:p>
    <w:p>
      <w:pPr>
        <w:pStyle w:val="TOC8"/>
        <w:rPr>
          <w:rFonts w:asciiTheme="minorHAnsi" w:eastAsiaTheme="minorEastAsia" w:hAnsiTheme="minorHAnsi" w:cstheme="minorBidi"/>
          <w:szCs w:val="22"/>
        </w:rPr>
      </w:pPr>
      <w:r>
        <w:t>43.</w:t>
      </w:r>
      <w:r>
        <w:tab/>
        <w:t>Definitions</w:t>
      </w:r>
      <w:r>
        <w:tab/>
      </w:r>
      <w:r>
        <w:fldChar w:fldCharType="begin"/>
      </w:r>
      <w:r>
        <w:instrText xml:space="preserve"> PAGEREF _Toc536781978 \h </w:instrText>
      </w:r>
      <w:r>
        <w:fldChar w:fldCharType="separate"/>
      </w:r>
      <w:r>
        <w:t>92</w:t>
      </w:r>
      <w:r>
        <w:fldChar w:fldCharType="end"/>
      </w:r>
    </w:p>
    <w:p>
      <w:pPr>
        <w:pStyle w:val="TOC8"/>
        <w:rPr>
          <w:rFonts w:asciiTheme="minorHAnsi" w:eastAsiaTheme="minorEastAsia" w:hAnsiTheme="minorHAnsi" w:cstheme="minorBidi"/>
          <w:szCs w:val="22"/>
        </w:rPr>
      </w:pPr>
      <w:r>
        <w:t>44.</w:t>
      </w:r>
      <w:r>
        <w:tab/>
        <w:t>Meaning of contributing service</w:t>
      </w:r>
      <w:r>
        <w:tab/>
      </w:r>
      <w:r>
        <w:fldChar w:fldCharType="begin"/>
      </w:r>
      <w:r>
        <w:instrText xml:space="preserve"> PAGEREF _Toc536781979 \h </w:instrText>
      </w:r>
      <w:r>
        <w:fldChar w:fldCharType="separate"/>
      </w:r>
      <w:r>
        <w:t>93</w:t>
      </w:r>
      <w:r>
        <w:fldChar w:fldCharType="end"/>
      </w:r>
    </w:p>
    <w:p>
      <w:pPr>
        <w:pStyle w:val="TOC8"/>
        <w:rPr>
          <w:rFonts w:asciiTheme="minorHAnsi" w:eastAsiaTheme="minorEastAsia" w:hAnsiTheme="minorHAnsi" w:cstheme="minorBidi"/>
          <w:szCs w:val="22"/>
        </w:rPr>
      </w:pPr>
      <w:r>
        <w:t>45.</w:t>
      </w:r>
      <w:r>
        <w:tab/>
        <w:t>Meaning of general regulatory information order</w:t>
      </w:r>
      <w:r>
        <w:tab/>
      </w:r>
      <w:r>
        <w:fldChar w:fldCharType="begin"/>
      </w:r>
      <w:r>
        <w:instrText xml:space="preserve"> PAGEREF _Toc536781980 \h </w:instrText>
      </w:r>
      <w:r>
        <w:fldChar w:fldCharType="separate"/>
      </w:r>
      <w:r>
        <w:t>94</w:t>
      </w:r>
      <w:r>
        <w:fldChar w:fldCharType="end"/>
      </w:r>
    </w:p>
    <w:p>
      <w:pPr>
        <w:pStyle w:val="TOC8"/>
        <w:rPr>
          <w:rFonts w:asciiTheme="minorHAnsi" w:eastAsiaTheme="minorEastAsia" w:hAnsiTheme="minorHAnsi" w:cstheme="minorBidi"/>
          <w:szCs w:val="22"/>
        </w:rPr>
      </w:pPr>
      <w:r>
        <w:t>46.</w:t>
      </w:r>
      <w:r>
        <w:tab/>
        <w:t>Meaning of regulatory information notice</w:t>
      </w:r>
      <w:r>
        <w:tab/>
      </w:r>
      <w:r>
        <w:fldChar w:fldCharType="begin"/>
      </w:r>
      <w:r>
        <w:instrText xml:space="preserve"> PAGEREF _Toc536781981 \h </w:instrText>
      </w:r>
      <w:r>
        <w:fldChar w:fldCharType="separate"/>
      </w:r>
      <w:r>
        <w:t>94</w:t>
      </w:r>
      <w:r>
        <w:fldChar w:fldCharType="end"/>
      </w:r>
    </w:p>
    <w:p>
      <w:pPr>
        <w:pStyle w:val="TOC8"/>
        <w:rPr>
          <w:rFonts w:asciiTheme="minorHAnsi" w:eastAsiaTheme="minorEastAsia" w:hAnsiTheme="minorHAnsi" w:cstheme="minorBidi"/>
          <w:szCs w:val="22"/>
        </w:rPr>
      </w:pPr>
      <w:r>
        <w:t>47.</w:t>
      </w:r>
      <w:r>
        <w:tab/>
        <w:t>Division does not limit operation of information gathering powers under Division 3</w:t>
      </w:r>
      <w:r>
        <w:tab/>
      </w:r>
      <w:r>
        <w:fldChar w:fldCharType="begin"/>
      </w:r>
      <w:r>
        <w:instrText xml:space="preserve"> PAGEREF _Toc536781982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Subdivision 2 — Serving and making of regulatory information instruments</w:t>
      </w:r>
    </w:p>
    <w:p>
      <w:pPr>
        <w:pStyle w:val="TOC8"/>
        <w:rPr>
          <w:rFonts w:asciiTheme="minorHAnsi" w:eastAsiaTheme="minorEastAsia" w:hAnsiTheme="minorHAnsi" w:cstheme="minorBidi"/>
          <w:szCs w:val="22"/>
        </w:rPr>
      </w:pPr>
      <w:r>
        <w:t>48.</w:t>
      </w:r>
      <w:r>
        <w:tab/>
        <w:t>Service and making of regulatory information instrument</w:t>
      </w:r>
      <w:r>
        <w:tab/>
      </w:r>
      <w:r>
        <w:fldChar w:fldCharType="begin"/>
      </w:r>
      <w:r>
        <w:instrText xml:space="preserve"> PAGEREF _Toc536781984 \h </w:instrText>
      </w:r>
      <w:r>
        <w:fldChar w:fldCharType="separate"/>
      </w:r>
      <w:r>
        <w:t>95</w:t>
      </w:r>
      <w:r>
        <w:fldChar w:fldCharType="end"/>
      </w:r>
    </w:p>
    <w:p>
      <w:pPr>
        <w:pStyle w:val="TOC8"/>
        <w:rPr>
          <w:rFonts w:asciiTheme="minorHAnsi" w:eastAsiaTheme="minorEastAsia" w:hAnsiTheme="minorHAnsi" w:cstheme="minorBidi"/>
          <w:szCs w:val="22"/>
        </w:rPr>
      </w:pPr>
      <w:r>
        <w:t>49.</w:t>
      </w:r>
      <w:r>
        <w:tab/>
        <w:t>Additional matters to be considered for related provider regulatory information instruments</w:t>
      </w:r>
      <w:r>
        <w:tab/>
      </w:r>
      <w:r>
        <w:fldChar w:fldCharType="begin"/>
      </w:r>
      <w:r>
        <w:instrText xml:space="preserve"> PAGEREF _Toc536781985 \h </w:instrText>
      </w:r>
      <w:r>
        <w:fldChar w:fldCharType="separate"/>
      </w:r>
      <w:r>
        <w:t>96</w:t>
      </w:r>
      <w:r>
        <w:fldChar w:fldCharType="end"/>
      </w:r>
    </w:p>
    <w:p>
      <w:pPr>
        <w:pStyle w:val="TOC8"/>
        <w:rPr>
          <w:rFonts w:asciiTheme="minorHAnsi" w:eastAsiaTheme="minorEastAsia" w:hAnsiTheme="minorHAnsi" w:cstheme="minorBidi"/>
          <w:szCs w:val="22"/>
        </w:rPr>
      </w:pPr>
      <w:r>
        <w:t>50.</w:t>
      </w:r>
      <w:r>
        <w:tab/>
        <w:t>AER must consult before publishing a general regulatory information order</w:t>
      </w:r>
      <w:r>
        <w:tab/>
      </w:r>
      <w:r>
        <w:fldChar w:fldCharType="begin"/>
      </w:r>
      <w:r>
        <w:instrText xml:space="preserve"> PAGEREF _Toc536781986 \h </w:instrText>
      </w:r>
      <w:r>
        <w:fldChar w:fldCharType="separate"/>
      </w:r>
      <w:r>
        <w:t>98</w:t>
      </w:r>
      <w:r>
        <w:fldChar w:fldCharType="end"/>
      </w:r>
    </w:p>
    <w:p>
      <w:pPr>
        <w:pStyle w:val="TOC8"/>
        <w:rPr>
          <w:rFonts w:asciiTheme="minorHAnsi" w:eastAsiaTheme="minorEastAsia" w:hAnsiTheme="minorHAnsi" w:cstheme="minorBidi"/>
          <w:szCs w:val="22"/>
        </w:rPr>
      </w:pPr>
      <w:r>
        <w:t>51.</w:t>
      </w:r>
      <w:r>
        <w:tab/>
        <w:t>Publication requirements for general regulatory information orders</w:t>
      </w:r>
      <w:r>
        <w:tab/>
      </w:r>
      <w:r>
        <w:fldChar w:fldCharType="begin"/>
      </w:r>
      <w:r>
        <w:instrText xml:space="preserve"> PAGEREF _Toc536781987 \h </w:instrText>
      </w:r>
      <w:r>
        <w:fldChar w:fldCharType="separate"/>
      </w:r>
      <w:r>
        <w:t>98</w:t>
      </w:r>
      <w:r>
        <w:fldChar w:fldCharType="end"/>
      </w:r>
    </w:p>
    <w:p>
      <w:pPr>
        <w:pStyle w:val="TOC8"/>
        <w:rPr>
          <w:rFonts w:asciiTheme="minorHAnsi" w:eastAsiaTheme="minorEastAsia" w:hAnsiTheme="minorHAnsi" w:cstheme="minorBidi"/>
          <w:szCs w:val="22"/>
        </w:rPr>
      </w:pPr>
      <w:r>
        <w:t>52.</w:t>
      </w:r>
      <w:r>
        <w:tab/>
        <w:t>Opportunity to be heard before regulatory information notice is served</w:t>
      </w:r>
      <w:r>
        <w:tab/>
      </w:r>
      <w:r>
        <w:fldChar w:fldCharType="begin"/>
      </w:r>
      <w:r>
        <w:instrText xml:space="preserve"> PAGEREF _Toc536781988 \h </w:instrText>
      </w:r>
      <w:r>
        <w:fldChar w:fldCharType="separate"/>
      </w:r>
      <w:r>
        <w:t>98</w:t>
      </w:r>
      <w:r>
        <w:fldChar w:fldCharType="end"/>
      </w:r>
    </w:p>
    <w:p>
      <w:pPr>
        <w:pStyle w:val="TOC6"/>
        <w:tabs>
          <w:tab w:val="right" w:leader="dot" w:pos="7077"/>
        </w:tabs>
        <w:rPr>
          <w:rFonts w:asciiTheme="minorHAnsi" w:eastAsiaTheme="minorEastAsia" w:hAnsiTheme="minorHAnsi" w:cstheme="minorBidi"/>
          <w:b w:val="0"/>
          <w:sz w:val="22"/>
          <w:szCs w:val="22"/>
        </w:rPr>
      </w:pPr>
      <w:r>
        <w:t>Subdivision 3 — Form and content of regulatory information instruments</w:t>
      </w:r>
    </w:p>
    <w:p>
      <w:pPr>
        <w:pStyle w:val="TOC8"/>
        <w:rPr>
          <w:rFonts w:asciiTheme="minorHAnsi" w:eastAsiaTheme="minorEastAsia" w:hAnsiTheme="minorHAnsi" w:cstheme="minorBidi"/>
          <w:szCs w:val="22"/>
        </w:rPr>
      </w:pPr>
      <w:r>
        <w:t>53.</w:t>
      </w:r>
      <w:r>
        <w:tab/>
        <w:t>Form and content of regulatory information instrument</w:t>
      </w:r>
      <w:r>
        <w:tab/>
      </w:r>
      <w:r>
        <w:fldChar w:fldCharType="begin"/>
      </w:r>
      <w:r>
        <w:instrText xml:space="preserve"> PAGEREF _Toc536781990 \h </w:instrText>
      </w:r>
      <w:r>
        <w:fldChar w:fldCharType="separate"/>
      </w:r>
      <w:r>
        <w:t>100</w:t>
      </w:r>
      <w:r>
        <w:fldChar w:fldCharType="end"/>
      </w:r>
    </w:p>
    <w:p>
      <w:pPr>
        <w:pStyle w:val="TOC8"/>
        <w:rPr>
          <w:rFonts w:asciiTheme="minorHAnsi" w:eastAsiaTheme="minorEastAsia" w:hAnsiTheme="minorHAnsi" w:cstheme="minorBidi"/>
          <w:szCs w:val="22"/>
        </w:rPr>
      </w:pPr>
      <w:r>
        <w:t>54.</w:t>
      </w:r>
      <w:r>
        <w:tab/>
        <w:t>Further provision about the information that may be described in a regulatory information instrument</w:t>
      </w:r>
      <w:r>
        <w:tab/>
      </w:r>
      <w:r>
        <w:fldChar w:fldCharType="begin"/>
      </w:r>
      <w:r>
        <w:instrText xml:space="preserve"> PAGEREF _Toc536781991 \h </w:instrText>
      </w:r>
      <w:r>
        <w:fldChar w:fldCharType="separate"/>
      </w:r>
      <w:r>
        <w:t>101</w:t>
      </w:r>
      <w:r>
        <w:fldChar w:fldCharType="end"/>
      </w:r>
    </w:p>
    <w:p>
      <w:pPr>
        <w:pStyle w:val="TOC8"/>
        <w:rPr>
          <w:rFonts w:asciiTheme="minorHAnsi" w:eastAsiaTheme="minorEastAsia" w:hAnsiTheme="minorHAnsi" w:cstheme="minorBidi"/>
          <w:szCs w:val="22"/>
        </w:rPr>
      </w:pPr>
      <w:r>
        <w:t>55.</w:t>
      </w:r>
      <w:r>
        <w:tab/>
        <w:t>Further provision about manner in which information must be provided to AER or kept</w:t>
      </w:r>
      <w:r>
        <w:tab/>
      </w:r>
      <w:r>
        <w:fldChar w:fldCharType="begin"/>
      </w:r>
      <w:r>
        <w:instrText xml:space="preserve"> PAGEREF _Toc536781992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Compliance with regulatory information instruments</w:t>
      </w:r>
    </w:p>
    <w:p>
      <w:pPr>
        <w:pStyle w:val="TOC8"/>
        <w:rPr>
          <w:rFonts w:asciiTheme="minorHAnsi" w:eastAsiaTheme="minorEastAsia" w:hAnsiTheme="minorHAnsi" w:cstheme="minorBidi"/>
          <w:szCs w:val="22"/>
        </w:rPr>
      </w:pPr>
      <w:r>
        <w:t>56.</w:t>
      </w:r>
      <w:r>
        <w:tab/>
        <w:t>Compliance with regulatory information notice that is served</w:t>
      </w:r>
      <w:r>
        <w:tab/>
      </w:r>
      <w:r>
        <w:fldChar w:fldCharType="begin"/>
      </w:r>
      <w:r>
        <w:instrText xml:space="preserve"> PAGEREF _Toc536781994 \h </w:instrText>
      </w:r>
      <w:r>
        <w:fldChar w:fldCharType="separate"/>
      </w:r>
      <w:r>
        <w:t>103</w:t>
      </w:r>
      <w:r>
        <w:fldChar w:fldCharType="end"/>
      </w:r>
    </w:p>
    <w:p>
      <w:pPr>
        <w:pStyle w:val="TOC8"/>
        <w:rPr>
          <w:rFonts w:asciiTheme="minorHAnsi" w:eastAsiaTheme="minorEastAsia" w:hAnsiTheme="minorHAnsi" w:cstheme="minorBidi"/>
          <w:szCs w:val="22"/>
        </w:rPr>
      </w:pPr>
      <w:r>
        <w:t>57.</w:t>
      </w:r>
      <w:r>
        <w:tab/>
        <w:t>Compliance with general regulatory information order</w:t>
      </w:r>
      <w:r>
        <w:tab/>
      </w:r>
      <w:r>
        <w:fldChar w:fldCharType="begin"/>
      </w:r>
      <w:r>
        <w:instrText xml:space="preserve"> PAGEREF _Toc536781995 \h </w:instrText>
      </w:r>
      <w:r>
        <w:fldChar w:fldCharType="separate"/>
      </w:r>
      <w:r>
        <w:t>103</w:t>
      </w:r>
      <w:r>
        <w:fldChar w:fldCharType="end"/>
      </w:r>
    </w:p>
    <w:p>
      <w:pPr>
        <w:pStyle w:val="TOC8"/>
        <w:rPr>
          <w:rFonts w:asciiTheme="minorHAnsi" w:eastAsiaTheme="minorEastAsia" w:hAnsiTheme="minorHAnsi" w:cstheme="minorBidi"/>
          <w:szCs w:val="22"/>
        </w:rPr>
      </w:pPr>
      <w:r>
        <w:t>58.</w:t>
      </w:r>
      <w:r>
        <w:tab/>
        <w:t>Exemptions from compliance with general regulatory information order</w:t>
      </w:r>
      <w:r>
        <w:tab/>
      </w:r>
      <w:r>
        <w:fldChar w:fldCharType="begin"/>
      </w:r>
      <w:r>
        <w:instrText xml:space="preserve"> PAGEREF _Toc536781996 \h </w:instrText>
      </w:r>
      <w:r>
        <w:fldChar w:fldCharType="separate"/>
      </w:r>
      <w:r>
        <w:t>103</w:t>
      </w:r>
      <w:r>
        <w:fldChar w:fldCharType="end"/>
      </w:r>
    </w:p>
    <w:p>
      <w:pPr>
        <w:pStyle w:val="TOC8"/>
        <w:rPr>
          <w:rFonts w:asciiTheme="minorHAnsi" w:eastAsiaTheme="minorEastAsia" w:hAnsiTheme="minorHAnsi" w:cstheme="minorBidi"/>
          <w:szCs w:val="22"/>
        </w:rPr>
      </w:pPr>
      <w:r>
        <w:t>59.</w:t>
      </w:r>
      <w:r>
        <w:tab/>
        <w:t>Assumptions where there is non</w:t>
      </w:r>
      <w:r>
        <w:noBreakHyphen/>
        <w:t>compliance with regulatory information instrument</w:t>
      </w:r>
      <w:r>
        <w:tab/>
      </w:r>
      <w:r>
        <w:fldChar w:fldCharType="begin"/>
      </w:r>
      <w:r>
        <w:instrText xml:space="preserve"> PAGEREF _Toc536781997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Subdivision 5 — General</w:t>
      </w:r>
    </w:p>
    <w:p>
      <w:pPr>
        <w:pStyle w:val="TOC8"/>
        <w:rPr>
          <w:rFonts w:asciiTheme="minorHAnsi" w:eastAsiaTheme="minorEastAsia" w:hAnsiTheme="minorHAnsi" w:cstheme="minorBidi"/>
          <w:szCs w:val="22"/>
        </w:rPr>
      </w:pPr>
      <w:r>
        <w:t>60.</w:t>
      </w:r>
      <w:r>
        <w:tab/>
        <w:t>Providing to AER false and misleading information</w:t>
      </w:r>
      <w:r>
        <w:tab/>
      </w:r>
      <w:r>
        <w:fldChar w:fldCharType="begin"/>
      </w:r>
      <w:r>
        <w:instrText xml:space="preserve"> PAGEREF _Toc536781999 \h </w:instrText>
      </w:r>
      <w:r>
        <w:fldChar w:fldCharType="separate"/>
      </w:r>
      <w:r>
        <w:t>105</w:t>
      </w:r>
      <w:r>
        <w:fldChar w:fldCharType="end"/>
      </w:r>
    </w:p>
    <w:p>
      <w:pPr>
        <w:pStyle w:val="TOC8"/>
        <w:rPr>
          <w:rFonts w:asciiTheme="minorHAnsi" w:eastAsiaTheme="minorEastAsia" w:hAnsiTheme="minorHAnsi" w:cstheme="minorBidi"/>
          <w:szCs w:val="22"/>
        </w:rPr>
      </w:pPr>
      <w:r>
        <w:t>61.</w:t>
      </w:r>
      <w:r>
        <w:tab/>
        <w:t>Person cannot rely on duty of confidence to avoid compliance with regulatory information instrument</w:t>
      </w:r>
      <w:r>
        <w:tab/>
      </w:r>
      <w:r>
        <w:fldChar w:fldCharType="begin"/>
      </w:r>
      <w:r>
        <w:instrText xml:space="preserve"> PAGEREF _Toc536782000 \h </w:instrText>
      </w:r>
      <w:r>
        <w:fldChar w:fldCharType="separate"/>
      </w:r>
      <w:r>
        <w:t>105</w:t>
      </w:r>
      <w:r>
        <w:fldChar w:fldCharType="end"/>
      </w:r>
    </w:p>
    <w:p>
      <w:pPr>
        <w:pStyle w:val="TOC8"/>
        <w:rPr>
          <w:rFonts w:asciiTheme="minorHAnsi" w:eastAsiaTheme="minorEastAsia" w:hAnsiTheme="minorHAnsi" w:cstheme="minorBidi"/>
          <w:szCs w:val="22"/>
        </w:rPr>
      </w:pPr>
      <w:r>
        <w:t>62.</w:t>
      </w:r>
      <w:r>
        <w:tab/>
        <w:t>Legal professional privilege not affected</w:t>
      </w:r>
      <w:r>
        <w:tab/>
      </w:r>
      <w:r>
        <w:fldChar w:fldCharType="begin"/>
      </w:r>
      <w:r>
        <w:instrText xml:space="preserve"> PAGEREF _Toc536782001 \h </w:instrText>
      </w:r>
      <w:r>
        <w:fldChar w:fldCharType="separate"/>
      </w:r>
      <w:r>
        <w:t>105</w:t>
      </w:r>
      <w:r>
        <w:fldChar w:fldCharType="end"/>
      </w:r>
    </w:p>
    <w:p>
      <w:pPr>
        <w:pStyle w:val="TOC8"/>
        <w:rPr>
          <w:rFonts w:asciiTheme="minorHAnsi" w:eastAsiaTheme="minorEastAsia" w:hAnsiTheme="minorHAnsi" w:cstheme="minorBidi"/>
          <w:szCs w:val="22"/>
        </w:rPr>
      </w:pPr>
      <w:r>
        <w:t>63.</w:t>
      </w:r>
      <w:r>
        <w:tab/>
        <w:t>Protection against self</w:t>
      </w:r>
      <w:r>
        <w:noBreakHyphen/>
        <w:t>incrimination</w:t>
      </w:r>
      <w:r>
        <w:tab/>
      </w:r>
      <w:r>
        <w:fldChar w:fldCharType="begin"/>
      </w:r>
      <w:r>
        <w:instrText xml:space="preserve"> PAGEREF _Toc536782002 \h </w:instrText>
      </w:r>
      <w:r>
        <w:fldChar w:fldCharType="separate"/>
      </w:r>
      <w:r>
        <w:t>106</w:t>
      </w:r>
      <w:r>
        <w:fldChar w:fldCharType="end"/>
      </w:r>
    </w:p>
    <w:p>
      <w:pPr>
        <w:pStyle w:val="TOC6"/>
        <w:tabs>
          <w:tab w:val="right" w:leader="dot" w:pos="7077"/>
        </w:tabs>
        <w:rPr>
          <w:rFonts w:asciiTheme="minorHAnsi" w:eastAsiaTheme="minorEastAsia" w:hAnsiTheme="minorHAnsi" w:cstheme="minorBidi"/>
          <w:b w:val="0"/>
          <w:sz w:val="22"/>
          <w:szCs w:val="22"/>
        </w:rPr>
      </w:pPr>
      <w:r>
        <w:t>Division 5 — Service provider performance reports</w:t>
      </w:r>
    </w:p>
    <w:p>
      <w:pPr>
        <w:pStyle w:val="TOC8"/>
        <w:rPr>
          <w:rFonts w:asciiTheme="minorHAnsi" w:eastAsiaTheme="minorEastAsia" w:hAnsiTheme="minorHAnsi" w:cstheme="minorBidi"/>
          <w:szCs w:val="22"/>
        </w:rPr>
      </w:pPr>
      <w:r>
        <w:t>64.</w:t>
      </w:r>
      <w:r>
        <w:tab/>
        <w:t>Preparation of service provider performance reports</w:t>
      </w:r>
      <w:r>
        <w:tab/>
      </w:r>
      <w:r>
        <w:fldChar w:fldCharType="begin"/>
      </w:r>
      <w:r>
        <w:instrText xml:space="preserve"> PAGEREF _Toc536782004 \h </w:instrText>
      </w:r>
      <w:r>
        <w:fldChar w:fldCharType="separate"/>
      </w:r>
      <w:r>
        <w:t>106</w:t>
      </w:r>
      <w:r>
        <w:fldChar w:fldCharType="end"/>
      </w:r>
    </w:p>
    <w:p>
      <w:pPr>
        <w:pStyle w:val="TOC6"/>
        <w:tabs>
          <w:tab w:val="right" w:leader="dot" w:pos="7077"/>
        </w:tabs>
        <w:rPr>
          <w:rFonts w:asciiTheme="minorHAnsi" w:eastAsiaTheme="minorEastAsia" w:hAnsiTheme="minorHAnsi" w:cstheme="minorBidi"/>
          <w:b w:val="0"/>
          <w:sz w:val="22"/>
          <w:szCs w:val="22"/>
        </w:rPr>
      </w:pPr>
      <w:r>
        <w:t>Division 6 — Miscellaneous matters</w:t>
      </w:r>
    </w:p>
    <w:p>
      <w:pPr>
        <w:pStyle w:val="TOC8"/>
        <w:rPr>
          <w:rFonts w:asciiTheme="minorHAnsi" w:eastAsiaTheme="minorEastAsia" w:hAnsiTheme="minorHAnsi" w:cstheme="minorBidi"/>
          <w:szCs w:val="22"/>
        </w:rPr>
      </w:pPr>
      <w:r>
        <w:t>65.</w:t>
      </w:r>
      <w:r>
        <w:tab/>
        <w:t>Consideration by the AER of submissions or comments made to it under this Law or the Rules</w:t>
      </w:r>
      <w:r>
        <w:tab/>
      </w:r>
      <w:r>
        <w:fldChar w:fldCharType="begin"/>
      </w:r>
      <w:r>
        <w:instrText xml:space="preserve"> PAGEREF _Toc536782006 \h </w:instrText>
      </w:r>
      <w:r>
        <w:fldChar w:fldCharType="separate"/>
      </w:r>
      <w:r>
        <w:t>108</w:t>
      </w:r>
      <w:r>
        <w:fldChar w:fldCharType="end"/>
      </w:r>
    </w:p>
    <w:p>
      <w:pPr>
        <w:pStyle w:val="TOC8"/>
        <w:rPr>
          <w:rFonts w:asciiTheme="minorHAnsi" w:eastAsiaTheme="minorEastAsia" w:hAnsiTheme="minorHAnsi" w:cstheme="minorBidi"/>
          <w:szCs w:val="22"/>
        </w:rPr>
      </w:pPr>
      <w:r>
        <w:t>66.</w:t>
      </w:r>
      <w:r>
        <w:tab/>
        <w:t>Use of information provided under a notice under Division 3 or a regulatory information instrument</w:t>
      </w:r>
      <w:r>
        <w:tab/>
      </w:r>
      <w:r>
        <w:fldChar w:fldCharType="begin"/>
      </w:r>
      <w:r>
        <w:instrText xml:space="preserve"> PAGEREF _Toc536782007 \h </w:instrText>
      </w:r>
      <w:r>
        <w:fldChar w:fldCharType="separate"/>
      </w:r>
      <w:r>
        <w:t>108</w:t>
      </w:r>
      <w:r>
        <w:fldChar w:fldCharType="end"/>
      </w:r>
    </w:p>
    <w:p>
      <w:pPr>
        <w:pStyle w:val="TOC8"/>
        <w:rPr>
          <w:rFonts w:asciiTheme="minorHAnsi" w:eastAsiaTheme="minorEastAsia" w:hAnsiTheme="minorHAnsi" w:cstheme="minorBidi"/>
          <w:szCs w:val="22"/>
        </w:rPr>
      </w:pPr>
      <w:r>
        <w:t>67.</w:t>
      </w:r>
      <w:r>
        <w:tab/>
        <w:t>AER to inform certain persons of decisions not to investigate breaches, institute proceedings or serve infringement notices</w:t>
      </w:r>
      <w:r>
        <w:tab/>
      </w:r>
      <w:r>
        <w:fldChar w:fldCharType="begin"/>
      </w:r>
      <w:r>
        <w:instrText xml:space="preserve"> PAGEREF _Toc536782008 \h </w:instrText>
      </w:r>
      <w:r>
        <w:fldChar w:fldCharType="separate"/>
      </w:r>
      <w:r>
        <w:t>108</w:t>
      </w:r>
      <w:r>
        <w:fldChar w:fldCharType="end"/>
      </w:r>
    </w:p>
    <w:p>
      <w:pPr>
        <w:pStyle w:val="TOC8"/>
        <w:rPr>
          <w:rFonts w:asciiTheme="minorHAnsi" w:eastAsiaTheme="minorEastAsia" w:hAnsiTheme="minorHAnsi" w:cstheme="minorBidi"/>
          <w:szCs w:val="22"/>
        </w:rPr>
      </w:pPr>
      <w:r>
        <w:t>68.</w:t>
      </w:r>
      <w:r>
        <w:tab/>
        <w:t>AER enforcement guidelines</w:t>
      </w:r>
      <w:r>
        <w:tab/>
      </w:r>
      <w:r>
        <w:fldChar w:fldCharType="begin"/>
      </w:r>
      <w:r>
        <w:instrText xml:space="preserve"> PAGEREF _Toc536782009 \h </w:instrText>
      </w:r>
      <w:r>
        <w:fldChar w:fldCharType="separate"/>
      </w:r>
      <w:r>
        <w:t>109</w:t>
      </w:r>
      <w:r>
        <w:fldChar w:fldCharType="end"/>
      </w:r>
    </w:p>
    <w:p>
      <w:pPr>
        <w:pStyle w:val="TOC8"/>
        <w:rPr>
          <w:rFonts w:asciiTheme="minorHAnsi" w:eastAsiaTheme="minorEastAsia" w:hAnsiTheme="minorHAnsi" w:cstheme="minorBidi"/>
          <w:szCs w:val="22"/>
        </w:rPr>
      </w:pPr>
      <w:r>
        <w:t>68C.</w:t>
      </w:r>
      <w:r>
        <w:tab/>
        <w:t>Record of designated reviewable regulatory decisions</w:t>
      </w:r>
      <w:r>
        <w:tab/>
      </w:r>
      <w:r>
        <w:fldChar w:fldCharType="begin"/>
      </w:r>
      <w:r>
        <w:instrText xml:space="preserve"> PAGEREF _Toc536782010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Part 1A — Functions and powers of WA arbitrator</w:t>
      </w:r>
    </w:p>
    <w:p>
      <w:pPr>
        <w:pStyle w:val="TOC8"/>
        <w:rPr>
          <w:rFonts w:asciiTheme="minorHAnsi" w:eastAsiaTheme="minorEastAsia" w:hAnsiTheme="minorHAnsi" w:cstheme="minorBidi"/>
          <w:szCs w:val="22"/>
        </w:rPr>
      </w:pPr>
      <w:r>
        <w:t>68A.</w:t>
      </w:r>
      <w:r>
        <w:tab/>
        <w:t>Manner in which WA arbitrator must perform or exercise certain functions or powers</w:t>
      </w:r>
      <w:r>
        <w:tab/>
      </w:r>
      <w:r>
        <w:fldChar w:fldCharType="begin"/>
      </w:r>
      <w:r>
        <w:instrText xml:space="preserve"> PAGEREF _Toc536782012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Part 2 — Functions and powers of the Australian Energy Market Commission</w:t>
      </w:r>
    </w:p>
    <w:p>
      <w:pPr>
        <w:pStyle w:val="TOC6"/>
        <w:tabs>
          <w:tab w:val="right" w:leader="dot" w:pos="7077"/>
        </w:tabs>
        <w:rPr>
          <w:rFonts w:asciiTheme="minorHAnsi" w:eastAsiaTheme="minorEastAsia" w:hAnsiTheme="minorHAnsi" w:cstheme="minorBidi"/>
          <w:b w:val="0"/>
          <w:sz w:val="22"/>
          <w:szCs w:val="22"/>
        </w:rPr>
      </w:pPr>
      <w:r>
        <w:t>Division 1 — General</w:t>
      </w:r>
    </w:p>
    <w:p>
      <w:pPr>
        <w:pStyle w:val="TOC8"/>
        <w:rPr>
          <w:rFonts w:asciiTheme="minorHAnsi" w:eastAsiaTheme="minorEastAsia" w:hAnsiTheme="minorHAnsi" w:cstheme="minorBidi"/>
          <w:szCs w:val="22"/>
        </w:rPr>
      </w:pPr>
      <w:r>
        <w:t>69.</w:t>
      </w:r>
      <w:r>
        <w:tab/>
        <w:t>Functions and powers of the AEMC</w:t>
      </w:r>
      <w:r>
        <w:tab/>
      </w:r>
      <w:r>
        <w:fldChar w:fldCharType="begin"/>
      </w:r>
      <w:r>
        <w:instrText xml:space="preserve"> PAGEREF _Toc536782015 \h </w:instrText>
      </w:r>
      <w:r>
        <w:fldChar w:fldCharType="separate"/>
      </w:r>
      <w:r>
        <w:t>111</w:t>
      </w:r>
      <w:r>
        <w:fldChar w:fldCharType="end"/>
      </w:r>
    </w:p>
    <w:p>
      <w:pPr>
        <w:pStyle w:val="TOC8"/>
        <w:rPr>
          <w:rFonts w:asciiTheme="minorHAnsi" w:eastAsiaTheme="minorEastAsia" w:hAnsiTheme="minorHAnsi" w:cstheme="minorBidi"/>
          <w:szCs w:val="22"/>
        </w:rPr>
      </w:pPr>
      <w:r>
        <w:t>70.</w:t>
      </w:r>
      <w:r>
        <w:tab/>
        <w:t>Delegations</w:t>
      </w:r>
      <w:r>
        <w:tab/>
      </w:r>
      <w:r>
        <w:fldChar w:fldCharType="begin"/>
      </w:r>
      <w:r>
        <w:instrText xml:space="preserve"> PAGEREF _Toc536782016 \h </w:instrText>
      </w:r>
      <w:r>
        <w:fldChar w:fldCharType="separate"/>
      </w:r>
      <w:r>
        <w:t>112</w:t>
      </w:r>
      <w:r>
        <w:fldChar w:fldCharType="end"/>
      </w:r>
    </w:p>
    <w:p>
      <w:pPr>
        <w:pStyle w:val="TOC8"/>
        <w:rPr>
          <w:rFonts w:asciiTheme="minorHAnsi" w:eastAsiaTheme="minorEastAsia" w:hAnsiTheme="minorHAnsi" w:cstheme="minorBidi"/>
          <w:szCs w:val="22"/>
        </w:rPr>
      </w:pPr>
      <w:r>
        <w:t>71.</w:t>
      </w:r>
      <w:r>
        <w:tab/>
        <w:t>Confidentiality</w:t>
      </w:r>
      <w:r>
        <w:tab/>
      </w:r>
      <w:r>
        <w:fldChar w:fldCharType="begin"/>
      </w:r>
      <w:r>
        <w:instrText xml:space="preserve"> PAGEREF _Toc536782017 \h </w:instrText>
      </w:r>
      <w:r>
        <w:fldChar w:fldCharType="separate"/>
      </w:r>
      <w:r>
        <w:t>112</w:t>
      </w:r>
      <w:r>
        <w:fldChar w:fldCharType="end"/>
      </w:r>
    </w:p>
    <w:p>
      <w:pPr>
        <w:pStyle w:val="TOC8"/>
        <w:rPr>
          <w:rFonts w:asciiTheme="minorHAnsi" w:eastAsiaTheme="minorEastAsia" w:hAnsiTheme="minorHAnsi" w:cstheme="minorBidi"/>
          <w:szCs w:val="22"/>
        </w:rPr>
      </w:pPr>
      <w:r>
        <w:t>72.</w:t>
      </w:r>
      <w:r>
        <w:tab/>
        <w:t>AEMC must have regard to national gas objective</w:t>
      </w:r>
      <w:r>
        <w:tab/>
      </w:r>
      <w:r>
        <w:fldChar w:fldCharType="begin"/>
      </w:r>
      <w:r>
        <w:instrText xml:space="preserve"> PAGEREF _Toc536782018 \h </w:instrText>
      </w:r>
      <w:r>
        <w:fldChar w:fldCharType="separate"/>
      </w:r>
      <w:r>
        <w:t>112</w:t>
      </w:r>
      <w:r>
        <w:fldChar w:fldCharType="end"/>
      </w:r>
    </w:p>
    <w:p>
      <w:pPr>
        <w:pStyle w:val="TOC8"/>
        <w:rPr>
          <w:rFonts w:asciiTheme="minorHAnsi" w:eastAsiaTheme="minorEastAsia" w:hAnsiTheme="minorHAnsi" w:cstheme="minorBidi"/>
          <w:szCs w:val="22"/>
        </w:rPr>
      </w:pPr>
      <w:r>
        <w:t>73.</w:t>
      </w:r>
      <w:r>
        <w:tab/>
        <w:t>AEMC must have regard to MCE statements of policy principles in relation to Rule making and reviews</w:t>
      </w:r>
      <w:r>
        <w:tab/>
      </w:r>
      <w:r>
        <w:fldChar w:fldCharType="begin"/>
      </w:r>
      <w:r>
        <w:instrText xml:space="preserve"> PAGEREF _Toc536782019 \h </w:instrText>
      </w:r>
      <w:r>
        <w:fldChar w:fldCharType="separate"/>
      </w:r>
      <w:r>
        <w:t>112</w:t>
      </w:r>
      <w:r>
        <w:fldChar w:fldCharType="end"/>
      </w:r>
    </w:p>
    <w:p>
      <w:pPr>
        <w:pStyle w:val="TOC6"/>
        <w:tabs>
          <w:tab w:val="right" w:leader="dot" w:pos="7077"/>
        </w:tabs>
        <w:rPr>
          <w:rFonts w:asciiTheme="minorHAnsi" w:eastAsiaTheme="minorEastAsia" w:hAnsiTheme="minorHAnsi" w:cstheme="minorBidi"/>
          <w:b w:val="0"/>
          <w:sz w:val="22"/>
          <w:szCs w:val="22"/>
        </w:rPr>
      </w:pPr>
      <w:r>
        <w:t>Division 2 — Rule making functions and powers of the AEMC</w:t>
      </w:r>
    </w:p>
    <w:p>
      <w:pPr>
        <w:pStyle w:val="TOC8"/>
        <w:rPr>
          <w:rFonts w:asciiTheme="minorHAnsi" w:eastAsiaTheme="minorEastAsia" w:hAnsiTheme="minorHAnsi" w:cstheme="minorBidi"/>
          <w:szCs w:val="22"/>
        </w:rPr>
      </w:pPr>
      <w:r>
        <w:t>74.</w:t>
      </w:r>
      <w:r>
        <w:tab/>
        <w:t>Subject matter for National Gas Rules</w:t>
      </w:r>
      <w:r>
        <w:tab/>
      </w:r>
      <w:r>
        <w:fldChar w:fldCharType="begin"/>
      </w:r>
      <w:r>
        <w:instrText xml:space="preserve"> PAGEREF _Toc536782021 \h </w:instrText>
      </w:r>
      <w:r>
        <w:fldChar w:fldCharType="separate"/>
      </w:r>
      <w:r>
        <w:t>113</w:t>
      </w:r>
      <w:r>
        <w:fldChar w:fldCharType="end"/>
      </w:r>
    </w:p>
    <w:p>
      <w:pPr>
        <w:pStyle w:val="TOC8"/>
        <w:rPr>
          <w:rFonts w:asciiTheme="minorHAnsi" w:eastAsiaTheme="minorEastAsia" w:hAnsiTheme="minorHAnsi" w:cstheme="minorBidi"/>
          <w:szCs w:val="22"/>
        </w:rPr>
      </w:pPr>
      <w:r>
        <w:t>75.</w:t>
      </w:r>
      <w:r>
        <w:tab/>
        <w:t>Rules relating to MCE or Ministers of participating jurisdictions require MCE consent</w:t>
      </w:r>
      <w:r>
        <w:tab/>
      </w:r>
      <w:r>
        <w:fldChar w:fldCharType="begin"/>
      </w:r>
      <w:r>
        <w:instrText xml:space="preserve"> PAGEREF _Toc536782022 \h </w:instrText>
      </w:r>
      <w:r>
        <w:fldChar w:fldCharType="separate"/>
      </w:r>
      <w:r>
        <w:t>116</w:t>
      </w:r>
      <w:r>
        <w:fldChar w:fldCharType="end"/>
      </w:r>
    </w:p>
    <w:p>
      <w:pPr>
        <w:pStyle w:val="TOC8"/>
        <w:rPr>
          <w:rFonts w:asciiTheme="minorHAnsi" w:eastAsiaTheme="minorEastAsia" w:hAnsiTheme="minorHAnsi" w:cstheme="minorBidi"/>
          <w:szCs w:val="22"/>
        </w:rPr>
      </w:pPr>
      <w:r>
        <w:t>76.</w:t>
      </w:r>
      <w:r>
        <w:tab/>
        <w:t>AEMC must not make Rules that create criminal offences or impose civil penalties for breaches</w:t>
      </w:r>
      <w:r>
        <w:tab/>
      </w:r>
      <w:r>
        <w:fldChar w:fldCharType="begin"/>
      </w:r>
      <w:r>
        <w:instrText xml:space="preserve"> PAGEREF _Toc536782023 \h </w:instrText>
      </w:r>
      <w:r>
        <w:fldChar w:fldCharType="separate"/>
      </w:r>
      <w:r>
        <w:t>116</w:t>
      </w:r>
      <w:r>
        <w:fldChar w:fldCharType="end"/>
      </w:r>
    </w:p>
    <w:p>
      <w:pPr>
        <w:pStyle w:val="TOC8"/>
        <w:rPr>
          <w:rFonts w:asciiTheme="minorHAnsi" w:eastAsiaTheme="minorEastAsia" w:hAnsiTheme="minorHAnsi" w:cstheme="minorBidi"/>
          <w:szCs w:val="22"/>
        </w:rPr>
      </w:pPr>
      <w:r>
        <w:t>77.</w:t>
      </w:r>
      <w:r>
        <w:tab/>
        <w:t>Documents etc applied, adopted and incorporated by Rules to be publicly available</w:t>
      </w:r>
      <w:r>
        <w:tab/>
      </w:r>
      <w:r>
        <w:fldChar w:fldCharType="begin"/>
      </w:r>
      <w:r>
        <w:instrText xml:space="preserve"> PAGEREF _Toc536782024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Division 3 — Committees, panels and working groups of the AEMC</w:t>
      </w:r>
    </w:p>
    <w:p>
      <w:pPr>
        <w:pStyle w:val="TOC8"/>
        <w:rPr>
          <w:rFonts w:asciiTheme="minorHAnsi" w:eastAsiaTheme="minorEastAsia" w:hAnsiTheme="minorHAnsi" w:cstheme="minorBidi"/>
          <w:szCs w:val="22"/>
        </w:rPr>
      </w:pPr>
      <w:r>
        <w:t>78.</w:t>
      </w:r>
      <w:r>
        <w:tab/>
        <w:t>Establishment of committees, panels and working groups</w:t>
      </w:r>
      <w:r>
        <w:tab/>
      </w:r>
      <w:r>
        <w:fldChar w:fldCharType="begin"/>
      </w:r>
      <w:r>
        <w:instrText xml:space="preserve"> PAGEREF _Toc536782026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Division 4 — MCE directed reviews</w:t>
      </w:r>
    </w:p>
    <w:p>
      <w:pPr>
        <w:pStyle w:val="TOC8"/>
        <w:rPr>
          <w:rFonts w:asciiTheme="minorHAnsi" w:eastAsiaTheme="minorEastAsia" w:hAnsiTheme="minorHAnsi" w:cstheme="minorBidi"/>
          <w:szCs w:val="22"/>
        </w:rPr>
      </w:pPr>
      <w:r>
        <w:t>79.</w:t>
      </w:r>
      <w:r>
        <w:tab/>
        <w:t>MCE directions</w:t>
      </w:r>
      <w:r>
        <w:tab/>
      </w:r>
      <w:r>
        <w:fldChar w:fldCharType="begin"/>
      </w:r>
      <w:r>
        <w:instrText xml:space="preserve"> PAGEREF _Toc536782028 \h </w:instrText>
      </w:r>
      <w:r>
        <w:fldChar w:fldCharType="separate"/>
      </w:r>
      <w:r>
        <w:t>118</w:t>
      </w:r>
      <w:r>
        <w:fldChar w:fldCharType="end"/>
      </w:r>
    </w:p>
    <w:p>
      <w:pPr>
        <w:pStyle w:val="TOC8"/>
        <w:rPr>
          <w:rFonts w:asciiTheme="minorHAnsi" w:eastAsiaTheme="minorEastAsia" w:hAnsiTheme="minorHAnsi" w:cstheme="minorBidi"/>
          <w:szCs w:val="22"/>
        </w:rPr>
      </w:pPr>
      <w:r>
        <w:t>80.</w:t>
      </w:r>
      <w:r>
        <w:tab/>
        <w:t>Terms of reference</w:t>
      </w:r>
      <w:r>
        <w:tab/>
      </w:r>
      <w:r>
        <w:fldChar w:fldCharType="begin"/>
      </w:r>
      <w:r>
        <w:instrText xml:space="preserve"> PAGEREF _Toc536782029 \h </w:instrText>
      </w:r>
      <w:r>
        <w:fldChar w:fldCharType="separate"/>
      </w:r>
      <w:r>
        <w:t>118</w:t>
      </w:r>
      <w:r>
        <w:fldChar w:fldCharType="end"/>
      </w:r>
    </w:p>
    <w:p>
      <w:pPr>
        <w:pStyle w:val="TOC8"/>
        <w:rPr>
          <w:rFonts w:asciiTheme="minorHAnsi" w:eastAsiaTheme="minorEastAsia" w:hAnsiTheme="minorHAnsi" w:cstheme="minorBidi"/>
          <w:szCs w:val="22"/>
        </w:rPr>
      </w:pPr>
      <w:r>
        <w:t>81.</w:t>
      </w:r>
      <w:r>
        <w:tab/>
        <w:t>Notice of MCE directed review</w:t>
      </w:r>
      <w:r>
        <w:tab/>
      </w:r>
      <w:r>
        <w:fldChar w:fldCharType="begin"/>
      </w:r>
      <w:r>
        <w:instrText xml:space="preserve"> PAGEREF _Toc536782030 \h </w:instrText>
      </w:r>
      <w:r>
        <w:fldChar w:fldCharType="separate"/>
      </w:r>
      <w:r>
        <w:t>120</w:t>
      </w:r>
      <w:r>
        <w:fldChar w:fldCharType="end"/>
      </w:r>
    </w:p>
    <w:p>
      <w:pPr>
        <w:pStyle w:val="TOC8"/>
        <w:rPr>
          <w:rFonts w:asciiTheme="minorHAnsi" w:eastAsiaTheme="minorEastAsia" w:hAnsiTheme="minorHAnsi" w:cstheme="minorBidi"/>
          <w:szCs w:val="22"/>
        </w:rPr>
      </w:pPr>
      <w:r>
        <w:t>82.</w:t>
      </w:r>
      <w:r>
        <w:tab/>
        <w:t>Conduct of MCE directed review</w:t>
      </w:r>
      <w:r>
        <w:tab/>
      </w:r>
      <w:r>
        <w:fldChar w:fldCharType="begin"/>
      </w:r>
      <w:r>
        <w:instrText xml:space="preserve"> PAGEREF _Toc536782031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Division 5 — Other reviews</w:t>
      </w:r>
    </w:p>
    <w:p>
      <w:pPr>
        <w:pStyle w:val="TOC8"/>
        <w:rPr>
          <w:rFonts w:asciiTheme="minorHAnsi" w:eastAsiaTheme="minorEastAsia" w:hAnsiTheme="minorHAnsi" w:cstheme="minorBidi"/>
          <w:szCs w:val="22"/>
        </w:rPr>
      </w:pPr>
      <w:r>
        <w:t>83.</w:t>
      </w:r>
      <w:r>
        <w:tab/>
        <w:t>Rule reviews by the AEMC</w:t>
      </w:r>
      <w:r>
        <w:tab/>
      </w:r>
      <w:r>
        <w:fldChar w:fldCharType="begin"/>
      </w:r>
      <w:r>
        <w:instrText xml:space="preserve"> PAGEREF _Toc536782033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Division 6 — Miscellaneous matters</w:t>
      </w:r>
    </w:p>
    <w:p>
      <w:pPr>
        <w:pStyle w:val="TOC8"/>
        <w:rPr>
          <w:rFonts w:asciiTheme="minorHAnsi" w:eastAsiaTheme="minorEastAsia" w:hAnsiTheme="minorHAnsi" w:cstheme="minorBidi"/>
          <w:szCs w:val="22"/>
        </w:rPr>
      </w:pPr>
      <w:r>
        <w:t>83A.</w:t>
      </w:r>
      <w:r>
        <w:tab/>
        <w:t>Special information and transparency requirements relating to non</w:t>
      </w:r>
      <w:r>
        <w:noBreakHyphen/>
        <w:t>scheme pipelines</w:t>
      </w:r>
      <w:r>
        <w:tab/>
      </w:r>
      <w:r>
        <w:fldChar w:fldCharType="begin"/>
      </w:r>
      <w:r>
        <w:instrText xml:space="preserve"> PAGEREF _Toc536782035 \h </w:instrText>
      </w:r>
      <w:r>
        <w:fldChar w:fldCharType="separate"/>
      </w:r>
      <w:r>
        <w:t>121</w:t>
      </w:r>
      <w:r>
        <w:fldChar w:fldCharType="end"/>
      </w:r>
    </w:p>
    <w:p>
      <w:pPr>
        <w:pStyle w:val="TOC8"/>
        <w:rPr>
          <w:rFonts w:asciiTheme="minorHAnsi" w:eastAsiaTheme="minorEastAsia" w:hAnsiTheme="minorHAnsi" w:cstheme="minorBidi"/>
          <w:szCs w:val="22"/>
        </w:rPr>
      </w:pPr>
      <w:r>
        <w:t>84.</w:t>
      </w:r>
      <w:r>
        <w:tab/>
        <w:t>AEMC must publish and make available up to date versions of Rules</w:t>
      </w:r>
      <w:r>
        <w:tab/>
      </w:r>
      <w:r>
        <w:fldChar w:fldCharType="begin"/>
      </w:r>
      <w:r>
        <w:instrText xml:space="preserve"> PAGEREF _Toc536782036 \h </w:instrText>
      </w:r>
      <w:r>
        <w:fldChar w:fldCharType="separate"/>
      </w:r>
      <w:r>
        <w:t>123</w:t>
      </w:r>
      <w:r>
        <w:fldChar w:fldCharType="end"/>
      </w:r>
    </w:p>
    <w:p>
      <w:pPr>
        <w:pStyle w:val="TOC8"/>
        <w:rPr>
          <w:rFonts w:asciiTheme="minorHAnsi" w:eastAsiaTheme="minorEastAsia" w:hAnsiTheme="minorHAnsi" w:cstheme="minorBidi"/>
          <w:szCs w:val="22"/>
        </w:rPr>
      </w:pPr>
      <w:r>
        <w:t>85.</w:t>
      </w:r>
      <w:r>
        <w:tab/>
        <w:t>Fees</w:t>
      </w:r>
      <w:r>
        <w:tab/>
      </w:r>
      <w:r>
        <w:fldChar w:fldCharType="begin"/>
      </w:r>
      <w:r>
        <w:instrText xml:space="preserve"> PAGEREF _Toc536782037 \h </w:instrText>
      </w:r>
      <w:r>
        <w:fldChar w:fldCharType="separate"/>
      </w:r>
      <w:r>
        <w:t>123</w:t>
      </w:r>
      <w:r>
        <w:fldChar w:fldCharType="end"/>
      </w:r>
    </w:p>
    <w:p>
      <w:pPr>
        <w:pStyle w:val="TOC8"/>
        <w:rPr>
          <w:rFonts w:asciiTheme="minorHAnsi" w:eastAsiaTheme="minorEastAsia" w:hAnsiTheme="minorHAnsi" w:cstheme="minorBidi"/>
          <w:szCs w:val="22"/>
        </w:rPr>
      </w:pPr>
      <w:r>
        <w:t>86.</w:t>
      </w:r>
      <w:r>
        <w:tab/>
        <w:t>Immunity from personal liability of AEMC officials</w:t>
      </w:r>
      <w:r>
        <w:tab/>
      </w:r>
      <w:r>
        <w:fldChar w:fldCharType="begin"/>
      </w:r>
      <w:r>
        <w:instrText xml:space="preserve"> PAGEREF _Toc536782038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Part 3 — Functions and powers of Ministers of participating jurisdictions</w:t>
      </w:r>
    </w:p>
    <w:p>
      <w:pPr>
        <w:pStyle w:val="TOC8"/>
        <w:rPr>
          <w:rFonts w:asciiTheme="minorHAnsi" w:eastAsiaTheme="minorEastAsia" w:hAnsiTheme="minorHAnsi" w:cstheme="minorBidi"/>
          <w:szCs w:val="22"/>
        </w:rPr>
      </w:pPr>
      <w:r>
        <w:t>87.</w:t>
      </w:r>
      <w:r>
        <w:tab/>
        <w:t>Functions and powers of Minister of this participating jurisdiction under this Law</w:t>
      </w:r>
      <w:r>
        <w:tab/>
      </w:r>
      <w:r>
        <w:fldChar w:fldCharType="begin"/>
      </w:r>
      <w:r>
        <w:instrText xml:space="preserve"> PAGEREF _Toc536782040 \h </w:instrText>
      </w:r>
      <w:r>
        <w:fldChar w:fldCharType="separate"/>
      </w:r>
      <w:r>
        <w:t>124</w:t>
      </w:r>
      <w:r>
        <w:fldChar w:fldCharType="end"/>
      </w:r>
    </w:p>
    <w:p>
      <w:pPr>
        <w:pStyle w:val="TOC8"/>
        <w:rPr>
          <w:rFonts w:asciiTheme="minorHAnsi" w:eastAsiaTheme="minorEastAsia" w:hAnsiTheme="minorHAnsi" w:cstheme="minorBidi"/>
          <w:szCs w:val="22"/>
        </w:rPr>
      </w:pPr>
      <w:r>
        <w:t>88.</w:t>
      </w:r>
      <w:r>
        <w:tab/>
        <w:t>Functions and powers of Commonwealth Minister under this Law</w:t>
      </w:r>
      <w:r>
        <w:tab/>
      </w:r>
      <w:r>
        <w:fldChar w:fldCharType="begin"/>
      </w:r>
      <w:r>
        <w:instrText xml:space="preserve"> PAGEREF _Toc536782041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Part 4 — Functions and powers of the NCC</w:t>
      </w:r>
    </w:p>
    <w:p>
      <w:pPr>
        <w:pStyle w:val="TOC8"/>
        <w:rPr>
          <w:rFonts w:asciiTheme="minorHAnsi" w:eastAsiaTheme="minorEastAsia" w:hAnsiTheme="minorHAnsi" w:cstheme="minorBidi"/>
          <w:szCs w:val="22"/>
        </w:rPr>
      </w:pPr>
      <w:r>
        <w:t>89.</w:t>
      </w:r>
      <w:r>
        <w:tab/>
        <w:t>Functions and powers of NCC under this Law</w:t>
      </w:r>
      <w:r>
        <w:tab/>
      </w:r>
      <w:r>
        <w:fldChar w:fldCharType="begin"/>
      </w:r>
      <w:r>
        <w:instrText xml:space="preserve"> PAGEREF _Toc536782043 \h </w:instrText>
      </w:r>
      <w:r>
        <w:fldChar w:fldCharType="separate"/>
      </w:r>
      <w:r>
        <w:t>125</w:t>
      </w:r>
      <w:r>
        <w:fldChar w:fldCharType="end"/>
      </w:r>
    </w:p>
    <w:p>
      <w:pPr>
        <w:pStyle w:val="TOC8"/>
        <w:rPr>
          <w:rFonts w:asciiTheme="minorHAnsi" w:eastAsiaTheme="minorEastAsia" w:hAnsiTheme="minorHAnsi" w:cstheme="minorBidi"/>
          <w:szCs w:val="22"/>
        </w:rPr>
      </w:pPr>
      <w:r>
        <w:t>90.</w:t>
      </w:r>
      <w:r>
        <w:tab/>
        <w:t>Confidentiality</w:t>
      </w:r>
      <w:r>
        <w:tab/>
      </w:r>
      <w:r>
        <w:fldChar w:fldCharType="begin"/>
      </w:r>
      <w:r>
        <w:instrText xml:space="preserve"> PAGEREF _Toc536782044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Part 5 — Functions and powers of Tribunal</w:t>
      </w:r>
    </w:p>
    <w:p>
      <w:pPr>
        <w:pStyle w:val="TOC8"/>
        <w:rPr>
          <w:rFonts w:asciiTheme="minorHAnsi" w:eastAsiaTheme="minorEastAsia" w:hAnsiTheme="minorHAnsi" w:cstheme="minorBidi"/>
          <w:szCs w:val="22"/>
        </w:rPr>
      </w:pPr>
      <w:r>
        <w:t>91.</w:t>
      </w:r>
      <w:r>
        <w:tab/>
        <w:t>Functions and powers of Tribunal under this Law</w:t>
      </w:r>
      <w:r>
        <w:tab/>
      </w:r>
      <w:r>
        <w:fldChar w:fldCharType="begin"/>
      </w:r>
      <w:r>
        <w:instrText xml:space="preserve"> PAGEREF _Toc536782046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Chapter 3 — Coverage and classification of pipelines</w:t>
      </w:r>
    </w:p>
    <w:p>
      <w:pPr>
        <w:pStyle w:val="TOC4"/>
        <w:tabs>
          <w:tab w:val="right" w:leader="dot" w:pos="7077"/>
        </w:tabs>
        <w:rPr>
          <w:rFonts w:asciiTheme="minorHAnsi" w:eastAsiaTheme="minorEastAsia" w:hAnsiTheme="minorHAnsi" w:cstheme="minorBidi"/>
          <w:b w:val="0"/>
          <w:szCs w:val="22"/>
        </w:rPr>
      </w:pPr>
      <w:r>
        <w:t>Part 1 — Coverage of pipelines</w:t>
      </w:r>
    </w:p>
    <w:p>
      <w:pPr>
        <w:pStyle w:val="TOC6"/>
        <w:tabs>
          <w:tab w:val="right" w:leader="dot" w:pos="7077"/>
        </w:tabs>
        <w:rPr>
          <w:rFonts w:asciiTheme="minorHAnsi" w:eastAsiaTheme="minorEastAsia" w:hAnsiTheme="minorHAnsi" w:cstheme="minorBidi"/>
          <w:b w:val="0"/>
          <w:sz w:val="22"/>
          <w:szCs w:val="22"/>
        </w:rPr>
      </w:pPr>
      <w:r>
        <w:t>Division 1 — Coverage determinations</w:t>
      </w:r>
    </w:p>
    <w:p>
      <w:pPr>
        <w:pStyle w:val="TOC8"/>
        <w:rPr>
          <w:rFonts w:asciiTheme="minorHAnsi" w:eastAsiaTheme="minorEastAsia" w:hAnsiTheme="minorHAnsi" w:cstheme="minorBidi"/>
          <w:szCs w:val="22"/>
        </w:rPr>
      </w:pPr>
      <w:r>
        <w:t>92.</w:t>
      </w:r>
      <w:r>
        <w:tab/>
        <w:t>Application for recommendation that a pipeline be a covered pipeline</w:t>
      </w:r>
      <w:r>
        <w:tab/>
      </w:r>
      <w:r>
        <w:fldChar w:fldCharType="begin"/>
      </w:r>
      <w:r>
        <w:instrText xml:space="preserve"> PAGEREF _Toc536782050 \h </w:instrText>
      </w:r>
      <w:r>
        <w:fldChar w:fldCharType="separate"/>
      </w:r>
      <w:r>
        <w:t>128</w:t>
      </w:r>
      <w:r>
        <w:fldChar w:fldCharType="end"/>
      </w:r>
    </w:p>
    <w:p>
      <w:pPr>
        <w:pStyle w:val="TOC8"/>
        <w:rPr>
          <w:rFonts w:asciiTheme="minorHAnsi" w:eastAsiaTheme="minorEastAsia" w:hAnsiTheme="minorHAnsi" w:cstheme="minorBidi"/>
          <w:szCs w:val="22"/>
        </w:rPr>
      </w:pPr>
      <w:r>
        <w:t>93.</w:t>
      </w:r>
      <w:r>
        <w:tab/>
        <w:t>Application to be dealt with in accordance with the Rules</w:t>
      </w:r>
      <w:r>
        <w:tab/>
      </w:r>
      <w:r>
        <w:fldChar w:fldCharType="begin"/>
      </w:r>
      <w:r>
        <w:instrText xml:space="preserve"> PAGEREF _Toc536782051 \h </w:instrText>
      </w:r>
      <w:r>
        <w:fldChar w:fldCharType="separate"/>
      </w:r>
      <w:r>
        <w:t>128</w:t>
      </w:r>
      <w:r>
        <w:fldChar w:fldCharType="end"/>
      </w:r>
    </w:p>
    <w:p>
      <w:pPr>
        <w:pStyle w:val="TOC8"/>
        <w:rPr>
          <w:rFonts w:asciiTheme="minorHAnsi" w:eastAsiaTheme="minorEastAsia" w:hAnsiTheme="minorHAnsi" w:cstheme="minorBidi"/>
          <w:szCs w:val="22"/>
        </w:rPr>
      </w:pPr>
      <w:r>
        <w:t>94.</w:t>
      </w:r>
      <w:r>
        <w:tab/>
        <w:t>NCC may defer consideration of application in</w:t>
      </w:r>
      <w:r>
        <w:rPr>
          <w:bCs/>
          <w:color w:val="000000"/>
        </w:rPr>
        <w:t xml:space="preserve"> certain cases</w:t>
      </w:r>
      <w:r>
        <w:tab/>
      </w:r>
      <w:r>
        <w:fldChar w:fldCharType="begin"/>
      </w:r>
      <w:r>
        <w:instrText xml:space="preserve"> PAGEREF _Toc536782052 \h </w:instrText>
      </w:r>
      <w:r>
        <w:fldChar w:fldCharType="separate"/>
      </w:r>
      <w:r>
        <w:t>128</w:t>
      </w:r>
      <w:r>
        <w:fldChar w:fldCharType="end"/>
      </w:r>
    </w:p>
    <w:p>
      <w:pPr>
        <w:pStyle w:val="TOC8"/>
        <w:rPr>
          <w:rFonts w:asciiTheme="minorHAnsi" w:eastAsiaTheme="minorEastAsia" w:hAnsiTheme="minorHAnsi" w:cstheme="minorBidi"/>
          <w:szCs w:val="22"/>
        </w:rPr>
      </w:pPr>
      <w:r>
        <w:t>95.</w:t>
      </w:r>
      <w:r>
        <w:tab/>
        <w:t>NCC coverage recommendation</w:t>
      </w:r>
      <w:r>
        <w:tab/>
      </w:r>
      <w:r>
        <w:fldChar w:fldCharType="begin"/>
      </w:r>
      <w:r>
        <w:instrText xml:space="preserve"> PAGEREF _Toc536782053 \h </w:instrText>
      </w:r>
      <w:r>
        <w:fldChar w:fldCharType="separate"/>
      </w:r>
      <w:r>
        <w:t>129</w:t>
      </w:r>
      <w:r>
        <w:fldChar w:fldCharType="end"/>
      </w:r>
    </w:p>
    <w:p>
      <w:pPr>
        <w:pStyle w:val="TOC8"/>
        <w:rPr>
          <w:rFonts w:asciiTheme="minorHAnsi" w:eastAsiaTheme="minorEastAsia" w:hAnsiTheme="minorHAnsi" w:cstheme="minorBidi"/>
          <w:szCs w:val="22"/>
        </w:rPr>
      </w:pPr>
      <w:r>
        <w:t>96.</w:t>
      </w:r>
      <w:r>
        <w:tab/>
        <w:t>NCC must not make coverage recommendation if tender approval decision becomes irrevocable</w:t>
      </w:r>
      <w:r>
        <w:tab/>
      </w:r>
      <w:r>
        <w:fldChar w:fldCharType="begin"/>
      </w:r>
      <w:r>
        <w:instrText xml:space="preserve"> PAGEREF _Toc536782054 \h </w:instrText>
      </w:r>
      <w:r>
        <w:fldChar w:fldCharType="separate"/>
      </w:r>
      <w:r>
        <w:t>130</w:t>
      </w:r>
      <w:r>
        <w:fldChar w:fldCharType="end"/>
      </w:r>
    </w:p>
    <w:p>
      <w:pPr>
        <w:pStyle w:val="TOC8"/>
        <w:rPr>
          <w:rFonts w:asciiTheme="minorHAnsi" w:eastAsiaTheme="minorEastAsia" w:hAnsiTheme="minorHAnsi" w:cstheme="minorBidi"/>
          <w:szCs w:val="22"/>
        </w:rPr>
      </w:pPr>
      <w:r>
        <w:t>97.</w:t>
      </w:r>
      <w:r>
        <w:tab/>
        <w:t>Principles governing the making of a coverage recommendation</w:t>
      </w:r>
      <w:r>
        <w:tab/>
      </w:r>
      <w:r>
        <w:fldChar w:fldCharType="begin"/>
      </w:r>
      <w:r>
        <w:instrText xml:space="preserve"> PAGEREF _Toc536782055 \h </w:instrText>
      </w:r>
      <w:r>
        <w:fldChar w:fldCharType="separate"/>
      </w:r>
      <w:r>
        <w:t>130</w:t>
      </w:r>
      <w:r>
        <w:fldChar w:fldCharType="end"/>
      </w:r>
    </w:p>
    <w:p>
      <w:pPr>
        <w:pStyle w:val="TOC8"/>
        <w:rPr>
          <w:rFonts w:asciiTheme="minorHAnsi" w:eastAsiaTheme="minorEastAsia" w:hAnsiTheme="minorHAnsi" w:cstheme="minorBidi"/>
          <w:szCs w:val="22"/>
        </w:rPr>
      </w:pPr>
      <w:r>
        <w:t>98.</w:t>
      </w:r>
      <w:r>
        <w:tab/>
        <w:t>Initial classification decision to be made as part of recommendation</w:t>
      </w:r>
      <w:r>
        <w:tab/>
      </w:r>
      <w:r>
        <w:fldChar w:fldCharType="begin"/>
      </w:r>
      <w:r>
        <w:instrText xml:space="preserve"> PAGEREF _Toc536782056 \h </w:instrText>
      </w:r>
      <w:r>
        <w:fldChar w:fldCharType="separate"/>
      </w:r>
      <w:r>
        <w:t>131</w:t>
      </w:r>
      <w:r>
        <w:fldChar w:fldCharType="end"/>
      </w:r>
    </w:p>
    <w:p>
      <w:pPr>
        <w:pStyle w:val="TOC8"/>
        <w:rPr>
          <w:rFonts w:asciiTheme="minorHAnsi" w:eastAsiaTheme="minorEastAsia" w:hAnsiTheme="minorHAnsi" w:cstheme="minorBidi"/>
          <w:szCs w:val="22"/>
        </w:rPr>
      </w:pPr>
      <w:r>
        <w:t>99.</w:t>
      </w:r>
      <w:r>
        <w:tab/>
        <w:t>Relevant Minister’s determination on application</w:t>
      </w:r>
      <w:r>
        <w:tab/>
      </w:r>
      <w:r>
        <w:fldChar w:fldCharType="begin"/>
      </w:r>
      <w:r>
        <w:instrText xml:space="preserve"> PAGEREF _Toc536782057 \h </w:instrText>
      </w:r>
      <w:r>
        <w:fldChar w:fldCharType="separate"/>
      </w:r>
      <w:r>
        <w:t>132</w:t>
      </w:r>
      <w:r>
        <w:fldChar w:fldCharType="end"/>
      </w:r>
    </w:p>
    <w:p>
      <w:pPr>
        <w:pStyle w:val="TOC8"/>
        <w:rPr>
          <w:rFonts w:asciiTheme="minorHAnsi" w:eastAsiaTheme="minorEastAsia" w:hAnsiTheme="minorHAnsi" w:cstheme="minorBidi"/>
          <w:szCs w:val="22"/>
        </w:rPr>
      </w:pPr>
      <w:r>
        <w:t>100.</w:t>
      </w:r>
      <w:r>
        <w:tab/>
        <w:t>Principles governing the making of a coverage determination or decision not to do so</w:t>
      </w:r>
      <w:r>
        <w:tab/>
      </w:r>
      <w:r>
        <w:fldChar w:fldCharType="begin"/>
      </w:r>
      <w:r>
        <w:instrText xml:space="preserve"> PAGEREF _Toc536782058 \h </w:instrText>
      </w:r>
      <w:r>
        <w:fldChar w:fldCharType="separate"/>
      </w:r>
      <w:r>
        <w:t>133</w:t>
      </w:r>
      <w:r>
        <w:fldChar w:fldCharType="end"/>
      </w:r>
    </w:p>
    <w:p>
      <w:pPr>
        <w:pStyle w:val="TOC8"/>
        <w:rPr>
          <w:rFonts w:asciiTheme="minorHAnsi" w:eastAsiaTheme="minorEastAsia" w:hAnsiTheme="minorHAnsi" w:cstheme="minorBidi"/>
          <w:szCs w:val="22"/>
        </w:rPr>
      </w:pPr>
      <w:r>
        <w:t>101.</w:t>
      </w:r>
      <w:r>
        <w:tab/>
        <w:t>Operation and effect of coverage determination</w:t>
      </w:r>
      <w:r>
        <w:tab/>
      </w:r>
      <w:r>
        <w:fldChar w:fldCharType="begin"/>
      </w:r>
      <w:r>
        <w:instrText xml:space="preserve"> PAGEREF _Toc536782059 \h </w:instrText>
      </w:r>
      <w:r>
        <w:fldChar w:fldCharType="separate"/>
      </w:r>
      <w:r>
        <w:t>134</w:t>
      </w:r>
      <w:r>
        <w:fldChar w:fldCharType="end"/>
      </w:r>
    </w:p>
    <w:p>
      <w:pPr>
        <w:pStyle w:val="TOC6"/>
        <w:tabs>
          <w:tab w:val="right" w:leader="dot" w:pos="7077"/>
        </w:tabs>
        <w:rPr>
          <w:rFonts w:asciiTheme="minorHAnsi" w:eastAsiaTheme="minorEastAsia" w:hAnsiTheme="minorHAnsi" w:cstheme="minorBidi"/>
          <w:b w:val="0"/>
          <w:sz w:val="22"/>
          <w:szCs w:val="22"/>
        </w:rPr>
      </w:pPr>
      <w:r>
        <w:t>Division 2 — Coverage revocation determinations</w:t>
      </w:r>
    </w:p>
    <w:p>
      <w:pPr>
        <w:pStyle w:val="TOC8"/>
        <w:rPr>
          <w:rFonts w:asciiTheme="minorHAnsi" w:eastAsiaTheme="minorEastAsia" w:hAnsiTheme="minorHAnsi" w:cstheme="minorBidi"/>
          <w:szCs w:val="22"/>
        </w:rPr>
      </w:pPr>
      <w:r>
        <w:t>102.</w:t>
      </w:r>
      <w:r>
        <w:tab/>
        <w:t>Application for a determination that a pipeline no longer be a covered pipeline</w:t>
      </w:r>
      <w:r>
        <w:tab/>
      </w:r>
      <w:r>
        <w:fldChar w:fldCharType="begin"/>
      </w:r>
      <w:r>
        <w:instrText xml:space="preserve"> PAGEREF _Toc536782061 \h </w:instrText>
      </w:r>
      <w:r>
        <w:fldChar w:fldCharType="separate"/>
      </w:r>
      <w:r>
        <w:t>134</w:t>
      </w:r>
      <w:r>
        <w:fldChar w:fldCharType="end"/>
      </w:r>
    </w:p>
    <w:p>
      <w:pPr>
        <w:pStyle w:val="TOC8"/>
        <w:rPr>
          <w:rFonts w:asciiTheme="minorHAnsi" w:eastAsiaTheme="minorEastAsia" w:hAnsiTheme="minorHAnsi" w:cstheme="minorBidi"/>
          <w:szCs w:val="22"/>
        </w:rPr>
      </w:pPr>
      <w:r>
        <w:t>103.</w:t>
      </w:r>
      <w:r>
        <w:tab/>
        <w:t>Application to be dealt with in accordance with the Rules</w:t>
      </w:r>
      <w:r>
        <w:tab/>
      </w:r>
      <w:r>
        <w:fldChar w:fldCharType="begin"/>
      </w:r>
      <w:r>
        <w:instrText xml:space="preserve"> PAGEREF _Toc536782062 \h </w:instrText>
      </w:r>
      <w:r>
        <w:fldChar w:fldCharType="separate"/>
      </w:r>
      <w:r>
        <w:t>134</w:t>
      </w:r>
      <w:r>
        <w:fldChar w:fldCharType="end"/>
      </w:r>
    </w:p>
    <w:p>
      <w:pPr>
        <w:pStyle w:val="TOC8"/>
        <w:rPr>
          <w:rFonts w:asciiTheme="minorHAnsi" w:eastAsiaTheme="minorEastAsia" w:hAnsiTheme="minorHAnsi" w:cstheme="minorBidi"/>
          <w:szCs w:val="22"/>
        </w:rPr>
      </w:pPr>
      <w:r>
        <w:t>104.</w:t>
      </w:r>
      <w:r>
        <w:tab/>
        <w:t>NCC coverage revocation recommendation</w:t>
      </w:r>
      <w:r>
        <w:tab/>
      </w:r>
      <w:r>
        <w:fldChar w:fldCharType="begin"/>
      </w:r>
      <w:r>
        <w:instrText xml:space="preserve"> PAGEREF _Toc536782063 \h </w:instrText>
      </w:r>
      <w:r>
        <w:fldChar w:fldCharType="separate"/>
      </w:r>
      <w:r>
        <w:t>135</w:t>
      </w:r>
      <w:r>
        <w:fldChar w:fldCharType="end"/>
      </w:r>
    </w:p>
    <w:p>
      <w:pPr>
        <w:pStyle w:val="TOC8"/>
        <w:rPr>
          <w:rFonts w:asciiTheme="minorHAnsi" w:eastAsiaTheme="minorEastAsia" w:hAnsiTheme="minorHAnsi" w:cstheme="minorBidi"/>
          <w:szCs w:val="22"/>
        </w:rPr>
      </w:pPr>
      <w:r>
        <w:t>105.</w:t>
      </w:r>
      <w:r>
        <w:tab/>
        <w:t>Principles governing the making of a coverage revocation recommendation</w:t>
      </w:r>
      <w:r>
        <w:tab/>
      </w:r>
      <w:r>
        <w:fldChar w:fldCharType="begin"/>
      </w:r>
      <w:r>
        <w:instrText xml:space="preserve"> PAGEREF _Toc536782064 \h </w:instrText>
      </w:r>
      <w:r>
        <w:fldChar w:fldCharType="separate"/>
      </w:r>
      <w:r>
        <w:t>135</w:t>
      </w:r>
      <w:r>
        <w:fldChar w:fldCharType="end"/>
      </w:r>
    </w:p>
    <w:p>
      <w:pPr>
        <w:pStyle w:val="TOC8"/>
        <w:rPr>
          <w:rFonts w:asciiTheme="minorHAnsi" w:eastAsiaTheme="minorEastAsia" w:hAnsiTheme="minorHAnsi" w:cstheme="minorBidi"/>
          <w:szCs w:val="22"/>
        </w:rPr>
      </w:pPr>
      <w:r>
        <w:t>106.</w:t>
      </w:r>
      <w:r>
        <w:tab/>
        <w:t>Relevant Minister’s determination on application</w:t>
      </w:r>
      <w:r>
        <w:tab/>
      </w:r>
      <w:r>
        <w:fldChar w:fldCharType="begin"/>
      </w:r>
      <w:r>
        <w:instrText xml:space="preserve"> PAGEREF _Toc536782065 \h </w:instrText>
      </w:r>
      <w:r>
        <w:fldChar w:fldCharType="separate"/>
      </w:r>
      <w:r>
        <w:t>136</w:t>
      </w:r>
      <w:r>
        <w:fldChar w:fldCharType="end"/>
      </w:r>
    </w:p>
    <w:p>
      <w:pPr>
        <w:pStyle w:val="TOC8"/>
        <w:rPr>
          <w:rFonts w:asciiTheme="minorHAnsi" w:eastAsiaTheme="minorEastAsia" w:hAnsiTheme="minorHAnsi" w:cstheme="minorBidi"/>
          <w:szCs w:val="22"/>
        </w:rPr>
      </w:pPr>
      <w:r>
        <w:t>107.</w:t>
      </w:r>
      <w:r>
        <w:tab/>
        <w:t>Principles governing the making of a coverage revocation determination or decision not to do so</w:t>
      </w:r>
      <w:r>
        <w:tab/>
      </w:r>
      <w:r>
        <w:fldChar w:fldCharType="begin"/>
      </w:r>
      <w:r>
        <w:instrText xml:space="preserve"> PAGEREF _Toc536782066 \h </w:instrText>
      </w:r>
      <w:r>
        <w:fldChar w:fldCharType="separate"/>
      </w:r>
      <w:r>
        <w:t>137</w:t>
      </w:r>
      <w:r>
        <w:fldChar w:fldCharType="end"/>
      </w:r>
    </w:p>
    <w:p>
      <w:pPr>
        <w:pStyle w:val="TOC8"/>
        <w:rPr>
          <w:rFonts w:asciiTheme="minorHAnsi" w:eastAsiaTheme="minorEastAsia" w:hAnsiTheme="minorHAnsi" w:cstheme="minorBidi"/>
          <w:szCs w:val="22"/>
        </w:rPr>
      </w:pPr>
      <w:r>
        <w:t>108.</w:t>
      </w:r>
      <w:r>
        <w:tab/>
        <w:t>Operation and effect of coverage revocation determination</w:t>
      </w:r>
      <w:r>
        <w:tab/>
      </w:r>
      <w:r>
        <w:fldChar w:fldCharType="begin"/>
      </w:r>
      <w:r>
        <w:instrText xml:space="preserve"> PAGEREF _Toc536782067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Part 2 — Light regulation of covered pipeline services</w:t>
      </w:r>
    </w:p>
    <w:p>
      <w:pPr>
        <w:pStyle w:val="TOC6"/>
        <w:tabs>
          <w:tab w:val="right" w:leader="dot" w:pos="7077"/>
        </w:tabs>
        <w:rPr>
          <w:rFonts w:asciiTheme="minorHAnsi" w:eastAsiaTheme="minorEastAsia" w:hAnsiTheme="minorHAnsi" w:cstheme="minorBidi"/>
          <w:b w:val="0"/>
          <w:sz w:val="22"/>
          <w:szCs w:val="22"/>
        </w:rPr>
      </w:pPr>
      <w:r>
        <w:t>Division 1 — Making of light regulation determinations</w:t>
      </w:r>
    </w:p>
    <w:p>
      <w:pPr>
        <w:pStyle w:val="TOC6"/>
        <w:tabs>
          <w:tab w:val="right" w:leader="dot" w:pos="7077"/>
        </w:tabs>
        <w:rPr>
          <w:rFonts w:asciiTheme="minorHAnsi" w:eastAsiaTheme="minorEastAsia" w:hAnsiTheme="minorHAnsi" w:cstheme="minorBidi"/>
          <w:b w:val="0"/>
          <w:sz w:val="22"/>
          <w:szCs w:val="22"/>
        </w:rPr>
      </w:pPr>
      <w:r>
        <w:t>Subdivision 1 — Decisions when pipeline is not a covered pipeline</w:t>
      </w:r>
    </w:p>
    <w:p>
      <w:pPr>
        <w:pStyle w:val="TOC8"/>
        <w:rPr>
          <w:rFonts w:asciiTheme="minorHAnsi" w:eastAsiaTheme="minorEastAsia" w:hAnsiTheme="minorHAnsi" w:cstheme="minorBidi"/>
          <w:szCs w:val="22"/>
        </w:rPr>
      </w:pPr>
      <w:r>
        <w:t>109.</w:t>
      </w:r>
      <w:r>
        <w:tab/>
        <w:t>Application of Subdivision</w:t>
      </w:r>
      <w:r>
        <w:tab/>
      </w:r>
      <w:r>
        <w:fldChar w:fldCharType="begin"/>
      </w:r>
      <w:r>
        <w:instrText xml:space="preserve"> PAGEREF _Toc536782071 \h </w:instrText>
      </w:r>
      <w:r>
        <w:fldChar w:fldCharType="separate"/>
      </w:r>
      <w:r>
        <w:t>138</w:t>
      </w:r>
      <w:r>
        <w:fldChar w:fldCharType="end"/>
      </w:r>
    </w:p>
    <w:p>
      <w:pPr>
        <w:pStyle w:val="TOC8"/>
        <w:rPr>
          <w:rFonts w:asciiTheme="minorHAnsi" w:eastAsiaTheme="minorEastAsia" w:hAnsiTheme="minorHAnsi" w:cstheme="minorBidi"/>
          <w:szCs w:val="22"/>
        </w:rPr>
      </w:pPr>
      <w:r>
        <w:t>110.</w:t>
      </w:r>
      <w:r>
        <w:tab/>
        <w:t>NCC’s decision on light regulation of pipeline services</w:t>
      </w:r>
      <w:r>
        <w:tab/>
      </w:r>
      <w:r>
        <w:fldChar w:fldCharType="begin"/>
      </w:r>
      <w:r>
        <w:instrText xml:space="preserve"> PAGEREF _Toc536782072 \h </w:instrText>
      </w:r>
      <w:r>
        <w:fldChar w:fldCharType="separate"/>
      </w:r>
      <w:r>
        <w:t>139</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Decisions when pipeline is a covered pipeline</w:t>
      </w:r>
    </w:p>
    <w:p>
      <w:pPr>
        <w:pStyle w:val="TOC8"/>
        <w:rPr>
          <w:rFonts w:asciiTheme="minorHAnsi" w:eastAsiaTheme="minorEastAsia" w:hAnsiTheme="minorHAnsi" w:cstheme="minorBidi"/>
          <w:szCs w:val="22"/>
        </w:rPr>
      </w:pPr>
      <w:r>
        <w:t>111.</w:t>
      </w:r>
      <w:r>
        <w:tab/>
        <w:t>Application of Subdivision</w:t>
      </w:r>
      <w:r>
        <w:tab/>
      </w:r>
      <w:r>
        <w:fldChar w:fldCharType="begin"/>
      </w:r>
      <w:r>
        <w:instrText xml:space="preserve"> PAGEREF _Toc536782074 \h </w:instrText>
      </w:r>
      <w:r>
        <w:fldChar w:fldCharType="separate"/>
      </w:r>
      <w:r>
        <w:t>139</w:t>
      </w:r>
      <w:r>
        <w:fldChar w:fldCharType="end"/>
      </w:r>
    </w:p>
    <w:p>
      <w:pPr>
        <w:pStyle w:val="TOC8"/>
        <w:rPr>
          <w:rFonts w:asciiTheme="minorHAnsi" w:eastAsiaTheme="minorEastAsia" w:hAnsiTheme="minorHAnsi" w:cstheme="minorBidi"/>
          <w:szCs w:val="22"/>
        </w:rPr>
      </w:pPr>
      <w:r>
        <w:t>112.</w:t>
      </w:r>
      <w:r>
        <w:tab/>
        <w:t>Application</w:t>
      </w:r>
      <w:r>
        <w:tab/>
      </w:r>
      <w:r>
        <w:fldChar w:fldCharType="begin"/>
      </w:r>
      <w:r>
        <w:instrText xml:space="preserve"> PAGEREF _Toc536782075 \h </w:instrText>
      </w:r>
      <w:r>
        <w:fldChar w:fldCharType="separate"/>
      </w:r>
      <w:r>
        <w:t>140</w:t>
      </w:r>
      <w:r>
        <w:fldChar w:fldCharType="end"/>
      </w:r>
    </w:p>
    <w:p>
      <w:pPr>
        <w:pStyle w:val="TOC8"/>
        <w:rPr>
          <w:rFonts w:asciiTheme="minorHAnsi" w:eastAsiaTheme="minorEastAsia" w:hAnsiTheme="minorHAnsi" w:cstheme="minorBidi"/>
          <w:szCs w:val="22"/>
        </w:rPr>
      </w:pPr>
      <w:r>
        <w:t>113.</w:t>
      </w:r>
      <w:r>
        <w:tab/>
        <w:t>Application to be dealt with in accordance with the Rules</w:t>
      </w:r>
      <w:r>
        <w:tab/>
      </w:r>
      <w:r>
        <w:fldChar w:fldCharType="begin"/>
      </w:r>
      <w:r>
        <w:instrText xml:space="preserve"> PAGEREF _Toc536782076 \h </w:instrText>
      </w:r>
      <w:r>
        <w:fldChar w:fldCharType="separate"/>
      </w:r>
      <w:r>
        <w:t>140</w:t>
      </w:r>
      <w:r>
        <w:fldChar w:fldCharType="end"/>
      </w:r>
    </w:p>
    <w:p>
      <w:pPr>
        <w:pStyle w:val="TOC8"/>
        <w:rPr>
          <w:rFonts w:asciiTheme="minorHAnsi" w:eastAsiaTheme="minorEastAsia" w:hAnsiTheme="minorHAnsi" w:cstheme="minorBidi"/>
          <w:szCs w:val="22"/>
        </w:rPr>
      </w:pPr>
      <w:r>
        <w:t>114.</w:t>
      </w:r>
      <w:r>
        <w:tab/>
        <w:t>NCC’s decision on light regulation of pipeline services</w:t>
      </w:r>
      <w:r>
        <w:tab/>
      </w:r>
      <w:r>
        <w:fldChar w:fldCharType="begin"/>
      </w:r>
      <w:r>
        <w:instrText xml:space="preserve"> PAGEREF _Toc536782077 \h </w:instrText>
      </w:r>
      <w:r>
        <w:fldChar w:fldCharType="separate"/>
      </w:r>
      <w:r>
        <w:t>140</w:t>
      </w:r>
      <w:r>
        <w:fldChar w:fldCharType="end"/>
      </w:r>
    </w:p>
    <w:p>
      <w:pPr>
        <w:pStyle w:val="TOC6"/>
        <w:tabs>
          <w:tab w:val="right" w:leader="dot" w:pos="7077"/>
        </w:tabs>
        <w:rPr>
          <w:rFonts w:asciiTheme="minorHAnsi" w:eastAsiaTheme="minorEastAsia" w:hAnsiTheme="minorHAnsi" w:cstheme="minorBidi"/>
          <w:b w:val="0"/>
          <w:sz w:val="22"/>
          <w:szCs w:val="22"/>
        </w:rPr>
      </w:pPr>
      <w:r>
        <w:t>Subdivision 3 — Operation and effect of light regulation determinations</w:t>
      </w:r>
    </w:p>
    <w:p>
      <w:pPr>
        <w:pStyle w:val="TOC8"/>
        <w:rPr>
          <w:rFonts w:asciiTheme="minorHAnsi" w:eastAsiaTheme="minorEastAsia" w:hAnsiTheme="minorHAnsi" w:cstheme="minorBidi"/>
          <w:szCs w:val="22"/>
        </w:rPr>
      </w:pPr>
      <w:r>
        <w:t>115.</w:t>
      </w:r>
      <w:r>
        <w:tab/>
        <w:t>When light regulation determinations take effect</w:t>
      </w:r>
      <w:r>
        <w:tab/>
      </w:r>
      <w:r>
        <w:fldChar w:fldCharType="begin"/>
      </w:r>
      <w:r>
        <w:instrText xml:space="preserve"> PAGEREF _Toc536782079 \h </w:instrText>
      </w:r>
      <w:r>
        <w:fldChar w:fldCharType="separate"/>
      </w:r>
      <w:r>
        <w:t>141</w:t>
      </w:r>
      <w:r>
        <w:fldChar w:fldCharType="end"/>
      </w:r>
    </w:p>
    <w:p>
      <w:pPr>
        <w:pStyle w:val="TOC8"/>
        <w:rPr>
          <w:rFonts w:asciiTheme="minorHAnsi" w:eastAsiaTheme="minorEastAsia" w:hAnsiTheme="minorHAnsi" w:cstheme="minorBidi"/>
          <w:szCs w:val="22"/>
        </w:rPr>
      </w:pPr>
      <w:r>
        <w:t>116.</w:t>
      </w:r>
      <w:r>
        <w:tab/>
        <w:t>Submission of limited access arrangement for light regulation services</w:t>
      </w:r>
      <w:r>
        <w:tab/>
      </w:r>
      <w:r>
        <w:fldChar w:fldCharType="begin"/>
      </w:r>
      <w:r>
        <w:instrText xml:space="preserve"> PAGEREF _Toc536782080 \h </w:instrText>
      </w:r>
      <w:r>
        <w:fldChar w:fldCharType="separate"/>
      </w:r>
      <w:r>
        <w:t>141</w:t>
      </w:r>
      <w:r>
        <w:fldChar w:fldCharType="end"/>
      </w:r>
    </w:p>
    <w:p>
      <w:pPr>
        <w:pStyle w:val="TOC6"/>
        <w:tabs>
          <w:tab w:val="right" w:leader="dot" w:pos="7077"/>
        </w:tabs>
        <w:rPr>
          <w:rFonts w:asciiTheme="minorHAnsi" w:eastAsiaTheme="minorEastAsia" w:hAnsiTheme="minorHAnsi" w:cstheme="minorBidi"/>
          <w:b w:val="0"/>
          <w:sz w:val="22"/>
          <w:szCs w:val="22"/>
        </w:rPr>
      </w:pPr>
      <w:r>
        <w:t>Division 2 — Revocation of light regulation determinations</w:t>
      </w:r>
    </w:p>
    <w:p>
      <w:pPr>
        <w:pStyle w:val="TOC6"/>
        <w:tabs>
          <w:tab w:val="right" w:leader="dot" w:pos="7077"/>
        </w:tabs>
        <w:rPr>
          <w:rFonts w:asciiTheme="minorHAnsi" w:eastAsiaTheme="minorEastAsia" w:hAnsiTheme="minorHAnsi" w:cstheme="minorBidi"/>
          <w:b w:val="0"/>
          <w:sz w:val="22"/>
          <w:szCs w:val="22"/>
        </w:rPr>
      </w:pPr>
      <w:r>
        <w:t>Subdivision 1 — On advice from service providers</w:t>
      </w:r>
    </w:p>
    <w:p>
      <w:pPr>
        <w:pStyle w:val="TOC8"/>
        <w:rPr>
          <w:rFonts w:asciiTheme="minorHAnsi" w:eastAsiaTheme="minorEastAsia" w:hAnsiTheme="minorHAnsi" w:cstheme="minorBidi"/>
          <w:szCs w:val="22"/>
        </w:rPr>
      </w:pPr>
      <w:r>
        <w:t>117.</w:t>
      </w:r>
      <w:r>
        <w:tab/>
        <w:t>Advice by service provider that light regulation services should cease to be light regulation services</w:t>
      </w:r>
      <w:r>
        <w:tab/>
      </w:r>
      <w:r>
        <w:fldChar w:fldCharType="begin"/>
      </w:r>
      <w:r>
        <w:instrText xml:space="preserve"> PAGEREF _Toc536782083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t>Subdivision 2 — On application by persons other than service providers</w:t>
      </w:r>
    </w:p>
    <w:p>
      <w:pPr>
        <w:pStyle w:val="TOC8"/>
        <w:rPr>
          <w:rFonts w:asciiTheme="minorHAnsi" w:eastAsiaTheme="minorEastAsia" w:hAnsiTheme="minorHAnsi" w:cstheme="minorBidi"/>
          <w:szCs w:val="22"/>
        </w:rPr>
      </w:pPr>
      <w:r>
        <w:t>118.</w:t>
      </w:r>
      <w:r>
        <w:tab/>
        <w:t>Application (other than by service provider) for revocation of light regulation determinations</w:t>
      </w:r>
      <w:r>
        <w:tab/>
      </w:r>
      <w:r>
        <w:fldChar w:fldCharType="begin"/>
      </w:r>
      <w:r>
        <w:instrText xml:space="preserve"> PAGEREF _Toc536782085 \h </w:instrText>
      </w:r>
      <w:r>
        <w:fldChar w:fldCharType="separate"/>
      </w:r>
      <w:r>
        <w:t>143</w:t>
      </w:r>
      <w:r>
        <w:fldChar w:fldCharType="end"/>
      </w:r>
    </w:p>
    <w:p>
      <w:pPr>
        <w:pStyle w:val="TOC8"/>
        <w:rPr>
          <w:rFonts w:asciiTheme="minorHAnsi" w:eastAsiaTheme="minorEastAsia" w:hAnsiTheme="minorHAnsi" w:cstheme="minorBidi"/>
          <w:szCs w:val="22"/>
        </w:rPr>
      </w:pPr>
      <w:r>
        <w:t>119.</w:t>
      </w:r>
      <w:r>
        <w:tab/>
        <w:t>Decisions on applications made around time of applications for coverage revocation determinations</w:t>
      </w:r>
      <w:r>
        <w:tab/>
      </w:r>
      <w:r>
        <w:fldChar w:fldCharType="begin"/>
      </w:r>
      <w:r>
        <w:instrText xml:space="preserve"> PAGEREF _Toc536782086 \h </w:instrText>
      </w:r>
      <w:r>
        <w:fldChar w:fldCharType="separate"/>
      </w:r>
      <w:r>
        <w:t>143</w:t>
      </w:r>
      <w:r>
        <w:fldChar w:fldCharType="end"/>
      </w:r>
    </w:p>
    <w:p>
      <w:pPr>
        <w:pStyle w:val="TOC8"/>
        <w:rPr>
          <w:rFonts w:asciiTheme="minorHAnsi" w:eastAsiaTheme="minorEastAsia" w:hAnsiTheme="minorHAnsi" w:cstheme="minorBidi"/>
          <w:szCs w:val="22"/>
        </w:rPr>
      </w:pPr>
      <w:r>
        <w:t>120.</w:t>
      </w:r>
      <w:r>
        <w:tab/>
        <w:t>NCC decision on application where no application for a coverage revocation recommendation</w:t>
      </w:r>
      <w:r>
        <w:tab/>
      </w:r>
      <w:r>
        <w:fldChar w:fldCharType="begin"/>
      </w:r>
      <w:r>
        <w:instrText xml:space="preserve"> PAGEREF _Toc536782087 \h </w:instrText>
      </w:r>
      <w:r>
        <w:fldChar w:fldCharType="separate"/>
      </w:r>
      <w:r>
        <w:t>145</w:t>
      </w:r>
      <w:r>
        <w:fldChar w:fldCharType="end"/>
      </w:r>
    </w:p>
    <w:p>
      <w:pPr>
        <w:pStyle w:val="TOC8"/>
        <w:rPr>
          <w:rFonts w:asciiTheme="minorHAnsi" w:eastAsiaTheme="minorEastAsia" w:hAnsiTheme="minorHAnsi" w:cstheme="minorBidi"/>
          <w:szCs w:val="22"/>
        </w:rPr>
      </w:pPr>
      <w:r>
        <w:t>121.</w:t>
      </w:r>
      <w:r>
        <w:tab/>
        <w:t>Operation and effect of decision of NCC under this Division</w:t>
      </w:r>
      <w:r>
        <w:tab/>
      </w:r>
      <w:r>
        <w:fldChar w:fldCharType="begin"/>
      </w:r>
      <w:r>
        <w:instrText xml:space="preserve"> PAGEREF _Toc536782088 \h </w:instrText>
      </w:r>
      <w:r>
        <w:fldChar w:fldCharType="separate"/>
      </w:r>
      <w:r>
        <w:t>145</w:t>
      </w:r>
      <w:r>
        <w:fldChar w:fldCharType="end"/>
      </w:r>
    </w:p>
    <w:p>
      <w:pPr>
        <w:pStyle w:val="TOC6"/>
        <w:tabs>
          <w:tab w:val="right" w:leader="dot" w:pos="7077"/>
        </w:tabs>
        <w:rPr>
          <w:rFonts w:asciiTheme="minorHAnsi" w:eastAsiaTheme="minorEastAsia" w:hAnsiTheme="minorHAnsi" w:cstheme="minorBidi"/>
          <w:b w:val="0"/>
          <w:sz w:val="22"/>
          <w:szCs w:val="22"/>
        </w:rPr>
      </w:pPr>
      <w:r>
        <w:t>Division 3 — Principles governing light regulation determinations</w:t>
      </w:r>
    </w:p>
    <w:p>
      <w:pPr>
        <w:pStyle w:val="TOC8"/>
        <w:rPr>
          <w:rFonts w:asciiTheme="minorHAnsi" w:eastAsiaTheme="minorEastAsia" w:hAnsiTheme="minorHAnsi" w:cstheme="minorBidi"/>
          <w:szCs w:val="22"/>
        </w:rPr>
      </w:pPr>
      <w:r>
        <w:t>122.</w:t>
      </w:r>
      <w:r>
        <w:tab/>
        <w:t>Principles governing the making or revoking of light regulation determinations</w:t>
      </w:r>
      <w:r>
        <w:tab/>
      </w:r>
      <w:r>
        <w:fldChar w:fldCharType="begin"/>
      </w:r>
      <w:r>
        <w:instrText xml:space="preserve"> PAGEREF _Toc536782090 \h </w:instrText>
      </w:r>
      <w:r>
        <w:fldChar w:fldCharType="separate"/>
      </w:r>
      <w:r>
        <w:t>146</w:t>
      </w:r>
      <w:r>
        <w:fldChar w:fldCharType="end"/>
      </w:r>
    </w:p>
    <w:p>
      <w:pPr>
        <w:pStyle w:val="TOC6"/>
        <w:tabs>
          <w:tab w:val="right" w:leader="dot" w:pos="7077"/>
        </w:tabs>
        <w:rPr>
          <w:rFonts w:asciiTheme="minorHAnsi" w:eastAsiaTheme="minorEastAsia" w:hAnsiTheme="minorHAnsi" w:cstheme="minorBidi"/>
          <w:b w:val="0"/>
          <w:sz w:val="22"/>
          <w:szCs w:val="22"/>
        </w:rPr>
      </w:pPr>
      <w:r>
        <w:t>Division 4 — Revocation if coverage determination not made</w:t>
      </w:r>
    </w:p>
    <w:p>
      <w:pPr>
        <w:pStyle w:val="TOC8"/>
        <w:rPr>
          <w:rFonts w:asciiTheme="minorHAnsi" w:eastAsiaTheme="minorEastAsia" w:hAnsiTheme="minorHAnsi" w:cstheme="minorBidi"/>
          <w:szCs w:val="22"/>
        </w:rPr>
      </w:pPr>
      <w:r>
        <w:t>123.</w:t>
      </w:r>
      <w:r>
        <w:tab/>
        <w:t>Light regulation determination revoked if coverage determination not made</w:t>
      </w:r>
      <w:r>
        <w:tab/>
      </w:r>
      <w:r>
        <w:fldChar w:fldCharType="begin"/>
      </w:r>
      <w:r>
        <w:instrText xml:space="preserve"> PAGEREF _Toc536782092 \h </w:instrText>
      </w:r>
      <w:r>
        <w:fldChar w:fldCharType="separate"/>
      </w:r>
      <w:r>
        <w:t>147</w:t>
      </w:r>
      <w:r>
        <w:fldChar w:fldCharType="end"/>
      </w:r>
    </w:p>
    <w:p>
      <w:pPr>
        <w:pStyle w:val="TOC6"/>
        <w:tabs>
          <w:tab w:val="right" w:leader="dot" w:pos="7077"/>
        </w:tabs>
        <w:rPr>
          <w:rFonts w:asciiTheme="minorHAnsi" w:eastAsiaTheme="minorEastAsia" w:hAnsiTheme="minorHAnsi" w:cstheme="minorBidi"/>
          <w:b w:val="0"/>
          <w:sz w:val="22"/>
          <w:szCs w:val="22"/>
        </w:rPr>
      </w:pPr>
      <w:r>
        <w:t>Division 5 — Effect of pipeline ceasing to be covered pipeline</w:t>
      </w:r>
    </w:p>
    <w:p>
      <w:pPr>
        <w:pStyle w:val="TOC8"/>
        <w:rPr>
          <w:rFonts w:asciiTheme="minorHAnsi" w:eastAsiaTheme="minorEastAsia" w:hAnsiTheme="minorHAnsi" w:cstheme="minorBidi"/>
          <w:szCs w:val="22"/>
        </w:rPr>
      </w:pPr>
      <w:r>
        <w:t>124.</w:t>
      </w:r>
      <w:r>
        <w:tab/>
        <w:t>Light regulation services cease to be such services on cessation of coverage of pipeline</w:t>
      </w:r>
      <w:r>
        <w:tab/>
      </w:r>
      <w:r>
        <w:fldChar w:fldCharType="begin"/>
      </w:r>
      <w:r>
        <w:instrText xml:space="preserve"> PAGEREF _Toc536782094 \h </w:instrText>
      </w:r>
      <w:r>
        <w:fldChar w:fldCharType="separate"/>
      </w:r>
      <w:r>
        <w:t>148</w:t>
      </w:r>
      <w:r>
        <w:fldChar w:fldCharType="end"/>
      </w:r>
    </w:p>
    <w:p>
      <w:pPr>
        <w:pStyle w:val="TOC6"/>
        <w:tabs>
          <w:tab w:val="right" w:leader="dot" w:pos="7077"/>
        </w:tabs>
        <w:rPr>
          <w:rFonts w:asciiTheme="minorHAnsi" w:eastAsiaTheme="minorEastAsia" w:hAnsiTheme="minorHAnsi" w:cstheme="minorBidi"/>
          <w:b w:val="0"/>
          <w:sz w:val="22"/>
          <w:szCs w:val="22"/>
        </w:rPr>
      </w:pPr>
      <w:r>
        <w:t>Division 6 — AER reviews into designated pipelines</w:t>
      </w:r>
    </w:p>
    <w:p>
      <w:pPr>
        <w:pStyle w:val="TOC8"/>
        <w:rPr>
          <w:rFonts w:asciiTheme="minorHAnsi" w:eastAsiaTheme="minorEastAsia" w:hAnsiTheme="minorHAnsi" w:cstheme="minorBidi"/>
          <w:szCs w:val="22"/>
        </w:rPr>
      </w:pPr>
      <w:r>
        <w:t>125.</w:t>
      </w:r>
      <w:r>
        <w:tab/>
        <w:t>AER reviews</w:t>
      </w:r>
      <w:r>
        <w:tab/>
      </w:r>
      <w:r>
        <w:fldChar w:fldCharType="begin"/>
      </w:r>
      <w:r>
        <w:instrText xml:space="preserve"> PAGEREF _Toc536782096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Part 3 — Coverage of pipelines the subject of tender process</w:t>
      </w:r>
    </w:p>
    <w:p>
      <w:pPr>
        <w:pStyle w:val="TOC8"/>
        <w:rPr>
          <w:rFonts w:asciiTheme="minorHAnsi" w:eastAsiaTheme="minorEastAsia" w:hAnsiTheme="minorHAnsi" w:cstheme="minorBidi"/>
          <w:szCs w:val="22"/>
        </w:rPr>
      </w:pPr>
      <w:r>
        <w:t>126.</w:t>
      </w:r>
      <w:r>
        <w:tab/>
        <w:t>Tender approval pipelines deemed to be covered pipelines</w:t>
      </w:r>
      <w:r>
        <w:tab/>
      </w:r>
      <w:r>
        <w:fldChar w:fldCharType="begin"/>
      </w:r>
      <w:r>
        <w:instrText xml:space="preserve"> PAGEREF _Toc536782098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Part 4 — Coverage following approval of voluntary access arrangement</w:t>
      </w:r>
    </w:p>
    <w:p>
      <w:pPr>
        <w:pStyle w:val="TOC8"/>
        <w:rPr>
          <w:rFonts w:asciiTheme="minorHAnsi" w:eastAsiaTheme="minorEastAsia" w:hAnsiTheme="minorHAnsi" w:cstheme="minorBidi"/>
          <w:szCs w:val="22"/>
        </w:rPr>
      </w:pPr>
      <w:r>
        <w:t>127.</w:t>
      </w:r>
      <w:r>
        <w:tab/>
        <w:t>Certain pipelines become covered pipelines on approval of voluntary access arrangement</w:t>
      </w:r>
      <w:r>
        <w:tab/>
      </w:r>
      <w:r>
        <w:fldChar w:fldCharType="begin"/>
      </w:r>
      <w:r>
        <w:instrText xml:space="preserve"> PAGEREF _Toc536782100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Part 5 — Reclassification of pipelines</w:t>
      </w:r>
    </w:p>
    <w:p>
      <w:pPr>
        <w:pStyle w:val="TOC8"/>
        <w:rPr>
          <w:rFonts w:asciiTheme="minorHAnsi" w:eastAsiaTheme="minorEastAsia" w:hAnsiTheme="minorHAnsi" w:cstheme="minorBidi"/>
          <w:szCs w:val="22"/>
        </w:rPr>
      </w:pPr>
      <w:r>
        <w:t>128.</w:t>
      </w:r>
      <w:r>
        <w:tab/>
        <w:t>Service provider may apply for reclassification of pipeline</w:t>
      </w:r>
      <w:r>
        <w:tab/>
      </w:r>
      <w:r>
        <w:fldChar w:fldCharType="begin"/>
      </w:r>
      <w:r>
        <w:instrText xml:space="preserve"> PAGEREF _Toc536782102 \h </w:instrText>
      </w:r>
      <w:r>
        <w:fldChar w:fldCharType="separate"/>
      </w:r>
      <w:r>
        <w:t>151</w:t>
      </w:r>
      <w:r>
        <w:fldChar w:fldCharType="end"/>
      </w:r>
    </w:p>
    <w:p>
      <w:pPr>
        <w:pStyle w:val="TOC8"/>
        <w:rPr>
          <w:rFonts w:asciiTheme="minorHAnsi" w:eastAsiaTheme="minorEastAsia" w:hAnsiTheme="minorHAnsi" w:cstheme="minorBidi"/>
          <w:szCs w:val="22"/>
        </w:rPr>
      </w:pPr>
      <w:r>
        <w:t>129.</w:t>
      </w:r>
      <w:r>
        <w:tab/>
        <w:t>Reclassification decision</w:t>
      </w:r>
      <w:r>
        <w:tab/>
      </w:r>
      <w:r>
        <w:fldChar w:fldCharType="begin"/>
      </w:r>
      <w:r>
        <w:instrText xml:space="preserve"> PAGEREF _Toc536782103 \h </w:instrText>
      </w:r>
      <w:r>
        <w:fldChar w:fldCharType="separate"/>
      </w:r>
      <w:r>
        <w:t>151</w:t>
      </w:r>
      <w:r>
        <w:fldChar w:fldCharType="end"/>
      </w:r>
    </w:p>
    <w:p>
      <w:pPr>
        <w:pStyle w:val="TOC8"/>
        <w:rPr>
          <w:rFonts w:asciiTheme="minorHAnsi" w:eastAsiaTheme="minorEastAsia" w:hAnsiTheme="minorHAnsi" w:cstheme="minorBidi"/>
          <w:szCs w:val="22"/>
        </w:rPr>
      </w:pPr>
      <w:r>
        <w:t>130.</w:t>
      </w:r>
      <w:r>
        <w:tab/>
        <w:t>Effect of reclassification decision</w:t>
      </w:r>
      <w:r>
        <w:tab/>
      </w:r>
      <w:r>
        <w:fldChar w:fldCharType="begin"/>
      </w:r>
      <w:r>
        <w:instrText xml:space="preserve"> PAGEREF _Toc536782104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Chapter 4 — General requirements for provision of covered pipeline services</w:t>
      </w:r>
    </w:p>
    <w:p>
      <w:pPr>
        <w:pStyle w:val="TOC4"/>
        <w:tabs>
          <w:tab w:val="right" w:leader="dot" w:pos="7077"/>
        </w:tabs>
        <w:rPr>
          <w:rFonts w:asciiTheme="minorHAnsi" w:eastAsiaTheme="minorEastAsia" w:hAnsiTheme="minorHAnsi" w:cstheme="minorBidi"/>
          <w:b w:val="0"/>
          <w:szCs w:val="22"/>
        </w:rPr>
      </w:pPr>
      <w:r>
        <w:t>Part 1 — General duties for provision of pipeline services by covered pipelines</w:t>
      </w:r>
    </w:p>
    <w:p>
      <w:pPr>
        <w:pStyle w:val="TOC8"/>
        <w:rPr>
          <w:rFonts w:asciiTheme="minorHAnsi" w:eastAsiaTheme="minorEastAsia" w:hAnsiTheme="minorHAnsi" w:cstheme="minorBidi"/>
          <w:szCs w:val="22"/>
        </w:rPr>
      </w:pPr>
      <w:r>
        <w:t>131.</w:t>
      </w:r>
      <w:r>
        <w:tab/>
        <w:t>Service provider must be legal entity of a specified kind to provide pipeline services by covered pipeline</w:t>
      </w:r>
      <w:r>
        <w:tab/>
      </w:r>
      <w:r>
        <w:fldChar w:fldCharType="begin"/>
      </w:r>
      <w:r>
        <w:instrText xml:space="preserve"> PAGEREF _Toc536782107 \h </w:instrText>
      </w:r>
      <w:r>
        <w:fldChar w:fldCharType="separate"/>
      </w:r>
      <w:r>
        <w:t>153</w:t>
      </w:r>
      <w:r>
        <w:fldChar w:fldCharType="end"/>
      </w:r>
    </w:p>
    <w:p>
      <w:pPr>
        <w:pStyle w:val="TOC8"/>
        <w:rPr>
          <w:rFonts w:asciiTheme="minorHAnsi" w:eastAsiaTheme="minorEastAsia" w:hAnsiTheme="minorHAnsi" w:cstheme="minorBidi"/>
          <w:szCs w:val="22"/>
        </w:rPr>
      </w:pPr>
      <w:r>
        <w:t>132.</w:t>
      </w:r>
      <w:r>
        <w:tab/>
        <w:t>Submission of full access arrangement or revisions to applicable full access arrangements</w:t>
      </w:r>
      <w:r>
        <w:tab/>
      </w:r>
      <w:r>
        <w:fldChar w:fldCharType="begin"/>
      </w:r>
      <w:r>
        <w:instrText xml:space="preserve"> PAGEREF _Toc536782108 \h </w:instrText>
      </w:r>
      <w:r>
        <w:fldChar w:fldCharType="separate"/>
      </w:r>
      <w:r>
        <w:t>153</w:t>
      </w:r>
      <w:r>
        <w:fldChar w:fldCharType="end"/>
      </w:r>
    </w:p>
    <w:p>
      <w:pPr>
        <w:pStyle w:val="TOC8"/>
        <w:rPr>
          <w:rFonts w:asciiTheme="minorHAnsi" w:eastAsiaTheme="minorEastAsia" w:hAnsiTheme="minorHAnsi" w:cstheme="minorBidi"/>
          <w:szCs w:val="22"/>
        </w:rPr>
      </w:pPr>
      <w:r>
        <w:t>133.</w:t>
      </w:r>
      <w:r>
        <w:tab/>
        <w:t>Preventing or hindering access</w:t>
      </w:r>
      <w:r>
        <w:tab/>
      </w:r>
      <w:r>
        <w:fldChar w:fldCharType="begin"/>
      </w:r>
      <w:r>
        <w:instrText xml:space="preserve"> PAGEREF _Toc536782109 \h </w:instrText>
      </w:r>
      <w:r>
        <w:fldChar w:fldCharType="separate"/>
      </w:r>
      <w:r>
        <w:t>154</w:t>
      </w:r>
      <w:r>
        <w:fldChar w:fldCharType="end"/>
      </w:r>
    </w:p>
    <w:p>
      <w:pPr>
        <w:pStyle w:val="TOC8"/>
        <w:rPr>
          <w:rFonts w:asciiTheme="minorHAnsi" w:eastAsiaTheme="minorEastAsia" w:hAnsiTheme="minorHAnsi" w:cstheme="minorBidi"/>
          <w:szCs w:val="22"/>
        </w:rPr>
      </w:pPr>
      <w:r>
        <w:t>134.</w:t>
      </w:r>
      <w:r>
        <w:tab/>
        <w:t>Supply and haulage of natural gas</w:t>
      </w:r>
      <w:r>
        <w:tab/>
      </w:r>
      <w:r>
        <w:fldChar w:fldCharType="begin"/>
      </w:r>
      <w:r>
        <w:instrText xml:space="preserve"> PAGEREF _Toc536782110 \h </w:instrText>
      </w:r>
      <w:r>
        <w:fldChar w:fldCharType="separate"/>
      </w:r>
      <w:r>
        <w:t>156</w:t>
      </w:r>
      <w:r>
        <w:fldChar w:fldCharType="end"/>
      </w:r>
    </w:p>
    <w:p>
      <w:pPr>
        <w:pStyle w:val="TOC8"/>
        <w:rPr>
          <w:rFonts w:asciiTheme="minorHAnsi" w:eastAsiaTheme="minorEastAsia" w:hAnsiTheme="minorHAnsi" w:cstheme="minorBidi"/>
          <w:szCs w:val="22"/>
        </w:rPr>
      </w:pPr>
      <w:r>
        <w:t>135.</w:t>
      </w:r>
      <w:r>
        <w:tab/>
        <w:t>Covered pipeline service provider must comply with queuing requirements</w:t>
      </w:r>
      <w:r>
        <w:tab/>
      </w:r>
      <w:r>
        <w:fldChar w:fldCharType="begin"/>
      </w:r>
      <w:r>
        <w:instrText xml:space="preserve"> PAGEREF _Toc536782111 \h </w:instrText>
      </w:r>
      <w:r>
        <w:fldChar w:fldCharType="separate"/>
      </w:r>
      <w:r>
        <w:t>156</w:t>
      </w:r>
      <w:r>
        <w:fldChar w:fldCharType="end"/>
      </w:r>
    </w:p>
    <w:p>
      <w:pPr>
        <w:pStyle w:val="TOC8"/>
        <w:rPr>
          <w:rFonts w:asciiTheme="minorHAnsi" w:eastAsiaTheme="minorEastAsia" w:hAnsiTheme="minorHAnsi" w:cstheme="minorBidi"/>
          <w:szCs w:val="22"/>
        </w:rPr>
      </w:pPr>
      <w:r>
        <w:t>136.</w:t>
      </w:r>
      <w:r>
        <w:tab/>
        <w:t>Covered pipeline service provider providing light regulation services must not price discriminate</w:t>
      </w:r>
      <w:r>
        <w:tab/>
      </w:r>
      <w:r>
        <w:fldChar w:fldCharType="begin"/>
      </w:r>
      <w:r>
        <w:instrText xml:space="preserve"> PAGEREF _Toc536782112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Part 2 — Structural and operational separation requirements (ring fencing)</w:t>
      </w:r>
    </w:p>
    <w:p>
      <w:pPr>
        <w:pStyle w:val="TOC6"/>
        <w:tabs>
          <w:tab w:val="right" w:leader="dot" w:pos="7077"/>
        </w:tabs>
        <w:rPr>
          <w:rFonts w:asciiTheme="minorHAnsi" w:eastAsiaTheme="minorEastAsia" w:hAnsiTheme="minorHAnsi" w:cstheme="minorBidi"/>
          <w:b w:val="0"/>
          <w:sz w:val="22"/>
          <w:szCs w:val="22"/>
        </w:rPr>
      </w:pPr>
      <w:r>
        <w:t>Division 1 — Interpretation</w:t>
      </w:r>
    </w:p>
    <w:p>
      <w:pPr>
        <w:pStyle w:val="TOC8"/>
        <w:rPr>
          <w:rFonts w:asciiTheme="minorHAnsi" w:eastAsiaTheme="minorEastAsia" w:hAnsiTheme="minorHAnsi" w:cstheme="minorBidi"/>
          <w:szCs w:val="22"/>
        </w:rPr>
      </w:pPr>
      <w:r>
        <w:t>137.</w:t>
      </w:r>
      <w:r>
        <w:tab/>
        <w:t>Definitions</w:t>
      </w:r>
      <w:r>
        <w:tab/>
      </w:r>
      <w:r>
        <w:fldChar w:fldCharType="begin"/>
      </w:r>
      <w:r>
        <w:instrText xml:space="preserve"> PAGEREF _Toc536782115 \h </w:instrText>
      </w:r>
      <w:r>
        <w:fldChar w:fldCharType="separate"/>
      </w:r>
      <w:r>
        <w:t>157</w:t>
      </w:r>
      <w:r>
        <w:fldChar w:fldCharType="end"/>
      </w:r>
    </w:p>
    <w:p>
      <w:pPr>
        <w:pStyle w:val="TOC8"/>
        <w:rPr>
          <w:rFonts w:asciiTheme="minorHAnsi" w:eastAsiaTheme="minorEastAsia" w:hAnsiTheme="minorHAnsi" w:cstheme="minorBidi"/>
          <w:szCs w:val="22"/>
        </w:rPr>
      </w:pPr>
      <w:r>
        <w:t>138.</w:t>
      </w:r>
      <w:r>
        <w:tab/>
        <w:t>Meaning of marketing staff</w:t>
      </w:r>
      <w:r>
        <w:tab/>
      </w:r>
      <w:r>
        <w:fldChar w:fldCharType="begin"/>
      </w:r>
      <w:r>
        <w:instrText xml:space="preserve"> PAGEREF _Toc536782116 \h </w:instrText>
      </w:r>
      <w:r>
        <w:fldChar w:fldCharType="separate"/>
      </w:r>
      <w:r>
        <w:t>158</w:t>
      </w:r>
      <w:r>
        <w:fldChar w:fldCharType="end"/>
      </w:r>
    </w:p>
    <w:p>
      <w:pPr>
        <w:pStyle w:val="TOC6"/>
        <w:tabs>
          <w:tab w:val="right" w:leader="dot" w:pos="7077"/>
        </w:tabs>
        <w:rPr>
          <w:rFonts w:asciiTheme="minorHAnsi" w:eastAsiaTheme="minorEastAsia" w:hAnsiTheme="minorHAnsi" w:cstheme="minorBidi"/>
          <w:b w:val="0"/>
          <w:sz w:val="22"/>
          <w:szCs w:val="22"/>
        </w:rPr>
      </w:pPr>
      <w:r>
        <w:t>Division 2 — Minimum ring fencing requirements</w:t>
      </w:r>
    </w:p>
    <w:p>
      <w:pPr>
        <w:pStyle w:val="TOC8"/>
        <w:rPr>
          <w:rFonts w:asciiTheme="minorHAnsi" w:eastAsiaTheme="minorEastAsia" w:hAnsiTheme="minorHAnsi" w:cstheme="minorBidi"/>
          <w:szCs w:val="22"/>
        </w:rPr>
      </w:pPr>
      <w:r>
        <w:t>139.</w:t>
      </w:r>
      <w:r>
        <w:tab/>
        <w:t>Carrying on of related businesses prohibited</w:t>
      </w:r>
      <w:r>
        <w:tab/>
      </w:r>
      <w:r>
        <w:fldChar w:fldCharType="begin"/>
      </w:r>
      <w:r>
        <w:instrText xml:space="preserve"> PAGEREF _Toc536782118 \h </w:instrText>
      </w:r>
      <w:r>
        <w:fldChar w:fldCharType="separate"/>
      </w:r>
      <w:r>
        <w:t>159</w:t>
      </w:r>
      <w:r>
        <w:fldChar w:fldCharType="end"/>
      </w:r>
    </w:p>
    <w:p>
      <w:pPr>
        <w:pStyle w:val="TOC8"/>
        <w:rPr>
          <w:rFonts w:asciiTheme="minorHAnsi" w:eastAsiaTheme="minorEastAsia" w:hAnsiTheme="minorHAnsi" w:cstheme="minorBidi"/>
          <w:szCs w:val="22"/>
        </w:rPr>
      </w:pPr>
      <w:r>
        <w:t>140.</w:t>
      </w:r>
      <w:r>
        <w:tab/>
        <w:t>Marketing staff and the taking part in related businesses</w:t>
      </w:r>
      <w:r>
        <w:tab/>
      </w:r>
      <w:r>
        <w:fldChar w:fldCharType="begin"/>
      </w:r>
      <w:r>
        <w:instrText xml:space="preserve"> PAGEREF _Toc536782119 \h </w:instrText>
      </w:r>
      <w:r>
        <w:fldChar w:fldCharType="separate"/>
      </w:r>
      <w:r>
        <w:t>159</w:t>
      </w:r>
      <w:r>
        <w:fldChar w:fldCharType="end"/>
      </w:r>
    </w:p>
    <w:p>
      <w:pPr>
        <w:pStyle w:val="TOC8"/>
        <w:rPr>
          <w:rFonts w:asciiTheme="minorHAnsi" w:eastAsiaTheme="minorEastAsia" w:hAnsiTheme="minorHAnsi" w:cstheme="minorBidi"/>
          <w:szCs w:val="22"/>
        </w:rPr>
      </w:pPr>
      <w:r>
        <w:t>141.</w:t>
      </w:r>
      <w:r>
        <w:tab/>
        <w:t>Accounts that must be prepared, maintained and kept</w:t>
      </w:r>
      <w:r>
        <w:tab/>
      </w:r>
      <w:r>
        <w:fldChar w:fldCharType="begin"/>
      </w:r>
      <w:r>
        <w:instrText xml:space="preserve"> PAGEREF _Toc536782120 \h </w:instrText>
      </w:r>
      <w:r>
        <w:fldChar w:fldCharType="separate"/>
      </w:r>
      <w:r>
        <w:t>160</w:t>
      </w:r>
      <w:r>
        <w:fldChar w:fldCharType="end"/>
      </w:r>
    </w:p>
    <w:p>
      <w:pPr>
        <w:pStyle w:val="TOC6"/>
        <w:tabs>
          <w:tab w:val="right" w:leader="dot" w:pos="7077"/>
        </w:tabs>
        <w:rPr>
          <w:rFonts w:asciiTheme="minorHAnsi" w:eastAsiaTheme="minorEastAsia" w:hAnsiTheme="minorHAnsi" w:cstheme="minorBidi"/>
          <w:b w:val="0"/>
          <w:sz w:val="22"/>
          <w:szCs w:val="22"/>
        </w:rPr>
      </w:pPr>
      <w:r>
        <w:t>Division 3 — Additional ring fencing requirements</w:t>
      </w:r>
    </w:p>
    <w:p>
      <w:pPr>
        <w:pStyle w:val="TOC8"/>
        <w:rPr>
          <w:rFonts w:asciiTheme="minorHAnsi" w:eastAsiaTheme="minorEastAsia" w:hAnsiTheme="minorHAnsi" w:cstheme="minorBidi"/>
          <w:szCs w:val="22"/>
        </w:rPr>
      </w:pPr>
      <w:r>
        <w:t>142.</w:t>
      </w:r>
      <w:r>
        <w:tab/>
        <w:t>Division does not limit operation of Division 2</w:t>
      </w:r>
      <w:r>
        <w:tab/>
      </w:r>
      <w:r>
        <w:fldChar w:fldCharType="begin"/>
      </w:r>
      <w:r>
        <w:instrText xml:space="preserve"> PAGEREF _Toc536782122 \h </w:instrText>
      </w:r>
      <w:r>
        <w:fldChar w:fldCharType="separate"/>
      </w:r>
      <w:r>
        <w:t>160</w:t>
      </w:r>
      <w:r>
        <w:fldChar w:fldCharType="end"/>
      </w:r>
    </w:p>
    <w:p>
      <w:pPr>
        <w:pStyle w:val="TOC8"/>
        <w:rPr>
          <w:rFonts w:asciiTheme="minorHAnsi" w:eastAsiaTheme="minorEastAsia" w:hAnsiTheme="minorHAnsi" w:cstheme="minorBidi"/>
          <w:szCs w:val="22"/>
        </w:rPr>
      </w:pPr>
      <w:r>
        <w:t>143.</w:t>
      </w:r>
      <w:r>
        <w:tab/>
        <w:t>AER ring fencing determinations</w:t>
      </w:r>
      <w:r>
        <w:tab/>
      </w:r>
      <w:r>
        <w:fldChar w:fldCharType="begin"/>
      </w:r>
      <w:r>
        <w:instrText xml:space="preserve"> PAGEREF _Toc536782123 \h </w:instrText>
      </w:r>
      <w:r>
        <w:fldChar w:fldCharType="separate"/>
      </w:r>
      <w:r>
        <w:t>160</w:t>
      </w:r>
      <w:r>
        <w:fldChar w:fldCharType="end"/>
      </w:r>
    </w:p>
    <w:p>
      <w:pPr>
        <w:pStyle w:val="TOC8"/>
        <w:rPr>
          <w:rFonts w:asciiTheme="minorHAnsi" w:eastAsiaTheme="minorEastAsia" w:hAnsiTheme="minorHAnsi" w:cstheme="minorBidi"/>
          <w:szCs w:val="22"/>
        </w:rPr>
      </w:pPr>
      <w:r>
        <w:t>144.</w:t>
      </w:r>
      <w:r>
        <w:tab/>
        <w:t>AER to have regard to likely compliance costs of additional ring fencing requirements</w:t>
      </w:r>
      <w:r>
        <w:tab/>
      </w:r>
      <w:r>
        <w:fldChar w:fldCharType="begin"/>
      </w:r>
      <w:r>
        <w:instrText xml:space="preserve"> PAGEREF _Toc536782124 \h </w:instrText>
      </w:r>
      <w:r>
        <w:fldChar w:fldCharType="separate"/>
      </w:r>
      <w:r>
        <w:t>162</w:t>
      </w:r>
      <w:r>
        <w:fldChar w:fldCharType="end"/>
      </w:r>
    </w:p>
    <w:p>
      <w:pPr>
        <w:pStyle w:val="TOC8"/>
        <w:rPr>
          <w:rFonts w:asciiTheme="minorHAnsi" w:eastAsiaTheme="minorEastAsia" w:hAnsiTheme="minorHAnsi" w:cstheme="minorBidi"/>
          <w:szCs w:val="22"/>
        </w:rPr>
      </w:pPr>
      <w:r>
        <w:t>145.</w:t>
      </w:r>
      <w:r>
        <w:tab/>
        <w:t>Types of ring fencing requirements that may be specified in an AER ring fencing determination</w:t>
      </w:r>
      <w:r>
        <w:tab/>
      </w:r>
      <w:r>
        <w:fldChar w:fldCharType="begin"/>
      </w:r>
      <w:r>
        <w:instrText xml:space="preserve"> PAGEREF _Toc536782125 \h </w:instrText>
      </w:r>
      <w:r>
        <w:fldChar w:fldCharType="separate"/>
      </w:r>
      <w:r>
        <w:t>162</w:t>
      </w:r>
      <w:r>
        <w:fldChar w:fldCharType="end"/>
      </w:r>
    </w:p>
    <w:p>
      <w:pPr>
        <w:pStyle w:val="TOC6"/>
        <w:tabs>
          <w:tab w:val="right" w:leader="dot" w:pos="7077"/>
        </w:tabs>
        <w:rPr>
          <w:rFonts w:asciiTheme="minorHAnsi" w:eastAsiaTheme="minorEastAsia" w:hAnsiTheme="minorHAnsi" w:cstheme="minorBidi"/>
          <w:b w:val="0"/>
          <w:sz w:val="22"/>
          <w:szCs w:val="22"/>
        </w:rPr>
      </w:pPr>
      <w:r>
        <w:t>Division 4 — AER ring fencing exemptions</w:t>
      </w:r>
    </w:p>
    <w:p>
      <w:pPr>
        <w:pStyle w:val="TOC8"/>
        <w:rPr>
          <w:rFonts w:asciiTheme="minorHAnsi" w:eastAsiaTheme="minorEastAsia" w:hAnsiTheme="minorHAnsi" w:cstheme="minorBidi"/>
          <w:szCs w:val="22"/>
        </w:rPr>
      </w:pPr>
      <w:r>
        <w:t>146.</w:t>
      </w:r>
      <w:r>
        <w:tab/>
        <w:t>Exemptions from minimum ring fencing requirements</w:t>
      </w:r>
      <w:r>
        <w:tab/>
      </w:r>
      <w:r>
        <w:fldChar w:fldCharType="begin"/>
      </w:r>
      <w:r>
        <w:instrText xml:space="preserve"> PAGEREF _Toc536782127 \h </w:instrText>
      </w:r>
      <w:r>
        <w:fldChar w:fldCharType="separate"/>
      </w:r>
      <w:r>
        <w:t>163</w:t>
      </w:r>
      <w:r>
        <w:fldChar w:fldCharType="end"/>
      </w:r>
    </w:p>
    <w:p>
      <w:pPr>
        <w:pStyle w:val="TOC6"/>
        <w:tabs>
          <w:tab w:val="right" w:leader="dot" w:pos="7077"/>
        </w:tabs>
        <w:rPr>
          <w:rFonts w:asciiTheme="minorHAnsi" w:eastAsiaTheme="minorEastAsia" w:hAnsiTheme="minorHAnsi" w:cstheme="minorBidi"/>
          <w:b w:val="0"/>
          <w:sz w:val="22"/>
          <w:szCs w:val="22"/>
        </w:rPr>
      </w:pPr>
      <w:r>
        <w:t>Division 5 — Associate contracts</w:t>
      </w:r>
    </w:p>
    <w:p>
      <w:pPr>
        <w:pStyle w:val="TOC8"/>
        <w:rPr>
          <w:rFonts w:asciiTheme="minorHAnsi" w:eastAsiaTheme="minorEastAsia" w:hAnsiTheme="minorHAnsi" w:cstheme="minorBidi"/>
          <w:szCs w:val="22"/>
        </w:rPr>
      </w:pPr>
      <w:r>
        <w:t>147.</w:t>
      </w:r>
      <w:r>
        <w:tab/>
        <w:t>Service provider must not enter into or give effect to associate contracts that have anti</w:t>
      </w:r>
      <w:r>
        <w:noBreakHyphen/>
        <w:t>competitive effect</w:t>
      </w:r>
      <w:r>
        <w:tab/>
      </w:r>
      <w:r>
        <w:fldChar w:fldCharType="begin"/>
      </w:r>
      <w:r>
        <w:instrText xml:space="preserve"> PAGEREF _Toc536782129 \h </w:instrText>
      </w:r>
      <w:r>
        <w:fldChar w:fldCharType="separate"/>
      </w:r>
      <w:r>
        <w:t>164</w:t>
      </w:r>
      <w:r>
        <w:fldChar w:fldCharType="end"/>
      </w:r>
    </w:p>
    <w:p>
      <w:pPr>
        <w:pStyle w:val="TOC8"/>
        <w:rPr>
          <w:rFonts w:asciiTheme="minorHAnsi" w:eastAsiaTheme="minorEastAsia" w:hAnsiTheme="minorHAnsi" w:cstheme="minorBidi"/>
          <w:szCs w:val="22"/>
        </w:rPr>
      </w:pPr>
      <w:r>
        <w:t>148.</w:t>
      </w:r>
      <w:r>
        <w:tab/>
        <w:t>Service provider must not enter into or give effect to associate contracts inconsistent with competitive parity rule</w:t>
      </w:r>
      <w:r>
        <w:tab/>
      </w:r>
      <w:r>
        <w:fldChar w:fldCharType="begin"/>
      </w:r>
      <w:r>
        <w:instrText xml:space="preserve"> PAGEREF _Toc536782130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Chapter 5 — Greenfields pipeline incentives</w:t>
      </w:r>
    </w:p>
    <w:p>
      <w:pPr>
        <w:pStyle w:val="TOC4"/>
        <w:tabs>
          <w:tab w:val="right" w:leader="dot" w:pos="7077"/>
        </w:tabs>
        <w:rPr>
          <w:rFonts w:asciiTheme="minorHAnsi" w:eastAsiaTheme="minorEastAsia" w:hAnsiTheme="minorHAnsi" w:cstheme="minorBidi"/>
          <w:b w:val="0"/>
          <w:szCs w:val="22"/>
        </w:rPr>
      </w:pPr>
      <w:r>
        <w:t>Part 1 — Interpretation</w:t>
      </w:r>
    </w:p>
    <w:p>
      <w:pPr>
        <w:pStyle w:val="TOC8"/>
        <w:rPr>
          <w:rFonts w:asciiTheme="minorHAnsi" w:eastAsiaTheme="minorEastAsia" w:hAnsiTheme="minorHAnsi" w:cstheme="minorBidi"/>
          <w:szCs w:val="22"/>
        </w:rPr>
      </w:pPr>
      <w:r>
        <w:t>149.</w:t>
      </w:r>
      <w:r>
        <w:tab/>
        <w:t>Definitions</w:t>
      </w:r>
      <w:r>
        <w:tab/>
      </w:r>
      <w:r>
        <w:fldChar w:fldCharType="begin"/>
      </w:r>
      <w:r>
        <w:instrText xml:space="preserve"> PAGEREF _Toc536782133 \h </w:instrText>
      </w:r>
      <w:r>
        <w:fldChar w:fldCharType="separate"/>
      </w:r>
      <w:r>
        <w:t>166</w:t>
      </w:r>
      <w:r>
        <w:fldChar w:fldCharType="end"/>
      </w:r>
    </w:p>
    <w:p>
      <w:pPr>
        <w:pStyle w:val="TOC8"/>
        <w:rPr>
          <w:rFonts w:asciiTheme="minorHAnsi" w:eastAsiaTheme="minorEastAsia" w:hAnsiTheme="minorHAnsi" w:cstheme="minorBidi"/>
          <w:szCs w:val="22"/>
        </w:rPr>
      </w:pPr>
      <w:r>
        <w:t>150.</w:t>
      </w:r>
      <w:r>
        <w:tab/>
        <w:t>International pipeline to be a transmission pipeline for purposes of Chapter</w:t>
      </w:r>
      <w:r>
        <w:tab/>
      </w:r>
      <w:r>
        <w:fldChar w:fldCharType="begin"/>
      </w:r>
      <w:r>
        <w:instrText xml:space="preserve"> PAGEREF _Toc536782134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Part 2 — 15</w:t>
      </w:r>
      <w:r>
        <w:noBreakHyphen/>
        <w:t>year no</w:t>
      </w:r>
      <w:r>
        <w:noBreakHyphen/>
        <w:t>coverage determinations</w:t>
      </w:r>
    </w:p>
    <w:p>
      <w:pPr>
        <w:pStyle w:val="TOC8"/>
        <w:rPr>
          <w:rFonts w:asciiTheme="minorHAnsi" w:eastAsiaTheme="minorEastAsia" w:hAnsiTheme="minorHAnsi" w:cstheme="minorBidi"/>
          <w:szCs w:val="22"/>
        </w:rPr>
      </w:pPr>
      <w:r>
        <w:t>151.</w:t>
      </w:r>
      <w:r>
        <w:tab/>
        <w:t>Application for 15</w:t>
      </w:r>
      <w:r>
        <w:noBreakHyphen/>
        <w:t>year no</w:t>
      </w:r>
      <w:r>
        <w:noBreakHyphen/>
        <w:t>coverage determination for proposed pipeline</w:t>
      </w:r>
      <w:r>
        <w:tab/>
      </w:r>
      <w:r>
        <w:fldChar w:fldCharType="begin"/>
      </w:r>
      <w:r>
        <w:instrText xml:space="preserve"> PAGEREF _Toc536782136 \h </w:instrText>
      </w:r>
      <w:r>
        <w:fldChar w:fldCharType="separate"/>
      </w:r>
      <w:r>
        <w:t>167</w:t>
      </w:r>
      <w:r>
        <w:fldChar w:fldCharType="end"/>
      </w:r>
    </w:p>
    <w:p>
      <w:pPr>
        <w:pStyle w:val="TOC8"/>
        <w:rPr>
          <w:rFonts w:asciiTheme="minorHAnsi" w:eastAsiaTheme="minorEastAsia" w:hAnsiTheme="minorHAnsi" w:cstheme="minorBidi"/>
          <w:szCs w:val="22"/>
        </w:rPr>
      </w:pPr>
      <w:r>
        <w:t>152.</w:t>
      </w:r>
      <w:r>
        <w:tab/>
        <w:t>Application to be dealt with in accordance with the Rules</w:t>
      </w:r>
      <w:r>
        <w:tab/>
      </w:r>
      <w:r>
        <w:fldChar w:fldCharType="begin"/>
      </w:r>
      <w:r>
        <w:instrText xml:space="preserve"> PAGEREF _Toc536782137 \h </w:instrText>
      </w:r>
      <w:r>
        <w:fldChar w:fldCharType="separate"/>
      </w:r>
      <w:r>
        <w:t>168</w:t>
      </w:r>
      <w:r>
        <w:fldChar w:fldCharType="end"/>
      </w:r>
    </w:p>
    <w:p>
      <w:pPr>
        <w:pStyle w:val="TOC8"/>
        <w:rPr>
          <w:rFonts w:asciiTheme="minorHAnsi" w:eastAsiaTheme="minorEastAsia" w:hAnsiTheme="minorHAnsi" w:cstheme="minorBidi"/>
          <w:szCs w:val="22"/>
        </w:rPr>
      </w:pPr>
      <w:r>
        <w:t>153.</w:t>
      </w:r>
      <w:r>
        <w:tab/>
        <w:t>No</w:t>
      </w:r>
      <w:r>
        <w:noBreakHyphen/>
        <w:t>coverage recommendation</w:t>
      </w:r>
      <w:r>
        <w:tab/>
      </w:r>
      <w:r>
        <w:fldChar w:fldCharType="begin"/>
      </w:r>
      <w:r>
        <w:instrText xml:space="preserve"> PAGEREF _Toc536782138 \h </w:instrText>
      </w:r>
      <w:r>
        <w:fldChar w:fldCharType="separate"/>
      </w:r>
      <w:r>
        <w:t>168</w:t>
      </w:r>
      <w:r>
        <w:fldChar w:fldCharType="end"/>
      </w:r>
    </w:p>
    <w:p>
      <w:pPr>
        <w:pStyle w:val="TOC8"/>
        <w:rPr>
          <w:rFonts w:asciiTheme="minorHAnsi" w:eastAsiaTheme="minorEastAsia" w:hAnsiTheme="minorHAnsi" w:cstheme="minorBidi"/>
          <w:szCs w:val="22"/>
        </w:rPr>
      </w:pPr>
      <w:r>
        <w:t>154.</w:t>
      </w:r>
      <w:r>
        <w:tab/>
        <w:t>Principles governing the making of a no</w:t>
      </w:r>
      <w:r>
        <w:noBreakHyphen/>
        <w:t>coverage recommendation</w:t>
      </w:r>
      <w:r>
        <w:tab/>
      </w:r>
      <w:r>
        <w:fldChar w:fldCharType="begin"/>
      </w:r>
      <w:r>
        <w:instrText xml:space="preserve"> PAGEREF _Toc536782139 \h </w:instrText>
      </w:r>
      <w:r>
        <w:fldChar w:fldCharType="separate"/>
      </w:r>
      <w:r>
        <w:t>169</w:t>
      </w:r>
      <w:r>
        <w:fldChar w:fldCharType="end"/>
      </w:r>
    </w:p>
    <w:p>
      <w:pPr>
        <w:pStyle w:val="TOC8"/>
        <w:rPr>
          <w:rFonts w:asciiTheme="minorHAnsi" w:eastAsiaTheme="minorEastAsia" w:hAnsiTheme="minorHAnsi" w:cstheme="minorBidi"/>
          <w:szCs w:val="22"/>
        </w:rPr>
      </w:pPr>
      <w:r>
        <w:t>155.</w:t>
      </w:r>
      <w:r>
        <w:tab/>
        <w:t>Initial classification decision to be made as part of recommendation</w:t>
      </w:r>
      <w:r>
        <w:tab/>
      </w:r>
      <w:r>
        <w:fldChar w:fldCharType="begin"/>
      </w:r>
      <w:r>
        <w:instrText xml:space="preserve"> PAGEREF _Toc536782140 \h </w:instrText>
      </w:r>
      <w:r>
        <w:fldChar w:fldCharType="separate"/>
      </w:r>
      <w:r>
        <w:t>169</w:t>
      </w:r>
      <w:r>
        <w:fldChar w:fldCharType="end"/>
      </w:r>
    </w:p>
    <w:p>
      <w:pPr>
        <w:pStyle w:val="TOC8"/>
        <w:rPr>
          <w:rFonts w:asciiTheme="minorHAnsi" w:eastAsiaTheme="minorEastAsia" w:hAnsiTheme="minorHAnsi" w:cstheme="minorBidi"/>
          <w:szCs w:val="22"/>
        </w:rPr>
      </w:pPr>
      <w:r>
        <w:t>156.</w:t>
      </w:r>
      <w:r>
        <w:tab/>
        <w:t>Relevant Minister’s determination on application</w:t>
      </w:r>
      <w:r>
        <w:tab/>
      </w:r>
      <w:r>
        <w:fldChar w:fldCharType="begin"/>
      </w:r>
      <w:r>
        <w:instrText xml:space="preserve"> PAGEREF _Toc536782141 \h </w:instrText>
      </w:r>
      <w:r>
        <w:fldChar w:fldCharType="separate"/>
      </w:r>
      <w:r>
        <w:t>170</w:t>
      </w:r>
      <w:r>
        <w:fldChar w:fldCharType="end"/>
      </w:r>
    </w:p>
    <w:p>
      <w:pPr>
        <w:pStyle w:val="TOC8"/>
        <w:rPr>
          <w:rFonts w:asciiTheme="minorHAnsi" w:eastAsiaTheme="minorEastAsia" w:hAnsiTheme="minorHAnsi" w:cstheme="minorBidi"/>
          <w:szCs w:val="22"/>
        </w:rPr>
      </w:pPr>
      <w:r>
        <w:t>157.</w:t>
      </w:r>
      <w:r>
        <w:tab/>
        <w:t>Principles governing the making of a 15</w:t>
      </w:r>
      <w:r>
        <w:noBreakHyphen/>
        <w:t>year no</w:t>
      </w:r>
      <w:r>
        <w:noBreakHyphen/>
        <w:t>coverage determination or decision not to do so</w:t>
      </w:r>
      <w:r>
        <w:tab/>
      </w:r>
      <w:r>
        <w:fldChar w:fldCharType="begin"/>
      </w:r>
      <w:r>
        <w:instrText xml:space="preserve"> PAGEREF _Toc536782142 \h </w:instrText>
      </w:r>
      <w:r>
        <w:fldChar w:fldCharType="separate"/>
      </w:r>
      <w:r>
        <w:t>171</w:t>
      </w:r>
      <w:r>
        <w:fldChar w:fldCharType="end"/>
      </w:r>
    </w:p>
    <w:p>
      <w:pPr>
        <w:pStyle w:val="TOC8"/>
        <w:rPr>
          <w:rFonts w:asciiTheme="minorHAnsi" w:eastAsiaTheme="minorEastAsia" w:hAnsiTheme="minorHAnsi" w:cstheme="minorBidi"/>
          <w:szCs w:val="22"/>
        </w:rPr>
      </w:pPr>
      <w:r>
        <w:t>158.</w:t>
      </w:r>
      <w:r>
        <w:tab/>
        <w:t>Effect of 15</w:t>
      </w:r>
      <w:r>
        <w:noBreakHyphen/>
        <w:t>year no</w:t>
      </w:r>
      <w:r>
        <w:noBreakHyphen/>
        <w:t>coverage determination</w:t>
      </w:r>
      <w:r>
        <w:tab/>
      </w:r>
      <w:r>
        <w:fldChar w:fldCharType="begin"/>
      </w:r>
      <w:r>
        <w:instrText xml:space="preserve"> PAGEREF _Toc536782143 \h </w:instrText>
      </w:r>
      <w:r>
        <w:fldChar w:fldCharType="separate"/>
      </w:r>
      <w:r>
        <w:t>172</w:t>
      </w:r>
      <w:r>
        <w:fldChar w:fldCharType="end"/>
      </w:r>
    </w:p>
    <w:p>
      <w:pPr>
        <w:pStyle w:val="TOC8"/>
        <w:rPr>
          <w:rFonts w:asciiTheme="minorHAnsi" w:eastAsiaTheme="minorEastAsia" w:hAnsiTheme="minorHAnsi" w:cstheme="minorBidi"/>
          <w:szCs w:val="22"/>
        </w:rPr>
      </w:pPr>
      <w:r>
        <w:t>159.</w:t>
      </w:r>
      <w:r>
        <w:tab/>
        <w:t>Consequences of Minister deciding against making 15</w:t>
      </w:r>
      <w:r>
        <w:noBreakHyphen/>
        <w:t>year no</w:t>
      </w:r>
      <w:r>
        <w:noBreakHyphen/>
        <w:t>coverage determination for international pipeline</w:t>
      </w:r>
      <w:r>
        <w:tab/>
      </w:r>
      <w:r>
        <w:fldChar w:fldCharType="begin"/>
      </w:r>
      <w:r>
        <w:instrText xml:space="preserve"> PAGEREF _Toc536782144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Part 3 — Price regulation exemptions</w:t>
      </w:r>
    </w:p>
    <w:p>
      <w:pPr>
        <w:pStyle w:val="TOC6"/>
        <w:tabs>
          <w:tab w:val="right" w:leader="dot" w:pos="7077"/>
        </w:tabs>
        <w:rPr>
          <w:rFonts w:asciiTheme="minorHAnsi" w:eastAsiaTheme="minorEastAsia" w:hAnsiTheme="minorHAnsi" w:cstheme="minorBidi"/>
          <w:b w:val="0"/>
          <w:sz w:val="22"/>
          <w:szCs w:val="22"/>
        </w:rPr>
      </w:pPr>
      <w:r>
        <w:t>Division 1 — Application for price regulation exemption</w:t>
      </w:r>
    </w:p>
    <w:p>
      <w:pPr>
        <w:pStyle w:val="TOC8"/>
        <w:rPr>
          <w:rFonts w:asciiTheme="minorHAnsi" w:eastAsiaTheme="minorEastAsia" w:hAnsiTheme="minorHAnsi" w:cstheme="minorBidi"/>
          <w:szCs w:val="22"/>
        </w:rPr>
      </w:pPr>
      <w:r>
        <w:t>160.</w:t>
      </w:r>
      <w:r>
        <w:tab/>
        <w:t>Application for price regulation exemption</w:t>
      </w:r>
      <w:r>
        <w:tab/>
      </w:r>
      <w:r>
        <w:fldChar w:fldCharType="begin"/>
      </w:r>
      <w:r>
        <w:instrText xml:space="preserve"> PAGEREF _Toc536782147 \h </w:instrText>
      </w:r>
      <w:r>
        <w:fldChar w:fldCharType="separate"/>
      </w:r>
      <w:r>
        <w:t>173</w:t>
      </w:r>
      <w:r>
        <w:fldChar w:fldCharType="end"/>
      </w:r>
    </w:p>
    <w:p>
      <w:pPr>
        <w:pStyle w:val="TOC6"/>
        <w:tabs>
          <w:tab w:val="right" w:leader="dot" w:pos="7077"/>
        </w:tabs>
        <w:rPr>
          <w:rFonts w:asciiTheme="minorHAnsi" w:eastAsiaTheme="minorEastAsia" w:hAnsiTheme="minorHAnsi" w:cstheme="minorBidi"/>
          <w:b w:val="0"/>
          <w:sz w:val="22"/>
          <w:szCs w:val="22"/>
        </w:rPr>
      </w:pPr>
      <w:r>
        <w:t>Division 2 — Recommendations by NCC</w:t>
      </w:r>
    </w:p>
    <w:p>
      <w:pPr>
        <w:pStyle w:val="TOC8"/>
        <w:rPr>
          <w:rFonts w:asciiTheme="minorHAnsi" w:eastAsiaTheme="minorEastAsia" w:hAnsiTheme="minorHAnsi" w:cstheme="minorBidi"/>
          <w:szCs w:val="22"/>
        </w:rPr>
      </w:pPr>
      <w:r>
        <w:t>161.</w:t>
      </w:r>
      <w:r>
        <w:tab/>
        <w:t>Application to be dealt with in accordance with the Rules</w:t>
      </w:r>
      <w:r>
        <w:tab/>
      </w:r>
      <w:r>
        <w:fldChar w:fldCharType="begin"/>
      </w:r>
      <w:r>
        <w:instrText xml:space="preserve"> PAGEREF _Toc536782149 \h </w:instrText>
      </w:r>
      <w:r>
        <w:fldChar w:fldCharType="separate"/>
      </w:r>
      <w:r>
        <w:t>174</w:t>
      </w:r>
      <w:r>
        <w:fldChar w:fldCharType="end"/>
      </w:r>
    </w:p>
    <w:p>
      <w:pPr>
        <w:pStyle w:val="TOC8"/>
        <w:rPr>
          <w:rFonts w:asciiTheme="minorHAnsi" w:eastAsiaTheme="minorEastAsia" w:hAnsiTheme="minorHAnsi" w:cstheme="minorBidi"/>
          <w:szCs w:val="22"/>
        </w:rPr>
      </w:pPr>
      <w:r>
        <w:t>162.</w:t>
      </w:r>
      <w:r>
        <w:tab/>
        <w:t>NCC’s recommendation</w:t>
      </w:r>
      <w:r>
        <w:tab/>
      </w:r>
      <w:r>
        <w:fldChar w:fldCharType="begin"/>
      </w:r>
      <w:r>
        <w:instrText xml:space="preserve"> PAGEREF _Toc536782150 \h </w:instrText>
      </w:r>
      <w:r>
        <w:fldChar w:fldCharType="separate"/>
      </w:r>
      <w:r>
        <w:t>174</w:t>
      </w:r>
      <w:r>
        <w:fldChar w:fldCharType="end"/>
      </w:r>
    </w:p>
    <w:p>
      <w:pPr>
        <w:pStyle w:val="TOC8"/>
        <w:rPr>
          <w:rFonts w:asciiTheme="minorHAnsi" w:eastAsiaTheme="minorEastAsia" w:hAnsiTheme="minorHAnsi" w:cstheme="minorBidi"/>
          <w:szCs w:val="22"/>
        </w:rPr>
      </w:pPr>
      <w:r>
        <w:t>163.</w:t>
      </w:r>
      <w:r>
        <w:tab/>
        <w:t>General principle governing NCC’s recommendation</w:t>
      </w:r>
      <w:r>
        <w:tab/>
      </w:r>
      <w:r>
        <w:fldChar w:fldCharType="begin"/>
      </w:r>
      <w:r>
        <w:instrText xml:space="preserve"> PAGEREF _Toc536782151 \h </w:instrText>
      </w:r>
      <w:r>
        <w:fldChar w:fldCharType="separate"/>
      </w:r>
      <w:r>
        <w:t>174</w:t>
      </w:r>
      <w:r>
        <w:fldChar w:fldCharType="end"/>
      </w:r>
    </w:p>
    <w:p>
      <w:pPr>
        <w:pStyle w:val="TOC6"/>
        <w:tabs>
          <w:tab w:val="right" w:leader="dot" w:pos="7077"/>
        </w:tabs>
        <w:rPr>
          <w:rFonts w:asciiTheme="minorHAnsi" w:eastAsiaTheme="minorEastAsia" w:hAnsiTheme="minorHAnsi" w:cstheme="minorBidi"/>
          <w:b w:val="0"/>
          <w:sz w:val="22"/>
          <w:szCs w:val="22"/>
        </w:rPr>
      </w:pPr>
      <w:r>
        <w:t>Division 3 — Making and effect of price regulation exemption</w:t>
      </w:r>
    </w:p>
    <w:p>
      <w:pPr>
        <w:pStyle w:val="TOC8"/>
        <w:rPr>
          <w:rFonts w:asciiTheme="minorHAnsi" w:eastAsiaTheme="minorEastAsia" w:hAnsiTheme="minorHAnsi" w:cstheme="minorBidi"/>
          <w:szCs w:val="22"/>
        </w:rPr>
      </w:pPr>
      <w:r>
        <w:t>164.</w:t>
      </w:r>
      <w:r>
        <w:tab/>
        <w:t>Making of price regulation exemption</w:t>
      </w:r>
      <w:r>
        <w:tab/>
      </w:r>
      <w:r>
        <w:fldChar w:fldCharType="begin"/>
      </w:r>
      <w:r>
        <w:instrText xml:space="preserve"> PAGEREF _Toc536782153 \h </w:instrText>
      </w:r>
      <w:r>
        <w:fldChar w:fldCharType="separate"/>
      </w:r>
      <w:r>
        <w:t>175</w:t>
      </w:r>
      <w:r>
        <w:fldChar w:fldCharType="end"/>
      </w:r>
    </w:p>
    <w:p>
      <w:pPr>
        <w:pStyle w:val="TOC8"/>
        <w:rPr>
          <w:rFonts w:asciiTheme="minorHAnsi" w:eastAsiaTheme="minorEastAsia" w:hAnsiTheme="minorHAnsi" w:cstheme="minorBidi"/>
          <w:szCs w:val="22"/>
        </w:rPr>
      </w:pPr>
      <w:r>
        <w:t>165.</w:t>
      </w:r>
      <w:r>
        <w:tab/>
        <w:t>Principles governing the making of a price regulation exemption</w:t>
      </w:r>
      <w:r>
        <w:tab/>
      </w:r>
      <w:r>
        <w:fldChar w:fldCharType="begin"/>
      </w:r>
      <w:r>
        <w:instrText xml:space="preserve"> PAGEREF _Toc536782154 \h </w:instrText>
      </w:r>
      <w:r>
        <w:fldChar w:fldCharType="separate"/>
      </w:r>
      <w:r>
        <w:t>175</w:t>
      </w:r>
      <w:r>
        <w:fldChar w:fldCharType="end"/>
      </w:r>
    </w:p>
    <w:p>
      <w:pPr>
        <w:pStyle w:val="TOC8"/>
        <w:rPr>
          <w:rFonts w:asciiTheme="minorHAnsi" w:eastAsiaTheme="minorEastAsia" w:hAnsiTheme="minorHAnsi" w:cstheme="minorBidi"/>
          <w:szCs w:val="22"/>
        </w:rPr>
      </w:pPr>
      <w:r>
        <w:t>166.</w:t>
      </w:r>
      <w:r>
        <w:tab/>
        <w:t>Conditions applying to a price regulation exemption</w:t>
      </w:r>
      <w:r>
        <w:tab/>
      </w:r>
      <w:r>
        <w:fldChar w:fldCharType="begin"/>
      </w:r>
      <w:r>
        <w:instrText xml:space="preserve"> PAGEREF _Toc536782155 \h </w:instrText>
      </w:r>
      <w:r>
        <w:fldChar w:fldCharType="separate"/>
      </w:r>
      <w:r>
        <w:t>176</w:t>
      </w:r>
      <w:r>
        <w:fldChar w:fldCharType="end"/>
      </w:r>
    </w:p>
    <w:p>
      <w:pPr>
        <w:pStyle w:val="TOC8"/>
        <w:rPr>
          <w:rFonts w:asciiTheme="minorHAnsi" w:eastAsiaTheme="minorEastAsia" w:hAnsiTheme="minorHAnsi" w:cstheme="minorBidi"/>
          <w:szCs w:val="22"/>
        </w:rPr>
      </w:pPr>
      <w:r>
        <w:t>167.</w:t>
      </w:r>
      <w:r>
        <w:tab/>
        <w:t>Effect of price regulation exemption</w:t>
      </w:r>
      <w:r>
        <w:tab/>
      </w:r>
      <w:r>
        <w:fldChar w:fldCharType="begin"/>
      </w:r>
      <w:r>
        <w:instrText xml:space="preserve"> PAGEREF _Toc536782156 \h </w:instrText>
      </w:r>
      <w:r>
        <w:fldChar w:fldCharType="separate"/>
      </w:r>
      <w:r>
        <w:t>177</w:t>
      </w:r>
      <w:r>
        <w:fldChar w:fldCharType="end"/>
      </w:r>
    </w:p>
    <w:p>
      <w:pPr>
        <w:pStyle w:val="TOC6"/>
        <w:tabs>
          <w:tab w:val="right" w:leader="dot" w:pos="7077"/>
        </w:tabs>
        <w:rPr>
          <w:rFonts w:asciiTheme="minorHAnsi" w:eastAsiaTheme="minorEastAsia" w:hAnsiTheme="minorHAnsi" w:cstheme="minorBidi"/>
          <w:b w:val="0"/>
          <w:sz w:val="22"/>
          <w:szCs w:val="22"/>
        </w:rPr>
      </w:pPr>
      <w:r>
        <w:t>Division 4 — Limited access arrangements</w:t>
      </w:r>
    </w:p>
    <w:p>
      <w:pPr>
        <w:pStyle w:val="TOC8"/>
        <w:rPr>
          <w:rFonts w:asciiTheme="minorHAnsi" w:eastAsiaTheme="minorEastAsia" w:hAnsiTheme="minorHAnsi" w:cstheme="minorBidi"/>
          <w:szCs w:val="22"/>
        </w:rPr>
      </w:pPr>
      <w:r>
        <w:t>168.</w:t>
      </w:r>
      <w:r>
        <w:tab/>
        <w:t>Limited access arrangements for pipeline services provided by international pipeline to which a price regulation exemption applies</w:t>
      </w:r>
      <w:r>
        <w:tab/>
      </w:r>
      <w:r>
        <w:fldChar w:fldCharType="begin"/>
      </w:r>
      <w:r>
        <w:instrText xml:space="preserve"> PAGEREF _Toc536782158 \h </w:instrText>
      </w:r>
      <w:r>
        <w:fldChar w:fldCharType="separate"/>
      </w:r>
      <w:r>
        <w:t>177</w:t>
      </w:r>
      <w:r>
        <w:fldChar w:fldCharType="end"/>
      </w:r>
    </w:p>
    <w:p>
      <w:pPr>
        <w:pStyle w:val="TOC6"/>
        <w:tabs>
          <w:tab w:val="right" w:leader="dot" w:pos="7077"/>
        </w:tabs>
        <w:rPr>
          <w:rFonts w:asciiTheme="minorHAnsi" w:eastAsiaTheme="minorEastAsia" w:hAnsiTheme="minorHAnsi" w:cstheme="minorBidi"/>
          <w:b w:val="0"/>
          <w:sz w:val="22"/>
          <w:szCs w:val="22"/>
        </w:rPr>
      </w:pPr>
      <w:r>
        <w:t>Division 5 — Other matters</w:t>
      </w:r>
    </w:p>
    <w:p>
      <w:pPr>
        <w:pStyle w:val="TOC8"/>
        <w:rPr>
          <w:rFonts w:asciiTheme="minorHAnsi" w:eastAsiaTheme="minorEastAsia" w:hAnsiTheme="minorHAnsi" w:cstheme="minorBidi"/>
          <w:szCs w:val="22"/>
        </w:rPr>
      </w:pPr>
      <w:r>
        <w:t>169.</w:t>
      </w:r>
      <w:r>
        <w:tab/>
        <w:t>Other obligations to which service provider is subject</w:t>
      </w:r>
      <w:r>
        <w:tab/>
      </w:r>
      <w:r>
        <w:fldChar w:fldCharType="begin"/>
      </w:r>
      <w:r>
        <w:instrText xml:space="preserve"> PAGEREF _Toc536782160 \h </w:instrText>
      </w:r>
      <w:r>
        <w:fldChar w:fldCharType="separate"/>
      </w:r>
      <w:r>
        <w:t>178</w:t>
      </w:r>
      <w:r>
        <w:fldChar w:fldCharType="end"/>
      </w:r>
    </w:p>
    <w:p>
      <w:pPr>
        <w:pStyle w:val="TOC8"/>
        <w:rPr>
          <w:rFonts w:asciiTheme="minorHAnsi" w:eastAsiaTheme="minorEastAsia" w:hAnsiTheme="minorHAnsi" w:cstheme="minorBidi"/>
          <w:szCs w:val="22"/>
        </w:rPr>
      </w:pPr>
      <w:r>
        <w:t>170.</w:t>
      </w:r>
      <w:r>
        <w:tab/>
        <w:t>Service provider must not price discriminate in providing international pipeline services</w:t>
      </w:r>
      <w:r>
        <w:tab/>
      </w:r>
      <w:r>
        <w:fldChar w:fldCharType="begin"/>
      </w:r>
      <w:r>
        <w:instrText xml:space="preserve"> PAGEREF _Toc536782161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Part 4 — Extended or modified application of greenfields pipeline incentive</w:t>
      </w:r>
    </w:p>
    <w:p>
      <w:pPr>
        <w:pStyle w:val="TOC8"/>
        <w:rPr>
          <w:rFonts w:asciiTheme="minorHAnsi" w:eastAsiaTheme="minorEastAsia" w:hAnsiTheme="minorHAnsi" w:cstheme="minorBidi"/>
          <w:szCs w:val="22"/>
        </w:rPr>
      </w:pPr>
      <w:r>
        <w:t>171.</w:t>
      </w:r>
      <w:r>
        <w:tab/>
        <w:t>Requirement for conformity between pipeline description and pipeline as constructed</w:t>
      </w:r>
      <w:r>
        <w:tab/>
      </w:r>
      <w:r>
        <w:fldChar w:fldCharType="begin"/>
      </w:r>
      <w:r>
        <w:instrText xml:space="preserve"> PAGEREF _Toc536782163 \h </w:instrText>
      </w:r>
      <w:r>
        <w:fldChar w:fldCharType="separate"/>
      </w:r>
      <w:r>
        <w:t>179</w:t>
      </w:r>
      <w:r>
        <w:fldChar w:fldCharType="end"/>
      </w:r>
    </w:p>
    <w:p>
      <w:pPr>
        <w:pStyle w:val="TOC8"/>
        <w:rPr>
          <w:rFonts w:asciiTheme="minorHAnsi" w:eastAsiaTheme="minorEastAsia" w:hAnsiTheme="minorHAnsi" w:cstheme="minorBidi"/>
          <w:szCs w:val="22"/>
        </w:rPr>
      </w:pPr>
      <w:r>
        <w:t>172.</w:t>
      </w:r>
      <w:r>
        <w:tab/>
        <w:t>Power of relevant Minister to amend pipeline description</w:t>
      </w:r>
      <w:r>
        <w:tab/>
      </w:r>
      <w:r>
        <w:fldChar w:fldCharType="begin"/>
      </w:r>
      <w:r>
        <w:instrText xml:space="preserve"> PAGEREF _Toc536782164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Part 5 — Early termination of greenfields pipeline incentive</w:t>
      </w:r>
    </w:p>
    <w:p>
      <w:pPr>
        <w:pStyle w:val="TOC8"/>
        <w:rPr>
          <w:rFonts w:asciiTheme="minorHAnsi" w:eastAsiaTheme="minorEastAsia" w:hAnsiTheme="minorHAnsi" w:cstheme="minorBidi"/>
          <w:szCs w:val="22"/>
        </w:rPr>
      </w:pPr>
      <w:r>
        <w:t>173.</w:t>
      </w:r>
      <w:r>
        <w:tab/>
        <w:t>Greenfields pipeline incentive may lapse</w:t>
      </w:r>
      <w:r>
        <w:tab/>
      </w:r>
      <w:r>
        <w:fldChar w:fldCharType="begin"/>
      </w:r>
      <w:r>
        <w:instrText xml:space="preserve"> PAGEREF _Toc536782166 \h </w:instrText>
      </w:r>
      <w:r>
        <w:fldChar w:fldCharType="separate"/>
      </w:r>
      <w:r>
        <w:t>181</w:t>
      </w:r>
      <w:r>
        <w:fldChar w:fldCharType="end"/>
      </w:r>
    </w:p>
    <w:p>
      <w:pPr>
        <w:pStyle w:val="TOC8"/>
        <w:rPr>
          <w:rFonts w:asciiTheme="minorHAnsi" w:eastAsiaTheme="minorEastAsia" w:hAnsiTheme="minorHAnsi" w:cstheme="minorBidi"/>
          <w:szCs w:val="22"/>
        </w:rPr>
      </w:pPr>
      <w:r>
        <w:t>174.</w:t>
      </w:r>
      <w:r>
        <w:tab/>
        <w:t>Revocation by consent</w:t>
      </w:r>
      <w:r>
        <w:tab/>
      </w:r>
      <w:r>
        <w:fldChar w:fldCharType="begin"/>
      </w:r>
      <w:r>
        <w:instrText xml:space="preserve"> PAGEREF _Toc536782167 \h </w:instrText>
      </w:r>
      <w:r>
        <w:fldChar w:fldCharType="separate"/>
      </w:r>
      <w:r>
        <w:t>181</w:t>
      </w:r>
      <w:r>
        <w:fldChar w:fldCharType="end"/>
      </w:r>
    </w:p>
    <w:p>
      <w:pPr>
        <w:pStyle w:val="TOC8"/>
        <w:rPr>
          <w:rFonts w:asciiTheme="minorHAnsi" w:eastAsiaTheme="minorEastAsia" w:hAnsiTheme="minorHAnsi" w:cstheme="minorBidi"/>
          <w:szCs w:val="22"/>
        </w:rPr>
      </w:pPr>
      <w:r>
        <w:t>175.</w:t>
      </w:r>
      <w:r>
        <w:tab/>
        <w:t>Revocation for misrepresentation</w:t>
      </w:r>
      <w:r>
        <w:tab/>
      </w:r>
      <w:r>
        <w:fldChar w:fldCharType="begin"/>
      </w:r>
      <w:r>
        <w:instrText xml:space="preserve"> PAGEREF _Toc536782168 \h </w:instrText>
      </w:r>
      <w:r>
        <w:fldChar w:fldCharType="separate"/>
      </w:r>
      <w:r>
        <w:t>181</w:t>
      </w:r>
      <w:r>
        <w:fldChar w:fldCharType="end"/>
      </w:r>
    </w:p>
    <w:p>
      <w:pPr>
        <w:pStyle w:val="TOC8"/>
        <w:rPr>
          <w:rFonts w:asciiTheme="minorHAnsi" w:eastAsiaTheme="minorEastAsia" w:hAnsiTheme="minorHAnsi" w:cstheme="minorBidi"/>
          <w:szCs w:val="22"/>
        </w:rPr>
      </w:pPr>
      <w:r>
        <w:t>176.</w:t>
      </w:r>
      <w:r>
        <w:tab/>
        <w:t>Revocation for breach of condition to which a price regulation exemption is subject</w:t>
      </w:r>
      <w:r>
        <w:tab/>
      </w:r>
      <w:r>
        <w:fldChar w:fldCharType="begin"/>
      </w:r>
      <w:r>
        <w:instrText xml:space="preserve"> PAGEREF _Toc536782169 \h </w:instrText>
      </w:r>
      <w:r>
        <w:fldChar w:fldCharType="separate"/>
      </w:r>
      <w:r>
        <w:t>181</w:t>
      </w:r>
      <w:r>
        <w:fldChar w:fldCharType="end"/>
      </w:r>
    </w:p>
    <w:p>
      <w:pPr>
        <w:pStyle w:val="TOC8"/>
        <w:rPr>
          <w:rFonts w:asciiTheme="minorHAnsi" w:eastAsiaTheme="minorEastAsia" w:hAnsiTheme="minorHAnsi" w:cstheme="minorBidi"/>
          <w:szCs w:val="22"/>
        </w:rPr>
      </w:pPr>
      <w:r>
        <w:t>177.</w:t>
      </w:r>
      <w:r>
        <w:tab/>
        <w:t>Exhaustive provision for termination of greenfields pipeline incentive</w:t>
      </w:r>
      <w:r>
        <w:tab/>
      </w:r>
      <w:r>
        <w:fldChar w:fldCharType="begin"/>
      </w:r>
      <w:r>
        <w:instrText xml:space="preserve"> PAGEREF _Toc536782170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Chapter 6 — Access disputes—scheme pipelines</w:t>
      </w:r>
    </w:p>
    <w:p>
      <w:pPr>
        <w:pStyle w:val="TOC4"/>
        <w:tabs>
          <w:tab w:val="right" w:leader="dot" w:pos="7077"/>
        </w:tabs>
        <w:rPr>
          <w:rFonts w:asciiTheme="minorHAnsi" w:eastAsiaTheme="minorEastAsia" w:hAnsiTheme="minorHAnsi" w:cstheme="minorBidi"/>
          <w:b w:val="0"/>
          <w:szCs w:val="22"/>
        </w:rPr>
      </w:pPr>
      <w:r>
        <w:t>Part 1 — Interpretation and application</w:t>
      </w:r>
    </w:p>
    <w:p>
      <w:pPr>
        <w:pStyle w:val="TOC8"/>
        <w:rPr>
          <w:rFonts w:asciiTheme="minorHAnsi" w:eastAsiaTheme="minorEastAsia" w:hAnsiTheme="minorHAnsi" w:cstheme="minorBidi"/>
          <w:szCs w:val="22"/>
        </w:rPr>
      </w:pPr>
      <w:r>
        <w:t>178.</w:t>
      </w:r>
      <w:r>
        <w:tab/>
        <w:t>Definitions</w:t>
      </w:r>
      <w:r>
        <w:tab/>
      </w:r>
      <w:r>
        <w:fldChar w:fldCharType="begin"/>
      </w:r>
      <w:r>
        <w:instrText xml:space="preserve"> PAGEREF _Toc536782173 \h </w:instrText>
      </w:r>
      <w:r>
        <w:fldChar w:fldCharType="separate"/>
      </w:r>
      <w:r>
        <w:t>182</w:t>
      </w:r>
      <w:r>
        <w:fldChar w:fldCharType="end"/>
      </w:r>
    </w:p>
    <w:p>
      <w:pPr>
        <w:pStyle w:val="TOC8"/>
        <w:rPr>
          <w:rFonts w:asciiTheme="minorHAnsi" w:eastAsiaTheme="minorEastAsia" w:hAnsiTheme="minorHAnsi" w:cstheme="minorBidi"/>
          <w:szCs w:val="22"/>
        </w:rPr>
      </w:pPr>
      <w:r>
        <w:t>179.</w:t>
      </w:r>
      <w:r>
        <w:tab/>
        <w:t>Chapter does not limit how disputes about access may be raised or dealt with</w:t>
      </w:r>
      <w:r>
        <w:tab/>
      </w:r>
      <w:r>
        <w:fldChar w:fldCharType="begin"/>
      </w:r>
      <w:r>
        <w:instrText xml:space="preserve"> PAGEREF _Toc536782174 \h </w:instrText>
      </w:r>
      <w:r>
        <w:fldChar w:fldCharType="separate"/>
      </w:r>
      <w:r>
        <w:t>182</w:t>
      </w:r>
      <w:r>
        <w:fldChar w:fldCharType="end"/>
      </w:r>
    </w:p>
    <w:p>
      <w:pPr>
        <w:pStyle w:val="TOC8"/>
        <w:rPr>
          <w:rFonts w:asciiTheme="minorHAnsi" w:eastAsiaTheme="minorEastAsia" w:hAnsiTheme="minorHAnsi" w:cstheme="minorBidi"/>
          <w:szCs w:val="22"/>
        </w:rPr>
      </w:pPr>
      <w:r>
        <w:t>180.</w:t>
      </w:r>
      <w:r>
        <w:tab/>
        <w:t>No price or revenue regulation for access disputes relating to international pipeline services</w:t>
      </w:r>
      <w:r>
        <w:tab/>
      </w:r>
      <w:r>
        <w:fldChar w:fldCharType="begin"/>
      </w:r>
      <w:r>
        <w:instrText xml:space="preserve"> PAGEREF _Toc536782175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Part 2 — Notification of access dispute</w:t>
      </w:r>
    </w:p>
    <w:p>
      <w:pPr>
        <w:pStyle w:val="TOC8"/>
        <w:rPr>
          <w:rFonts w:asciiTheme="minorHAnsi" w:eastAsiaTheme="minorEastAsia" w:hAnsiTheme="minorHAnsi" w:cstheme="minorBidi"/>
          <w:szCs w:val="22"/>
        </w:rPr>
      </w:pPr>
      <w:r>
        <w:t>181.</w:t>
      </w:r>
      <w:r>
        <w:tab/>
        <w:t>Notification of access dispute</w:t>
      </w:r>
      <w:r>
        <w:tab/>
      </w:r>
      <w:r>
        <w:fldChar w:fldCharType="begin"/>
      </w:r>
      <w:r>
        <w:instrText xml:space="preserve"> PAGEREF _Toc536782177 \h </w:instrText>
      </w:r>
      <w:r>
        <w:fldChar w:fldCharType="separate"/>
      </w:r>
      <w:r>
        <w:t>183</w:t>
      </w:r>
      <w:r>
        <w:fldChar w:fldCharType="end"/>
      </w:r>
    </w:p>
    <w:p>
      <w:pPr>
        <w:pStyle w:val="TOC8"/>
        <w:rPr>
          <w:rFonts w:asciiTheme="minorHAnsi" w:eastAsiaTheme="minorEastAsia" w:hAnsiTheme="minorHAnsi" w:cstheme="minorBidi"/>
          <w:szCs w:val="22"/>
        </w:rPr>
      </w:pPr>
      <w:r>
        <w:t>181A.</w:t>
      </w:r>
      <w:r>
        <w:tab/>
        <w:t>Providing information for certain disputes</w:t>
      </w:r>
      <w:r>
        <w:tab/>
      </w:r>
      <w:r>
        <w:fldChar w:fldCharType="begin"/>
      </w:r>
      <w:r>
        <w:instrText xml:space="preserve"> PAGEREF _Toc536782178 \h </w:instrText>
      </w:r>
      <w:r>
        <w:fldChar w:fldCharType="separate"/>
      </w:r>
      <w:r>
        <w:t>183</w:t>
      </w:r>
      <w:r>
        <w:fldChar w:fldCharType="end"/>
      </w:r>
    </w:p>
    <w:p>
      <w:pPr>
        <w:pStyle w:val="TOC8"/>
        <w:rPr>
          <w:rFonts w:asciiTheme="minorHAnsi" w:eastAsiaTheme="minorEastAsia" w:hAnsiTheme="minorHAnsi" w:cstheme="minorBidi"/>
          <w:szCs w:val="22"/>
        </w:rPr>
      </w:pPr>
      <w:r>
        <w:t>182.</w:t>
      </w:r>
      <w:r>
        <w:tab/>
        <w:t>Withdrawal of notification</w:t>
      </w:r>
      <w:r>
        <w:tab/>
      </w:r>
      <w:r>
        <w:fldChar w:fldCharType="begin"/>
      </w:r>
      <w:r>
        <w:instrText xml:space="preserve"> PAGEREF _Toc536782179 \h </w:instrText>
      </w:r>
      <w:r>
        <w:fldChar w:fldCharType="separate"/>
      </w:r>
      <w:r>
        <w:t>184</w:t>
      </w:r>
      <w:r>
        <w:fldChar w:fldCharType="end"/>
      </w:r>
    </w:p>
    <w:p>
      <w:pPr>
        <w:pStyle w:val="TOC8"/>
        <w:rPr>
          <w:rFonts w:asciiTheme="minorHAnsi" w:eastAsiaTheme="minorEastAsia" w:hAnsiTheme="minorHAnsi" w:cstheme="minorBidi"/>
          <w:szCs w:val="22"/>
        </w:rPr>
      </w:pPr>
      <w:r>
        <w:t>183.</w:t>
      </w:r>
      <w:r>
        <w:tab/>
        <w:t>Parties to an access dispute</w:t>
      </w:r>
      <w:r>
        <w:tab/>
      </w:r>
      <w:r>
        <w:fldChar w:fldCharType="begin"/>
      </w:r>
      <w:r>
        <w:instrText xml:space="preserve"> PAGEREF _Toc536782180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Part 3 — Access determinations</w:t>
      </w:r>
    </w:p>
    <w:p>
      <w:pPr>
        <w:pStyle w:val="TOC8"/>
        <w:rPr>
          <w:rFonts w:asciiTheme="minorHAnsi" w:eastAsiaTheme="minorEastAsia" w:hAnsiTheme="minorHAnsi" w:cstheme="minorBidi"/>
          <w:szCs w:val="22"/>
        </w:rPr>
      </w:pPr>
      <w:r>
        <w:t>184.</w:t>
      </w:r>
      <w:r>
        <w:tab/>
        <w:t>Determination of access dispute</w:t>
      </w:r>
      <w:r>
        <w:tab/>
      </w:r>
      <w:r>
        <w:fldChar w:fldCharType="begin"/>
      </w:r>
      <w:r>
        <w:instrText xml:space="preserve"> PAGEREF _Toc536782182 \h </w:instrText>
      </w:r>
      <w:r>
        <w:fldChar w:fldCharType="separate"/>
      </w:r>
      <w:r>
        <w:t>185</w:t>
      </w:r>
      <w:r>
        <w:fldChar w:fldCharType="end"/>
      </w:r>
    </w:p>
    <w:p>
      <w:pPr>
        <w:pStyle w:val="TOC8"/>
        <w:rPr>
          <w:rFonts w:asciiTheme="minorHAnsi" w:eastAsiaTheme="minorEastAsia" w:hAnsiTheme="minorHAnsi" w:cstheme="minorBidi"/>
          <w:szCs w:val="22"/>
        </w:rPr>
      </w:pPr>
      <w:r>
        <w:t>185.</w:t>
      </w:r>
      <w:r>
        <w:tab/>
        <w:t>Dispute resolution body may require parties to mediate, conciliate or engage in an alternative dispute resolution process</w:t>
      </w:r>
      <w:r>
        <w:tab/>
      </w:r>
      <w:r>
        <w:fldChar w:fldCharType="begin"/>
      </w:r>
      <w:r>
        <w:instrText xml:space="preserve"> PAGEREF _Toc536782183 \h </w:instrText>
      </w:r>
      <w:r>
        <w:fldChar w:fldCharType="separate"/>
      </w:r>
      <w:r>
        <w:t>185</w:t>
      </w:r>
      <w:r>
        <w:fldChar w:fldCharType="end"/>
      </w:r>
    </w:p>
    <w:p>
      <w:pPr>
        <w:pStyle w:val="TOC8"/>
        <w:rPr>
          <w:rFonts w:asciiTheme="minorHAnsi" w:eastAsiaTheme="minorEastAsia" w:hAnsiTheme="minorHAnsi" w:cstheme="minorBidi"/>
          <w:szCs w:val="22"/>
        </w:rPr>
      </w:pPr>
      <w:r>
        <w:t>186.</w:t>
      </w:r>
      <w:r>
        <w:tab/>
        <w:t>Dispute resolution body may terminate access dispute in certain cases</w:t>
      </w:r>
      <w:r>
        <w:tab/>
      </w:r>
      <w:r>
        <w:fldChar w:fldCharType="begin"/>
      </w:r>
      <w:r>
        <w:instrText xml:space="preserve"> PAGEREF _Toc536782184 \h </w:instrText>
      </w:r>
      <w:r>
        <w:fldChar w:fldCharType="separate"/>
      </w:r>
      <w:r>
        <w:t>186</w:t>
      </w:r>
      <w:r>
        <w:fldChar w:fldCharType="end"/>
      </w:r>
    </w:p>
    <w:p>
      <w:pPr>
        <w:pStyle w:val="TOC8"/>
        <w:rPr>
          <w:rFonts w:asciiTheme="minorHAnsi" w:eastAsiaTheme="minorEastAsia" w:hAnsiTheme="minorHAnsi" w:cstheme="minorBidi"/>
          <w:szCs w:val="22"/>
        </w:rPr>
      </w:pPr>
      <w:r>
        <w:t>187.</w:t>
      </w:r>
      <w:r>
        <w:tab/>
        <w:t>No access determination if dispute resolution body considers there is genuine competition</w:t>
      </w:r>
      <w:r>
        <w:tab/>
      </w:r>
      <w:r>
        <w:fldChar w:fldCharType="begin"/>
      </w:r>
      <w:r>
        <w:instrText xml:space="preserve"> PAGEREF _Toc536782185 \h </w:instrText>
      </w:r>
      <w:r>
        <w:fldChar w:fldCharType="separate"/>
      </w:r>
      <w:r>
        <w:t>187</w:t>
      </w:r>
      <w:r>
        <w:fldChar w:fldCharType="end"/>
      </w:r>
    </w:p>
    <w:p>
      <w:pPr>
        <w:pStyle w:val="TOC8"/>
        <w:rPr>
          <w:rFonts w:asciiTheme="minorHAnsi" w:eastAsiaTheme="minorEastAsia" w:hAnsiTheme="minorHAnsi" w:cstheme="minorBidi"/>
          <w:szCs w:val="22"/>
        </w:rPr>
      </w:pPr>
      <w:r>
        <w:t>188.</w:t>
      </w:r>
      <w:r>
        <w:tab/>
        <w:t>Restrictions on access determinations</w:t>
      </w:r>
      <w:r>
        <w:tab/>
      </w:r>
      <w:r>
        <w:fldChar w:fldCharType="begin"/>
      </w:r>
      <w:r>
        <w:instrText xml:space="preserve"> PAGEREF _Toc536782186 \h </w:instrText>
      </w:r>
      <w:r>
        <w:fldChar w:fldCharType="separate"/>
      </w:r>
      <w:r>
        <w:t>187</w:t>
      </w:r>
      <w:r>
        <w:fldChar w:fldCharType="end"/>
      </w:r>
    </w:p>
    <w:p>
      <w:pPr>
        <w:pStyle w:val="TOC8"/>
        <w:rPr>
          <w:rFonts w:asciiTheme="minorHAnsi" w:eastAsiaTheme="minorEastAsia" w:hAnsiTheme="minorHAnsi" w:cstheme="minorBidi"/>
          <w:szCs w:val="22"/>
        </w:rPr>
      </w:pPr>
      <w:r>
        <w:t>189.</w:t>
      </w:r>
      <w:r>
        <w:tab/>
        <w:t>Access determination must give effect to applicable access arrangement</w:t>
      </w:r>
      <w:r>
        <w:tab/>
      </w:r>
      <w:r>
        <w:fldChar w:fldCharType="begin"/>
      </w:r>
      <w:r>
        <w:instrText xml:space="preserve"> PAGEREF _Toc536782187 \h </w:instrText>
      </w:r>
      <w:r>
        <w:fldChar w:fldCharType="separate"/>
      </w:r>
      <w:r>
        <w:t>188</w:t>
      </w:r>
      <w:r>
        <w:fldChar w:fldCharType="end"/>
      </w:r>
    </w:p>
    <w:p>
      <w:pPr>
        <w:pStyle w:val="TOC8"/>
        <w:rPr>
          <w:rFonts w:asciiTheme="minorHAnsi" w:eastAsiaTheme="minorEastAsia" w:hAnsiTheme="minorHAnsi" w:cstheme="minorBidi"/>
          <w:szCs w:val="22"/>
        </w:rPr>
      </w:pPr>
      <w:r>
        <w:t>190.</w:t>
      </w:r>
      <w:r>
        <w:tab/>
        <w:t>Access determinations and past contributions of capital to fund installations or the construction of new facilities</w:t>
      </w:r>
      <w:r>
        <w:tab/>
      </w:r>
      <w:r>
        <w:fldChar w:fldCharType="begin"/>
      </w:r>
      <w:r>
        <w:instrText xml:space="preserve"> PAGEREF _Toc536782188 \h </w:instrText>
      </w:r>
      <w:r>
        <w:fldChar w:fldCharType="separate"/>
      </w:r>
      <w:r>
        <w:t>188</w:t>
      </w:r>
      <w:r>
        <w:fldChar w:fldCharType="end"/>
      </w:r>
    </w:p>
    <w:p>
      <w:pPr>
        <w:pStyle w:val="TOC8"/>
        <w:rPr>
          <w:rFonts w:asciiTheme="minorHAnsi" w:eastAsiaTheme="minorEastAsia" w:hAnsiTheme="minorHAnsi" w:cstheme="minorBidi"/>
          <w:szCs w:val="22"/>
        </w:rPr>
      </w:pPr>
      <w:r>
        <w:t>191.</w:t>
      </w:r>
      <w:r>
        <w:tab/>
        <w:t>Rules may allow determination that varies applicable access arrangement for installation of a new facility</w:t>
      </w:r>
      <w:r>
        <w:tab/>
      </w:r>
      <w:r>
        <w:fldChar w:fldCharType="begin"/>
      </w:r>
      <w:r>
        <w:instrText xml:space="preserve"> PAGEREF _Toc536782189 \h </w:instrText>
      </w:r>
      <w:r>
        <w:fldChar w:fldCharType="separate"/>
      </w:r>
      <w:r>
        <w:t>189</w:t>
      </w:r>
      <w:r>
        <w:fldChar w:fldCharType="end"/>
      </w:r>
    </w:p>
    <w:p>
      <w:pPr>
        <w:pStyle w:val="TOC8"/>
        <w:rPr>
          <w:rFonts w:asciiTheme="minorHAnsi" w:eastAsiaTheme="minorEastAsia" w:hAnsiTheme="minorHAnsi" w:cstheme="minorBidi"/>
          <w:szCs w:val="22"/>
        </w:rPr>
      </w:pPr>
      <w:r>
        <w:t>192.</w:t>
      </w:r>
      <w:r>
        <w:tab/>
        <w:t>Access determinations need not require the provision of a pipeline service</w:t>
      </w:r>
      <w:r>
        <w:tab/>
      </w:r>
      <w:r>
        <w:fldChar w:fldCharType="begin"/>
      </w:r>
      <w:r>
        <w:instrText xml:space="preserve"> PAGEREF _Toc536782190 \h </w:instrText>
      </w:r>
      <w:r>
        <w:fldChar w:fldCharType="separate"/>
      </w:r>
      <w:r>
        <w:t>189</w:t>
      </w:r>
      <w:r>
        <w:fldChar w:fldCharType="end"/>
      </w:r>
    </w:p>
    <w:p>
      <w:pPr>
        <w:pStyle w:val="TOC8"/>
        <w:rPr>
          <w:rFonts w:asciiTheme="minorHAnsi" w:eastAsiaTheme="minorEastAsia" w:hAnsiTheme="minorHAnsi" w:cstheme="minorBidi"/>
          <w:szCs w:val="22"/>
        </w:rPr>
      </w:pPr>
      <w:r>
        <w:t>193.</w:t>
      </w:r>
      <w:r>
        <w:tab/>
        <w:t>Content of access determinations</w:t>
      </w:r>
      <w:r>
        <w:tab/>
      </w:r>
      <w:r>
        <w:fldChar w:fldCharType="begin"/>
      </w:r>
      <w:r>
        <w:instrText xml:space="preserve"> PAGEREF _Toc536782191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Part 4 — Variation of access determinations</w:t>
      </w:r>
    </w:p>
    <w:p>
      <w:pPr>
        <w:pStyle w:val="TOC8"/>
        <w:rPr>
          <w:rFonts w:asciiTheme="minorHAnsi" w:eastAsiaTheme="minorEastAsia" w:hAnsiTheme="minorHAnsi" w:cstheme="minorBidi"/>
          <w:szCs w:val="22"/>
        </w:rPr>
      </w:pPr>
      <w:r>
        <w:t>194.</w:t>
      </w:r>
      <w:r>
        <w:tab/>
        <w:t>Variation of access determination</w:t>
      </w:r>
      <w:r>
        <w:tab/>
      </w:r>
      <w:r>
        <w:fldChar w:fldCharType="begin"/>
      </w:r>
      <w:r>
        <w:instrText xml:space="preserve"> PAGEREF _Toc536782193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Part 5 — Compliance with access determinations</w:t>
      </w:r>
    </w:p>
    <w:p>
      <w:pPr>
        <w:pStyle w:val="TOC8"/>
        <w:rPr>
          <w:rFonts w:asciiTheme="minorHAnsi" w:eastAsiaTheme="minorEastAsia" w:hAnsiTheme="minorHAnsi" w:cstheme="minorBidi"/>
          <w:szCs w:val="22"/>
        </w:rPr>
      </w:pPr>
      <w:r>
        <w:t>195.</w:t>
      </w:r>
      <w:r>
        <w:tab/>
        <w:t>Compliance with access determination</w:t>
      </w:r>
      <w:r>
        <w:tab/>
      </w:r>
      <w:r>
        <w:fldChar w:fldCharType="begin"/>
      </w:r>
      <w:r>
        <w:instrText xml:space="preserve"> PAGEREF _Toc536782195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Part 6 — Access dispute hearing procedure</w:t>
      </w:r>
    </w:p>
    <w:p>
      <w:pPr>
        <w:pStyle w:val="TOC8"/>
        <w:rPr>
          <w:rFonts w:asciiTheme="minorHAnsi" w:eastAsiaTheme="minorEastAsia" w:hAnsiTheme="minorHAnsi" w:cstheme="minorBidi"/>
          <w:szCs w:val="22"/>
        </w:rPr>
      </w:pPr>
      <w:r>
        <w:t>196.</w:t>
      </w:r>
      <w:r>
        <w:tab/>
        <w:t>Hearing to be in private</w:t>
      </w:r>
      <w:r>
        <w:tab/>
      </w:r>
      <w:r>
        <w:fldChar w:fldCharType="begin"/>
      </w:r>
      <w:r>
        <w:instrText xml:space="preserve"> PAGEREF _Toc536782197 \h </w:instrText>
      </w:r>
      <w:r>
        <w:fldChar w:fldCharType="separate"/>
      </w:r>
      <w:r>
        <w:t>191</w:t>
      </w:r>
      <w:r>
        <w:fldChar w:fldCharType="end"/>
      </w:r>
    </w:p>
    <w:p>
      <w:pPr>
        <w:pStyle w:val="TOC8"/>
        <w:rPr>
          <w:rFonts w:asciiTheme="minorHAnsi" w:eastAsiaTheme="minorEastAsia" w:hAnsiTheme="minorHAnsi" w:cstheme="minorBidi"/>
          <w:szCs w:val="22"/>
        </w:rPr>
      </w:pPr>
      <w:r>
        <w:t>197.</w:t>
      </w:r>
      <w:r>
        <w:tab/>
        <w:t>Right to representation</w:t>
      </w:r>
      <w:r>
        <w:tab/>
      </w:r>
      <w:r>
        <w:fldChar w:fldCharType="begin"/>
      </w:r>
      <w:r>
        <w:instrText xml:space="preserve"> PAGEREF _Toc536782198 \h </w:instrText>
      </w:r>
      <w:r>
        <w:fldChar w:fldCharType="separate"/>
      </w:r>
      <w:r>
        <w:t>191</w:t>
      </w:r>
      <w:r>
        <w:fldChar w:fldCharType="end"/>
      </w:r>
    </w:p>
    <w:p>
      <w:pPr>
        <w:pStyle w:val="TOC8"/>
        <w:rPr>
          <w:rFonts w:asciiTheme="minorHAnsi" w:eastAsiaTheme="minorEastAsia" w:hAnsiTheme="minorHAnsi" w:cstheme="minorBidi"/>
          <w:szCs w:val="22"/>
        </w:rPr>
      </w:pPr>
      <w:r>
        <w:t>198.</w:t>
      </w:r>
      <w:r>
        <w:tab/>
        <w:t>Procedure of dispute resolution body</w:t>
      </w:r>
      <w:r>
        <w:tab/>
      </w:r>
      <w:r>
        <w:fldChar w:fldCharType="begin"/>
      </w:r>
      <w:r>
        <w:instrText xml:space="preserve"> PAGEREF _Toc536782199 \h </w:instrText>
      </w:r>
      <w:r>
        <w:fldChar w:fldCharType="separate"/>
      </w:r>
      <w:r>
        <w:t>191</w:t>
      </w:r>
      <w:r>
        <w:fldChar w:fldCharType="end"/>
      </w:r>
    </w:p>
    <w:p>
      <w:pPr>
        <w:pStyle w:val="TOC8"/>
        <w:rPr>
          <w:rFonts w:asciiTheme="minorHAnsi" w:eastAsiaTheme="minorEastAsia" w:hAnsiTheme="minorHAnsi" w:cstheme="minorBidi"/>
          <w:szCs w:val="22"/>
        </w:rPr>
      </w:pPr>
      <w:r>
        <w:t>199.</w:t>
      </w:r>
      <w:r>
        <w:tab/>
        <w:t>Particular powers of dispute resolution body in a hearing</w:t>
      </w:r>
      <w:r>
        <w:tab/>
      </w:r>
      <w:r>
        <w:fldChar w:fldCharType="begin"/>
      </w:r>
      <w:r>
        <w:instrText xml:space="preserve"> PAGEREF _Toc536782200 \h </w:instrText>
      </w:r>
      <w:r>
        <w:fldChar w:fldCharType="separate"/>
      </w:r>
      <w:r>
        <w:t>192</w:t>
      </w:r>
      <w:r>
        <w:fldChar w:fldCharType="end"/>
      </w:r>
    </w:p>
    <w:p>
      <w:pPr>
        <w:pStyle w:val="TOC8"/>
        <w:rPr>
          <w:rFonts w:asciiTheme="minorHAnsi" w:eastAsiaTheme="minorEastAsia" w:hAnsiTheme="minorHAnsi" w:cstheme="minorBidi"/>
          <w:szCs w:val="22"/>
        </w:rPr>
      </w:pPr>
      <w:r>
        <w:t>200.</w:t>
      </w:r>
      <w:r>
        <w:tab/>
        <w:t>Disclosure of information</w:t>
      </w:r>
      <w:r>
        <w:tab/>
      </w:r>
      <w:r>
        <w:fldChar w:fldCharType="begin"/>
      </w:r>
      <w:r>
        <w:instrText xml:space="preserve"> PAGEREF _Toc536782201 \h </w:instrText>
      </w:r>
      <w:r>
        <w:fldChar w:fldCharType="separate"/>
      </w:r>
      <w:r>
        <w:t>193</w:t>
      </w:r>
      <w:r>
        <w:fldChar w:fldCharType="end"/>
      </w:r>
    </w:p>
    <w:p>
      <w:pPr>
        <w:pStyle w:val="TOC8"/>
        <w:rPr>
          <w:rFonts w:asciiTheme="minorHAnsi" w:eastAsiaTheme="minorEastAsia" w:hAnsiTheme="minorHAnsi" w:cstheme="minorBidi"/>
          <w:szCs w:val="22"/>
        </w:rPr>
      </w:pPr>
      <w:r>
        <w:t>201.</w:t>
      </w:r>
      <w:r>
        <w:tab/>
        <w:t>Power to take evidence on oath or affirmation</w:t>
      </w:r>
      <w:r>
        <w:tab/>
      </w:r>
      <w:r>
        <w:fldChar w:fldCharType="begin"/>
      </w:r>
      <w:r>
        <w:instrText xml:space="preserve"> PAGEREF _Toc536782202 \h </w:instrText>
      </w:r>
      <w:r>
        <w:fldChar w:fldCharType="separate"/>
      </w:r>
      <w:r>
        <w:t>193</w:t>
      </w:r>
      <w:r>
        <w:fldChar w:fldCharType="end"/>
      </w:r>
    </w:p>
    <w:p>
      <w:pPr>
        <w:pStyle w:val="TOC8"/>
        <w:rPr>
          <w:rFonts w:asciiTheme="minorHAnsi" w:eastAsiaTheme="minorEastAsia" w:hAnsiTheme="minorHAnsi" w:cstheme="minorBidi"/>
          <w:szCs w:val="22"/>
        </w:rPr>
      </w:pPr>
      <w:r>
        <w:t>202.</w:t>
      </w:r>
      <w:r>
        <w:tab/>
        <w:t>Failing to attend as a witness</w:t>
      </w:r>
      <w:r>
        <w:tab/>
      </w:r>
      <w:r>
        <w:fldChar w:fldCharType="begin"/>
      </w:r>
      <w:r>
        <w:instrText xml:space="preserve"> PAGEREF _Toc536782203 \h </w:instrText>
      </w:r>
      <w:r>
        <w:fldChar w:fldCharType="separate"/>
      </w:r>
      <w:r>
        <w:t>193</w:t>
      </w:r>
      <w:r>
        <w:fldChar w:fldCharType="end"/>
      </w:r>
    </w:p>
    <w:p>
      <w:pPr>
        <w:pStyle w:val="TOC8"/>
        <w:rPr>
          <w:rFonts w:asciiTheme="minorHAnsi" w:eastAsiaTheme="minorEastAsia" w:hAnsiTheme="minorHAnsi" w:cstheme="minorBidi"/>
          <w:szCs w:val="22"/>
        </w:rPr>
      </w:pPr>
      <w:r>
        <w:t>203.</w:t>
      </w:r>
      <w:r>
        <w:tab/>
        <w:t>Failing to answer questions etc</w:t>
      </w:r>
      <w:r>
        <w:tab/>
      </w:r>
      <w:r>
        <w:fldChar w:fldCharType="begin"/>
      </w:r>
      <w:r>
        <w:instrText xml:space="preserve"> PAGEREF _Toc536782204 \h </w:instrText>
      </w:r>
      <w:r>
        <w:fldChar w:fldCharType="separate"/>
      </w:r>
      <w:r>
        <w:t>194</w:t>
      </w:r>
      <w:r>
        <w:fldChar w:fldCharType="end"/>
      </w:r>
    </w:p>
    <w:p>
      <w:pPr>
        <w:pStyle w:val="TOC8"/>
        <w:rPr>
          <w:rFonts w:asciiTheme="minorHAnsi" w:eastAsiaTheme="minorEastAsia" w:hAnsiTheme="minorHAnsi" w:cstheme="minorBidi"/>
          <w:szCs w:val="22"/>
        </w:rPr>
      </w:pPr>
      <w:r>
        <w:t>204.</w:t>
      </w:r>
      <w:r>
        <w:tab/>
        <w:t>Intimidation etc</w:t>
      </w:r>
      <w:r>
        <w:tab/>
      </w:r>
      <w:r>
        <w:fldChar w:fldCharType="begin"/>
      </w:r>
      <w:r>
        <w:instrText xml:space="preserve"> PAGEREF _Toc536782205 \h </w:instrText>
      </w:r>
      <w:r>
        <w:fldChar w:fldCharType="separate"/>
      </w:r>
      <w:r>
        <w:t>194</w:t>
      </w:r>
      <w:r>
        <w:fldChar w:fldCharType="end"/>
      </w:r>
    </w:p>
    <w:p>
      <w:pPr>
        <w:pStyle w:val="TOC8"/>
        <w:rPr>
          <w:rFonts w:asciiTheme="minorHAnsi" w:eastAsiaTheme="minorEastAsia" w:hAnsiTheme="minorHAnsi" w:cstheme="minorBidi"/>
          <w:szCs w:val="22"/>
        </w:rPr>
      </w:pPr>
      <w:r>
        <w:t>205.</w:t>
      </w:r>
      <w:r>
        <w:tab/>
        <w:t>Party may request dispute resolution body to treat material as confidential</w:t>
      </w:r>
      <w:r>
        <w:tab/>
      </w:r>
      <w:r>
        <w:fldChar w:fldCharType="begin"/>
      </w:r>
      <w:r>
        <w:instrText xml:space="preserve"> PAGEREF _Toc536782206 \h </w:instrText>
      </w:r>
      <w:r>
        <w:fldChar w:fldCharType="separate"/>
      </w:r>
      <w:r>
        <w:t>195</w:t>
      </w:r>
      <w:r>
        <w:fldChar w:fldCharType="end"/>
      </w:r>
    </w:p>
    <w:p>
      <w:pPr>
        <w:pStyle w:val="TOC8"/>
        <w:rPr>
          <w:rFonts w:asciiTheme="minorHAnsi" w:eastAsiaTheme="minorEastAsia" w:hAnsiTheme="minorHAnsi" w:cstheme="minorBidi"/>
          <w:szCs w:val="22"/>
        </w:rPr>
      </w:pPr>
      <w:r>
        <w:t>206.</w:t>
      </w:r>
      <w:r>
        <w:tab/>
        <w:t>Costs</w:t>
      </w:r>
      <w:r>
        <w:tab/>
      </w:r>
      <w:r>
        <w:fldChar w:fldCharType="begin"/>
      </w:r>
      <w:r>
        <w:instrText xml:space="preserve"> PAGEREF _Toc536782207 \h </w:instrText>
      </w:r>
      <w:r>
        <w:fldChar w:fldCharType="separate"/>
      </w:r>
      <w:r>
        <w:t>196</w:t>
      </w:r>
      <w:r>
        <w:fldChar w:fldCharType="end"/>
      </w:r>
    </w:p>
    <w:p>
      <w:pPr>
        <w:pStyle w:val="TOC8"/>
        <w:rPr>
          <w:rFonts w:asciiTheme="minorHAnsi" w:eastAsiaTheme="minorEastAsia" w:hAnsiTheme="minorHAnsi" w:cstheme="minorBidi"/>
          <w:szCs w:val="22"/>
        </w:rPr>
      </w:pPr>
      <w:r>
        <w:t>207.</w:t>
      </w:r>
      <w:r>
        <w:tab/>
        <w:t>Outstanding costs are a debt due to party awarded the costs</w:t>
      </w:r>
      <w:r>
        <w:tab/>
      </w:r>
      <w:r>
        <w:fldChar w:fldCharType="begin"/>
      </w:r>
      <w:r>
        <w:instrText xml:space="preserve"> PAGEREF _Toc536782208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Part 7 — Joint access dispute hearings</w:t>
      </w:r>
    </w:p>
    <w:p>
      <w:pPr>
        <w:pStyle w:val="TOC8"/>
        <w:rPr>
          <w:rFonts w:asciiTheme="minorHAnsi" w:eastAsiaTheme="minorEastAsia" w:hAnsiTheme="minorHAnsi" w:cstheme="minorBidi"/>
          <w:szCs w:val="22"/>
        </w:rPr>
      </w:pPr>
      <w:r>
        <w:t>208.</w:t>
      </w:r>
      <w:r>
        <w:tab/>
        <w:t>Definition</w:t>
      </w:r>
      <w:r>
        <w:tab/>
      </w:r>
      <w:r>
        <w:fldChar w:fldCharType="begin"/>
      </w:r>
      <w:r>
        <w:instrText xml:space="preserve"> PAGEREF _Toc536782210 \h </w:instrText>
      </w:r>
      <w:r>
        <w:fldChar w:fldCharType="separate"/>
      </w:r>
      <w:r>
        <w:t>198</w:t>
      </w:r>
      <w:r>
        <w:fldChar w:fldCharType="end"/>
      </w:r>
    </w:p>
    <w:p>
      <w:pPr>
        <w:pStyle w:val="TOC8"/>
        <w:rPr>
          <w:rFonts w:asciiTheme="minorHAnsi" w:eastAsiaTheme="minorEastAsia" w:hAnsiTheme="minorHAnsi" w:cstheme="minorBidi"/>
          <w:szCs w:val="22"/>
        </w:rPr>
      </w:pPr>
      <w:r>
        <w:t>209.</w:t>
      </w:r>
      <w:r>
        <w:tab/>
        <w:t>Joint dispute hearing</w:t>
      </w:r>
      <w:r>
        <w:tab/>
      </w:r>
      <w:r>
        <w:fldChar w:fldCharType="begin"/>
      </w:r>
      <w:r>
        <w:instrText xml:space="preserve"> PAGEREF _Toc536782211 \h </w:instrText>
      </w:r>
      <w:r>
        <w:fldChar w:fldCharType="separate"/>
      </w:r>
      <w:r>
        <w:t>198</w:t>
      </w:r>
      <w:r>
        <w:fldChar w:fldCharType="end"/>
      </w:r>
    </w:p>
    <w:p>
      <w:pPr>
        <w:pStyle w:val="TOC8"/>
        <w:rPr>
          <w:rFonts w:asciiTheme="minorHAnsi" w:eastAsiaTheme="minorEastAsia" w:hAnsiTheme="minorHAnsi" w:cstheme="minorBidi"/>
          <w:szCs w:val="22"/>
        </w:rPr>
      </w:pPr>
      <w:r>
        <w:t>210.</w:t>
      </w:r>
      <w:r>
        <w:tab/>
        <w:t>Consulting the parties</w:t>
      </w:r>
      <w:r>
        <w:tab/>
      </w:r>
      <w:r>
        <w:fldChar w:fldCharType="begin"/>
      </w:r>
      <w:r>
        <w:instrText xml:space="preserve"> PAGEREF _Toc536782212 \h </w:instrText>
      </w:r>
      <w:r>
        <w:fldChar w:fldCharType="separate"/>
      </w:r>
      <w:r>
        <w:t>199</w:t>
      </w:r>
      <w:r>
        <w:fldChar w:fldCharType="end"/>
      </w:r>
    </w:p>
    <w:p>
      <w:pPr>
        <w:pStyle w:val="TOC8"/>
        <w:rPr>
          <w:rFonts w:asciiTheme="minorHAnsi" w:eastAsiaTheme="minorEastAsia" w:hAnsiTheme="minorHAnsi" w:cstheme="minorBidi"/>
          <w:szCs w:val="22"/>
        </w:rPr>
      </w:pPr>
      <w:r>
        <w:t>211.</w:t>
      </w:r>
      <w:r>
        <w:tab/>
        <w:t>Constitution and procedure of dispute resolution body for joint dispute hearings</w:t>
      </w:r>
      <w:r>
        <w:tab/>
      </w:r>
      <w:r>
        <w:fldChar w:fldCharType="begin"/>
      </w:r>
      <w:r>
        <w:instrText xml:space="preserve"> PAGEREF _Toc536782213 \h </w:instrText>
      </w:r>
      <w:r>
        <w:fldChar w:fldCharType="separate"/>
      </w:r>
      <w:r>
        <w:t>199</w:t>
      </w:r>
      <w:r>
        <w:fldChar w:fldCharType="end"/>
      </w:r>
    </w:p>
    <w:p>
      <w:pPr>
        <w:pStyle w:val="TOC8"/>
        <w:rPr>
          <w:rFonts w:asciiTheme="minorHAnsi" w:eastAsiaTheme="minorEastAsia" w:hAnsiTheme="minorHAnsi" w:cstheme="minorBidi"/>
          <w:szCs w:val="22"/>
        </w:rPr>
      </w:pPr>
      <w:r>
        <w:t>212.</w:t>
      </w:r>
      <w:r>
        <w:tab/>
        <w:t>Record of proceedings etc</w:t>
      </w:r>
      <w:r>
        <w:tab/>
      </w:r>
      <w:r>
        <w:fldChar w:fldCharType="begin"/>
      </w:r>
      <w:r>
        <w:instrText xml:space="preserve"> PAGEREF _Toc536782214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Part 8 — Miscellaneous matters</w:t>
      </w:r>
    </w:p>
    <w:p>
      <w:pPr>
        <w:pStyle w:val="TOC8"/>
        <w:rPr>
          <w:rFonts w:asciiTheme="minorHAnsi" w:eastAsiaTheme="minorEastAsia" w:hAnsiTheme="minorHAnsi" w:cstheme="minorBidi"/>
          <w:szCs w:val="22"/>
        </w:rPr>
      </w:pPr>
      <w:r>
        <w:t>213.</w:t>
      </w:r>
      <w:r>
        <w:tab/>
        <w:t>Correction of access determinations for clerical mistakes etc</w:t>
      </w:r>
      <w:r>
        <w:tab/>
      </w:r>
      <w:r>
        <w:fldChar w:fldCharType="begin"/>
      </w:r>
      <w:r>
        <w:instrText xml:space="preserve"> PAGEREF _Toc536782216 \h </w:instrText>
      </w:r>
      <w:r>
        <w:fldChar w:fldCharType="separate"/>
      </w:r>
      <w:r>
        <w:t>200</w:t>
      </w:r>
      <w:r>
        <w:fldChar w:fldCharType="end"/>
      </w:r>
    </w:p>
    <w:p>
      <w:pPr>
        <w:pStyle w:val="TOC8"/>
        <w:rPr>
          <w:rFonts w:asciiTheme="minorHAnsi" w:eastAsiaTheme="minorEastAsia" w:hAnsiTheme="minorHAnsi" w:cstheme="minorBidi"/>
          <w:szCs w:val="22"/>
        </w:rPr>
      </w:pPr>
      <w:r>
        <w:t>214.</w:t>
      </w:r>
      <w:r>
        <w:tab/>
        <w:t>Reservation of capacity during an access dispute</w:t>
      </w:r>
      <w:r>
        <w:tab/>
      </w:r>
      <w:r>
        <w:fldChar w:fldCharType="begin"/>
      </w:r>
      <w:r>
        <w:instrText xml:space="preserve"> PAGEREF _Toc536782217 \h </w:instrText>
      </w:r>
      <w:r>
        <w:fldChar w:fldCharType="separate"/>
      </w:r>
      <w:r>
        <w:t>200</w:t>
      </w:r>
      <w:r>
        <w:fldChar w:fldCharType="end"/>
      </w:r>
    </w:p>
    <w:p>
      <w:pPr>
        <w:pStyle w:val="TOC8"/>
        <w:rPr>
          <w:rFonts w:asciiTheme="minorHAnsi" w:eastAsiaTheme="minorEastAsia" w:hAnsiTheme="minorHAnsi" w:cstheme="minorBidi"/>
          <w:szCs w:val="22"/>
        </w:rPr>
      </w:pPr>
      <w:r>
        <w:t>215.</w:t>
      </w:r>
      <w:r>
        <w:tab/>
        <w:t>Subsequent service providers bound by access determinations</w:t>
      </w:r>
      <w:r>
        <w:tab/>
      </w:r>
      <w:r>
        <w:fldChar w:fldCharType="begin"/>
      </w:r>
      <w:r>
        <w:instrText xml:space="preserve"> PAGEREF _Toc536782218 \h </w:instrText>
      </w:r>
      <w:r>
        <w:fldChar w:fldCharType="separate"/>
      </w:r>
      <w:r>
        <w:t>200</w:t>
      </w:r>
      <w:r>
        <w:fldChar w:fldCharType="end"/>
      </w:r>
    </w:p>
    <w:p>
      <w:pPr>
        <w:pStyle w:val="TOC8"/>
        <w:rPr>
          <w:rFonts w:asciiTheme="minorHAnsi" w:eastAsiaTheme="minorEastAsia" w:hAnsiTheme="minorHAnsi" w:cstheme="minorBidi"/>
          <w:szCs w:val="22"/>
        </w:rPr>
      </w:pPr>
      <w:r>
        <w:t>216.</w:t>
      </w:r>
      <w:r>
        <w:tab/>
        <w:t>Regulations about the costs to be paid by parties to access dispute</w:t>
      </w:r>
      <w:r>
        <w:tab/>
      </w:r>
      <w:r>
        <w:fldChar w:fldCharType="begin"/>
      </w:r>
      <w:r>
        <w:instrText xml:space="preserve"> PAGEREF _Toc536782219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Chapter 6A—Access disputes—non-scheme pipelines</w:t>
      </w:r>
    </w:p>
    <w:p>
      <w:pPr>
        <w:pStyle w:val="TOC4"/>
        <w:tabs>
          <w:tab w:val="right" w:leader="dot" w:pos="7077"/>
        </w:tabs>
        <w:rPr>
          <w:rFonts w:asciiTheme="minorHAnsi" w:eastAsiaTheme="minorEastAsia" w:hAnsiTheme="minorHAnsi" w:cstheme="minorBidi"/>
          <w:b w:val="0"/>
          <w:szCs w:val="22"/>
        </w:rPr>
      </w:pPr>
      <w:r>
        <w:t>Part 1—Interpretation and application</w:t>
      </w:r>
    </w:p>
    <w:p>
      <w:pPr>
        <w:pStyle w:val="TOC8"/>
        <w:rPr>
          <w:rFonts w:asciiTheme="minorHAnsi" w:eastAsiaTheme="minorEastAsia" w:hAnsiTheme="minorHAnsi" w:cstheme="minorBidi"/>
          <w:szCs w:val="22"/>
        </w:rPr>
      </w:pPr>
      <w:r>
        <w:t>216A.</w:t>
      </w:r>
      <w:r>
        <w:tab/>
        <w:t>Definitions</w:t>
      </w:r>
      <w:r>
        <w:tab/>
      </w:r>
      <w:r>
        <w:fldChar w:fldCharType="begin"/>
      </w:r>
      <w:r>
        <w:instrText xml:space="preserve"> PAGEREF _Toc536782222 \h </w:instrText>
      </w:r>
      <w:r>
        <w:fldChar w:fldCharType="separate"/>
      </w:r>
      <w:r>
        <w:t>202</w:t>
      </w:r>
      <w:r>
        <w:fldChar w:fldCharType="end"/>
      </w:r>
    </w:p>
    <w:p>
      <w:pPr>
        <w:pStyle w:val="TOC8"/>
        <w:rPr>
          <w:rFonts w:asciiTheme="minorHAnsi" w:eastAsiaTheme="minorEastAsia" w:hAnsiTheme="minorHAnsi" w:cstheme="minorBidi"/>
          <w:szCs w:val="22"/>
        </w:rPr>
      </w:pPr>
      <w:r>
        <w:t>216B.</w:t>
      </w:r>
      <w:r>
        <w:tab/>
        <w:t>Meaning of prospective user</w:t>
      </w:r>
      <w:r>
        <w:tab/>
      </w:r>
      <w:r>
        <w:fldChar w:fldCharType="begin"/>
      </w:r>
      <w:r>
        <w:instrText xml:space="preserve"> PAGEREF _Toc536782223 \h </w:instrText>
      </w:r>
      <w:r>
        <w:fldChar w:fldCharType="separate"/>
      </w:r>
      <w:r>
        <w:t>203</w:t>
      </w:r>
      <w:r>
        <w:fldChar w:fldCharType="end"/>
      </w:r>
    </w:p>
    <w:p>
      <w:pPr>
        <w:pStyle w:val="TOC8"/>
        <w:rPr>
          <w:rFonts w:asciiTheme="minorHAnsi" w:eastAsiaTheme="minorEastAsia" w:hAnsiTheme="minorHAnsi" w:cstheme="minorBidi"/>
          <w:szCs w:val="22"/>
        </w:rPr>
      </w:pPr>
      <w:r>
        <w:t>216C.</w:t>
      </w:r>
      <w:r>
        <w:tab/>
        <w:t>Application of Chapter</w:t>
      </w:r>
      <w:r>
        <w:tab/>
      </w:r>
      <w:r>
        <w:fldChar w:fldCharType="begin"/>
      </w:r>
      <w:r>
        <w:instrText xml:space="preserve"> PAGEREF _Toc536782224 \h </w:instrText>
      </w:r>
      <w:r>
        <w:fldChar w:fldCharType="separate"/>
      </w:r>
      <w:r>
        <w:t>204</w:t>
      </w:r>
      <w:r>
        <w:fldChar w:fldCharType="end"/>
      </w:r>
    </w:p>
    <w:p>
      <w:pPr>
        <w:pStyle w:val="TOC8"/>
        <w:rPr>
          <w:rFonts w:asciiTheme="minorHAnsi" w:eastAsiaTheme="minorEastAsia" w:hAnsiTheme="minorHAnsi" w:cstheme="minorBidi"/>
          <w:szCs w:val="22"/>
        </w:rPr>
      </w:pPr>
      <w:r>
        <w:t>216D.</w:t>
      </w:r>
      <w:r>
        <w:tab/>
        <w:t>Application of this Chapter to disputes arising under Rules</w:t>
      </w:r>
      <w:r>
        <w:tab/>
      </w:r>
      <w:r>
        <w:fldChar w:fldCharType="begin"/>
      </w:r>
      <w:r>
        <w:instrText xml:space="preserve"> PAGEREF _Toc536782225 \h </w:instrText>
      </w:r>
      <w:r>
        <w:fldChar w:fldCharType="separate"/>
      </w:r>
      <w:r>
        <w:t>204</w:t>
      </w:r>
      <w:r>
        <w:fldChar w:fldCharType="end"/>
      </w:r>
    </w:p>
    <w:p>
      <w:pPr>
        <w:pStyle w:val="TOC8"/>
        <w:rPr>
          <w:rFonts w:asciiTheme="minorHAnsi" w:eastAsiaTheme="minorEastAsia" w:hAnsiTheme="minorHAnsi" w:cstheme="minorBidi"/>
          <w:szCs w:val="22"/>
        </w:rPr>
      </w:pPr>
      <w:r>
        <w:t>216E.</w:t>
      </w:r>
      <w:r>
        <w:tab/>
        <w:t>Chapter does not limit how disputes about access may be raised or dealt with</w:t>
      </w:r>
      <w:r>
        <w:tab/>
      </w:r>
      <w:r>
        <w:fldChar w:fldCharType="begin"/>
      </w:r>
      <w:r>
        <w:instrText xml:space="preserve"> PAGEREF _Toc536782226 \h </w:instrText>
      </w:r>
      <w:r>
        <w:fldChar w:fldCharType="separate"/>
      </w:r>
      <w:r>
        <w:t>204</w:t>
      </w:r>
      <w:r>
        <w:fldChar w:fldCharType="end"/>
      </w:r>
    </w:p>
    <w:p>
      <w:pPr>
        <w:pStyle w:val="TOC4"/>
        <w:tabs>
          <w:tab w:val="right" w:leader="dot" w:pos="7077"/>
        </w:tabs>
        <w:rPr>
          <w:rFonts w:asciiTheme="minorHAnsi" w:eastAsiaTheme="minorEastAsia" w:hAnsiTheme="minorHAnsi" w:cstheme="minorBidi"/>
          <w:b w:val="0"/>
          <w:szCs w:val="22"/>
        </w:rPr>
      </w:pPr>
      <w:r>
        <w:t>Part 2—Negotiation of access</w:t>
      </w:r>
    </w:p>
    <w:p>
      <w:pPr>
        <w:pStyle w:val="TOC8"/>
        <w:rPr>
          <w:rFonts w:asciiTheme="minorHAnsi" w:eastAsiaTheme="minorEastAsia" w:hAnsiTheme="minorHAnsi" w:cstheme="minorBidi"/>
          <w:szCs w:val="22"/>
        </w:rPr>
      </w:pPr>
      <w:r>
        <w:t>216F.</w:t>
      </w:r>
      <w:r>
        <w:tab/>
        <w:t>Access proposals</w:t>
      </w:r>
      <w:r>
        <w:tab/>
      </w:r>
      <w:r>
        <w:fldChar w:fldCharType="begin"/>
      </w:r>
      <w:r>
        <w:instrText xml:space="preserve"> PAGEREF _Toc536782228 \h </w:instrText>
      </w:r>
      <w:r>
        <w:fldChar w:fldCharType="separate"/>
      </w:r>
      <w:r>
        <w:t>205</w:t>
      </w:r>
      <w:r>
        <w:fldChar w:fldCharType="end"/>
      </w:r>
    </w:p>
    <w:p>
      <w:pPr>
        <w:pStyle w:val="TOC8"/>
        <w:rPr>
          <w:rFonts w:asciiTheme="minorHAnsi" w:eastAsiaTheme="minorEastAsia" w:hAnsiTheme="minorHAnsi" w:cstheme="minorBidi"/>
          <w:szCs w:val="22"/>
        </w:rPr>
      </w:pPr>
      <w:r>
        <w:t>216G.</w:t>
      </w:r>
      <w:r>
        <w:tab/>
        <w:t>Duty to negotiate in good faith</w:t>
      </w:r>
      <w:r>
        <w:tab/>
      </w:r>
      <w:r>
        <w:fldChar w:fldCharType="begin"/>
      </w:r>
      <w:r>
        <w:instrText xml:space="preserve"> PAGEREF _Toc536782229 \h </w:instrText>
      </w:r>
      <w:r>
        <w:fldChar w:fldCharType="separate"/>
      </w:r>
      <w:r>
        <w:t>205</w:t>
      </w:r>
      <w:r>
        <w:fldChar w:fldCharType="end"/>
      </w:r>
    </w:p>
    <w:p>
      <w:pPr>
        <w:pStyle w:val="TOC8"/>
        <w:rPr>
          <w:rFonts w:asciiTheme="minorHAnsi" w:eastAsiaTheme="minorEastAsia" w:hAnsiTheme="minorHAnsi" w:cstheme="minorBidi"/>
          <w:szCs w:val="22"/>
        </w:rPr>
      </w:pPr>
      <w:r>
        <w:t>216H.</w:t>
      </w:r>
      <w:r>
        <w:tab/>
        <w:t>Notification of access dispute</w:t>
      </w:r>
      <w:r>
        <w:tab/>
      </w:r>
      <w:r>
        <w:fldChar w:fldCharType="begin"/>
      </w:r>
      <w:r>
        <w:instrText xml:space="preserve"> PAGEREF _Toc536782230 \h </w:instrText>
      </w:r>
      <w:r>
        <w:fldChar w:fldCharType="separate"/>
      </w:r>
      <w:r>
        <w:t>205</w:t>
      </w:r>
      <w:r>
        <w:fldChar w:fldCharType="end"/>
      </w:r>
    </w:p>
    <w:p>
      <w:pPr>
        <w:pStyle w:val="TOC8"/>
        <w:rPr>
          <w:rFonts w:asciiTheme="minorHAnsi" w:eastAsiaTheme="minorEastAsia" w:hAnsiTheme="minorHAnsi" w:cstheme="minorBidi"/>
          <w:szCs w:val="22"/>
        </w:rPr>
      </w:pPr>
      <w:r>
        <w:t>216I.</w:t>
      </w:r>
      <w:r>
        <w:tab/>
        <w:t>Parties to an access dispute</w:t>
      </w:r>
      <w:r>
        <w:tab/>
      </w:r>
      <w:r>
        <w:fldChar w:fldCharType="begin"/>
      </w:r>
      <w:r>
        <w:instrText xml:space="preserve"> PAGEREF _Toc536782231 \h </w:instrText>
      </w:r>
      <w:r>
        <w:fldChar w:fldCharType="separate"/>
      </w:r>
      <w:r>
        <w:t>206</w:t>
      </w:r>
      <w:r>
        <w:fldChar w:fldCharType="end"/>
      </w:r>
    </w:p>
    <w:p>
      <w:pPr>
        <w:pStyle w:val="TOC4"/>
        <w:tabs>
          <w:tab w:val="right" w:leader="dot" w:pos="7077"/>
        </w:tabs>
        <w:rPr>
          <w:rFonts w:asciiTheme="minorHAnsi" w:eastAsiaTheme="minorEastAsia" w:hAnsiTheme="minorHAnsi" w:cstheme="minorBidi"/>
          <w:b w:val="0"/>
          <w:szCs w:val="22"/>
        </w:rPr>
      </w:pPr>
      <w:r>
        <w:t>Part 3—Reference of dispute to arbitration</w:t>
      </w:r>
    </w:p>
    <w:p>
      <w:pPr>
        <w:pStyle w:val="TOC8"/>
        <w:rPr>
          <w:rFonts w:asciiTheme="minorHAnsi" w:eastAsiaTheme="minorEastAsia" w:hAnsiTheme="minorHAnsi" w:cstheme="minorBidi"/>
          <w:szCs w:val="22"/>
        </w:rPr>
      </w:pPr>
      <w:r>
        <w:t>216J.</w:t>
      </w:r>
      <w:r>
        <w:tab/>
        <w:t>Reference of dispute</w:t>
      </w:r>
      <w:r>
        <w:tab/>
      </w:r>
      <w:r>
        <w:fldChar w:fldCharType="begin"/>
      </w:r>
      <w:r>
        <w:instrText xml:space="preserve"> PAGEREF _Toc536782233 \h </w:instrText>
      </w:r>
      <w:r>
        <w:fldChar w:fldCharType="separate"/>
      </w:r>
      <w:r>
        <w:t>207</w:t>
      </w:r>
      <w:r>
        <w:fldChar w:fldCharType="end"/>
      </w:r>
    </w:p>
    <w:p>
      <w:pPr>
        <w:pStyle w:val="TOC8"/>
        <w:rPr>
          <w:rFonts w:asciiTheme="minorHAnsi" w:eastAsiaTheme="minorEastAsia" w:hAnsiTheme="minorHAnsi" w:cstheme="minorBidi"/>
          <w:szCs w:val="22"/>
        </w:rPr>
      </w:pPr>
      <w:r>
        <w:t>216K.</w:t>
      </w:r>
      <w:r>
        <w:tab/>
        <w:t>Selection of arbitrator</w:t>
      </w:r>
      <w:r>
        <w:tab/>
      </w:r>
      <w:r>
        <w:fldChar w:fldCharType="begin"/>
      </w:r>
      <w:r>
        <w:instrText xml:space="preserve"> PAGEREF _Toc536782234 \h </w:instrText>
      </w:r>
      <w:r>
        <w:fldChar w:fldCharType="separate"/>
      </w:r>
      <w:r>
        <w:t>207</w:t>
      </w:r>
      <w:r>
        <w:fldChar w:fldCharType="end"/>
      </w:r>
    </w:p>
    <w:p>
      <w:pPr>
        <w:pStyle w:val="TOC8"/>
        <w:rPr>
          <w:rFonts w:asciiTheme="minorHAnsi" w:eastAsiaTheme="minorEastAsia" w:hAnsiTheme="minorHAnsi" w:cstheme="minorBidi"/>
          <w:szCs w:val="22"/>
        </w:rPr>
      </w:pPr>
      <w:r>
        <w:t>216L.</w:t>
      </w:r>
      <w:r>
        <w:tab/>
        <w:t>Determination of access dispute</w:t>
      </w:r>
      <w:r>
        <w:tab/>
      </w:r>
      <w:r>
        <w:fldChar w:fldCharType="begin"/>
      </w:r>
      <w:r>
        <w:instrText xml:space="preserve"> PAGEREF _Toc536782235 \h </w:instrText>
      </w:r>
      <w:r>
        <w:fldChar w:fldCharType="separate"/>
      </w:r>
      <w:r>
        <w:t>208</w:t>
      </w:r>
      <w:r>
        <w:fldChar w:fldCharType="end"/>
      </w:r>
    </w:p>
    <w:p>
      <w:pPr>
        <w:pStyle w:val="TOC8"/>
        <w:rPr>
          <w:rFonts w:asciiTheme="minorHAnsi" w:eastAsiaTheme="minorEastAsia" w:hAnsiTheme="minorHAnsi" w:cstheme="minorBidi"/>
          <w:szCs w:val="22"/>
        </w:rPr>
      </w:pPr>
      <w:r>
        <w:t>216M.</w:t>
      </w:r>
      <w:r>
        <w:tab/>
        <w:t>Principles to be taken into account</w:t>
      </w:r>
      <w:r>
        <w:tab/>
      </w:r>
      <w:r>
        <w:fldChar w:fldCharType="begin"/>
      </w:r>
      <w:r>
        <w:instrText xml:space="preserve"> PAGEREF _Toc536782236 \h </w:instrText>
      </w:r>
      <w:r>
        <w:fldChar w:fldCharType="separate"/>
      </w:r>
      <w:r>
        <w:t>209</w:t>
      </w:r>
      <w:r>
        <w:fldChar w:fldCharType="end"/>
      </w:r>
    </w:p>
    <w:p>
      <w:pPr>
        <w:pStyle w:val="TOC8"/>
        <w:rPr>
          <w:rFonts w:asciiTheme="minorHAnsi" w:eastAsiaTheme="minorEastAsia" w:hAnsiTheme="minorHAnsi" w:cstheme="minorBidi"/>
          <w:szCs w:val="22"/>
        </w:rPr>
      </w:pPr>
      <w:r>
        <w:t>216N.</w:t>
      </w:r>
      <w:r>
        <w:tab/>
        <w:t>Restrictions on access determinations</w:t>
      </w:r>
      <w:r>
        <w:tab/>
      </w:r>
      <w:r>
        <w:fldChar w:fldCharType="begin"/>
      </w:r>
      <w:r>
        <w:instrText xml:space="preserve"> PAGEREF _Toc536782237 \h </w:instrText>
      </w:r>
      <w:r>
        <w:fldChar w:fldCharType="separate"/>
      </w:r>
      <w:r>
        <w:t>209</w:t>
      </w:r>
      <w:r>
        <w:fldChar w:fldCharType="end"/>
      </w:r>
    </w:p>
    <w:p>
      <w:pPr>
        <w:pStyle w:val="TOC8"/>
        <w:rPr>
          <w:rFonts w:asciiTheme="minorHAnsi" w:eastAsiaTheme="minorEastAsia" w:hAnsiTheme="minorHAnsi" w:cstheme="minorBidi"/>
          <w:szCs w:val="22"/>
        </w:rPr>
      </w:pPr>
      <w:r>
        <w:t>216O.</w:t>
      </w:r>
      <w:r>
        <w:tab/>
        <w:t>Arbitrator's power to terminate arbitration</w:t>
      </w:r>
      <w:r>
        <w:tab/>
      </w:r>
      <w:r>
        <w:fldChar w:fldCharType="begin"/>
      </w:r>
      <w:r>
        <w:instrText xml:space="preserve"> PAGEREF _Toc536782238 \h </w:instrText>
      </w:r>
      <w:r>
        <w:fldChar w:fldCharType="separate"/>
      </w:r>
      <w:r>
        <w:t>210</w:t>
      </w:r>
      <w:r>
        <w:fldChar w:fldCharType="end"/>
      </w:r>
    </w:p>
    <w:p>
      <w:pPr>
        <w:pStyle w:val="TOC8"/>
        <w:rPr>
          <w:rFonts w:asciiTheme="minorHAnsi" w:eastAsiaTheme="minorEastAsia" w:hAnsiTheme="minorHAnsi" w:cstheme="minorBidi"/>
          <w:szCs w:val="22"/>
        </w:rPr>
      </w:pPr>
      <w:r>
        <w:t>216P.</w:t>
      </w:r>
      <w:r>
        <w:tab/>
        <w:t>Access seeker's right to terminate arbitration</w:t>
      </w:r>
      <w:r>
        <w:tab/>
      </w:r>
      <w:r>
        <w:fldChar w:fldCharType="begin"/>
      </w:r>
      <w:r>
        <w:instrText xml:space="preserve"> PAGEREF _Toc536782239 \h </w:instrText>
      </w:r>
      <w:r>
        <w:fldChar w:fldCharType="separate"/>
      </w:r>
      <w:r>
        <w:t>211</w:t>
      </w:r>
      <w:r>
        <w:fldChar w:fldCharType="end"/>
      </w:r>
    </w:p>
    <w:p>
      <w:pPr>
        <w:pStyle w:val="TOC4"/>
        <w:tabs>
          <w:tab w:val="right" w:leader="dot" w:pos="7077"/>
        </w:tabs>
        <w:rPr>
          <w:rFonts w:asciiTheme="minorHAnsi" w:eastAsiaTheme="minorEastAsia" w:hAnsiTheme="minorHAnsi" w:cstheme="minorBidi"/>
          <w:b w:val="0"/>
          <w:szCs w:val="22"/>
        </w:rPr>
      </w:pPr>
      <w:r>
        <w:t>Part 4—Compliance with access determinations</w:t>
      </w:r>
    </w:p>
    <w:p>
      <w:pPr>
        <w:pStyle w:val="TOC8"/>
        <w:rPr>
          <w:rFonts w:asciiTheme="minorHAnsi" w:eastAsiaTheme="minorEastAsia" w:hAnsiTheme="minorHAnsi" w:cstheme="minorBidi"/>
          <w:szCs w:val="22"/>
        </w:rPr>
      </w:pPr>
      <w:r>
        <w:t>216Q.</w:t>
      </w:r>
      <w:r>
        <w:tab/>
        <w:t>Compliance with access determinations</w:t>
      </w:r>
      <w:r>
        <w:tab/>
      </w:r>
      <w:r>
        <w:fldChar w:fldCharType="begin"/>
      </w:r>
      <w:r>
        <w:instrText xml:space="preserve"> PAGEREF _Toc536782241 \h </w:instrText>
      </w:r>
      <w:r>
        <w:fldChar w:fldCharType="separate"/>
      </w:r>
      <w:r>
        <w:t>211</w:t>
      </w:r>
      <w:r>
        <w:fldChar w:fldCharType="end"/>
      </w:r>
    </w:p>
    <w:p>
      <w:pPr>
        <w:pStyle w:val="TOC4"/>
        <w:tabs>
          <w:tab w:val="right" w:leader="dot" w:pos="7077"/>
        </w:tabs>
        <w:rPr>
          <w:rFonts w:asciiTheme="minorHAnsi" w:eastAsiaTheme="minorEastAsia" w:hAnsiTheme="minorHAnsi" w:cstheme="minorBidi"/>
          <w:b w:val="0"/>
          <w:szCs w:val="22"/>
        </w:rPr>
      </w:pPr>
      <w:r>
        <w:t>Part 5—Variation of access determinations</w:t>
      </w:r>
    </w:p>
    <w:p>
      <w:pPr>
        <w:pStyle w:val="TOC8"/>
        <w:rPr>
          <w:rFonts w:asciiTheme="minorHAnsi" w:eastAsiaTheme="minorEastAsia" w:hAnsiTheme="minorHAnsi" w:cstheme="minorBidi"/>
          <w:szCs w:val="22"/>
        </w:rPr>
      </w:pPr>
      <w:r>
        <w:t>216R.</w:t>
      </w:r>
      <w:r>
        <w:tab/>
        <w:t>Variation of access determinations</w:t>
      </w:r>
      <w:r>
        <w:tab/>
      </w:r>
      <w:r>
        <w:fldChar w:fldCharType="begin"/>
      </w:r>
      <w:r>
        <w:instrText xml:space="preserve"> PAGEREF _Toc536782243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t>Part 6—Hearing procedures</w:t>
      </w:r>
    </w:p>
    <w:p>
      <w:pPr>
        <w:pStyle w:val="TOC8"/>
        <w:rPr>
          <w:rFonts w:asciiTheme="minorHAnsi" w:eastAsiaTheme="minorEastAsia" w:hAnsiTheme="minorHAnsi" w:cstheme="minorBidi"/>
          <w:szCs w:val="22"/>
        </w:rPr>
      </w:pPr>
      <w:r>
        <w:t>216S.</w:t>
      </w:r>
      <w:r>
        <w:tab/>
        <w:t>Hearing procedures</w:t>
      </w:r>
      <w:r>
        <w:tab/>
      </w:r>
      <w:r>
        <w:fldChar w:fldCharType="begin"/>
      </w:r>
      <w:r>
        <w:instrText xml:space="preserve"> PAGEREF _Toc536782245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t>Part 7—Miscellaneous matters</w:t>
      </w:r>
    </w:p>
    <w:p>
      <w:pPr>
        <w:pStyle w:val="TOC8"/>
        <w:rPr>
          <w:rFonts w:asciiTheme="minorHAnsi" w:eastAsiaTheme="minorEastAsia" w:hAnsiTheme="minorHAnsi" w:cstheme="minorBidi"/>
          <w:szCs w:val="22"/>
        </w:rPr>
      </w:pPr>
      <w:r>
        <w:t>216T.</w:t>
      </w:r>
      <w:r>
        <w:tab/>
        <w:t>Correction of access determinations for clerical mistakes etc</w:t>
      </w:r>
      <w:r>
        <w:tab/>
      </w:r>
      <w:r>
        <w:fldChar w:fldCharType="begin"/>
      </w:r>
      <w:r>
        <w:instrText xml:space="preserve"> PAGEREF _Toc536782247 \h </w:instrText>
      </w:r>
      <w:r>
        <w:fldChar w:fldCharType="separate"/>
      </w:r>
      <w:r>
        <w:t>213</w:t>
      </w:r>
      <w:r>
        <w:fldChar w:fldCharType="end"/>
      </w:r>
    </w:p>
    <w:p>
      <w:pPr>
        <w:pStyle w:val="TOC8"/>
        <w:rPr>
          <w:rFonts w:asciiTheme="minorHAnsi" w:eastAsiaTheme="minorEastAsia" w:hAnsiTheme="minorHAnsi" w:cstheme="minorBidi"/>
          <w:szCs w:val="22"/>
        </w:rPr>
      </w:pPr>
      <w:r>
        <w:t>216U.</w:t>
      </w:r>
      <w:r>
        <w:tab/>
        <w:t>Reservation of capacity during an access dispute</w:t>
      </w:r>
      <w:r>
        <w:tab/>
      </w:r>
      <w:r>
        <w:fldChar w:fldCharType="begin"/>
      </w:r>
      <w:r>
        <w:instrText xml:space="preserve"> PAGEREF _Toc536782248 \h </w:instrText>
      </w:r>
      <w:r>
        <w:fldChar w:fldCharType="separate"/>
      </w:r>
      <w:r>
        <w:t>214</w:t>
      </w:r>
      <w:r>
        <w:fldChar w:fldCharType="end"/>
      </w:r>
    </w:p>
    <w:p>
      <w:pPr>
        <w:pStyle w:val="TOC8"/>
        <w:rPr>
          <w:rFonts w:asciiTheme="minorHAnsi" w:eastAsiaTheme="minorEastAsia" w:hAnsiTheme="minorHAnsi" w:cstheme="minorBidi"/>
          <w:szCs w:val="22"/>
        </w:rPr>
      </w:pPr>
      <w:r>
        <w:t>216V.</w:t>
      </w:r>
      <w:r>
        <w:tab/>
        <w:t>Costs of arbitration</w:t>
      </w:r>
      <w:r>
        <w:tab/>
      </w:r>
      <w:r>
        <w:fldChar w:fldCharType="begin"/>
      </w:r>
      <w:r>
        <w:instrText xml:space="preserve"> PAGEREF _Toc536782249 \h </w:instrText>
      </w:r>
      <w:r>
        <w:fldChar w:fldCharType="separate"/>
      </w:r>
      <w:r>
        <w:t>214</w:t>
      </w:r>
      <w:r>
        <w:fldChar w:fldCharType="end"/>
      </w:r>
    </w:p>
    <w:p>
      <w:pPr>
        <w:pStyle w:val="TOC2"/>
        <w:tabs>
          <w:tab w:val="right" w:leader="dot" w:pos="7077"/>
        </w:tabs>
        <w:rPr>
          <w:rFonts w:asciiTheme="minorHAnsi" w:eastAsiaTheme="minorEastAsia" w:hAnsiTheme="minorHAnsi" w:cstheme="minorBidi"/>
          <w:b w:val="0"/>
          <w:sz w:val="22"/>
          <w:szCs w:val="22"/>
        </w:rPr>
      </w:pPr>
      <w:r>
        <w:t>Chapter 7 — The Natural Gas Services Bulletin Board</w:t>
      </w:r>
    </w:p>
    <w:p>
      <w:pPr>
        <w:pStyle w:val="TOC4"/>
        <w:tabs>
          <w:tab w:val="right" w:leader="dot" w:pos="7077"/>
        </w:tabs>
        <w:rPr>
          <w:rFonts w:asciiTheme="minorHAnsi" w:eastAsiaTheme="minorEastAsia" w:hAnsiTheme="minorHAnsi" w:cstheme="minorBidi"/>
          <w:b w:val="0"/>
          <w:szCs w:val="22"/>
        </w:rPr>
      </w:pPr>
      <w:r>
        <w:t>Part 1 — The Bulletin Board Operator</w:t>
      </w:r>
    </w:p>
    <w:p>
      <w:pPr>
        <w:pStyle w:val="TOC8"/>
        <w:rPr>
          <w:rFonts w:asciiTheme="minorHAnsi" w:eastAsiaTheme="minorEastAsia" w:hAnsiTheme="minorHAnsi" w:cstheme="minorBidi"/>
          <w:szCs w:val="22"/>
        </w:rPr>
      </w:pPr>
      <w:r>
        <w:t>217.</w:t>
      </w:r>
      <w:r>
        <w:tab/>
        <w:t>The Bulletin Board operator</w:t>
      </w:r>
      <w:r>
        <w:tab/>
      </w:r>
      <w:r>
        <w:fldChar w:fldCharType="begin"/>
      </w:r>
      <w:r>
        <w:instrText xml:space="preserve"> PAGEREF _Toc536782252 \h </w:instrText>
      </w:r>
      <w:r>
        <w:fldChar w:fldCharType="separate"/>
      </w:r>
      <w:r>
        <w:t>215</w:t>
      </w:r>
      <w:r>
        <w:fldChar w:fldCharType="end"/>
      </w:r>
    </w:p>
    <w:p>
      <w:pPr>
        <w:pStyle w:val="TOC8"/>
        <w:rPr>
          <w:rFonts w:asciiTheme="minorHAnsi" w:eastAsiaTheme="minorEastAsia" w:hAnsiTheme="minorHAnsi" w:cstheme="minorBidi"/>
          <w:szCs w:val="22"/>
        </w:rPr>
      </w:pPr>
      <w:r>
        <w:t>218.</w:t>
      </w:r>
      <w:r>
        <w:tab/>
        <w:t>Obligation to establish and maintain the Natural Gas Services Bulletin Board</w:t>
      </w:r>
      <w:r>
        <w:tab/>
      </w:r>
      <w:r>
        <w:fldChar w:fldCharType="begin"/>
      </w:r>
      <w:r>
        <w:instrText xml:space="preserve"> PAGEREF _Toc536782253 \h </w:instrText>
      </w:r>
      <w:r>
        <w:fldChar w:fldCharType="separate"/>
      </w:r>
      <w:r>
        <w:t>215</w:t>
      </w:r>
      <w:r>
        <w:fldChar w:fldCharType="end"/>
      </w:r>
    </w:p>
    <w:p>
      <w:pPr>
        <w:pStyle w:val="TOC8"/>
        <w:rPr>
          <w:rFonts w:asciiTheme="minorHAnsi" w:eastAsiaTheme="minorEastAsia" w:hAnsiTheme="minorHAnsi" w:cstheme="minorBidi"/>
          <w:szCs w:val="22"/>
        </w:rPr>
      </w:pPr>
      <w:r>
        <w:t>219.</w:t>
      </w:r>
      <w:r>
        <w:tab/>
        <w:t>Other functions of the Bulletin Board operator</w:t>
      </w:r>
      <w:r>
        <w:tab/>
      </w:r>
      <w:r>
        <w:fldChar w:fldCharType="begin"/>
      </w:r>
      <w:r>
        <w:instrText xml:space="preserve"> PAGEREF _Toc536782254 \h </w:instrText>
      </w:r>
      <w:r>
        <w:fldChar w:fldCharType="separate"/>
      </w:r>
      <w:r>
        <w:t>215</w:t>
      </w:r>
      <w:r>
        <w:fldChar w:fldCharType="end"/>
      </w:r>
    </w:p>
    <w:p>
      <w:pPr>
        <w:pStyle w:val="TOC8"/>
        <w:rPr>
          <w:rFonts w:asciiTheme="minorHAnsi" w:eastAsiaTheme="minorEastAsia" w:hAnsiTheme="minorHAnsi" w:cstheme="minorBidi"/>
          <w:szCs w:val="22"/>
        </w:rPr>
      </w:pPr>
      <w:r>
        <w:t>220.</w:t>
      </w:r>
      <w:r>
        <w:tab/>
        <w:t>Powers of the Bulletin Board operator</w:t>
      </w:r>
      <w:r>
        <w:tab/>
      </w:r>
      <w:r>
        <w:fldChar w:fldCharType="begin"/>
      </w:r>
      <w:r>
        <w:instrText xml:space="preserve"> PAGEREF _Toc536782255 \h </w:instrText>
      </w:r>
      <w:r>
        <w:fldChar w:fldCharType="separate"/>
      </w:r>
      <w:r>
        <w:t>216</w:t>
      </w:r>
      <w:r>
        <w:fldChar w:fldCharType="end"/>
      </w:r>
    </w:p>
    <w:p>
      <w:pPr>
        <w:pStyle w:val="TOC8"/>
        <w:rPr>
          <w:rFonts w:asciiTheme="minorHAnsi" w:eastAsiaTheme="minorEastAsia" w:hAnsiTheme="minorHAnsi" w:cstheme="minorBidi"/>
          <w:szCs w:val="22"/>
        </w:rPr>
      </w:pPr>
      <w:r>
        <w:t>221.</w:t>
      </w:r>
      <w:r>
        <w:tab/>
        <w:t>Immunity of the Bulletin Board operator</w:t>
      </w:r>
      <w:r>
        <w:tab/>
      </w:r>
      <w:r>
        <w:fldChar w:fldCharType="begin"/>
      </w:r>
      <w:r>
        <w:instrText xml:space="preserve"> PAGEREF _Toc536782256 \h </w:instrText>
      </w:r>
      <w:r>
        <w:fldChar w:fldCharType="separate"/>
      </w:r>
      <w:r>
        <w:t>216</w:t>
      </w:r>
      <w:r>
        <w:fldChar w:fldCharType="end"/>
      </w:r>
    </w:p>
    <w:p>
      <w:pPr>
        <w:pStyle w:val="TOC8"/>
        <w:rPr>
          <w:rFonts w:asciiTheme="minorHAnsi" w:eastAsiaTheme="minorEastAsia" w:hAnsiTheme="minorHAnsi" w:cstheme="minorBidi"/>
          <w:szCs w:val="22"/>
        </w:rPr>
      </w:pPr>
      <w:r>
        <w:t>222.</w:t>
      </w:r>
      <w:r>
        <w:tab/>
        <w:t>Fees for services provided</w:t>
      </w:r>
      <w:r>
        <w:tab/>
      </w:r>
      <w:r>
        <w:fldChar w:fldCharType="begin"/>
      </w:r>
      <w:r>
        <w:instrText xml:space="preserve"> PAGEREF _Toc536782257 \h </w:instrText>
      </w:r>
      <w:r>
        <w:fldChar w:fldCharType="separate"/>
      </w:r>
      <w:r>
        <w:t>217</w:t>
      </w:r>
      <w:r>
        <w:fldChar w:fldCharType="end"/>
      </w:r>
    </w:p>
    <w:p>
      <w:pPr>
        <w:pStyle w:val="TOC4"/>
        <w:tabs>
          <w:tab w:val="right" w:leader="dot" w:pos="7077"/>
        </w:tabs>
        <w:rPr>
          <w:rFonts w:asciiTheme="minorHAnsi" w:eastAsiaTheme="minorEastAsia" w:hAnsiTheme="minorHAnsi" w:cstheme="minorBidi"/>
          <w:b w:val="0"/>
          <w:szCs w:val="22"/>
        </w:rPr>
      </w:pPr>
      <w:r>
        <w:t>Part 2 — Bulletin Board information</w:t>
      </w:r>
    </w:p>
    <w:p>
      <w:pPr>
        <w:pStyle w:val="TOC8"/>
        <w:rPr>
          <w:rFonts w:asciiTheme="minorHAnsi" w:eastAsiaTheme="minorEastAsia" w:hAnsiTheme="minorHAnsi" w:cstheme="minorBidi"/>
          <w:szCs w:val="22"/>
        </w:rPr>
      </w:pPr>
      <w:r>
        <w:t>223.</w:t>
      </w:r>
      <w:r>
        <w:tab/>
        <w:t>Obligation to give information to the Bulletin Board operator</w:t>
      </w:r>
      <w:r>
        <w:tab/>
      </w:r>
      <w:r>
        <w:fldChar w:fldCharType="begin"/>
      </w:r>
      <w:r>
        <w:instrText xml:space="preserve"> PAGEREF _Toc536782259 \h </w:instrText>
      </w:r>
      <w:r>
        <w:fldChar w:fldCharType="separate"/>
      </w:r>
      <w:r>
        <w:t>217</w:t>
      </w:r>
      <w:r>
        <w:fldChar w:fldCharType="end"/>
      </w:r>
    </w:p>
    <w:p>
      <w:pPr>
        <w:pStyle w:val="TOC8"/>
        <w:rPr>
          <w:rFonts w:asciiTheme="minorHAnsi" w:eastAsiaTheme="minorEastAsia" w:hAnsiTheme="minorHAnsi" w:cstheme="minorBidi"/>
          <w:szCs w:val="22"/>
        </w:rPr>
      </w:pPr>
      <w:r>
        <w:t>224.</w:t>
      </w:r>
      <w:r>
        <w:tab/>
        <w:t>Person cannot rely on duty of confidence to avoid compliance with obligation</w:t>
      </w:r>
      <w:r>
        <w:tab/>
      </w:r>
      <w:r>
        <w:fldChar w:fldCharType="begin"/>
      </w:r>
      <w:r>
        <w:instrText xml:space="preserve"> PAGEREF _Toc536782260 \h </w:instrText>
      </w:r>
      <w:r>
        <w:fldChar w:fldCharType="separate"/>
      </w:r>
      <w:r>
        <w:t>218</w:t>
      </w:r>
      <w:r>
        <w:fldChar w:fldCharType="end"/>
      </w:r>
    </w:p>
    <w:p>
      <w:pPr>
        <w:pStyle w:val="TOC8"/>
        <w:rPr>
          <w:rFonts w:asciiTheme="minorHAnsi" w:eastAsiaTheme="minorEastAsia" w:hAnsiTheme="minorHAnsi" w:cstheme="minorBidi"/>
          <w:szCs w:val="22"/>
        </w:rPr>
      </w:pPr>
      <w:r>
        <w:t>225.</w:t>
      </w:r>
      <w:r>
        <w:tab/>
        <w:t>Giving to Bulletin Board operator false and misleading information</w:t>
      </w:r>
      <w:r>
        <w:tab/>
      </w:r>
      <w:r>
        <w:fldChar w:fldCharType="begin"/>
      </w:r>
      <w:r>
        <w:instrText xml:space="preserve"> PAGEREF _Toc536782261 \h </w:instrText>
      </w:r>
      <w:r>
        <w:fldChar w:fldCharType="separate"/>
      </w:r>
      <w:r>
        <w:t>218</w:t>
      </w:r>
      <w:r>
        <w:fldChar w:fldCharType="end"/>
      </w:r>
    </w:p>
    <w:p>
      <w:pPr>
        <w:pStyle w:val="TOC8"/>
        <w:rPr>
          <w:rFonts w:asciiTheme="minorHAnsi" w:eastAsiaTheme="minorEastAsia" w:hAnsiTheme="minorHAnsi" w:cstheme="minorBidi"/>
          <w:szCs w:val="22"/>
        </w:rPr>
      </w:pPr>
      <w:r>
        <w:t>226.</w:t>
      </w:r>
      <w:r>
        <w:tab/>
        <w:t>Immunity of persons giving information to the Bulletin Board operator</w:t>
      </w:r>
      <w:r>
        <w:tab/>
      </w:r>
      <w:r>
        <w:fldChar w:fldCharType="begin"/>
      </w:r>
      <w:r>
        <w:instrText xml:space="preserve"> PAGEREF _Toc536782262 \h </w:instrText>
      </w:r>
      <w:r>
        <w:fldChar w:fldCharType="separate"/>
      </w:r>
      <w:r>
        <w:t>218</w:t>
      </w:r>
      <w:r>
        <w:fldChar w:fldCharType="end"/>
      </w:r>
    </w:p>
    <w:p>
      <w:pPr>
        <w:pStyle w:val="TOC4"/>
        <w:tabs>
          <w:tab w:val="right" w:leader="dot" w:pos="7077"/>
        </w:tabs>
        <w:rPr>
          <w:rFonts w:asciiTheme="minorHAnsi" w:eastAsiaTheme="minorEastAsia" w:hAnsiTheme="minorHAnsi" w:cstheme="minorBidi"/>
          <w:b w:val="0"/>
          <w:szCs w:val="22"/>
        </w:rPr>
      </w:pPr>
      <w:r>
        <w:t>Part 3 — Protection of information</w:t>
      </w:r>
    </w:p>
    <w:p>
      <w:pPr>
        <w:pStyle w:val="TOC8"/>
        <w:rPr>
          <w:rFonts w:asciiTheme="minorHAnsi" w:eastAsiaTheme="minorEastAsia" w:hAnsiTheme="minorHAnsi" w:cstheme="minorBidi"/>
          <w:szCs w:val="22"/>
        </w:rPr>
      </w:pPr>
      <w:r>
        <w:t>227.</w:t>
      </w:r>
      <w:r>
        <w:tab/>
        <w:t>Protection of information by the Bulletin Board operator</w:t>
      </w:r>
      <w:r>
        <w:tab/>
      </w:r>
      <w:r>
        <w:fldChar w:fldCharType="begin"/>
      </w:r>
      <w:r>
        <w:instrText xml:space="preserve"> PAGEREF _Toc536782264 \h </w:instrText>
      </w:r>
      <w:r>
        <w:fldChar w:fldCharType="separate"/>
      </w:r>
      <w:r>
        <w:t>219</w:t>
      </w:r>
      <w:r>
        <w:fldChar w:fldCharType="end"/>
      </w:r>
    </w:p>
    <w:p>
      <w:pPr>
        <w:pStyle w:val="TOC8"/>
        <w:rPr>
          <w:rFonts w:asciiTheme="minorHAnsi" w:eastAsiaTheme="minorEastAsia" w:hAnsiTheme="minorHAnsi" w:cstheme="minorBidi"/>
          <w:szCs w:val="22"/>
        </w:rPr>
      </w:pPr>
      <w:r>
        <w:t>228.</w:t>
      </w:r>
      <w:r>
        <w:tab/>
        <w:t>Protection of information by employees etc of the Bulletin Board operator</w:t>
      </w:r>
      <w:r>
        <w:tab/>
      </w:r>
      <w:r>
        <w:fldChar w:fldCharType="begin"/>
      </w:r>
      <w:r>
        <w:instrText xml:space="preserve"> PAGEREF _Toc536782265 \h </w:instrText>
      </w:r>
      <w:r>
        <w:fldChar w:fldCharType="separate"/>
      </w:r>
      <w:r>
        <w:t>220</w:t>
      </w:r>
      <w:r>
        <w:fldChar w:fldCharType="end"/>
      </w:r>
    </w:p>
    <w:p>
      <w:pPr>
        <w:pStyle w:val="TOC2"/>
        <w:tabs>
          <w:tab w:val="right" w:leader="dot" w:pos="7077"/>
        </w:tabs>
        <w:rPr>
          <w:rFonts w:asciiTheme="minorHAnsi" w:eastAsiaTheme="minorEastAsia" w:hAnsiTheme="minorHAnsi" w:cstheme="minorBidi"/>
          <w:b w:val="0"/>
          <w:sz w:val="22"/>
          <w:szCs w:val="22"/>
        </w:rPr>
      </w:pPr>
      <w:r>
        <w:t>Chapter 8 — Proceedings under the National Gas Law</w:t>
      </w:r>
    </w:p>
    <w:p>
      <w:pPr>
        <w:pStyle w:val="TOC4"/>
        <w:tabs>
          <w:tab w:val="right" w:leader="dot" w:pos="7077"/>
        </w:tabs>
        <w:rPr>
          <w:rFonts w:asciiTheme="minorHAnsi" w:eastAsiaTheme="minorEastAsia" w:hAnsiTheme="minorHAnsi" w:cstheme="minorBidi"/>
          <w:b w:val="0"/>
          <w:szCs w:val="22"/>
        </w:rPr>
      </w:pPr>
      <w:r>
        <w:t>Part 1 — Proceedings generally</w:t>
      </w:r>
    </w:p>
    <w:p>
      <w:pPr>
        <w:pStyle w:val="TOC8"/>
        <w:rPr>
          <w:rFonts w:asciiTheme="minorHAnsi" w:eastAsiaTheme="minorEastAsia" w:hAnsiTheme="minorHAnsi" w:cstheme="minorBidi"/>
          <w:szCs w:val="22"/>
        </w:rPr>
      </w:pPr>
      <w:r>
        <w:t>229.</w:t>
      </w:r>
      <w:r>
        <w:tab/>
        <w:t>Instituting civil proceedings under this Law</w:t>
      </w:r>
      <w:r>
        <w:tab/>
      </w:r>
      <w:r>
        <w:fldChar w:fldCharType="begin"/>
      </w:r>
      <w:r>
        <w:instrText xml:space="preserve"> PAGEREF _Toc536782268 \h </w:instrText>
      </w:r>
      <w:r>
        <w:fldChar w:fldCharType="separate"/>
      </w:r>
      <w:r>
        <w:t>223</w:t>
      </w:r>
      <w:r>
        <w:fldChar w:fldCharType="end"/>
      </w:r>
    </w:p>
    <w:p>
      <w:pPr>
        <w:pStyle w:val="TOC8"/>
        <w:rPr>
          <w:rFonts w:asciiTheme="minorHAnsi" w:eastAsiaTheme="minorEastAsia" w:hAnsiTheme="minorHAnsi" w:cstheme="minorBidi"/>
          <w:szCs w:val="22"/>
        </w:rPr>
      </w:pPr>
      <w:r>
        <w:t>230.</w:t>
      </w:r>
      <w:r>
        <w:tab/>
        <w:t>Time limit within which proceedings may be instituted</w:t>
      </w:r>
      <w:r>
        <w:tab/>
      </w:r>
      <w:r>
        <w:fldChar w:fldCharType="begin"/>
      </w:r>
      <w:r>
        <w:instrText xml:space="preserve"> PAGEREF _Toc536782269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Part 2 — Proceedings for breaches of this Law, Regulations or the Rules</w:t>
      </w:r>
    </w:p>
    <w:p>
      <w:pPr>
        <w:pStyle w:val="TOC8"/>
        <w:rPr>
          <w:rFonts w:asciiTheme="minorHAnsi" w:eastAsiaTheme="minorEastAsia" w:hAnsiTheme="minorHAnsi" w:cstheme="minorBidi"/>
          <w:szCs w:val="22"/>
        </w:rPr>
      </w:pPr>
      <w:r>
        <w:t>231.</w:t>
      </w:r>
      <w:r>
        <w:tab/>
        <w:t>AER proceedings for breaches of this Law, Regulations or the Rules that are not offences</w:t>
      </w:r>
      <w:r>
        <w:tab/>
      </w:r>
      <w:r>
        <w:fldChar w:fldCharType="begin"/>
      </w:r>
      <w:r>
        <w:instrText xml:space="preserve"> PAGEREF _Toc536782271 \h </w:instrText>
      </w:r>
      <w:r>
        <w:fldChar w:fldCharType="separate"/>
      </w:r>
      <w:r>
        <w:t>224</w:t>
      </w:r>
      <w:r>
        <w:fldChar w:fldCharType="end"/>
      </w:r>
    </w:p>
    <w:p>
      <w:pPr>
        <w:pStyle w:val="TOC8"/>
        <w:rPr>
          <w:rFonts w:asciiTheme="minorHAnsi" w:eastAsiaTheme="minorEastAsia" w:hAnsiTheme="minorHAnsi" w:cstheme="minorBidi"/>
          <w:szCs w:val="22"/>
        </w:rPr>
      </w:pPr>
      <w:r>
        <w:t>232.</w:t>
      </w:r>
      <w:r>
        <w:tab/>
        <w:t>Proceedings for declaration that a person is in breach of a conduct provision</w:t>
      </w:r>
      <w:r>
        <w:tab/>
      </w:r>
      <w:r>
        <w:fldChar w:fldCharType="begin"/>
      </w:r>
      <w:r>
        <w:instrText xml:space="preserve"> PAGEREF _Toc536782272 \h </w:instrText>
      </w:r>
      <w:r>
        <w:fldChar w:fldCharType="separate"/>
      </w:r>
      <w:r>
        <w:t>226</w:t>
      </w:r>
      <w:r>
        <w:fldChar w:fldCharType="end"/>
      </w:r>
    </w:p>
    <w:p>
      <w:pPr>
        <w:pStyle w:val="TOC8"/>
        <w:rPr>
          <w:rFonts w:asciiTheme="minorHAnsi" w:eastAsiaTheme="minorEastAsia" w:hAnsiTheme="minorHAnsi" w:cstheme="minorBidi"/>
          <w:szCs w:val="22"/>
        </w:rPr>
      </w:pPr>
      <w:r>
        <w:t>233.</w:t>
      </w:r>
      <w:r>
        <w:tab/>
        <w:t>Actions for damages by persons for breach of conduct provision</w:t>
      </w:r>
      <w:r>
        <w:tab/>
      </w:r>
      <w:r>
        <w:fldChar w:fldCharType="begin"/>
      </w:r>
      <w:r>
        <w:instrText xml:space="preserve"> PAGEREF _Toc536782273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Part 3 — Matters relating to breaches of this Law, the Regulations or the Rules</w:t>
      </w:r>
    </w:p>
    <w:p>
      <w:pPr>
        <w:pStyle w:val="TOC8"/>
        <w:rPr>
          <w:rFonts w:asciiTheme="minorHAnsi" w:eastAsiaTheme="minorEastAsia" w:hAnsiTheme="minorHAnsi" w:cstheme="minorBidi"/>
          <w:szCs w:val="22"/>
        </w:rPr>
      </w:pPr>
      <w:r>
        <w:t>234.</w:t>
      </w:r>
      <w:r>
        <w:tab/>
        <w:t>Matters for which there must be regard in determining amount of civil penalty</w:t>
      </w:r>
      <w:r>
        <w:tab/>
      </w:r>
      <w:r>
        <w:fldChar w:fldCharType="begin"/>
      </w:r>
      <w:r>
        <w:instrText xml:space="preserve"> PAGEREF _Toc536782275 \h </w:instrText>
      </w:r>
      <w:r>
        <w:fldChar w:fldCharType="separate"/>
      </w:r>
      <w:r>
        <w:t>227</w:t>
      </w:r>
      <w:r>
        <w:fldChar w:fldCharType="end"/>
      </w:r>
    </w:p>
    <w:p>
      <w:pPr>
        <w:pStyle w:val="TOC8"/>
        <w:rPr>
          <w:rFonts w:asciiTheme="minorHAnsi" w:eastAsiaTheme="minorEastAsia" w:hAnsiTheme="minorHAnsi" w:cstheme="minorBidi"/>
          <w:szCs w:val="22"/>
        </w:rPr>
      </w:pPr>
      <w:r>
        <w:t>235.</w:t>
      </w:r>
      <w:r>
        <w:tab/>
        <w:t>Breach of a civil penalty provision is not an offence</w:t>
      </w:r>
      <w:r>
        <w:tab/>
      </w:r>
      <w:r>
        <w:fldChar w:fldCharType="begin"/>
      </w:r>
      <w:r>
        <w:instrText xml:space="preserve"> PAGEREF _Toc536782276 \h </w:instrText>
      </w:r>
      <w:r>
        <w:fldChar w:fldCharType="separate"/>
      </w:r>
      <w:r>
        <w:t>228</w:t>
      </w:r>
      <w:r>
        <w:fldChar w:fldCharType="end"/>
      </w:r>
    </w:p>
    <w:p>
      <w:pPr>
        <w:pStyle w:val="TOC8"/>
        <w:rPr>
          <w:rFonts w:asciiTheme="minorHAnsi" w:eastAsiaTheme="minorEastAsia" w:hAnsiTheme="minorHAnsi" w:cstheme="minorBidi"/>
          <w:szCs w:val="22"/>
        </w:rPr>
      </w:pPr>
      <w:r>
        <w:t>236.</w:t>
      </w:r>
      <w:r>
        <w:tab/>
        <w:t>Breaches of civil penalty provisions involving continuing failure</w:t>
      </w:r>
      <w:r>
        <w:tab/>
      </w:r>
      <w:r>
        <w:fldChar w:fldCharType="begin"/>
      </w:r>
      <w:r>
        <w:instrText xml:space="preserve"> PAGEREF _Toc536782277 \h </w:instrText>
      </w:r>
      <w:r>
        <w:fldChar w:fldCharType="separate"/>
      </w:r>
      <w:r>
        <w:t>228</w:t>
      </w:r>
      <w:r>
        <w:fldChar w:fldCharType="end"/>
      </w:r>
    </w:p>
    <w:p>
      <w:pPr>
        <w:pStyle w:val="TOC8"/>
        <w:rPr>
          <w:rFonts w:asciiTheme="minorHAnsi" w:eastAsiaTheme="minorEastAsia" w:hAnsiTheme="minorHAnsi" w:cstheme="minorBidi"/>
          <w:szCs w:val="22"/>
        </w:rPr>
      </w:pPr>
      <w:r>
        <w:t>237.</w:t>
      </w:r>
      <w:r>
        <w:tab/>
        <w:t>Conduct in breach of more than 1 civil penalty provision</w:t>
      </w:r>
      <w:r>
        <w:tab/>
      </w:r>
      <w:r>
        <w:fldChar w:fldCharType="begin"/>
      </w:r>
      <w:r>
        <w:instrText xml:space="preserve"> PAGEREF _Toc536782278 \h </w:instrText>
      </w:r>
      <w:r>
        <w:fldChar w:fldCharType="separate"/>
      </w:r>
      <w:r>
        <w:t>228</w:t>
      </w:r>
      <w:r>
        <w:fldChar w:fldCharType="end"/>
      </w:r>
    </w:p>
    <w:p>
      <w:pPr>
        <w:pStyle w:val="TOC8"/>
        <w:rPr>
          <w:rFonts w:asciiTheme="minorHAnsi" w:eastAsiaTheme="minorEastAsia" w:hAnsiTheme="minorHAnsi" w:cstheme="minorBidi"/>
          <w:szCs w:val="22"/>
        </w:rPr>
      </w:pPr>
      <w:r>
        <w:t>238.</w:t>
      </w:r>
      <w:r>
        <w:tab/>
        <w:t>Persons involved in breach of civil penalty provision or conduct provision</w:t>
      </w:r>
      <w:r>
        <w:tab/>
      </w:r>
      <w:r>
        <w:fldChar w:fldCharType="begin"/>
      </w:r>
      <w:r>
        <w:instrText xml:space="preserve"> PAGEREF _Toc536782279 \h </w:instrText>
      </w:r>
      <w:r>
        <w:fldChar w:fldCharType="separate"/>
      </w:r>
      <w:r>
        <w:t>229</w:t>
      </w:r>
      <w:r>
        <w:fldChar w:fldCharType="end"/>
      </w:r>
    </w:p>
    <w:p>
      <w:pPr>
        <w:pStyle w:val="TOC8"/>
        <w:rPr>
          <w:rFonts w:asciiTheme="minorHAnsi" w:eastAsiaTheme="minorEastAsia" w:hAnsiTheme="minorHAnsi" w:cstheme="minorBidi"/>
          <w:szCs w:val="22"/>
        </w:rPr>
      </w:pPr>
      <w:r>
        <w:t>239.</w:t>
      </w:r>
      <w:r>
        <w:tab/>
        <w:t>Attempt to breach a civil penalty provision</w:t>
      </w:r>
      <w:r>
        <w:tab/>
      </w:r>
      <w:r>
        <w:fldChar w:fldCharType="begin"/>
      </w:r>
      <w:r>
        <w:instrText xml:space="preserve"> PAGEREF _Toc536782280 \h </w:instrText>
      </w:r>
      <w:r>
        <w:fldChar w:fldCharType="separate"/>
      </w:r>
      <w:r>
        <w:t>229</w:t>
      </w:r>
      <w:r>
        <w:fldChar w:fldCharType="end"/>
      </w:r>
    </w:p>
    <w:p>
      <w:pPr>
        <w:pStyle w:val="TOC8"/>
        <w:rPr>
          <w:rFonts w:asciiTheme="minorHAnsi" w:eastAsiaTheme="minorEastAsia" w:hAnsiTheme="minorHAnsi" w:cstheme="minorBidi"/>
          <w:szCs w:val="22"/>
        </w:rPr>
      </w:pPr>
      <w:r>
        <w:t>240.</w:t>
      </w:r>
      <w:r>
        <w:tab/>
        <w:t>Civil penalties payable to the Commonwealth</w:t>
      </w:r>
      <w:r>
        <w:tab/>
      </w:r>
      <w:r>
        <w:fldChar w:fldCharType="begin"/>
      </w:r>
      <w:r>
        <w:instrText xml:space="preserve"> PAGEREF _Toc536782281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Part 4 — Judicial review of decisions under this Law, the Regulations and the Rules</w:t>
      </w:r>
    </w:p>
    <w:p>
      <w:pPr>
        <w:pStyle w:val="TOC8"/>
        <w:rPr>
          <w:rFonts w:asciiTheme="minorHAnsi" w:eastAsiaTheme="minorEastAsia" w:hAnsiTheme="minorHAnsi" w:cstheme="minorBidi"/>
          <w:szCs w:val="22"/>
        </w:rPr>
      </w:pPr>
      <w:r>
        <w:t>241.</w:t>
      </w:r>
      <w:r>
        <w:tab/>
        <w:t>Definition</w:t>
      </w:r>
      <w:r>
        <w:tab/>
      </w:r>
      <w:r>
        <w:fldChar w:fldCharType="begin"/>
      </w:r>
      <w:r>
        <w:instrText xml:space="preserve"> PAGEREF _Toc536782283 \h </w:instrText>
      </w:r>
      <w:r>
        <w:fldChar w:fldCharType="separate"/>
      </w:r>
      <w:r>
        <w:t>229</w:t>
      </w:r>
      <w:r>
        <w:fldChar w:fldCharType="end"/>
      </w:r>
    </w:p>
    <w:p>
      <w:pPr>
        <w:pStyle w:val="TOC8"/>
        <w:rPr>
          <w:rFonts w:asciiTheme="minorHAnsi" w:eastAsiaTheme="minorEastAsia" w:hAnsiTheme="minorHAnsi" w:cstheme="minorBidi"/>
          <w:szCs w:val="22"/>
        </w:rPr>
      </w:pPr>
      <w:r>
        <w:t>242.</w:t>
      </w:r>
      <w:r>
        <w:tab/>
        <w:t>Applications for judicial review of decisions of the AEMC</w:t>
      </w:r>
      <w:r>
        <w:tab/>
      </w:r>
      <w:r>
        <w:fldChar w:fldCharType="begin"/>
      </w:r>
      <w:r>
        <w:instrText xml:space="preserve"> PAGEREF _Toc536782284 \h </w:instrText>
      </w:r>
      <w:r>
        <w:fldChar w:fldCharType="separate"/>
      </w:r>
      <w:r>
        <w:t>230</w:t>
      </w:r>
      <w:r>
        <w:fldChar w:fldCharType="end"/>
      </w:r>
    </w:p>
    <w:p>
      <w:pPr>
        <w:pStyle w:val="TOC8"/>
        <w:rPr>
          <w:rFonts w:asciiTheme="minorHAnsi" w:eastAsiaTheme="minorEastAsia" w:hAnsiTheme="minorHAnsi" w:cstheme="minorBidi"/>
          <w:szCs w:val="22"/>
        </w:rPr>
      </w:pPr>
      <w:r>
        <w:t>243.</w:t>
      </w:r>
      <w:r>
        <w:tab/>
        <w:t>Applications for judicial review of decisions of the Bulletin Board operator</w:t>
      </w:r>
      <w:r>
        <w:tab/>
      </w:r>
      <w:r>
        <w:fldChar w:fldCharType="begin"/>
      </w:r>
      <w:r>
        <w:instrText xml:space="preserve"> PAGEREF _Toc536782285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Part 5 — Merits review and other non</w:t>
      </w:r>
      <w:r>
        <w:noBreakHyphen/>
        <w:t>judicial review</w:t>
      </w:r>
    </w:p>
    <w:p>
      <w:pPr>
        <w:pStyle w:val="TOC6"/>
        <w:tabs>
          <w:tab w:val="right" w:leader="dot" w:pos="7077"/>
        </w:tabs>
        <w:rPr>
          <w:rFonts w:asciiTheme="minorHAnsi" w:eastAsiaTheme="minorEastAsia" w:hAnsiTheme="minorHAnsi" w:cstheme="minorBidi"/>
          <w:b w:val="0"/>
          <w:sz w:val="22"/>
          <w:szCs w:val="22"/>
        </w:rPr>
      </w:pPr>
      <w:r>
        <w:t>Division 1 — Interpretation</w:t>
      </w:r>
    </w:p>
    <w:p>
      <w:pPr>
        <w:pStyle w:val="TOC8"/>
        <w:rPr>
          <w:rFonts w:asciiTheme="minorHAnsi" w:eastAsiaTheme="minorEastAsia" w:hAnsiTheme="minorHAnsi" w:cstheme="minorBidi"/>
          <w:szCs w:val="22"/>
        </w:rPr>
      </w:pPr>
      <w:r>
        <w:t>244.</w:t>
      </w:r>
      <w:r>
        <w:tab/>
        <w:t>Definitions</w:t>
      </w:r>
      <w:r>
        <w:tab/>
      </w:r>
      <w:r>
        <w:fldChar w:fldCharType="begin"/>
      </w:r>
      <w:r>
        <w:instrText xml:space="preserve"> PAGEREF _Toc536782288 \h </w:instrText>
      </w:r>
      <w:r>
        <w:fldChar w:fldCharType="separate"/>
      </w:r>
      <w:r>
        <w:t>231</w:t>
      </w:r>
      <w:r>
        <w:fldChar w:fldCharType="end"/>
      </w:r>
    </w:p>
    <w:p>
      <w:pPr>
        <w:pStyle w:val="TOC6"/>
        <w:tabs>
          <w:tab w:val="right" w:leader="dot" w:pos="7077"/>
        </w:tabs>
        <w:rPr>
          <w:rFonts w:asciiTheme="minorHAnsi" w:eastAsiaTheme="minorEastAsia" w:hAnsiTheme="minorHAnsi" w:cstheme="minorBidi"/>
          <w:b w:val="0"/>
          <w:sz w:val="22"/>
          <w:szCs w:val="22"/>
        </w:rPr>
      </w:pPr>
      <w:r>
        <w:t>Division 2 — Merits review for reviewable regulatory decisions</w:t>
      </w:r>
    </w:p>
    <w:p>
      <w:pPr>
        <w:pStyle w:val="TOC8"/>
        <w:rPr>
          <w:rFonts w:asciiTheme="minorHAnsi" w:eastAsiaTheme="minorEastAsia" w:hAnsiTheme="minorHAnsi" w:cstheme="minorBidi"/>
          <w:szCs w:val="22"/>
        </w:rPr>
      </w:pPr>
      <w:r>
        <w:t>245.</w:t>
      </w:r>
      <w:r>
        <w:tab/>
        <w:t>Applications for review</w:t>
      </w:r>
      <w:r>
        <w:tab/>
      </w:r>
      <w:r>
        <w:fldChar w:fldCharType="begin"/>
      </w:r>
      <w:r>
        <w:instrText xml:space="preserve"> PAGEREF _Toc536782290 \h </w:instrText>
      </w:r>
      <w:r>
        <w:fldChar w:fldCharType="separate"/>
      </w:r>
      <w:r>
        <w:t>235</w:t>
      </w:r>
      <w:r>
        <w:fldChar w:fldCharType="end"/>
      </w:r>
    </w:p>
    <w:p>
      <w:pPr>
        <w:pStyle w:val="TOC8"/>
        <w:rPr>
          <w:rFonts w:asciiTheme="minorHAnsi" w:eastAsiaTheme="minorEastAsia" w:hAnsiTheme="minorHAnsi" w:cstheme="minorBidi"/>
          <w:szCs w:val="22"/>
        </w:rPr>
      </w:pPr>
      <w:r>
        <w:t>246.</w:t>
      </w:r>
      <w:r>
        <w:tab/>
        <w:t>Grounds for review</w:t>
      </w:r>
      <w:r>
        <w:tab/>
      </w:r>
      <w:r>
        <w:fldChar w:fldCharType="begin"/>
      </w:r>
      <w:r>
        <w:instrText xml:space="preserve"> PAGEREF _Toc536782291 \h </w:instrText>
      </w:r>
      <w:r>
        <w:fldChar w:fldCharType="separate"/>
      </w:r>
      <w:r>
        <w:t>236</w:t>
      </w:r>
      <w:r>
        <w:fldChar w:fldCharType="end"/>
      </w:r>
    </w:p>
    <w:p>
      <w:pPr>
        <w:pStyle w:val="TOC8"/>
        <w:rPr>
          <w:rFonts w:asciiTheme="minorHAnsi" w:eastAsiaTheme="minorEastAsia" w:hAnsiTheme="minorHAnsi" w:cstheme="minorBidi"/>
          <w:szCs w:val="22"/>
        </w:rPr>
      </w:pPr>
      <w:r>
        <w:t>247.</w:t>
      </w:r>
      <w:r>
        <w:tab/>
        <w:t>By when an application must be made</w:t>
      </w:r>
      <w:r>
        <w:tab/>
      </w:r>
      <w:r>
        <w:fldChar w:fldCharType="begin"/>
      </w:r>
      <w:r>
        <w:instrText xml:space="preserve"> PAGEREF _Toc536782292 \h </w:instrText>
      </w:r>
      <w:r>
        <w:fldChar w:fldCharType="separate"/>
      </w:r>
      <w:r>
        <w:t>237</w:t>
      </w:r>
      <w:r>
        <w:fldChar w:fldCharType="end"/>
      </w:r>
    </w:p>
    <w:p>
      <w:pPr>
        <w:pStyle w:val="TOC8"/>
        <w:rPr>
          <w:rFonts w:asciiTheme="minorHAnsi" w:eastAsiaTheme="minorEastAsia" w:hAnsiTheme="minorHAnsi" w:cstheme="minorBidi"/>
          <w:szCs w:val="22"/>
        </w:rPr>
      </w:pPr>
      <w:r>
        <w:t>248.</w:t>
      </w:r>
      <w:r>
        <w:tab/>
        <w:t>Tribunal must not grant leave unless serious issue to be heard and determined</w:t>
      </w:r>
      <w:r>
        <w:tab/>
      </w:r>
      <w:r>
        <w:fldChar w:fldCharType="begin"/>
      </w:r>
      <w:r>
        <w:instrText xml:space="preserve"> PAGEREF _Toc536782293 \h </w:instrText>
      </w:r>
      <w:r>
        <w:fldChar w:fldCharType="separate"/>
      </w:r>
      <w:r>
        <w:t>237</w:t>
      </w:r>
      <w:r>
        <w:fldChar w:fldCharType="end"/>
      </w:r>
    </w:p>
    <w:p>
      <w:pPr>
        <w:pStyle w:val="TOC8"/>
        <w:rPr>
          <w:rFonts w:asciiTheme="minorHAnsi" w:eastAsiaTheme="minorEastAsia" w:hAnsiTheme="minorHAnsi" w:cstheme="minorBidi"/>
          <w:szCs w:val="22"/>
        </w:rPr>
      </w:pPr>
      <w:r>
        <w:t>249.</w:t>
      </w:r>
      <w:r>
        <w:tab/>
        <w:t>Leave must be refused if application is about an error relating to revenue amounts below specified threshold</w:t>
      </w:r>
      <w:r>
        <w:tab/>
      </w:r>
      <w:r>
        <w:fldChar w:fldCharType="begin"/>
      </w:r>
      <w:r>
        <w:instrText xml:space="preserve"> PAGEREF _Toc536782294 \h </w:instrText>
      </w:r>
      <w:r>
        <w:fldChar w:fldCharType="separate"/>
      </w:r>
      <w:r>
        <w:t>238</w:t>
      </w:r>
      <w:r>
        <w:fldChar w:fldCharType="end"/>
      </w:r>
    </w:p>
    <w:p>
      <w:pPr>
        <w:pStyle w:val="TOC8"/>
        <w:rPr>
          <w:rFonts w:asciiTheme="minorHAnsi" w:eastAsiaTheme="minorEastAsia" w:hAnsiTheme="minorHAnsi" w:cstheme="minorBidi"/>
          <w:szCs w:val="22"/>
        </w:rPr>
      </w:pPr>
      <w:r>
        <w:t>250.</w:t>
      </w:r>
      <w:r>
        <w:tab/>
        <w:t>Tribunal must refuse to grant leave if submission not made or is made late</w:t>
      </w:r>
      <w:r>
        <w:tab/>
      </w:r>
      <w:r>
        <w:fldChar w:fldCharType="begin"/>
      </w:r>
      <w:r>
        <w:instrText xml:space="preserve"> PAGEREF _Toc536782295 \h </w:instrText>
      </w:r>
      <w:r>
        <w:fldChar w:fldCharType="separate"/>
      </w:r>
      <w:r>
        <w:t>239</w:t>
      </w:r>
      <w:r>
        <w:fldChar w:fldCharType="end"/>
      </w:r>
    </w:p>
    <w:p>
      <w:pPr>
        <w:pStyle w:val="TOC8"/>
        <w:rPr>
          <w:rFonts w:asciiTheme="minorHAnsi" w:eastAsiaTheme="minorEastAsia" w:hAnsiTheme="minorHAnsi" w:cstheme="minorBidi"/>
          <w:szCs w:val="22"/>
        </w:rPr>
      </w:pPr>
      <w:r>
        <w:t>251.</w:t>
      </w:r>
      <w:r>
        <w:tab/>
        <w:t>Tribunal may refuse to grant leave to service provider in certain cases</w:t>
      </w:r>
      <w:r>
        <w:tab/>
      </w:r>
      <w:r>
        <w:fldChar w:fldCharType="begin"/>
      </w:r>
      <w:r>
        <w:instrText xml:space="preserve"> PAGEREF _Toc536782296 \h </w:instrText>
      </w:r>
      <w:r>
        <w:fldChar w:fldCharType="separate"/>
      </w:r>
      <w:r>
        <w:t>239</w:t>
      </w:r>
      <w:r>
        <w:fldChar w:fldCharType="end"/>
      </w:r>
    </w:p>
    <w:p>
      <w:pPr>
        <w:pStyle w:val="TOC8"/>
        <w:rPr>
          <w:rFonts w:asciiTheme="minorHAnsi" w:eastAsiaTheme="minorEastAsia" w:hAnsiTheme="minorHAnsi" w:cstheme="minorBidi"/>
          <w:szCs w:val="22"/>
        </w:rPr>
      </w:pPr>
      <w:r>
        <w:t>252.</w:t>
      </w:r>
      <w:r>
        <w:tab/>
        <w:t>Effect of application on operation of reviewable regulatory decisions</w:t>
      </w:r>
      <w:r>
        <w:tab/>
      </w:r>
      <w:r>
        <w:fldChar w:fldCharType="begin"/>
      </w:r>
      <w:r>
        <w:instrText xml:space="preserve"> PAGEREF _Toc536782297 \h </w:instrText>
      </w:r>
      <w:r>
        <w:fldChar w:fldCharType="separate"/>
      </w:r>
      <w:r>
        <w:t>240</w:t>
      </w:r>
      <w:r>
        <w:fldChar w:fldCharType="end"/>
      </w:r>
    </w:p>
    <w:p>
      <w:pPr>
        <w:pStyle w:val="TOC8"/>
        <w:rPr>
          <w:rFonts w:asciiTheme="minorHAnsi" w:eastAsiaTheme="minorEastAsia" w:hAnsiTheme="minorHAnsi" w:cstheme="minorBidi"/>
          <w:szCs w:val="22"/>
        </w:rPr>
      </w:pPr>
      <w:r>
        <w:t>253.</w:t>
      </w:r>
      <w:r>
        <w:tab/>
        <w:t>Intervention by others in a review without leave</w:t>
      </w:r>
      <w:r>
        <w:tab/>
      </w:r>
      <w:r>
        <w:fldChar w:fldCharType="begin"/>
      </w:r>
      <w:r>
        <w:instrText xml:space="preserve"> PAGEREF _Toc536782298 \h </w:instrText>
      </w:r>
      <w:r>
        <w:fldChar w:fldCharType="separate"/>
      </w:r>
      <w:r>
        <w:t>241</w:t>
      </w:r>
      <w:r>
        <w:fldChar w:fldCharType="end"/>
      </w:r>
    </w:p>
    <w:p>
      <w:pPr>
        <w:pStyle w:val="TOC8"/>
        <w:rPr>
          <w:rFonts w:asciiTheme="minorHAnsi" w:eastAsiaTheme="minorEastAsia" w:hAnsiTheme="minorHAnsi" w:cstheme="minorBidi"/>
          <w:szCs w:val="22"/>
        </w:rPr>
      </w:pPr>
      <w:r>
        <w:t>254.</w:t>
      </w:r>
      <w:r>
        <w:tab/>
        <w:t>Leave for reviewable regulatory decision process participants</w:t>
      </w:r>
      <w:r>
        <w:tab/>
      </w:r>
      <w:r>
        <w:fldChar w:fldCharType="begin"/>
      </w:r>
      <w:r>
        <w:instrText xml:space="preserve"> PAGEREF _Toc536782299 \h </w:instrText>
      </w:r>
      <w:r>
        <w:fldChar w:fldCharType="separate"/>
      </w:r>
      <w:r>
        <w:t>241</w:t>
      </w:r>
      <w:r>
        <w:fldChar w:fldCharType="end"/>
      </w:r>
    </w:p>
    <w:p>
      <w:pPr>
        <w:pStyle w:val="TOC8"/>
        <w:rPr>
          <w:rFonts w:asciiTheme="minorHAnsi" w:eastAsiaTheme="minorEastAsia" w:hAnsiTheme="minorHAnsi" w:cstheme="minorBidi"/>
          <w:szCs w:val="22"/>
        </w:rPr>
      </w:pPr>
      <w:r>
        <w:t>255.</w:t>
      </w:r>
      <w:r>
        <w:tab/>
        <w:t>Leave for user or consumer intervener</w:t>
      </w:r>
      <w:r>
        <w:tab/>
      </w:r>
      <w:r>
        <w:fldChar w:fldCharType="begin"/>
      </w:r>
      <w:r>
        <w:instrText xml:space="preserve"> PAGEREF _Toc536782300 \h </w:instrText>
      </w:r>
      <w:r>
        <w:fldChar w:fldCharType="separate"/>
      </w:r>
      <w:r>
        <w:t>241</w:t>
      </w:r>
      <w:r>
        <w:fldChar w:fldCharType="end"/>
      </w:r>
    </w:p>
    <w:p>
      <w:pPr>
        <w:pStyle w:val="TOC8"/>
        <w:rPr>
          <w:rFonts w:asciiTheme="minorHAnsi" w:eastAsiaTheme="minorEastAsia" w:hAnsiTheme="minorHAnsi" w:cstheme="minorBidi"/>
          <w:szCs w:val="22"/>
        </w:rPr>
      </w:pPr>
      <w:r>
        <w:t>256.</w:t>
      </w:r>
      <w:r>
        <w:tab/>
        <w:t>Interveners may raise new grounds for review</w:t>
      </w:r>
      <w:r>
        <w:tab/>
      </w:r>
      <w:r>
        <w:fldChar w:fldCharType="begin"/>
      </w:r>
      <w:r>
        <w:instrText xml:space="preserve"> PAGEREF _Toc536782301 \h </w:instrText>
      </w:r>
      <w:r>
        <w:fldChar w:fldCharType="separate"/>
      </w:r>
      <w:r>
        <w:t>242</w:t>
      </w:r>
      <w:r>
        <w:fldChar w:fldCharType="end"/>
      </w:r>
    </w:p>
    <w:p>
      <w:pPr>
        <w:pStyle w:val="TOC8"/>
        <w:rPr>
          <w:rFonts w:asciiTheme="minorHAnsi" w:eastAsiaTheme="minorEastAsia" w:hAnsiTheme="minorHAnsi" w:cstheme="minorBidi"/>
          <w:szCs w:val="22"/>
        </w:rPr>
      </w:pPr>
      <w:r>
        <w:t>257.</w:t>
      </w:r>
      <w:r>
        <w:tab/>
        <w:t>Parties to a review under this Division</w:t>
      </w:r>
      <w:r>
        <w:tab/>
      </w:r>
      <w:r>
        <w:fldChar w:fldCharType="begin"/>
      </w:r>
      <w:r>
        <w:instrText xml:space="preserve"> PAGEREF _Toc536782302 \h </w:instrText>
      </w:r>
      <w:r>
        <w:fldChar w:fldCharType="separate"/>
      </w:r>
      <w:r>
        <w:t>243</w:t>
      </w:r>
      <w:r>
        <w:fldChar w:fldCharType="end"/>
      </w:r>
    </w:p>
    <w:p>
      <w:pPr>
        <w:pStyle w:val="TOC8"/>
        <w:rPr>
          <w:rFonts w:asciiTheme="minorHAnsi" w:eastAsiaTheme="minorEastAsia" w:hAnsiTheme="minorHAnsi" w:cstheme="minorBidi"/>
          <w:szCs w:val="22"/>
        </w:rPr>
      </w:pPr>
      <w:r>
        <w:t>258.</w:t>
      </w:r>
      <w:r>
        <w:tab/>
        <w:t>Matters that parties to a review may and may not raise in a review</w:t>
      </w:r>
      <w:r>
        <w:tab/>
      </w:r>
      <w:r>
        <w:fldChar w:fldCharType="begin"/>
      </w:r>
      <w:r>
        <w:instrText xml:space="preserve"> PAGEREF _Toc536782303 \h </w:instrText>
      </w:r>
      <w:r>
        <w:fldChar w:fldCharType="separate"/>
      </w:r>
      <w:r>
        <w:t>243</w:t>
      </w:r>
      <w:r>
        <w:fldChar w:fldCharType="end"/>
      </w:r>
    </w:p>
    <w:p>
      <w:pPr>
        <w:pStyle w:val="TOC8"/>
        <w:rPr>
          <w:rFonts w:asciiTheme="minorHAnsi" w:eastAsiaTheme="minorEastAsia" w:hAnsiTheme="minorHAnsi" w:cstheme="minorBidi"/>
          <w:szCs w:val="22"/>
        </w:rPr>
      </w:pPr>
      <w:r>
        <w:t>258A.</w:t>
      </w:r>
      <w:r>
        <w:tab/>
        <w:t>Matters that may and may not be raised in a review (designated reviewable regulatory decisions)</w:t>
      </w:r>
      <w:r>
        <w:tab/>
      </w:r>
      <w:r>
        <w:fldChar w:fldCharType="begin"/>
      </w:r>
      <w:r>
        <w:instrText xml:space="preserve"> PAGEREF _Toc536782304 \h </w:instrText>
      </w:r>
      <w:r>
        <w:fldChar w:fldCharType="separate"/>
      </w:r>
      <w:r>
        <w:t>244</w:t>
      </w:r>
      <w:r>
        <w:fldChar w:fldCharType="end"/>
      </w:r>
    </w:p>
    <w:p>
      <w:pPr>
        <w:pStyle w:val="TOC8"/>
        <w:rPr>
          <w:rFonts w:asciiTheme="minorHAnsi" w:eastAsiaTheme="minorEastAsia" w:hAnsiTheme="minorHAnsi" w:cstheme="minorBidi"/>
          <w:szCs w:val="22"/>
        </w:rPr>
      </w:pPr>
      <w:r>
        <w:t>259.</w:t>
      </w:r>
      <w:r>
        <w:tab/>
        <w:t>Tribunal must make determination</w:t>
      </w:r>
      <w:r>
        <w:tab/>
      </w:r>
      <w:r>
        <w:fldChar w:fldCharType="begin"/>
      </w:r>
      <w:r>
        <w:instrText xml:space="preserve"> PAGEREF _Toc536782305 \h </w:instrText>
      </w:r>
      <w:r>
        <w:fldChar w:fldCharType="separate"/>
      </w:r>
      <w:r>
        <w:t>246</w:t>
      </w:r>
      <w:r>
        <w:fldChar w:fldCharType="end"/>
      </w:r>
    </w:p>
    <w:p>
      <w:pPr>
        <w:pStyle w:val="TOC8"/>
        <w:rPr>
          <w:rFonts w:asciiTheme="minorHAnsi" w:eastAsiaTheme="minorEastAsia" w:hAnsiTheme="minorHAnsi" w:cstheme="minorBidi"/>
          <w:szCs w:val="22"/>
        </w:rPr>
      </w:pPr>
      <w:r>
        <w:t>260.</w:t>
      </w:r>
      <w:r>
        <w:tab/>
        <w:t>Target time limit for Tribunal for making a determination under this Division</w:t>
      </w:r>
      <w:r>
        <w:tab/>
      </w:r>
      <w:r>
        <w:fldChar w:fldCharType="begin"/>
      </w:r>
      <w:r>
        <w:instrText xml:space="preserve"> PAGEREF _Toc536782306 \h </w:instrText>
      </w:r>
      <w:r>
        <w:fldChar w:fldCharType="separate"/>
      </w:r>
      <w:r>
        <w:t>249</w:t>
      </w:r>
      <w:r>
        <w:fldChar w:fldCharType="end"/>
      </w:r>
    </w:p>
    <w:p>
      <w:pPr>
        <w:pStyle w:val="TOC8"/>
        <w:rPr>
          <w:rFonts w:asciiTheme="minorHAnsi" w:eastAsiaTheme="minorEastAsia" w:hAnsiTheme="minorHAnsi" w:cstheme="minorBidi"/>
          <w:szCs w:val="22"/>
        </w:rPr>
      </w:pPr>
      <w:r>
        <w:t>261.</w:t>
      </w:r>
      <w:r>
        <w:tab/>
        <w:t>Matters to be considered by Tribunal in making determination</w:t>
      </w:r>
      <w:r>
        <w:tab/>
      </w:r>
      <w:r>
        <w:fldChar w:fldCharType="begin"/>
      </w:r>
      <w:r>
        <w:instrText xml:space="preserve"> PAGEREF _Toc536782307 \h </w:instrText>
      </w:r>
      <w:r>
        <w:fldChar w:fldCharType="separate"/>
      </w:r>
      <w:r>
        <w:t>250</w:t>
      </w:r>
      <w:r>
        <w:fldChar w:fldCharType="end"/>
      </w:r>
    </w:p>
    <w:p>
      <w:pPr>
        <w:pStyle w:val="TOC8"/>
        <w:rPr>
          <w:rFonts w:asciiTheme="minorHAnsi" w:eastAsiaTheme="minorEastAsia" w:hAnsiTheme="minorHAnsi" w:cstheme="minorBidi"/>
          <w:szCs w:val="22"/>
        </w:rPr>
      </w:pPr>
      <w:r>
        <w:t>262.</w:t>
      </w:r>
      <w:r>
        <w:tab/>
        <w:t>Assistance from NCC in certain cases</w:t>
      </w:r>
      <w:r>
        <w:tab/>
      </w:r>
      <w:r>
        <w:fldChar w:fldCharType="begin"/>
      </w:r>
      <w:r>
        <w:instrText xml:space="preserve"> PAGEREF _Toc536782308 \h </w:instrText>
      </w:r>
      <w:r>
        <w:fldChar w:fldCharType="separate"/>
      </w:r>
      <w:r>
        <w:t>254</w:t>
      </w:r>
      <w:r>
        <w:fldChar w:fldCharType="end"/>
      </w:r>
    </w:p>
    <w:p>
      <w:pPr>
        <w:pStyle w:val="TOC6"/>
        <w:tabs>
          <w:tab w:val="right" w:leader="dot" w:pos="7077"/>
        </w:tabs>
        <w:rPr>
          <w:rFonts w:asciiTheme="minorHAnsi" w:eastAsiaTheme="minorEastAsia" w:hAnsiTheme="minorHAnsi" w:cstheme="minorBidi"/>
          <w:b w:val="0"/>
          <w:sz w:val="22"/>
          <w:szCs w:val="22"/>
        </w:rPr>
      </w:pPr>
      <w:r>
        <w:t>Division 3 — Tribunal review of AER information disclosure decisions under section 329</w:t>
      </w:r>
    </w:p>
    <w:p>
      <w:pPr>
        <w:pStyle w:val="TOC8"/>
        <w:rPr>
          <w:rFonts w:asciiTheme="minorHAnsi" w:eastAsiaTheme="minorEastAsia" w:hAnsiTheme="minorHAnsi" w:cstheme="minorBidi"/>
          <w:szCs w:val="22"/>
        </w:rPr>
      </w:pPr>
      <w:r>
        <w:t>263.</w:t>
      </w:r>
      <w:r>
        <w:tab/>
        <w:t>Application for review</w:t>
      </w:r>
      <w:r>
        <w:tab/>
      </w:r>
      <w:r>
        <w:fldChar w:fldCharType="begin"/>
      </w:r>
      <w:r>
        <w:instrText xml:space="preserve"> PAGEREF _Toc536782310 \h </w:instrText>
      </w:r>
      <w:r>
        <w:fldChar w:fldCharType="separate"/>
      </w:r>
      <w:r>
        <w:t>255</w:t>
      </w:r>
      <w:r>
        <w:fldChar w:fldCharType="end"/>
      </w:r>
    </w:p>
    <w:p>
      <w:pPr>
        <w:pStyle w:val="TOC8"/>
        <w:rPr>
          <w:rFonts w:asciiTheme="minorHAnsi" w:eastAsiaTheme="minorEastAsia" w:hAnsiTheme="minorHAnsi" w:cstheme="minorBidi"/>
          <w:szCs w:val="22"/>
        </w:rPr>
      </w:pPr>
      <w:r>
        <w:t>264.</w:t>
      </w:r>
      <w:r>
        <w:tab/>
        <w:t>Exclusion of public in certain cases</w:t>
      </w:r>
      <w:r>
        <w:tab/>
      </w:r>
      <w:r>
        <w:fldChar w:fldCharType="begin"/>
      </w:r>
      <w:r>
        <w:instrText xml:space="preserve"> PAGEREF _Toc536782311 \h </w:instrText>
      </w:r>
      <w:r>
        <w:fldChar w:fldCharType="separate"/>
      </w:r>
      <w:r>
        <w:t>255</w:t>
      </w:r>
      <w:r>
        <w:fldChar w:fldCharType="end"/>
      </w:r>
    </w:p>
    <w:p>
      <w:pPr>
        <w:pStyle w:val="TOC8"/>
        <w:rPr>
          <w:rFonts w:asciiTheme="minorHAnsi" w:eastAsiaTheme="minorEastAsia" w:hAnsiTheme="minorHAnsi" w:cstheme="minorBidi"/>
          <w:szCs w:val="22"/>
        </w:rPr>
      </w:pPr>
      <w:r>
        <w:t>265.</w:t>
      </w:r>
      <w:r>
        <w:tab/>
        <w:t>Determination in the review</w:t>
      </w:r>
      <w:r>
        <w:tab/>
      </w:r>
      <w:r>
        <w:fldChar w:fldCharType="begin"/>
      </w:r>
      <w:r>
        <w:instrText xml:space="preserve"> PAGEREF _Toc536782312 \h </w:instrText>
      </w:r>
      <w:r>
        <w:fldChar w:fldCharType="separate"/>
      </w:r>
      <w:r>
        <w:t>255</w:t>
      </w:r>
      <w:r>
        <w:fldChar w:fldCharType="end"/>
      </w:r>
    </w:p>
    <w:p>
      <w:pPr>
        <w:pStyle w:val="TOC8"/>
        <w:rPr>
          <w:rFonts w:asciiTheme="minorHAnsi" w:eastAsiaTheme="minorEastAsia" w:hAnsiTheme="minorHAnsi" w:cstheme="minorBidi"/>
          <w:szCs w:val="22"/>
        </w:rPr>
      </w:pPr>
      <w:r>
        <w:t>266.</w:t>
      </w:r>
      <w:r>
        <w:tab/>
        <w:t>Tribunal must be taken to have affirmed decision if decision not made within time</w:t>
      </w:r>
      <w:r>
        <w:tab/>
      </w:r>
      <w:r>
        <w:fldChar w:fldCharType="begin"/>
      </w:r>
      <w:r>
        <w:instrText xml:space="preserve"> PAGEREF _Toc536782313 \h </w:instrText>
      </w:r>
      <w:r>
        <w:fldChar w:fldCharType="separate"/>
      </w:r>
      <w:r>
        <w:t>256</w:t>
      </w:r>
      <w:r>
        <w:fldChar w:fldCharType="end"/>
      </w:r>
    </w:p>
    <w:p>
      <w:pPr>
        <w:pStyle w:val="TOC8"/>
        <w:rPr>
          <w:rFonts w:asciiTheme="minorHAnsi" w:eastAsiaTheme="minorEastAsia" w:hAnsiTheme="minorHAnsi" w:cstheme="minorBidi"/>
          <w:szCs w:val="22"/>
        </w:rPr>
      </w:pPr>
      <w:r>
        <w:t>267.</w:t>
      </w:r>
      <w:r>
        <w:tab/>
        <w:t>Assistance from the AER in certain cases</w:t>
      </w:r>
      <w:r>
        <w:tab/>
      </w:r>
      <w:r>
        <w:fldChar w:fldCharType="begin"/>
      </w:r>
      <w:r>
        <w:instrText xml:space="preserve"> PAGEREF _Toc536782314 \h </w:instrText>
      </w:r>
      <w:r>
        <w:fldChar w:fldCharType="separate"/>
      </w:r>
      <w:r>
        <w:t>256</w:t>
      </w:r>
      <w:r>
        <w:fldChar w:fldCharType="end"/>
      </w:r>
    </w:p>
    <w:p>
      <w:pPr>
        <w:pStyle w:val="TOC6"/>
        <w:tabs>
          <w:tab w:val="right" w:leader="dot" w:pos="7077"/>
        </w:tabs>
        <w:rPr>
          <w:rFonts w:asciiTheme="minorHAnsi" w:eastAsiaTheme="minorEastAsia" w:hAnsiTheme="minorHAnsi" w:cstheme="minorBidi"/>
          <w:b w:val="0"/>
          <w:sz w:val="22"/>
          <w:szCs w:val="22"/>
        </w:rPr>
      </w:pPr>
      <w:r>
        <w:t>Division 4 — General</w:t>
      </w:r>
    </w:p>
    <w:p>
      <w:pPr>
        <w:pStyle w:val="TOC8"/>
        <w:rPr>
          <w:rFonts w:asciiTheme="minorHAnsi" w:eastAsiaTheme="minorEastAsia" w:hAnsiTheme="minorHAnsi" w:cstheme="minorBidi"/>
          <w:szCs w:val="22"/>
        </w:rPr>
      </w:pPr>
      <w:r>
        <w:t>268.</w:t>
      </w:r>
      <w:r>
        <w:tab/>
        <w:t>Costs in a review</w:t>
      </w:r>
      <w:r>
        <w:tab/>
      </w:r>
      <w:r>
        <w:fldChar w:fldCharType="begin"/>
      </w:r>
      <w:r>
        <w:instrText xml:space="preserve"> PAGEREF _Toc536782316 \h </w:instrText>
      </w:r>
      <w:r>
        <w:fldChar w:fldCharType="separate"/>
      </w:r>
      <w:r>
        <w:t>257</w:t>
      </w:r>
      <w:r>
        <w:fldChar w:fldCharType="end"/>
      </w:r>
    </w:p>
    <w:p>
      <w:pPr>
        <w:pStyle w:val="TOC8"/>
        <w:rPr>
          <w:rFonts w:asciiTheme="minorHAnsi" w:eastAsiaTheme="minorEastAsia" w:hAnsiTheme="minorHAnsi" w:cstheme="minorBidi"/>
          <w:szCs w:val="22"/>
        </w:rPr>
      </w:pPr>
      <w:r>
        <w:t>269.</w:t>
      </w:r>
      <w:r>
        <w:tab/>
        <w:t>Amount of costs</w:t>
      </w:r>
      <w:r>
        <w:tab/>
      </w:r>
      <w:r>
        <w:fldChar w:fldCharType="begin"/>
      </w:r>
      <w:r>
        <w:instrText xml:space="preserve"> PAGEREF _Toc536782317 \h </w:instrText>
      </w:r>
      <w:r>
        <w:fldChar w:fldCharType="separate"/>
      </w:r>
      <w:r>
        <w:t>258</w:t>
      </w:r>
      <w:r>
        <w:fldChar w:fldCharType="end"/>
      </w:r>
    </w:p>
    <w:p>
      <w:pPr>
        <w:pStyle w:val="TOC8"/>
        <w:rPr>
          <w:rFonts w:asciiTheme="minorHAnsi" w:eastAsiaTheme="minorEastAsia" w:hAnsiTheme="minorHAnsi" w:cstheme="minorBidi"/>
          <w:szCs w:val="22"/>
        </w:rPr>
      </w:pPr>
      <w:r>
        <w:t>269A.</w:t>
      </w:r>
      <w:r>
        <w:tab/>
        <w:t>Costs not to be passed on</w:t>
      </w:r>
      <w:r>
        <w:tab/>
      </w:r>
      <w:r>
        <w:fldChar w:fldCharType="begin"/>
      </w:r>
      <w:r>
        <w:instrText xml:space="preserve"> PAGEREF _Toc536782318 \h </w:instrText>
      </w:r>
      <w:r>
        <w:fldChar w:fldCharType="separate"/>
      </w:r>
      <w:r>
        <w:t>259</w:t>
      </w:r>
      <w:r>
        <w:fldChar w:fldCharType="end"/>
      </w:r>
    </w:p>
    <w:p>
      <w:pPr>
        <w:pStyle w:val="TOC8"/>
        <w:rPr>
          <w:rFonts w:asciiTheme="minorHAnsi" w:eastAsiaTheme="minorEastAsia" w:hAnsiTheme="minorHAnsi" w:cstheme="minorBidi"/>
          <w:szCs w:val="22"/>
        </w:rPr>
      </w:pPr>
      <w:r>
        <w:t>270.</w:t>
      </w:r>
      <w:r>
        <w:tab/>
        <w:t>Review of Part</w:t>
      </w:r>
      <w:r>
        <w:tab/>
      </w:r>
      <w:r>
        <w:fldChar w:fldCharType="begin"/>
      </w:r>
      <w:r>
        <w:instrText xml:space="preserve"> PAGEREF _Toc536782319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t>Part 6 — Enforcement of access determinations</w:t>
      </w:r>
    </w:p>
    <w:p>
      <w:pPr>
        <w:pStyle w:val="TOC8"/>
        <w:rPr>
          <w:rFonts w:asciiTheme="minorHAnsi" w:eastAsiaTheme="minorEastAsia" w:hAnsiTheme="minorHAnsi" w:cstheme="minorBidi"/>
          <w:szCs w:val="22"/>
        </w:rPr>
      </w:pPr>
      <w:r>
        <w:t>271.</w:t>
      </w:r>
      <w:r>
        <w:tab/>
        <w:t>Enforcement of access determinations</w:t>
      </w:r>
      <w:r>
        <w:tab/>
      </w:r>
      <w:r>
        <w:fldChar w:fldCharType="begin"/>
      </w:r>
      <w:r>
        <w:instrText xml:space="preserve"> PAGEREF _Toc536782321 \h </w:instrText>
      </w:r>
      <w:r>
        <w:fldChar w:fldCharType="separate"/>
      </w:r>
      <w:r>
        <w:t>260</w:t>
      </w:r>
      <w:r>
        <w:fldChar w:fldCharType="end"/>
      </w:r>
    </w:p>
    <w:p>
      <w:pPr>
        <w:pStyle w:val="TOC8"/>
        <w:rPr>
          <w:rFonts w:asciiTheme="minorHAnsi" w:eastAsiaTheme="minorEastAsia" w:hAnsiTheme="minorHAnsi" w:cstheme="minorBidi"/>
          <w:szCs w:val="22"/>
        </w:rPr>
      </w:pPr>
      <w:r>
        <w:t>272.</w:t>
      </w:r>
      <w:r>
        <w:tab/>
        <w:t>Consent injunctions</w:t>
      </w:r>
      <w:r>
        <w:tab/>
      </w:r>
      <w:r>
        <w:fldChar w:fldCharType="begin"/>
      </w:r>
      <w:r>
        <w:instrText xml:space="preserve"> PAGEREF _Toc536782322 \h </w:instrText>
      </w:r>
      <w:r>
        <w:fldChar w:fldCharType="separate"/>
      </w:r>
      <w:r>
        <w:t>261</w:t>
      </w:r>
      <w:r>
        <w:fldChar w:fldCharType="end"/>
      </w:r>
    </w:p>
    <w:p>
      <w:pPr>
        <w:pStyle w:val="TOC8"/>
        <w:rPr>
          <w:rFonts w:asciiTheme="minorHAnsi" w:eastAsiaTheme="minorEastAsia" w:hAnsiTheme="minorHAnsi" w:cstheme="minorBidi"/>
          <w:szCs w:val="22"/>
        </w:rPr>
      </w:pPr>
      <w:r>
        <w:t>273.</w:t>
      </w:r>
      <w:r>
        <w:tab/>
        <w:t>Interim injunctions</w:t>
      </w:r>
      <w:r>
        <w:tab/>
      </w:r>
      <w:r>
        <w:fldChar w:fldCharType="begin"/>
      </w:r>
      <w:r>
        <w:instrText xml:space="preserve"> PAGEREF _Toc536782323 \h </w:instrText>
      </w:r>
      <w:r>
        <w:fldChar w:fldCharType="separate"/>
      </w:r>
      <w:r>
        <w:t>261</w:t>
      </w:r>
      <w:r>
        <w:fldChar w:fldCharType="end"/>
      </w:r>
    </w:p>
    <w:p>
      <w:pPr>
        <w:pStyle w:val="TOC8"/>
        <w:rPr>
          <w:rFonts w:asciiTheme="minorHAnsi" w:eastAsiaTheme="minorEastAsia" w:hAnsiTheme="minorHAnsi" w:cstheme="minorBidi"/>
          <w:szCs w:val="22"/>
        </w:rPr>
      </w:pPr>
      <w:r>
        <w:t>274.</w:t>
      </w:r>
      <w:r>
        <w:tab/>
        <w:t>Factors relevant to granting a restraining injunction</w:t>
      </w:r>
      <w:r>
        <w:tab/>
      </w:r>
      <w:r>
        <w:fldChar w:fldCharType="begin"/>
      </w:r>
      <w:r>
        <w:instrText xml:space="preserve"> PAGEREF _Toc536782324 \h </w:instrText>
      </w:r>
      <w:r>
        <w:fldChar w:fldCharType="separate"/>
      </w:r>
      <w:r>
        <w:t>261</w:t>
      </w:r>
      <w:r>
        <w:fldChar w:fldCharType="end"/>
      </w:r>
    </w:p>
    <w:p>
      <w:pPr>
        <w:pStyle w:val="TOC8"/>
        <w:rPr>
          <w:rFonts w:asciiTheme="minorHAnsi" w:eastAsiaTheme="minorEastAsia" w:hAnsiTheme="minorHAnsi" w:cstheme="minorBidi"/>
          <w:szCs w:val="22"/>
        </w:rPr>
      </w:pPr>
      <w:r>
        <w:t>275.</w:t>
      </w:r>
      <w:r>
        <w:tab/>
        <w:t>Factors relevant to granting a mandatory injunction</w:t>
      </w:r>
      <w:r>
        <w:tab/>
      </w:r>
      <w:r>
        <w:fldChar w:fldCharType="begin"/>
      </w:r>
      <w:r>
        <w:instrText xml:space="preserve"> PAGEREF _Toc536782325 \h </w:instrText>
      </w:r>
      <w:r>
        <w:fldChar w:fldCharType="separate"/>
      </w:r>
      <w:r>
        <w:t>262</w:t>
      </w:r>
      <w:r>
        <w:fldChar w:fldCharType="end"/>
      </w:r>
    </w:p>
    <w:p>
      <w:pPr>
        <w:pStyle w:val="TOC8"/>
        <w:rPr>
          <w:rFonts w:asciiTheme="minorHAnsi" w:eastAsiaTheme="minorEastAsia" w:hAnsiTheme="minorHAnsi" w:cstheme="minorBidi"/>
          <w:szCs w:val="22"/>
        </w:rPr>
      </w:pPr>
      <w:r>
        <w:t>276.</w:t>
      </w:r>
      <w:r>
        <w:tab/>
        <w:t>Discharge or variation of injunction or other order</w:t>
      </w:r>
      <w:r>
        <w:tab/>
      </w:r>
      <w:r>
        <w:fldChar w:fldCharType="begin"/>
      </w:r>
      <w:r>
        <w:instrText xml:space="preserve"> PAGEREF _Toc536782326 \h </w:instrText>
      </w:r>
      <w:r>
        <w:fldChar w:fldCharType="separate"/>
      </w:r>
      <w:r>
        <w:t>262</w:t>
      </w:r>
      <w:r>
        <w:fldChar w:fldCharType="end"/>
      </w:r>
    </w:p>
    <w:p>
      <w:pPr>
        <w:pStyle w:val="TOC4"/>
        <w:tabs>
          <w:tab w:val="right" w:leader="dot" w:pos="7077"/>
        </w:tabs>
        <w:rPr>
          <w:rFonts w:asciiTheme="minorHAnsi" w:eastAsiaTheme="minorEastAsia" w:hAnsiTheme="minorHAnsi" w:cstheme="minorBidi"/>
          <w:b w:val="0"/>
          <w:szCs w:val="22"/>
        </w:rPr>
      </w:pPr>
      <w:r>
        <w:t>Part 7 — Infringement notices</w:t>
      </w:r>
    </w:p>
    <w:p>
      <w:pPr>
        <w:pStyle w:val="TOC8"/>
        <w:rPr>
          <w:rFonts w:asciiTheme="minorHAnsi" w:eastAsiaTheme="minorEastAsia" w:hAnsiTheme="minorHAnsi" w:cstheme="minorBidi"/>
          <w:szCs w:val="22"/>
        </w:rPr>
      </w:pPr>
      <w:r>
        <w:t>277.</w:t>
      </w:r>
      <w:r>
        <w:tab/>
        <w:t>Power to serve notice</w:t>
      </w:r>
      <w:r>
        <w:tab/>
      </w:r>
      <w:r>
        <w:fldChar w:fldCharType="begin"/>
      </w:r>
      <w:r>
        <w:instrText xml:space="preserve"> PAGEREF _Toc536782328 \h </w:instrText>
      </w:r>
      <w:r>
        <w:fldChar w:fldCharType="separate"/>
      </w:r>
      <w:r>
        <w:t>262</w:t>
      </w:r>
      <w:r>
        <w:fldChar w:fldCharType="end"/>
      </w:r>
    </w:p>
    <w:p>
      <w:pPr>
        <w:pStyle w:val="TOC8"/>
        <w:rPr>
          <w:rFonts w:asciiTheme="minorHAnsi" w:eastAsiaTheme="minorEastAsia" w:hAnsiTheme="minorHAnsi" w:cstheme="minorBidi"/>
          <w:szCs w:val="22"/>
        </w:rPr>
      </w:pPr>
      <w:r>
        <w:t>278.</w:t>
      </w:r>
      <w:r>
        <w:tab/>
        <w:t>Form of notice</w:t>
      </w:r>
      <w:r>
        <w:tab/>
      </w:r>
      <w:r>
        <w:fldChar w:fldCharType="begin"/>
      </w:r>
      <w:r>
        <w:instrText xml:space="preserve"> PAGEREF _Toc536782329 \h </w:instrText>
      </w:r>
      <w:r>
        <w:fldChar w:fldCharType="separate"/>
      </w:r>
      <w:r>
        <w:t>263</w:t>
      </w:r>
      <w:r>
        <w:fldChar w:fldCharType="end"/>
      </w:r>
    </w:p>
    <w:p>
      <w:pPr>
        <w:pStyle w:val="TOC8"/>
        <w:rPr>
          <w:rFonts w:asciiTheme="minorHAnsi" w:eastAsiaTheme="minorEastAsia" w:hAnsiTheme="minorHAnsi" w:cstheme="minorBidi"/>
          <w:szCs w:val="22"/>
        </w:rPr>
      </w:pPr>
      <w:r>
        <w:t>279.</w:t>
      </w:r>
      <w:r>
        <w:tab/>
        <w:t>Infringement penalty</w:t>
      </w:r>
      <w:r>
        <w:tab/>
      </w:r>
      <w:r>
        <w:fldChar w:fldCharType="begin"/>
      </w:r>
      <w:r>
        <w:instrText xml:space="preserve"> PAGEREF _Toc536782330 \h </w:instrText>
      </w:r>
      <w:r>
        <w:fldChar w:fldCharType="separate"/>
      </w:r>
      <w:r>
        <w:t>264</w:t>
      </w:r>
      <w:r>
        <w:fldChar w:fldCharType="end"/>
      </w:r>
    </w:p>
    <w:p>
      <w:pPr>
        <w:pStyle w:val="TOC8"/>
        <w:rPr>
          <w:rFonts w:asciiTheme="minorHAnsi" w:eastAsiaTheme="minorEastAsia" w:hAnsiTheme="minorHAnsi" w:cstheme="minorBidi"/>
          <w:szCs w:val="22"/>
        </w:rPr>
      </w:pPr>
      <w:r>
        <w:t>280.</w:t>
      </w:r>
      <w:r>
        <w:tab/>
        <w:t>AER cannot institute proceedings while infringement notice on foot</w:t>
      </w:r>
      <w:r>
        <w:tab/>
      </w:r>
      <w:r>
        <w:fldChar w:fldCharType="begin"/>
      </w:r>
      <w:r>
        <w:instrText xml:space="preserve"> PAGEREF _Toc536782331 \h </w:instrText>
      </w:r>
      <w:r>
        <w:fldChar w:fldCharType="separate"/>
      </w:r>
      <w:r>
        <w:t>264</w:t>
      </w:r>
      <w:r>
        <w:fldChar w:fldCharType="end"/>
      </w:r>
    </w:p>
    <w:p>
      <w:pPr>
        <w:pStyle w:val="TOC8"/>
        <w:rPr>
          <w:rFonts w:asciiTheme="minorHAnsi" w:eastAsiaTheme="minorEastAsia" w:hAnsiTheme="minorHAnsi" w:cstheme="minorBidi"/>
          <w:szCs w:val="22"/>
        </w:rPr>
      </w:pPr>
      <w:r>
        <w:t>281.</w:t>
      </w:r>
      <w:r>
        <w:tab/>
        <w:t>Late payment of penalty</w:t>
      </w:r>
      <w:r>
        <w:tab/>
      </w:r>
      <w:r>
        <w:fldChar w:fldCharType="begin"/>
      </w:r>
      <w:r>
        <w:instrText xml:space="preserve"> PAGEREF _Toc536782332 \h </w:instrText>
      </w:r>
      <w:r>
        <w:fldChar w:fldCharType="separate"/>
      </w:r>
      <w:r>
        <w:t>264</w:t>
      </w:r>
      <w:r>
        <w:fldChar w:fldCharType="end"/>
      </w:r>
    </w:p>
    <w:p>
      <w:pPr>
        <w:pStyle w:val="TOC8"/>
        <w:rPr>
          <w:rFonts w:asciiTheme="minorHAnsi" w:eastAsiaTheme="minorEastAsia" w:hAnsiTheme="minorHAnsi" w:cstheme="minorBidi"/>
          <w:szCs w:val="22"/>
        </w:rPr>
      </w:pPr>
      <w:r>
        <w:t>282.</w:t>
      </w:r>
      <w:r>
        <w:tab/>
        <w:t>Withdrawal of notice</w:t>
      </w:r>
      <w:r>
        <w:tab/>
      </w:r>
      <w:r>
        <w:fldChar w:fldCharType="begin"/>
      </w:r>
      <w:r>
        <w:instrText xml:space="preserve"> PAGEREF _Toc536782333 \h </w:instrText>
      </w:r>
      <w:r>
        <w:fldChar w:fldCharType="separate"/>
      </w:r>
      <w:r>
        <w:t>265</w:t>
      </w:r>
      <w:r>
        <w:fldChar w:fldCharType="end"/>
      </w:r>
    </w:p>
    <w:p>
      <w:pPr>
        <w:pStyle w:val="TOC8"/>
        <w:rPr>
          <w:rFonts w:asciiTheme="minorHAnsi" w:eastAsiaTheme="minorEastAsia" w:hAnsiTheme="minorHAnsi" w:cstheme="minorBidi"/>
          <w:szCs w:val="22"/>
        </w:rPr>
      </w:pPr>
      <w:r>
        <w:t>283.</w:t>
      </w:r>
      <w:r>
        <w:tab/>
        <w:t>Refund of infringement penalty</w:t>
      </w:r>
      <w:r>
        <w:tab/>
      </w:r>
      <w:r>
        <w:fldChar w:fldCharType="begin"/>
      </w:r>
      <w:r>
        <w:instrText xml:space="preserve"> PAGEREF _Toc536782334 \h </w:instrText>
      </w:r>
      <w:r>
        <w:fldChar w:fldCharType="separate"/>
      </w:r>
      <w:r>
        <w:t>265</w:t>
      </w:r>
      <w:r>
        <w:fldChar w:fldCharType="end"/>
      </w:r>
    </w:p>
    <w:p>
      <w:pPr>
        <w:pStyle w:val="TOC8"/>
        <w:rPr>
          <w:rFonts w:asciiTheme="minorHAnsi" w:eastAsiaTheme="minorEastAsia" w:hAnsiTheme="minorHAnsi" w:cstheme="minorBidi"/>
          <w:szCs w:val="22"/>
        </w:rPr>
      </w:pPr>
      <w:r>
        <w:t>284.</w:t>
      </w:r>
      <w:r>
        <w:tab/>
        <w:t>Payment expiates breach of civil penalty provision</w:t>
      </w:r>
      <w:r>
        <w:tab/>
      </w:r>
      <w:r>
        <w:fldChar w:fldCharType="begin"/>
      </w:r>
      <w:r>
        <w:instrText xml:space="preserve"> PAGEREF _Toc536782335 \h </w:instrText>
      </w:r>
      <w:r>
        <w:fldChar w:fldCharType="separate"/>
      </w:r>
      <w:r>
        <w:t>265</w:t>
      </w:r>
      <w:r>
        <w:fldChar w:fldCharType="end"/>
      </w:r>
    </w:p>
    <w:p>
      <w:pPr>
        <w:pStyle w:val="TOC8"/>
        <w:rPr>
          <w:rFonts w:asciiTheme="minorHAnsi" w:eastAsiaTheme="minorEastAsia" w:hAnsiTheme="minorHAnsi" w:cstheme="minorBidi"/>
          <w:szCs w:val="22"/>
        </w:rPr>
      </w:pPr>
      <w:r>
        <w:t>285.</w:t>
      </w:r>
      <w:r>
        <w:tab/>
        <w:t>Payment not to have certain consequences</w:t>
      </w:r>
      <w:r>
        <w:tab/>
      </w:r>
      <w:r>
        <w:fldChar w:fldCharType="begin"/>
      </w:r>
      <w:r>
        <w:instrText xml:space="preserve"> PAGEREF _Toc536782336 \h </w:instrText>
      </w:r>
      <w:r>
        <w:fldChar w:fldCharType="separate"/>
      </w:r>
      <w:r>
        <w:t>266</w:t>
      </w:r>
      <w:r>
        <w:fldChar w:fldCharType="end"/>
      </w:r>
    </w:p>
    <w:p>
      <w:pPr>
        <w:pStyle w:val="TOC8"/>
        <w:rPr>
          <w:rFonts w:asciiTheme="minorHAnsi" w:eastAsiaTheme="minorEastAsia" w:hAnsiTheme="minorHAnsi" w:cstheme="minorBidi"/>
          <w:szCs w:val="22"/>
        </w:rPr>
      </w:pPr>
      <w:r>
        <w:t>286.</w:t>
      </w:r>
      <w:r>
        <w:tab/>
        <w:t>Conduct in breach of more than 1 civil penalty provision</w:t>
      </w:r>
      <w:r>
        <w:tab/>
      </w:r>
      <w:r>
        <w:fldChar w:fldCharType="begin"/>
      </w:r>
      <w:r>
        <w:instrText xml:space="preserve"> PAGEREF _Toc536782337 \h </w:instrText>
      </w:r>
      <w:r>
        <w:fldChar w:fldCharType="separate"/>
      </w:r>
      <w:r>
        <w:t>266</w:t>
      </w:r>
      <w:r>
        <w:fldChar w:fldCharType="end"/>
      </w:r>
    </w:p>
    <w:p>
      <w:pPr>
        <w:pStyle w:val="TOC4"/>
        <w:tabs>
          <w:tab w:val="right" w:leader="dot" w:pos="7077"/>
        </w:tabs>
        <w:rPr>
          <w:rFonts w:asciiTheme="minorHAnsi" w:eastAsiaTheme="minorEastAsia" w:hAnsiTheme="minorHAnsi" w:cstheme="minorBidi"/>
          <w:b w:val="0"/>
          <w:szCs w:val="22"/>
        </w:rPr>
      </w:pPr>
      <w:r>
        <w:t>Part 8 — Further provision for corporate liability for breaches of this Law etc</w:t>
      </w:r>
    </w:p>
    <w:p>
      <w:pPr>
        <w:pStyle w:val="TOC8"/>
        <w:rPr>
          <w:rFonts w:asciiTheme="minorHAnsi" w:eastAsiaTheme="minorEastAsia" w:hAnsiTheme="minorHAnsi" w:cstheme="minorBidi"/>
          <w:szCs w:val="22"/>
        </w:rPr>
      </w:pPr>
      <w:r>
        <w:t>287.</w:t>
      </w:r>
      <w:r>
        <w:tab/>
        <w:t>Definition</w:t>
      </w:r>
      <w:r>
        <w:tab/>
      </w:r>
      <w:r>
        <w:fldChar w:fldCharType="begin"/>
      </w:r>
      <w:r>
        <w:instrText xml:space="preserve"> PAGEREF _Toc536782339 \h </w:instrText>
      </w:r>
      <w:r>
        <w:fldChar w:fldCharType="separate"/>
      </w:r>
      <w:r>
        <w:t>266</w:t>
      </w:r>
      <w:r>
        <w:fldChar w:fldCharType="end"/>
      </w:r>
    </w:p>
    <w:p>
      <w:pPr>
        <w:pStyle w:val="TOC8"/>
        <w:rPr>
          <w:rFonts w:asciiTheme="minorHAnsi" w:eastAsiaTheme="minorEastAsia" w:hAnsiTheme="minorHAnsi" w:cstheme="minorBidi"/>
          <w:szCs w:val="22"/>
        </w:rPr>
      </w:pPr>
      <w:r>
        <w:t>288.</w:t>
      </w:r>
      <w:r>
        <w:tab/>
        <w:t>Offences and breaches by corporations</w:t>
      </w:r>
      <w:r>
        <w:tab/>
      </w:r>
      <w:r>
        <w:fldChar w:fldCharType="begin"/>
      </w:r>
      <w:r>
        <w:instrText xml:space="preserve"> PAGEREF _Toc536782340 \h </w:instrText>
      </w:r>
      <w:r>
        <w:fldChar w:fldCharType="separate"/>
      </w:r>
      <w:r>
        <w:t>267</w:t>
      </w:r>
      <w:r>
        <w:fldChar w:fldCharType="end"/>
      </w:r>
    </w:p>
    <w:p>
      <w:pPr>
        <w:pStyle w:val="TOC8"/>
        <w:rPr>
          <w:rFonts w:asciiTheme="minorHAnsi" w:eastAsiaTheme="minorEastAsia" w:hAnsiTheme="minorHAnsi" w:cstheme="minorBidi"/>
          <w:szCs w:val="22"/>
        </w:rPr>
      </w:pPr>
      <w:r>
        <w:t>289.</w:t>
      </w:r>
      <w:r>
        <w:tab/>
        <w:t>Corporations also in breach if officers and employees are in breach</w:t>
      </w:r>
      <w:r>
        <w:tab/>
      </w:r>
      <w:r>
        <w:fldChar w:fldCharType="begin"/>
      </w:r>
      <w:r>
        <w:instrText xml:space="preserve"> PAGEREF _Toc536782341 \h </w:instrText>
      </w:r>
      <w:r>
        <w:fldChar w:fldCharType="separate"/>
      </w:r>
      <w:r>
        <w:t>267</w:t>
      </w:r>
      <w:r>
        <w:fldChar w:fldCharType="end"/>
      </w:r>
    </w:p>
    <w:p>
      <w:pPr>
        <w:pStyle w:val="TOC2"/>
        <w:tabs>
          <w:tab w:val="right" w:leader="dot" w:pos="7077"/>
        </w:tabs>
        <w:rPr>
          <w:rFonts w:asciiTheme="minorHAnsi" w:eastAsiaTheme="minorEastAsia" w:hAnsiTheme="minorHAnsi" w:cstheme="minorBidi"/>
          <w:b w:val="0"/>
          <w:sz w:val="22"/>
          <w:szCs w:val="22"/>
        </w:rPr>
      </w:pPr>
      <w:r>
        <w:t>Chapter 9 — The making of the National Gas Rules</w:t>
      </w:r>
    </w:p>
    <w:p>
      <w:pPr>
        <w:pStyle w:val="TOC4"/>
        <w:tabs>
          <w:tab w:val="right" w:leader="dot" w:pos="7077"/>
        </w:tabs>
        <w:rPr>
          <w:rFonts w:asciiTheme="minorHAnsi" w:eastAsiaTheme="minorEastAsia" w:hAnsiTheme="minorHAnsi" w:cstheme="minorBidi"/>
          <w:b w:val="0"/>
          <w:szCs w:val="22"/>
        </w:rPr>
      </w:pPr>
      <w:r>
        <w:t>Part 1 — General</w:t>
      </w:r>
    </w:p>
    <w:p>
      <w:pPr>
        <w:pStyle w:val="TOC6"/>
        <w:tabs>
          <w:tab w:val="right" w:leader="dot" w:pos="7077"/>
        </w:tabs>
        <w:rPr>
          <w:rFonts w:asciiTheme="minorHAnsi" w:eastAsiaTheme="minorEastAsia" w:hAnsiTheme="minorHAnsi" w:cstheme="minorBidi"/>
          <w:b w:val="0"/>
          <w:sz w:val="22"/>
          <w:szCs w:val="22"/>
        </w:rPr>
      </w:pPr>
      <w:r>
        <w:t>Division 1 — Interpretation</w:t>
      </w:r>
    </w:p>
    <w:p>
      <w:pPr>
        <w:pStyle w:val="TOC8"/>
        <w:rPr>
          <w:rFonts w:asciiTheme="minorHAnsi" w:eastAsiaTheme="minorEastAsia" w:hAnsiTheme="minorHAnsi" w:cstheme="minorBidi"/>
          <w:szCs w:val="22"/>
        </w:rPr>
      </w:pPr>
      <w:r>
        <w:t>290.</w:t>
      </w:r>
      <w:r>
        <w:tab/>
        <w:t>Definitions</w:t>
      </w:r>
      <w:r>
        <w:tab/>
      </w:r>
      <w:r>
        <w:fldChar w:fldCharType="begin"/>
      </w:r>
      <w:r>
        <w:instrText xml:space="preserve"> PAGEREF _Toc536782345 \h </w:instrText>
      </w:r>
      <w:r>
        <w:fldChar w:fldCharType="separate"/>
      </w:r>
      <w:r>
        <w:t>268</w:t>
      </w:r>
      <w:r>
        <w:fldChar w:fldCharType="end"/>
      </w:r>
    </w:p>
    <w:p>
      <w:pPr>
        <w:pStyle w:val="TOC6"/>
        <w:tabs>
          <w:tab w:val="right" w:leader="dot" w:pos="7077"/>
        </w:tabs>
        <w:rPr>
          <w:rFonts w:asciiTheme="minorHAnsi" w:eastAsiaTheme="minorEastAsia" w:hAnsiTheme="minorHAnsi" w:cstheme="minorBidi"/>
          <w:b w:val="0"/>
          <w:sz w:val="22"/>
          <w:szCs w:val="22"/>
        </w:rPr>
      </w:pPr>
      <w:r>
        <w:t>Division 2 — Rule making tests</w:t>
      </w:r>
    </w:p>
    <w:p>
      <w:pPr>
        <w:pStyle w:val="TOC8"/>
        <w:rPr>
          <w:rFonts w:asciiTheme="minorHAnsi" w:eastAsiaTheme="minorEastAsia" w:hAnsiTheme="minorHAnsi" w:cstheme="minorBidi"/>
          <w:szCs w:val="22"/>
        </w:rPr>
      </w:pPr>
      <w:r>
        <w:t>291.</w:t>
      </w:r>
      <w:r>
        <w:tab/>
        <w:t>Application of national gas objective</w:t>
      </w:r>
      <w:r>
        <w:tab/>
      </w:r>
      <w:r>
        <w:fldChar w:fldCharType="begin"/>
      </w:r>
      <w:r>
        <w:instrText xml:space="preserve"> PAGEREF _Toc536782347 \h </w:instrText>
      </w:r>
      <w:r>
        <w:fldChar w:fldCharType="separate"/>
      </w:r>
      <w:r>
        <w:t>270</w:t>
      </w:r>
      <w:r>
        <w:fldChar w:fldCharType="end"/>
      </w:r>
    </w:p>
    <w:p>
      <w:pPr>
        <w:pStyle w:val="TOC8"/>
        <w:rPr>
          <w:rFonts w:asciiTheme="minorHAnsi" w:eastAsiaTheme="minorEastAsia" w:hAnsiTheme="minorHAnsi" w:cstheme="minorBidi"/>
          <w:szCs w:val="22"/>
        </w:rPr>
      </w:pPr>
      <w:r>
        <w:t>292.</w:t>
      </w:r>
      <w:r>
        <w:tab/>
        <w:t>AEMC must take into account form of regulation factors in certain cases</w:t>
      </w:r>
      <w:r>
        <w:tab/>
      </w:r>
      <w:r>
        <w:fldChar w:fldCharType="begin"/>
      </w:r>
      <w:r>
        <w:instrText xml:space="preserve"> PAGEREF _Toc536782348 \h </w:instrText>
      </w:r>
      <w:r>
        <w:fldChar w:fldCharType="separate"/>
      </w:r>
      <w:r>
        <w:t>270</w:t>
      </w:r>
      <w:r>
        <w:fldChar w:fldCharType="end"/>
      </w:r>
    </w:p>
    <w:p>
      <w:pPr>
        <w:pStyle w:val="TOC8"/>
        <w:rPr>
          <w:rFonts w:asciiTheme="minorHAnsi" w:eastAsiaTheme="minorEastAsia" w:hAnsiTheme="minorHAnsi" w:cstheme="minorBidi"/>
          <w:szCs w:val="22"/>
        </w:rPr>
      </w:pPr>
      <w:r>
        <w:t>293.</w:t>
      </w:r>
      <w:r>
        <w:tab/>
        <w:t>AEMC must take into account revenue and pricing principles in certain cases</w:t>
      </w:r>
      <w:r>
        <w:tab/>
      </w:r>
      <w:r>
        <w:fldChar w:fldCharType="begin"/>
      </w:r>
      <w:r>
        <w:instrText xml:space="preserve"> PAGEREF _Toc536782349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t>Part 2 — Initial National Gas Rules</w:t>
      </w:r>
    </w:p>
    <w:p>
      <w:pPr>
        <w:pStyle w:val="TOC8"/>
        <w:rPr>
          <w:rFonts w:asciiTheme="minorHAnsi" w:eastAsiaTheme="minorEastAsia" w:hAnsiTheme="minorHAnsi" w:cstheme="minorBidi"/>
          <w:szCs w:val="22"/>
        </w:rPr>
      </w:pPr>
      <w:r>
        <w:t>294.</w:t>
      </w:r>
      <w:r>
        <w:tab/>
        <w:t>Initial National Gas Rules for WA</w:t>
      </w:r>
      <w:r>
        <w:tab/>
      </w:r>
      <w:r>
        <w:fldChar w:fldCharType="begin"/>
      </w:r>
      <w:r>
        <w:instrText xml:space="preserve"> PAGEREF _Toc536782351 \h </w:instrText>
      </w:r>
      <w:r>
        <w:fldChar w:fldCharType="separate"/>
      </w:r>
      <w:r>
        <w:t>271</w:t>
      </w:r>
      <w:r>
        <w:fldChar w:fldCharType="end"/>
      </w:r>
    </w:p>
    <w:p>
      <w:pPr>
        <w:pStyle w:val="TOC8"/>
        <w:rPr>
          <w:rFonts w:asciiTheme="minorHAnsi" w:eastAsiaTheme="minorEastAsia" w:hAnsiTheme="minorHAnsi" w:cstheme="minorBidi"/>
          <w:szCs w:val="22"/>
        </w:rPr>
      </w:pPr>
      <w:r>
        <w:t>294F.</w:t>
      </w:r>
      <w:r>
        <w:tab/>
        <w:t>South Australian Minister to make initial Rules relating to access to non</w:t>
      </w:r>
      <w:r>
        <w:noBreakHyphen/>
        <w:t>scheme pipelines</w:t>
      </w:r>
      <w:r>
        <w:tab/>
      </w:r>
      <w:r>
        <w:fldChar w:fldCharType="begin"/>
      </w:r>
      <w:r>
        <w:instrText xml:space="preserve"> PAGEREF _Toc536782352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t>Part 3 — Procedure for the making of a Rule by the AEMC</w:t>
      </w:r>
    </w:p>
    <w:p>
      <w:pPr>
        <w:pStyle w:val="TOC8"/>
        <w:rPr>
          <w:rFonts w:asciiTheme="minorHAnsi" w:eastAsiaTheme="minorEastAsia" w:hAnsiTheme="minorHAnsi" w:cstheme="minorBidi"/>
          <w:szCs w:val="22"/>
        </w:rPr>
      </w:pPr>
      <w:r>
        <w:t>295.</w:t>
      </w:r>
      <w:r>
        <w:tab/>
        <w:t>Initiation of making of a Rule</w:t>
      </w:r>
      <w:r>
        <w:tab/>
      </w:r>
      <w:r>
        <w:fldChar w:fldCharType="begin"/>
      </w:r>
      <w:r>
        <w:instrText xml:space="preserve"> PAGEREF _Toc536782354 \h </w:instrText>
      </w:r>
      <w:r>
        <w:fldChar w:fldCharType="separate"/>
      </w:r>
      <w:r>
        <w:t>273</w:t>
      </w:r>
      <w:r>
        <w:fldChar w:fldCharType="end"/>
      </w:r>
    </w:p>
    <w:p>
      <w:pPr>
        <w:pStyle w:val="TOC8"/>
        <w:rPr>
          <w:rFonts w:asciiTheme="minorHAnsi" w:eastAsiaTheme="minorEastAsia" w:hAnsiTheme="minorHAnsi" w:cstheme="minorBidi"/>
          <w:szCs w:val="22"/>
        </w:rPr>
      </w:pPr>
      <w:r>
        <w:t>296.</w:t>
      </w:r>
      <w:r>
        <w:tab/>
        <w:t>AEMC may make more preferable Rule in certain cases</w:t>
      </w:r>
      <w:r>
        <w:tab/>
      </w:r>
      <w:r>
        <w:fldChar w:fldCharType="begin"/>
      </w:r>
      <w:r>
        <w:instrText xml:space="preserve"> PAGEREF _Toc536782355 \h </w:instrText>
      </w:r>
      <w:r>
        <w:fldChar w:fldCharType="separate"/>
      </w:r>
      <w:r>
        <w:t>274</w:t>
      </w:r>
      <w:r>
        <w:fldChar w:fldCharType="end"/>
      </w:r>
    </w:p>
    <w:p>
      <w:pPr>
        <w:pStyle w:val="TOC8"/>
        <w:rPr>
          <w:rFonts w:asciiTheme="minorHAnsi" w:eastAsiaTheme="minorEastAsia" w:hAnsiTheme="minorHAnsi" w:cstheme="minorBidi"/>
          <w:szCs w:val="22"/>
        </w:rPr>
      </w:pPr>
      <w:r>
        <w:t>297.</w:t>
      </w:r>
      <w:r>
        <w:tab/>
        <w:t>AEMC may make Rules that are consequential to a Rule request</w:t>
      </w:r>
      <w:r>
        <w:tab/>
      </w:r>
      <w:r>
        <w:fldChar w:fldCharType="begin"/>
      </w:r>
      <w:r>
        <w:instrText xml:space="preserve"> PAGEREF _Toc536782356 \h </w:instrText>
      </w:r>
      <w:r>
        <w:fldChar w:fldCharType="separate"/>
      </w:r>
      <w:r>
        <w:t>274</w:t>
      </w:r>
      <w:r>
        <w:fldChar w:fldCharType="end"/>
      </w:r>
    </w:p>
    <w:p>
      <w:pPr>
        <w:pStyle w:val="TOC8"/>
        <w:rPr>
          <w:rFonts w:asciiTheme="minorHAnsi" w:eastAsiaTheme="minorEastAsia" w:hAnsiTheme="minorHAnsi" w:cstheme="minorBidi"/>
          <w:szCs w:val="22"/>
        </w:rPr>
      </w:pPr>
      <w:r>
        <w:t>298.</w:t>
      </w:r>
      <w:r>
        <w:tab/>
        <w:t>Content of requests for a Rule</w:t>
      </w:r>
      <w:r>
        <w:tab/>
      </w:r>
      <w:r>
        <w:fldChar w:fldCharType="begin"/>
      </w:r>
      <w:r>
        <w:instrText xml:space="preserve"> PAGEREF _Toc536782357 \h </w:instrText>
      </w:r>
      <w:r>
        <w:fldChar w:fldCharType="separate"/>
      </w:r>
      <w:r>
        <w:t>274</w:t>
      </w:r>
      <w:r>
        <w:fldChar w:fldCharType="end"/>
      </w:r>
    </w:p>
    <w:p>
      <w:pPr>
        <w:pStyle w:val="TOC8"/>
        <w:rPr>
          <w:rFonts w:asciiTheme="minorHAnsi" w:eastAsiaTheme="minorEastAsia" w:hAnsiTheme="minorHAnsi" w:cstheme="minorBidi"/>
          <w:szCs w:val="22"/>
        </w:rPr>
      </w:pPr>
      <w:r>
        <w:t>299.</w:t>
      </w:r>
      <w:r>
        <w:tab/>
        <w:t>Waiver of fee for Rule requests</w:t>
      </w:r>
      <w:r>
        <w:tab/>
      </w:r>
      <w:r>
        <w:fldChar w:fldCharType="begin"/>
      </w:r>
      <w:r>
        <w:instrText xml:space="preserve"> PAGEREF _Toc536782358 \h </w:instrText>
      </w:r>
      <w:r>
        <w:fldChar w:fldCharType="separate"/>
      </w:r>
      <w:r>
        <w:t>274</w:t>
      </w:r>
      <w:r>
        <w:fldChar w:fldCharType="end"/>
      </w:r>
    </w:p>
    <w:p>
      <w:pPr>
        <w:pStyle w:val="TOC8"/>
        <w:rPr>
          <w:rFonts w:asciiTheme="minorHAnsi" w:eastAsiaTheme="minorEastAsia" w:hAnsiTheme="minorHAnsi" w:cstheme="minorBidi"/>
          <w:szCs w:val="22"/>
        </w:rPr>
      </w:pPr>
      <w:r>
        <w:t>300.</w:t>
      </w:r>
      <w:r>
        <w:tab/>
        <w:t>Consolidation of 2 or more Rule requests</w:t>
      </w:r>
      <w:r>
        <w:tab/>
      </w:r>
      <w:r>
        <w:fldChar w:fldCharType="begin"/>
      </w:r>
      <w:r>
        <w:instrText xml:space="preserve"> PAGEREF _Toc536782359 \h </w:instrText>
      </w:r>
      <w:r>
        <w:fldChar w:fldCharType="separate"/>
      </w:r>
      <w:r>
        <w:t>275</w:t>
      </w:r>
      <w:r>
        <w:fldChar w:fldCharType="end"/>
      </w:r>
    </w:p>
    <w:p>
      <w:pPr>
        <w:pStyle w:val="TOC8"/>
        <w:rPr>
          <w:rFonts w:asciiTheme="minorHAnsi" w:eastAsiaTheme="minorEastAsia" w:hAnsiTheme="minorHAnsi" w:cstheme="minorBidi"/>
          <w:szCs w:val="22"/>
        </w:rPr>
      </w:pPr>
      <w:r>
        <w:t>301.</w:t>
      </w:r>
      <w:r>
        <w:tab/>
        <w:t>Initial consideration of request for Rule</w:t>
      </w:r>
      <w:r>
        <w:tab/>
      </w:r>
      <w:r>
        <w:fldChar w:fldCharType="begin"/>
      </w:r>
      <w:r>
        <w:instrText xml:space="preserve"> PAGEREF _Toc536782360 \h </w:instrText>
      </w:r>
      <w:r>
        <w:fldChar w:fldCharType="separate"/>
      </w:r>
      <w:r>
        <w:t>275</w:t>
      </w:r>
      <w:r>
        <w:fldChar w:fldCharType="end"/>
      </w:r>
    </w:p>
    <w:p>
      <w:pPr>
        <w:pStyle w:val="TOC8"/>
        <w:rPr>
          <w:rFonts w:asciiTheme="minorHAnsi" w:eastAsiaTheme="minorEastAsia" w:hAnsiTheme="minorHAnsi" w:cstheme="minorBidi"/>
          <w:szCs w:val="22"/>
        </w:rPr>
      </w:pPr>
      <w:r>
        <w:t>302.</w:t>
      </w:r>
      <w:r>
        <w:tab/>
        <w:t>AEMC may request further information from Rule proponent in certain cases</w:t>
      </w:r>
      <w:r>
        <w:tab/>
      </w:r>
      <w:r>
        <w:fldChar w:fldCharType="begin"/>
      </w:r>
      <w:r>
        <w:instrText xml:space="preserve"> PAGEREF _Toc536782361 \h </w:instrText>
      </w:r>
      <w:r>
        <w:fldChar w:fldCharType="separate"/>
      </w:r>
      <w:r>
        <w:t>277</w:t>
      </w:r>
      <w:r>
        <w:fldChar w:fldCharType="end"/>
      </w:r>
    </w:p>
    <w:p>
      <w:pPr>
        <w:pStyle w:val="TOC8"/>
        <w:rPr>
          <w:rFonts w:asciiTheme="minorHAnsi" w:eastAsiaTheme="minorEastAsia" w:hAnsiTheme="minorHAnsi" w:cstheme="minorBidi"/>
          <w:szCs w:val="22"/>
        </w:rPr>
      </w:pPr>
      <w:r>
        <w:t>303.</w:t>
      </w:r>
      <w:r>
        <w:tab/>
        <w:t>Notice of proposed Rule</w:t>
      </w:r>
      <w:r>
        <w:tab/>
      </w:r>
      <w:r>
        <w:fldChar w:fldCharType="begin"/>
      </w:r>
      <w:r>
        <w:instrText xml:space="preserve"> PAGEREF _Toc536782362 \h </w:instrText>
      </w:r>
      <w:r>
        <w:fldChar w:fldCharType="separate"/>
      </w:r>
      <w:r>
        <w:t>277</w:t>
      </w:r>
      <w:r>
        <w:fldChar w:fldCharType="end"/>
      </w:r>
    </w:p>
    <w:p>
      <w:pPr>
        <w:pStyle w:val="TOC8"/>
        <w:rPr>
          <w:rFonts w:asciiTheme="minorHAnsi" w:eastAsiaTheme="minorEastAsia" w:hAnsiTheme="minorHAnsi" w:cstheme="minorBidi"/>
          <w:szCs w:val="22"/>
        </w:rPr>
      </w:pPr>
      <w:r>
        <w:t>304.</w:t>
      </w:r>
      <w:r>
        <w:tab/>
        <w:t>Publication of non</w:t>
      </w:r>
      <w:r>
        <w:noBreakHyphen/>
        <w:t>controversial or urgent final Rule determination</w:t>
      </w:r>
      <w:r>
        <w:tab/>
      </w:r>
      <w:r>
        <w:fldChar w:fldCharType="begin"/>
      </w:r>
      <w:r>
        <w:instrText xml:space="preserve"> PAGEREF _Toc536782363 \h </w:instrText>
      </w:r>
      <w:r>
        <w:fldChar w:fldCharType="separate"/>
      </w:r>
      <w:r>
        <w:t>278</w:t>
      </w:r>
      <w:r>
        <w:fldChar w:fldCharType="end"/>
      </w:r>
    </w:p>
    <w:p>
      <w:pPr>
        <w:pStyle w:val="TOC8"/>
        <w:rPr>
          <w:rFonts w:asciiTheme="minorHAnsi" w:eastAsiaTheme="minorEastAsia" w:hAnsiTheme="minorHAnsi" w:cstheme="minorBidi"/>
          <w:szCs w:val="22"/>
        </w:rPr>
      </w:pPr>
      <w:r>
        <w:t>305.</w:t>
      </w:r>
      <w:r>
        <w:tab/>
        <w:t>“Fast track” Rules where previous public consultation by gas market regulatory body or an AEMC review</w:t>
      </w:r>
      <w:r>
        <w:tab/>
      </w:r>
      <w:r>
        <w:fldChar w:fldCharType="begin"/>
      </w:r>
      <w:r>
        <w:instrText xml:space="preserve"> PAGEREF _Toc536782364 \h </w:instrText>
      </w:r>
      <w:r>
        <w:fldChar w:fldCharType="separate"/>
      </w:r>
      <w:r>
        <w:t>279</w:t>
      </w:r>
      <w:r>
        <w:fldChar w:fldCharType="end"/>
      </w:r>
    </w:p>
    <w:p>
      <w:pPr>
        <w:pStyle w:val="TOC8"/>
        <w:rPr>
          <w:rFonts w:asciiTheme="minorHAnsi" w:eastAsiaTheme="minorEastAsia" w:hAnsiTheme="minorHAnsi" w:cstheme="minorBidi"/>
          <w:szCs w:val="22"/>
        </w:rPr>
      </w:pPr>
      <w:r>
        <w:t>306.</w:t>
      </w:r>
      <w:r>
        <w:tab/>
        <w:t>Right to make written submissions and comments</w:t>
      </w:r>
      <w:r>
        <w:tab/>
      </w:r>
      <w:r>
        <w:fldChar w:fldCharType="begin"/>
      </w:r>
      <w:r>
        <w:instrText xml:space="preserve"> PAGEREF _Toc536782365 \h </w:instrText>
      </w:r>
      <w:r>
        <w:fldChar w:fldCharType="separate"/>
      </w:r>
      <w:r>
        <w:t>281</w:t>
      </w:r>
      <w:r>
        <w:fldChar w:fldCharType="end"/>
      </w:r>
    </w:p>
    <w:p>
      <w:pPr>
        <w:pStyle w:val="TOC8"/>
        <w:rPr>
          <w:rFonts w:asciiTheme="minorHAnsi" w:eastAsiaTheme="minorEastAsia" w:hAnsiTheme="minorHAnsi" w:cstheme="minorBidi"/>
          <w:szCs w:val="22"/>
        </w:rPr>
      </w:pPr>
      <w:r>
        <w:t>307.</w:t>
      </w:r>
      <w:r>
        <w:tab/>
        <w:t>AEMC may hold public hearings before draft Rule determination</w:t>
      </w:r>
      <w:r>
        <w:tab/>
      </w:r>
      <w:r>
        <w:fldChar w:fldCharType="begin"/>
      </w:r>
      <w:r>
        <w:instrText xml:space="preserve"> PAGEREF _Toc536782366 \h </w:instrText>
      </w:r>
      <w:r>
        <w:fldChar w:fldCharType="separate"/>
      </w:r>
      <w:r>
        <w:t>281</w:t>
      </w:r>
      <w:r>
        <w:fldChar w:fldCharType="end"/>
      </w:r>
    </w:p>
    <w:p>
      <w:pPr>
        <w:pStyle w:val="TOC8"/>
        <w:rPr>
          <w:rFonts w:asciiTheme="minorHAnsi" w:eastAsiaTheme="minorEastAsia" w:hAnsiTheme="minorHAnsi" w:cstheme="minorBidi"/>
          <w:szCs w:val="22"/>
        </w:rPr>
      </w:pPr>
      <w:r>
        <w:t>308.</w:t>
      </w:r>
      <w:r>
        <w:tab/>
        <w:t>Draft Rule determination</w:t>
      </w:r>
      <w:r>
        <w:tab/>
      </w:r>
      <w:r>
        <w:fldChar w:fldCharType="begin"/>
      </w:r>
      <w:r>
        <w:instrText xml:space="preserve"> PAGEREF _Toc536782367 \h </w:instrText>
      </w:r>
      <w:r>
        <w:fldChar w:fldCharType="separate"/>
      </w:r>
      <w:r>
        <w:t>281</w:t>
      </w:r>
      <w:r>
        <w:fldChar w:fldCharType="end"/>
      </w:r>
    </w:p>
    <w:p>
      <w:pPr>
        <w:pStyle w:val="TOC8"/>
        <w:rPr>
          <w:rFonts w:asciiTheme="minorHAnsi" w:eastAsiaTheme="minorEastAsia" w:hAnsiTheme="minorHAnsi" w:cstheme="minorBidi"/>
          <w:szCs w:val="22"/>
        </w:rPr>
      </w:pPr>
      <w:r>
        <w:t>309.</w:t>
      </w:r>
      <w:r>
        <w:tab/>
        <w:t>Right to make written submissions and comments in relation to draft Rule determination</w:t>
      </w:r>
      <w:r>
        <w:tab/>
      </w:r>
      <w:r>
        <w:fldChar w:fldCharType="begin"/>
      </w:r>
      <w:r>
        <w:instrText xml:space="preserve"> PAGEREF _Toc536782368 \h </w:instrText>
      </w:r>
      <w:r>
        <w:fldChar w:fldCharType="separate"/>
      </w:r>
      <w:r>
        <w:t>283</w:t>
      </w:r>
      <w:r>
        <w:fldChar w:fldCharType="end"/>
      </w:r>
    </w:p>
    <w:p>
      <w:pPr>
        <w:pStyle w:val="TOC8"/>
        <w:rPr>
          <w:rFonts w:asciiTheme="minorHAnsi" w:eastAsiaTheme="minorEastAsia" w:hAnsiTheme="minorHAnsi" w:cstheme="minorBidi"/>
          <w:szCs w:val="22"/>
        </w:rPr>
      </w:pPr>
      <w:r>
        <w:t>310.</w:t>
      </w:r>
      <w:r>
        <w:tab/>
        <w:t>Pre</w:t>
      </w:r>
      <w:r>
        <w:noBreakHyphen/>
        <w:t>final Rule determination hearing may be held</w:t>
      </w:r>
      <w:r>
        <w:tab/>
      </w:r>
      <w:r>
        <w:fldChar w:fldCharType="begin"/>
      </w:r>
      <w:r>
        <w:instrText xml:space="preserve"> PAGEREF _Toc536782369 \h </w:instrText>
      </w:r>
      <w:r>
        <w:fldChar w:fldCharType="separate"/>
      </w:r>
      <w:r>
        <w:t>283</w:t>
      </w:r>
      <w:r>
        <w:fldChar w:fldCharType="end"/>
      </w:r>
    </w:p>
    <w:p>
      <w:pPr>
        <w:pStyle w:val="TOC8"/>
        <w:rPr>
          <w:rFonts w:asciiTheme="minorHAnsi" w:eastAsiaTheme="minorEastAsia" w:hAnsiTheme="minorHAnsi" w:cstheme="minorBidi"/>
          <w:szCs w:val="22"/>
        </w:rPr>
      </w:pPr>
      <w:r>
        <w:t>311.</w:t>
      </w:r>
      <w:r>
        <w:tab/>
        <w:t>Final Rule determination</w:t>
      </w:r>
      <w:r>
        <w:tab/>
      </w:r>
      <w:r>
        <w:fldChar w:fldCharType="begin"/>
      </w:r>
      <w:r>
        <w:instrText xml:space="preserve"> PAGEREF _Toc536782370 \h </w:instrText>
      </w:r>
      <w:r>
        <w:fldChar w:fldCharType="separate"/>
      </w:r>
      <w:r>
        <w:t>284</w:t>
      </w:r>
      <w:r>
        <w:fldChar w:fldCharType="end"/>
      </w:r>
    </w:p>
    <w:p>
      <w:pPr>
        <w:pStyle w:val="TOC8"/>
        <w:rPr>
          <w:rFonts w:asciiTheme="minorHAnsi" w:eastAsiaTheme="minorEastAsia" w:hAnsiTheme="minorHAnsi" w:cstheme="minorBidi"/>
          <w:szCs w:val="22"/>
        </w:rPr>
      </w:pPr>
      <w:r>
        <w:t>312.</w:t>
      </w:r>
      <w:r>
        <w:tab/>
        <w:t>Further draft Rule determination may be made where proposed Rule is a proposed more preferable Rule</w:t>
      </w:r>
      <w:r>
        <w:tab/>
      </w:r>
      <w:r>
        <w:fldChar w:fldCharType="begin"/>
      </w:r>
      <w:r>
        <w:instrText xml:space="preserve"> PAGEREF _Toc536782371 \h </w:instrText>
      </w:r>
      <w:r>
        <w:fldChar w:fldCharType="separate"/>
      </w:r>
      <w:r>
        <w:t>286</w:t>
      </w:r>
      <w:r>
        <w:fldChar w:fldCharType="end"/>
      </w:r>
    </w:p>
    <w:p>
      <w:pPr>
        <w:pStyle w:val="TOC8"/>
        <w:rPr>
          <w:rFonts w:asciiTheme="minorHAnsi" w:eastAsiaTheme="minorEastAsia" w:hAnsiTheme="minorHAnsi" w:cstheme="minorBidi"/>
          <w:szCs w:val="22"/>
        </w:rPr>
      </w:pPr>
      <w:r>
        <w:t>313.</w:t>
      </w:r>
      <w:r>
        <w:tab/>
        <w:t>Making of Rule</w:t>
      </w:r>
      <w:r>
        <w:tab/>
      </w:r>
      <w:r>
        <w:fldChar w:fldCharType="begin"/>
      </w:r>
      <w:r>
        <w:instrText xml:space="preserve"> PAGEREF _Toc536782372 \h </w:instrText>
      </w:r>
      <w:r>
        <w:fldChar w:fldCharType="separate"/>
      </w:r>
      <w:r>
        <w:t>286</w:t>
      </w:r>
      <w:r>
        <w:fldChar w:fldCharType="end"/>
      </w:r>
    </w:p>
    <w:p>
      <w:pPr>
        <w:pStyle w:val="TOC8"/>
        <w:rPr>
          <w:rFonts w:asciiTheme="minorHAnsi" w:eastAsiaTheme="minorEastAsia" w:hAnsiTheme="minorHAnsi" w:cstheme="minorBidi"/>
          <w:szCs w:val="22"/>
        </w:rPr>
      </w:pPr>
      <w:r>
        <w:t>314.</w:t>
      </w:r>
      <w:r>
        <w:tab/>
        <w:t>Operation and commencement of Rule</w:t>
      </w:r>
      <w:r>
        <w:tab/>
      </w:r>
      <w:r>
        <w:fldChar w:fldCharType="begin"/>
      </w:r>
      <w:r>
        <w:instrText xml:space="preserve"> PAGEREF _Toc536782373 \h </w:instrText>
      </w:r>
      <w:r>
        <w:fldChar w:fldCharType="separate"/>
      </w:r>
      <w:r>
        <w:t>286</w:t>
      </w:r>
      <w:r>
        <w:fldChar w:fldCharType="end"/>
      </w:r>
    </w:p>
    <w:p>
      <w:pPr>
        <w:pStyle w:val="TOC8"/>
        <w:rPr>
          <w:rFonts w:asciiTheme="minorHAnsi" w:eastAsiaTheme="minorEastAsia" w:hAnsiTheme="minorHAnsi" w:cstheme="minorBidi"/>
          <w:szCs w:val="22"/>
        </w:rPr>
      </w:pPr>
      <w:r>
        <w:t>315.</w:t>
      </w:r>
      <w:r>
        <w:tab/>
        <w:t>Rule that is made to be published on website and made available to the public</w:t>
      </w:r>
      <w:r>
        <w:tab/>
      </w:r>
      <w:r>
        <w:fldChar w:fldCharType="begin"/>
      </w:r>
      <w:r>
        <w:instrText xml:space="preserve"> PAGEREF _Toc536782374 \h </w:instrText>
      </w:r>
      <w:r>
        <w:fldChar w:fldCharType="separate"/>
      </w:r>
      <w:r>
        <w:t>287</w:t>
      </w:r>
      <w:r>
        <w:fldChar w:fldCharType="end"/>
      </w:r>
    </w:p>
    <w:p>
      <w:pPr>
        <w:pStyle w:val="TOC8"/>
        <w:rPr>
          <w:rFonts w:asciiTheme="minorHAnsi" w:eastAsiaTheme="minorEastAsia" w:hAnsiTheme="minorHAnsi" w:cstheme="minorBidi"/>
          <w:szCs w:val="22"/>
        </w:rPr>
      </w:pPr>
      <w:r>
        <w:t>316.</w:t>
      </w:r>
      <w:r>
        <w:tab/>
        <w:t>Evidence of the National Gas Rules</w:t>
      </w:r>
      <w:r>
        <w:tab/>
      </w:r>
      <w:r>
        <w:fldChar w:fldCharType="begin"/>
      </w:r>
      <w:r>
        <w:instrText xml:space="preserve"> PAGEREF _Toc536782375 \h </w:instrText>
      </w:r>
      <w:r>
        <w:fldChar w:fldCharType="separate"/>
      </w:r>
      <w:r>
        <w:t>287</w:t>
      </w:r>
      <w:r>
        <w:fldChar w:fldCharType="end"/>
      </w:r>
    </w:p>
    <w:p>
      <w:pPr>
        <w:pStyle w:val="TOC4"/>
        <w:tabs>
          <w:tab w:val="right" w:leader="dot" w:pos="7077"/>
        </w:tabs>
        <w:rPr>
          <w:rFonts w:asciiTheme="minorHAnsi" w:eastAsiaTheme="minorEastAsia" w:hAnsiTheme="minorHAnsi" w:cstheme="minorBidi"/>
          <w:b w:val="0"/>
          <w:szCs w:val="22"/>
        </w:rPr>
      </w:pPr>
      <w:r>
        <w:t>Part 4 — Miscellaneous provisions relating to rule making by the AEMC</w:t>
      </w:r>
    </w:p>
    <w:p>
      <w:pPr>
        <w:pStyle w:val="TOC8"/>
        <w:rPr>
          <w:rFonts w:asciiTheme="minorHAnsi" w:eastAsiaTheme="minorEastAsia" w:hAnsiTheme="minorHAnsi" w:cstheme="minorBidi"/>
          <w:szCs w:val="22"/>
        </w:rPr>
      </w:pPr>
      <w:r>
        <w:t>317.</w:t>
      </w:r>
      <w:r>
        <w:tab/>
        <w:t>Extension of periods of time in Rule making procedure</w:t>
      </w:r>
      <w:r>
        <w:tab/>
      </w:r>
      <w:r>
        <w:fldChar w:fldCharType="begin"/>
      </w:r>
      <w:r>
        <w:instrText xml:space="preserve"> PAGEREF _Toc536782377 \h </w:instrText>
      </w:r>
      <w:r>
        <w:fldChar w:fldCharType="separate"/>
      </w:r>
      <w:r>
        <w:t>287</w:t>
      </w:r>
      <w:r>
        <w:fldChar w:fldCharType="end"/>
      </w:r>
    </w:p>
    <w:p>
      <w:pPr>
        <w:pStyle w:val="TOC8"/>
        <w:rPr>
          <w:rFonts w:asciiTheme="minorHAnsi" w:eastAsiaTheme="minorEastAsia" w:hAnsiTheme="minorHAnsi" w:cstheme="minorBidi"/>
          <w:szCs w:val="22"/>
        </w:rPr>
      </w:pPr>
      <w:r>
        <w:t>318.</w:t>
      </w:r>
      <w:r>
        <w:tab/>
        <w:t>AEMC may extend period of time for making of final Rule determination for further consultation</w:t>
      </w:r>
      <w:r>
        <w:tab/>
      </w:r>
      <w:r>
        <w:fldChar w:fldCharType="begin"/>
      </w:r>
      <w:r>
        <w:instrText xml:space="preserve"> PAGEREF _Toc536782378 \h </w:instrText>
      </w:r>
      <w:r>
        <w:fldChar w:fldCharType="separate"/>
      </w:r>
      <w:r>
        <w:t>288</w:t>
      </w:r>
      <w:r>
        <w:fldChar w:fldCharType="end"/>
      </w:r>
    </w:p>
    <w:p>
      <w:pPr>
        <w:pStyle w:val="TOC8"/>
        <w:rPr>
          <w:rFonts w:asciiTheme="minorHAnsi" w:eastAsiaTheme="minorEastAsia" w:hAnsiTheme="minorHAnsi" w:cstheme="minorBidi"/>
          <w:szCs w:val="22"/>
        </w:rPr>
      </w:pPr>
      <w:r>
        <w:t>319.</w:t>
      </w:r>
      <w:r>
        <w:tab/>
        <w:t>AEMC may publish written submissions and comments unless confidential</w:t>
      </w:r>
      <w:r>
        <w:tab/>
      </w:r>
      <w:r>
        <w:fldChar w:fldCharType="begin"/>
      </w:r>
      <w:r>
        <w:instrText xml:space="preserve"> PAGEREF _Toc536782379 \h </w:instrText>
      </w:r>
      <w:r>
        <w:fldChar w:fldCharType="separate"/>
      </w:r>
      <w:r>
        <w:t>289</w:t>
      </w:r>
      <w:r>
        <w:fldChar w:fldCharType="end"/>
      </w:r>
    </w:p>
    <w:p>
      <w:pPr>
        <w:pStyle w:val="TOC8"/>
        <w:rPr>
          <w:rFonts w:asciiTheme="minorHAnsi" w:eastAsiaTheme="minorEastAsia" w:hAnsiTheme="minorHAnsi" w:cstheme="minorBidi"/>
          <w:szCs w:val="22"/>
        </w:rPr>
      </w:pPr>
      <w:r>
        <w:t>320.</w:t>
      </w:r>
      <w:r>
        <w:tab/>
        <w:t>AEMC must publicly report on Rules not made within 12 months of public notification of requests</w:t>
      </w:r>
      <w:r>
        <w:tab/>
      </w:r>
      <w:r>
        <w:fldChar w:fldCharType="begin"/>
      </w:r>
      <w:r>
        <w:instrText xml:space="preserve"> PAGEREF _Toc536782380 \h </w:instrText>
      </w:r>
      <w:r>
        <w:fldChar w:fldCharType="separate"/>
      </w:r>
      <w:r>
        <w:t>290</w:t>
      </w:r>
      <w:r>
        <w:fldChar w:fldCharType="end"/>
      </w:r>
    </w:p>
    <w:p>
      <w:pPr>
        <w:pStyle w:val="TOC2"/>
        <w:tabs>
          <w:tab w:val="right" w:leader="dot" w:pos="7077"/>
        </w:tabs>
        <w:rPr>
          <w:rFonts w:asciiTheme="minorHAnsi" w:eastAsiaTheme="minorEastAsia" w:hAnsiTheme="minorHAnsi" w:cstheme="minorBidi"/>
          <w:b w:val="0"/>
          <w:sz w:val="22"/>
          <w:szCs w:val="22"/>
        </w:rPr>
      </w:pPr>
      <w:r>
        <w:t>Chapter 10 — General</w:t>
      </w:r>
    </w:p>
    <w:p>
      <w:pPr>
        <w:pStyle w:val="TOC4"/>
        <w:tabs>
          <w:tab w:val="right" w:leader="dot" w:pos="7077"/>
        </w:tabs>
        <w:rPr>
          <w:rFonts w:asciiTheme="minorHAnsi" w:eastAsiaTheme="minorEastAsia" w:hAnsiTheme="minorHAnsi" w:cstheme="minorBidi"/>
          <w:b w:val="0"/>
          <w:szCs w:val="22"/>
        </w:rPr>
      </w:pPr>
      <w:r>
        <w:t>Part 1 — Provisions relating to applicable access arrangements</w:t>
      </w:r>
    </w:p>
    <w:p>
      <w:pPr>
        <w:pStyle w:val="TOC8"/>
        <w:rPr>
          <w:rFonts w:asciiTheme="minorHAnsi" w:eastAsiaTheme="minorEastAsia" w:hAnsiTheme="minorHAnsi" w:cstheme="minorBidi"/>
          <w:szCs w:val="22"/>
        </w:rPr>
      </w:pPr>
      <w:r>
        <w:t>321.</w:t>
      </w:r>
      <w:r>
        <w:tab/>
        <w:t>Protection of certain pre</w:t>
      </w:r>
      <w:r>
        <w:noBreakHyphen/>
        <w:t>existing contractual rights</w:t>
      </w:r>
      <w:r>
        <w:tab/>
      </w:r>
      <w:r>
        <w:fldChar w:fldCharType="begin"/>
      </w:r>
      <w:r>
        <w:instrText xml:space="preserve"> PAGEREF _Toc536782383 \h </w:instrText>
      </w:r>
      <w:r>
        <w:fldChar w:fldCharType="separate"/>
      </w:r>
      <w:r>
        <w:t>291</w:t>
      </w:r>
      <w:r>
        <w:fldChar w:fldCharType="end"/>
      </w:r>
    </w:p>
    <w:p>
      <w:pPr>
        <w:pStyle w:val="TOC8"/>
        <w:rPr>
          <w:rFonts w:asciiTheme="minorHAnsi" w:eastAsiaTheme="minorEastAsia" w:hAnsiTheme="minorHAnsi" w:cstheme="minorBidi"/>
          <w:szCs w:val="22"/>
        </w:rPr>
      </w:pPr>
      <w:r>
        <w:t>322.</w:t>
      </w:r>
      <w:r>
        <w:tab/>
        <w:t>Service provider may enter into agreement for access different from applicable access arrangement</w:t>
      </w:r>
      <w:r>
        <w:tab/>
      </w:r>
      <w:r>
        <w:fldChar w:fldCharType="begin"/>
      </w:r>
      <w:r>
        <w:instrText xml:space="preserve"> PAGEREF _Toc536782384 \h </w:instrText>
      </w:r>
      <w:r>
        <w:fldChar w:fldCharType="separate"/>
      </w:r>
      <w:r>
        <w:t>292</w:t>
      </w:r>
      <w:r>
        <w:fldChar w:fldCharType="end"/>
      </w:r>
    </w:p>
    <w:p>
      <w:pPr>
        <w:pStyle w:val="TOC8"/>
        <w:rPr>
          <w:rFonts w:asciiTheme="minorHAnsi" w:eastAsiaTheme="minorEastAsia" w:hAnsiTheme="minorHAnsi" w:cstheme="minorBidi"/>
          <w:szCs w:val="22"/>
        </w:rPr>
      </w:pPr>
      <w:r>
        <w:t>323.</w:t>
      </w:r>
      <w:r>
        <w:tab/>
        <w:t>Applicable access arrangements continue to apply regardless of who provides pipeline service</w:t>
      </w:r>
      <w:r>
        <w:tab/>
      </w:r>
      <w:r>
        <w:fldChar w:fldCharType="begin"/>
      </w:r>
      <w:r>
        <w:instrText xml:space="preserve"> PAGEREF _Toc536782385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Part 2 — Handling of confidential information</w:t>
      </w:r>
    </w:p>
    <w:p>
      <w:pPr>
        <w:pStyle w:val="TOC6"/>
        <w:tabs>
          <w:tab w:val="right" w:leader="dot" w:pos="7077"/>
        </w:tabs>
        <w:rPr>
          <w:rFonts w:asciiTheme="minorHAnsi" w:eastAsiaTheme="minorEastAsia" w:hAnsiTheme="minorHAnsi" w:cstheme="minorBidi"/>
          <w:b w:val="0"/>
          <w:sz w:val="22"/>
          <w:szCs w:val="22"/>
        </w:rPr>
      </w:pPr>
      <w:r>
        <w:t>Division 1 — Disclosure of confidential information held by AER</w:t>
      </w:r>
    </w:p>
    <w:p>
      <w:pPr>
        <w:pStyle w:val="TOC8"/>
        <w:rPr>
          <w:rFonts w:asciiTheme="minorHAnsi" w:eastAsiaTheme="minorEastAsia" w:hAnsiTheme="minorHAnsi" w:cstheme="minorBidi"/>
          <w:szCs w:val="22"/>
        </w:rPr>
      </w:pPr>
      <w:r>
        <w:t>324.</w:t>
      </w:r>
      <w:r>
        <w:tab/>
        <w:t>Authorised disclosure of information given to the AER in confidence</w:t>
      </w:r>
      <w:r>
        <w:tab/>
      </w:r>
      <w:r>
        <w:fldChar w:fldCharType="begin"/>
      </w:r>
      <w:r>
        <w:instrText xml:space="preserve"> PAGEREF _Toc536782388 \h </w:instrText>
      </w:r>
      <w:r>
        <w:fldChar w:fldCharType="separate"/>
      </w:r>
      <w:r>
        <w:t>292</w:t>
      </w:r>
      <w:r>
        <w:fldChar w:fldCharType="end"/>
      </w:r>
    </w:p>
    <w:p>
      <w:pPr>
        <w:pStyle w:val="TOC8"/>
        <w:rPr>
          <w:rFonts w:asciiTheme="minorHAnsi" w:eastAsiaTheme="minorEastAsia" w:hAnsiTheme="minorHAnsi" w:cstheme="minorBidi"/>
          <w:szCs w:val="22"/>
        </w:rPr>
      </w:pPr>
      <w:r>
        <w:t>325.</w:t>
      </w:r>
      <w:r>
        <w:tab/>
        <w:t>Disclosure with prior written consent is authorised</w:t>
      </w:r>
      <w:r>
        <w:tab/>
      </w:r>
      <w:r>
        <w:fldChar w:fldCharType="begin"/>
      </w:r>
      <w:r>
        <w:instrText xml:space="preserve"> PAGEREF _Toc536782389 \h </w:instrText>
      </w:r>
      <w:r>
        <w:fldChar w:fldCharType="separate"/>
      </w:r>
      <w:r>
        <w:t>293</w:t>
      </w:r>
      <w:r>
        <w:fldChar w:fldCharType="end"/>
      </w:r>
    </w:p>
    <w:p>
      <w:pPr>
        <w:pStyle w:val="TOC8"/>
        <w:rPr>
          <w:rFonts w:asciiTheme="minorHAnsi" w:eastAsiaTheme="minorEastAsia" w:hAnsiTheme="minorHAnsi" w:cstheme="minorBidi"/>
          <w:szCs w:val="22"/>
        </w:rPr>
      </w:pPr>
      <w:r>
        <w:t>326.</w:t>
      </w:r>
      <w:r>
        <w:tab/>
        <w:t>Disclosure for purposes of court and tribunal proceedings and to accord natural justice</w:t>
      </w:r>
      <w:r>
        <w:tab/>
      </w:r>
      <w:r>
        <w:fldChar w:fldCharType="begin"/>
      </w:r>
      <w:r>
        <w:instrText xml:space="preserve"> PAGEREF _Toc536782390 \h </w:instrText>
      </w:r>
      <w:r>
        <w:fldChar w:fldCharType="separate"/>
      </w:r>
      <w:r>
        <w:t>293</w:t>
      </w:r>
      <w:r>
        <w:fldChar w:fldCharType="end"/>
      </w:r>
    </w:p>
    <w:p>
      <w:pPr>
        <w:pStyle w:val="TOC8"/>
        <w:rPr>
          <w:rFonts w:asciiTheme="minorHAnsi" w:eastAsiaTheme="minorEastAsia" w:hAnsiTheme="minorHAnsi" w:cstheme="minorBidi"/>
          <w:szCs w:val="22"/>
        </w:rPr>
      </w:pPr>
      <w:r>
        <w:t>327.</w:t>
      </w:r>
      <w:r>
        <w:tab/>
        <w:t>Disclosure of information given to the AER with confidential information omitted</w:t>
      </w:r>
      <w:r>
        <w:tab/>
      </w:r>
      <w:r>
        <w:fldChar w:fldCharType="begin"/>
      </w:r>
      <w:r>
        <w:instrText xml:space="preserve"> PAGEREF _Toc536782391 \h </w:instrText>
      </w:r>
      <w:r>
        <w:fldChar w:fldCharType="separate"/>
      </w:r>
      <w:r>
        <w:t>293</w:t>
      </w:r>
      <w:r>
        <w:fldChar w:fldCharType="end"/>
      </w:r>
    </w:p>
    <w:p>
      <w:pPr>
        <w:pStyle w:val="TOC8"/>
        <w:rPr>
          <w:rFonts w:asciiTheme="minorHAnsi" w:eastAsiaTheme="minorEastAsia" w:hAnsiTheme="minorHAnsi" w:cstheme="minorBidi"/>
          <w:szCs w:val="22"/>
        </w:rPr>
      </w:pPr>
      <w:r>
        <w:t>328.</w:t>
      </w:r>
      <w:r>
        <w:tab/>
        <w:t>Disclosure of information given in confidence does not identify anyone</w:t>
      </w:r>
      <w:r>
        <w:tab/>
      </w:r>
      <w:r>
        <w:fldChar w:fldCharType="begin"/>
      </w:r>
      <w:r>
        <w:instrText xml:space="preserve"> PAGEREF _Toc536782392 \h </w:instrText>
      </w:r>
      <w:r>
        <w:fldChar w:fldCharType="separate"/>
      </w:r>
      <w:r>
        <w:t>294</w:t>
      </w:r>
      <w:r>
        <w:fldChar w:fldCharType="end"/>
      </w:r>
    </w:p>
    <w:p>
      <w:pPr>
        <w:pStyle w:val="TOC8"/>
        <w:rPr>
          <w:rFonts w:asciiTheme="minorHAnsi" w:eastAsiaTheme="minorEastAsia" w:hAnsiTheme="minorHAnsi" w:cstheme="minorBidi"/>
          <w:szCs w:val="22"/>
        </w:rPr>
      </w:pPr>
      <w:r>
        <w:t>329.</w:t>
      </w:r>
      <w:r>
        <w:tab/>
        <w:t>Disclosure of confidential information authorised if detriment does not outweigh public benefit</w:t>
      </w:r>
      <w:r>
        <w:tab/>
      </w:r>
      <w:r>
        <w:fldChar w:fldCharType="begin"/>
      </w:r>
      <w:r>
        <w:instrText xml:space="preserve"> PAGEREF _Toc536782393 \h </w:instrText>
      </w:r>
      <w:r>
        <w:fldChar w:fldCharType="separate"/>
      </w:r>
      <w:r>
        <w:t>294</w:t>
      </w:r>
      <w:r>
        <w:fldChar w:fldCharType="end"/>
      </w:r>
    </w:p>
    <w:p>
      <w:pPr>
        <w:pStyle w:val="TOC6"/>
        <w:tabs>
          <w:tab w:val="right" w:leader="dot" w:pos="7077"/>
        </w:tabs>
        <w:rPr>
          <w:rFonts w:asciiTheme="minorHAnsi" w:eastAsiaTheme="minorEastAsia" w:hAnsiTheme="minorHAnsi" w:cstheme="minorBidi"/>
          <w:b w:val="0"/>
          <w:sz w:val="22"/>
          <w:szCs w:val="22"/>
        </w:rPr>
      </w:pPr>
      <w:r>
        <w:t>Division 2 — Disclosure of confidential information held by relevant Ministers, NCC and AEMC</w:t>
      </w:r>
    </w:p>
    <w:p>
      <w:pPr>
        <w:pStyle w:val="TOC8"/>
        <w:rPr>
          <w:rFonts w:asciiTheme="minorHAnsi" w:eastAsiaTheme="minorEastAsia" w:hAnsiTheme="minorHAnsi" w:cstheme="minorBidi"/>
          <w:szCs w:val="22"/>
        </w:rPr>
      </w:pPr>
      <w:r>
        <w:t>330.</w:t>
      </w:r>
      <w:r>
        <w:tab/>
        <w:t>Definitions</w:t>
      </w:r>
      <w:r>
        <w:tab/>
      </w:r>
      <w:r>
        <w:fldChar w:fldCharType="begin"/>
      </w:r>
      <w:r>
        <w:instrText xml:space="preserve"> PAGEREF _Toc536782395 \h </w:instrText>
      </w:r>
      <w:r>
        <w:fldChar w:fldCharType="separate"/>
      </w:r>
      <w:r>
        <w:t>297</w:t>
      </w:r>
      <w:r>
        <w:fldChar w:fldCharType="end"/>
      </w:r>
    </w:p>
    <w:p>
      <w:pPr>
        <w:pStyle w:val="TOC8"/>
        <w:rPr>
          <w:rFonts w:asciiTheme="minorHAnsi" w:eastAsiaTheme="minorEastAsia" w:hAnsiTheme="minorHAnsi" w:cstheme="minorBidi"/>
          <w:szCs w:val="22"/>
        </w:rPr>
      </w:pPr>
      <w:r>
        <w:t>331.</w:t>
      </w:r>
      <w:r>
        <w:tab/>
        <w:t>Confidentiality of information received for scheme procedure purpose and for making of scheme decision</w:t>
      </w:r>
      <w:r>
        <w:tab/>
      </w:r>
      <w:r>
        <w:fldChar w:fldCharType="begin"/>
      </w:r>
      <w:r>
        <w:instrText xml:space="preserve"> PAGEREF _Toc536782396 \h </w:instrText>
      </w:r>
      <w:r>
        <w:fldChar w:fldCharType="separate"/>
      </w:r>
      <w:r>
        <w:t>298</w:t>
      </w:r>
      <w:r>
        <w:fldChar w:fldCharType="end"/>
      </w:r>
    </w:p>
    <w:p>
      <w:pPr>
        <w:pStyle w:val="TOC4"/>
        <w:tabs>
          <w:tab w:val="right" w:leader="dot" w:pos="7077"/>
        </w:tabs>
        <w:rPr>
          <w:rFonts w:asciiTheme="minorHAnsi" w:eastAsiaTheme="minorEastAsia" w:hAnsiTheme="minorHAnsi" w:cstheme="minorBidi"/>
          <w:b w:val="0"/>
          <w:szCs w:val="22"/>
        </w:rPr>
      </w:pPr>
      <w:r>
        <w:t>Part 3 — Miscellaneous</w:t>
      </w:r>
    </w:p>
    <w:p>
      <w:pPr>
        <w:pStyle w:val="TOC8"/>
        <w:rPr>
          <w:rFonts w:asciiTheme="minorHAnsi" w:eastAsiaTheme="minorEastAsia" w:hAnsiTheme="minorHAnsi" w:cstheme="minorBidi"/>
          <w:szCs w:val="22"/>
        </w:rPr>
      </w:pPr>
      <w:r>
        <w:t>332.</w:t>
      </w:r>
      <w:r>
        <w:tab/>
        <w:t>Failure to make a decision under this Law or the Rules within time does not invalidate the decision</w:t>
      </w:r>
      <w:r>
        <w:tab/>
      </w:r>
      <w:r>
        <w:fldChar w:fldCharType="begin"/>
      </w:r>
      <w:r>
        <w:instrText xml:space="preserve"> PAGEREF _Toc536782398 \h </w:instrText>
      </w:r>
      <w:r>
        <w:fldChar w:fldCharType="separate"/>
      </w:r>
      <w:r>
        <w:t>300</w:t>
      </w:r>
      <w:r>
        <w:fldChar w:fldCharType="end"/>
      </w:r>
    </w:p>
    <w:p>
      <w:pPr>
        <w:pStyle w:val="TOC8"/>
        <w:rPr>
          <w:rFonts w:asciiTheme="minorHAnsi" w:eastAsiaTheme="minorEastAsia" w:hAnsiTheme="minorHAnsi" w:cstheme="minorBidi"/>
          <w:szCs w:val="22"/>
        </w:rPr>
      </w:pPr>
      <w:r>
        <w:t>333.</w:t>
      </w:r>
      <w:r>
        <w:tab/>
        <w:t>Withdrawal of applications relating to coverage or reclassification</w:t>
      </w:r>
      <w:r>
        <w:tab/>
      </w:r>
      <w:r>
        <w:fldChar w:fldCharType="begin"/>
      </w:r>
      <w:r>
        <w:instrText xml:space="preserve"> PAGEREF _Toc536782399 \h </w:instrText>
      </w:r>
      <w:r>
        <w:fldChar w:fldCharType="separate"/>
      </w:r>
      <w:r>
        <w:t>300</w:t>
      </w:r>
      <w:r>
        <w:fldChar w:fldCharType="end"/>
      </w:r>
    </w:p>
    <w:p>
      <w:pPr>
        <w:pStyle w:val="TOC8"/>
        <w:rPr>
          <w:rFonts w:asciiTheme="minorHAnsi" w:eastAsiaTheme="minorEastAsia" w:hAnsiTheme="minorHAnsi" w:cstheme="minorBidi"/>
          <w:szCs w:val="22"/>
        </w:rPr>
      </w:pPr>
      <w:r>
        <w:t>334.</w:t>
      </w:r>
      <w:r>
        <w:tab/>
        <w:t>Notification of Ministers of participating jurisdictions of receipt of application</w:t>
      </w:r>
      <w:r>
        <w:tab/>
      </w:r>
      <w:r>
        <w:fldChar w:fldCharType="begin"/>
      </w:r>
      <w:r>
        <w:instrText xml:space="preserve"> PAGEREF _Toc536782400 \h </w:instrText>
      </w:r>
      <w:r>
        <w:fldChar w:fldCharType="separate"/>
      </w:r>
      <w:r>
        <w:t>301</w:t>
      </w:r>
      <w:r>
        <w:fldChar w:fldCharType="end"/>
      </w:r>
    </w:p>
    <w:p>
      <w:pPr>
        <w:pStyle w:val="TOC8"/>
        <w:rPr>
          <w:rFonts w:asciiTheme="minorHAnsi" w:eastAsiaTheme="minorEastAsia" w:hAnsiTheme="minorHAnsi" w:cstheme="minorBidi"/>
          <w:szCs w:val="22"/>
        </w:rPr>
      </w:pPr>
      <w:r>
        <w:t>335.</w:t>
      </w:r>
      <w:r>
        <w:tab/>
        <w:t>Relevant Minister may request NCC to give information or assistance</w:t>
      </w:r>
      <w:r>
        <w:tab/>
      </w:r>
      <w:r>
        <w:fldChar w:fldCharType="begin"/>
      </w:r>
      <w:r>
        <w:instrText xml:space="preserve"> PAGEREF _Toc536782401 \h </w:instrText>
      </w:r>
      <w:r>
        <w:fldChar w:fldCharType="separate"/>
      </w:r>
      <w:r>
        <w:t>301</w:t>
      </w:r>
      <w:r>
        <w:fldChar w:fldCharType="end"/>
      </w:r>
    </w:p>
    <w:p>
      <w:pPr>
        <w:pStyle w:val="TOC8"/>
        <w:rPr>
          <w:rFonts w:asciiTheme="minorHAnsi" w:eastAsiaTheme="minorEastAsia" w:hAnsiTheme="minorHAnsi" w:cstheme="minorBidi"/>
          <w:szCs w:val="22"/>
        </w:rPr>
      </w:pPr>
      <w:r>
        <w:t>336.</w:t>
      </w:r>
      <w:r>
        <w:tab/>
        <w:t>Savings and transitionals</w:t>
      </w:r>
      <w:r>
        <w:tab/>
      </w:r>
      <w:r>
        <w:fldChar w:fldCharType="begin"/>
      </w:r>
      <w:r>
        <w:instrText xml:space="preserve"> PAGEREF _Toc536782402 \h </w:instrText>
      </w:r>
      <w:r>
        <w:fldChar w:fldCharType="separate"/>
      </w:r>
      <w:r>
        <w:t>302</w:t>
      </w:r>
      <w:r>
        <w:fldChar w:fldCharType="end"/>
      </w:r>
    </w:p>
    <w:p>
      <w:pPr>
        <w:pStyle w:val="TOC2"/>
        <w:tabs>
          <w:tab w:val="right" w:leader="dot" w:pos="7077"/>
        </w:tabs>
        <w:rPr>
          <w:rFonts w:asciiTheme="minorHAnsi" w:eastAsiaTheme="minorEastAsia" w:hAnsiTheme="minorHAnsi" w:cstheme="minorBidi"/>
          <w:b w:val="0"/>
          <w:sz w:val="22"/>
          <w:szCs w:val="22"/>
        </w:rPr>
      </w:pPr>
      <w:r>
        <w:t>Schedule 1 — Subject matter for the National Gas Rules</w:t>
      </w:r>
    </w:p>
    <w:p>
      <w:pPr>
        <w:pStyle w:val="TOC2"/>
        <w:tabs>
          <w:tab w:val="right" w:leader="dot" w:pos="7077"/>
        </w:tabs>
        <w:rPr>
          <w:rFonts w:asciiTheme="minorHAnsi" w:eastAsiaTheme="minorEastAsia" w:hAnsiTheme="minorHAnsi" w:cstheme="minorBidi"/>
          <w:b w:val="0"/>
          <w:sz w:val="22"/>
          <w:szCs w:val="22"/>
        </w:rPr>
      </w:pPr>
      <w:r>
        <w:t>Schedule 2 — Miscellaneous provisions relating to interpretation</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Displacement of Schedule by contrary intention</w:t>
      </w:r>
      <w:r>
        <w:tab/>
      </w:r>
      <w:r>
        <w:fldChar w:fldCharType="begin"/>
      </w:r>
      <w:r>
        <w:instrText xml:space="preserve"> PAGEREF _Toc536782406 \h </w:instrText>
      </w:r>
      <w:r>
        <w:fldChar w:fldCharType="separate"/>
      </w:r>
      <w:r>
        <w:t>313</w:t>
      </w:r>
      <w:r>
        <w:fldChar w:fldCharType="end"/>
      </w:r>
    </w:p>
    <w:p>
      <w:pPr>
        <w:pStyle w:val="TOC4"/>
        <w:tabs>
          <w:tab w:val="right" w:leader="dot" w:pos="7077"/>
        </w:tabs>
        <w:rPr>
          <w:rFonts w:asciiTheme="minorHAnsi" w:eastAsiaTheme="minorEastAsia" w:hAnsiTheme="minorHAnsi" w:cstheme="minorBidi"/>
          <w:b w:val="0"/>
          <w:szCs w:val="22"/>
        </w:rPr>
      </w:pPr>
      <w:r>
        <w:t>Part 2 — General</w:t>
      </w:r>
    </w:p>
    <w:p>
      <w:pPr>
        <w:pStyle w:val="TOC8"/>
        <w:rPr>
          <w:rFonts w:asciiTheme="minorHAnsi" w:eastAsiaTheme="minorEastAsia" w:hAnsiTheme="minorHAnsi" w:cstheme="minorBidi"/>
          <w:szCs w:val="22"/>
        </w:rPr>
      </w:pPr>
      <w:r>
        <w:t>2.</w:t>
      </w:r>
      <w:r>
        <w:tab/>
        <w:t>Law to be construed not to exceed legislative power of Legislature</w:t>
      </w:r>
      <w:r>
        <w:tab/>
      </w:r>
      <w:r>
        <w:fldChar w:fldCharType="begin"/>
      </w:r>
      <w:r>
        <w:instrText xml:space="preserve"> PAGEREF _Toc536782408 \h </w:instrText>
      </w:r>
      <w:r>
        <w:fldChar w:fldCharType="separate"/>
      </w:r>
      <w:r>
        <w:t>313</w:t>
      </w:r>
      <w:r>
        <w:fldChar w:fldCharType="end"/>
      </w:r>
    </w:p>
    <w:p>
      <w:pPr>
        <w:pStyle w:val="TOC8"/>
        <w:rPr>
          <w:rFonts w:asciiTheme="minorHAnsi" w:eastAsiaTheme="minorEastAsia" w:hAnsiTheme="minorHAnsi" w:cstheme="minorBidi"/>
          <w:szCs w:val="22"/>
        </w:rPr>
      </w:pPr>
      <w:r>
        <w:t>3.</w:t>
      </w:r>
      <w:r>
        <w:tab/>
        <w:t>Vacant provision</w:t>
      </w:r>
      <w:r>
        <w:tab/>
      </w:r>
      <w:r>
        <w:fldChar w:fldCharType="begin"/>
      </w:r>
      <w:r>
        <w:instrText xml:space="preserve"> PAGEREF _Toc536782409 \h </w:instrText>
      </w:r>
      <w:r>
        <w:fldChar w:fldCharType="separate"/>
      </w:r>
      <w:r>
        <w:t>314</w:t>
      </w:r>
      <w:r>
        <w:fldChar w:fldCharType="end"/>
      </w:r>
    </w:p>
    <w:p>
      <w:pPr>
        <w:pStyle w:val="TOC8"/>
        <w:rPr>
          <w:rFonts w:asciiTheme="minorHAnsi" w:eastAsiaTheme="minorEastAsia" w:hAnsiTheme="minorHAnsi" w:cstheme="minorBidi"/>
          <w:szCs w:val="22"/>
        </w:rPr>
      </w:pPr>
      <w:r>
        <w:t>4.</w:t>
      </w:r>
      <w:r>
        <w:tab/>
        <w:t>Material that is, and is not, part of Law</w:t>
      </w:r>
      <w:r>
        <w:tab/>
      </w:r>
      <w:r>
        <w:fldChar w:fldCharType="begin"/>
      </w:r>
      <w:r>
        <w:instrText xml:space="preserve"> PAGEREF _Toc536782410 \h </w:instrText>
      </w:r>
      <w:r>
        <w:fldChar w:fldCharType="separate"/>
      </w:r>
      <w:r>
        <w:t>315</w:t>
      </w:r>
      <w:r>
        <w:fldChar w:fldCharType="end"/>
      </w:r>
    </w:p>
    <w:p>
      <w:pPr>
        <w:pStyle w:val="TOC8"/>
        <w:rPr>
          <w:rFonts w:asciiTheme="minorHAnsi" w:eastAsiaTheme="minorEastAsia" w:hAnsiTheme="minorHAnsi" w:cstheme="minorBidi"/>
          <w:szCs w:val="22"/>
        </w:rPr>
      </w:pPr>
      <w:r>
        <w:t>5.</w:t>
      </w:r>
      <w:r>
        <w:tab/>
        <w:t>References to particular Acts and to enactments</w:t>
      </w:r>
      <w:r>
        <w:tab/>
      </w:r>
      <w:r>
        <w:fldChar w:fldCharType="begin"/>
      </w:r>
      <w:r>
        <w:instrText xml:space="preserve"> PAGEREF _Toc536782411 \h </w:instrText>
      </w:r>
      <w:r>
        <w:fldChar w:fldCharType="separate"/>
      </w:r>
      <w:r>
        <w:t>315</w:t>
      </w:r>
      <w:r>
        <w:fldChar w:fldCharType="end"/>
      </w:r>
    </w:p>
    <w:p>
      <w:pPr>
        <w:pStyle w:val="TOC8"/>
        <w:rPr>
          <w:rFonts w:asciiTheme="minorHAnsi" w:eastAsiaTheme="minorEastAsia" w:hAnsiTheme="minorHAnsi" w:cstheme="minorBidi"/>
          <w:szCs w:val="22"/>
        </w:rPr>
      </w:pPr>
      <w:r>
        <w:t>6.</w:t>
      </w:r>
      <w:r>
        <w:tab/>
        <w:t>References taken to be included in Act or Law citation etc</w:t>
      </w:r>
      <w:r>
        <w:tab/>
      </w:r>
      <w:r>
        <w:fldChar w:fldCharType="begin"/>
      </w:r>
      <w:r>
        <w:instrText xml:space="preserve"> PAGEREF _Toc536782412 \h </w:instrText>
      </w:r>
      <w:r>
        <w:fldChar w:fldCharType="separate"/>
      </w:r>
      <w:r>
        <w:t>316</w:t>
      </w:r>
      <w:r>
        <w:fldChar w:fldCharType="end"/>
      </w:r>
    </w:p>
    <w:p>
      <w:pPr>
        <w:pStyle w:val="TOC8"/>
        <w:rPr>
          <w:rFonts w:asciiTheme="minorHAnsi" w:eastAsiaTheme="minorEastAsia" w:hAnsiTheme="minorHAnsi" w:cstheme="minorBidi"/>
          <w:szCs w:val="22"/>
        </w:rPr>
      </w:pPr>
      <w:r>
        <w:t>7.</w:t>
      </w:r>
      <w:r>
        <w:tab/>
        <w:t>Interpretation best achieving Law’s purpose</w:t>
      </w:r>
      <w:r>
        <w:tab/>
      </w:r>
      <w:r>
        <w:fldChar w:fldCharType="begin"/>
      </w:r>
      <w:r>
        <w:instrText xml:space="preserve"> PAGEREF _Toc536782413 \h </w:instrText>
      </w:r>
      <w:r>
        <w:fldChar w:fldCharType="separate"/>
      </w:r>
      <w:r>
        <w:t>316</w:t>
      </w:r>
      <w:r>
        <w:fldChar w:fldCharType="end"/>
      </w:r>
    </w:p>
    <w:p>
      <w:pPr>
        <w:pStyle w:val="TOC8"/>
        <w:rPr>
          <w:rFonts w:asciiTheme="minorHAnsi" w:eastAsiaTheme="minorEastAsia" w:hAnsiTheme="minorHAnsi" w:cstheme="minorBidi"/>
          <w:szCs w:val="22"/>
        </w:rPr>
      </w:pPr>
      <w:r>
        <w:t>8.</w:t>
      </w:r>
      <w:r>
        <w:tab/>
        <w:t>Use of extrinsic material in interpretation</w:t>
      </w:r>
      <w:r>
        <w:tab/>
      </w:r>
      <w:r>
        <w:fldChar w:fldCharType="begin"/>
      </w:r>
      <w:r>
        <w:instrText xml:space="preserve"> PAGEREF _Toc536782414 \h </w:instrText>
      </w:r>
      <w:r>
        <w:fldChar w:fldCharType="separate"/>
      </w:r>
      <w:r>
        <w:t>317</w:t>
      </w:r>
      <w:r>
        <w:fldChar w:fldCharType="end"/>
      </w:r>
    </w:p>
    <w:p>
      <w:pPr>
        <w:pStyle w:val="TOC8"/>
        <w:rPr>
          <w:rFonts w:asciiTheme="minorHAnsi" w:eastAsiaTheme="minorEastAsia" w:hAnsiTheme="minorHAnsi" w:cstheme="minorBidi"/>
          <w:szCs w:val="22"/>
        </w:rPr>
      </w:pPr>
      <w:r>
        <w:t>9.</w:t>
      </w:r>
      <w:r>
        <w:tab/>
        <w:t>Compliance with forms</w:t>
      </w:r>
      <w:r>
        <w:tab/>
      </w:r>
      <w:r>
        <w:fldChar w:fldCharType="begin"/>
      </w:r>
      <w:r>
        <w:instrText xml:space="preserve"> PAGEREF _Toc536782415 \h </w:instrText>
      </w:r>
      <w:r>
        <w:fldChar w:fldCharType="separate"/>
      </w:r>
      <w:r>
        <w:t>319</w:t>
      </w:r>
      <w:r>
        <w:fldChar w:fldCharType="end"/>
      </w:r>
    </w:p>
    <w:p>
      <w:pPr>
        <w:pStyle w:val="TOC4"/>
        <w:tabs>
          <w:tab w:val="right" w:leader="dot" w:pos="7077"/>
        </w:tabs>
        <w:rPr>
          <w:rFonts w:asciiTheme="minorHAnsi" w:eastAsiaTheme="minorEastAsia" w:hAnsiTheme="minorHAnsi" w:cstheme="minorBidi"/>
          <w:b w:val="0"/>
          <w:szCs w:val="22"/>
        </w:rPr>
      </w:pPr>
      <w:r>
        <w:t>Part 3 — Terms and references</w:t>
      </w:r>
    </w:p>
    <w:p>
      <w:pPr>
        <w:pStyle w:val="TOC8"/>
        <w:rPr>
          <w:rFonts w:asciiTheme="minorHAnsi" w:eastAsiaTheme="minorEastAsia" w:hAnsiTheme="minorHAnsi" w:cstheme="minorBidi"/>
          <w:szCs w:val="22"/>
        </w:rPr>
      </w:pPr>
      <w:r>
        <w:t>10.</w:t>
      </w:r>
      <w:r>
        <w:tab/>
        <w:t>Definitions</w:t>
      </w:r>
      <w:r>
        <w:tab/>
      </w:r>
      <w:r>
        <w:fldChar w:fldCharType="begin"/>
      </w:r>
      <w:r>
        <w:instrText xml:space="preserve"> PAGEREF _Toc536782417 \h </w:instrText>
      </w:r>
      <w:r>
        <w:fldChar w:fldCharType="separate"/>
      </w:r>
      <w:r>
        <w:t>319</w:t>
      </w:r>
      <w:r>
        <w:fldChar w:fldCharType="end"/>
      </w:r>
    </w:p>
    <w:p>
      <w:pPr>
        <w:pStyle w:val="TOC8"/>
        <w:rPr>
          <w:rFonts w:asciiTheme="minorHAnsi" w:eastAsiaTheme="minorEastAsia" w:hAnsiTheme="minorHAnsi" w:cstheme="minorBidi"/>
          <w:szCs w:val="22"/>
        </w:rPr>
      </w:pPr>
      <w:r>
        <w:t>11.</w:t>
      </w:r>
      <w:r>
        <w:tab/>
        <w:t>Provisions relating to defined terms and gender and number</w:t>
      </w:r>
      <w:r>
        <w:tab/>
      </w:r>
      <w:r>
        <w:fldChar w:fldCharType="begin"/>
      </w:r>
      <w:r>
        <w:instrText xml:space="preserve"> PAGEREF _Toc536782418 \h </w:instrText>
      </w:r>
      <w:r>
        <w:fldChar w:fldCharType="separate"/>
      </w:r>
      <w:r>
        <w:t>324</w:t>
      </w:r>
      <w:r>
        <w:fldChar w:fldCharType="end"/>
      </w:r>
    </w:p>
    <w:p>
      <w:pPr>
        <w:pStyle w:val="TOC8"/>
        <w:rPr>
          <w:rFonts w:asciiTheme="minorHAnsi" w:eastAsiaTheme="minorEastAsia" w:hAnsiTheme="minorHAnsi" w:cstheme="minorBidi"/>
          <w:szCs w:val="22"/>
        </w:rPr>
      </w:pPr>
      <w:r>
        <w:t>12.</w:t>
      </w:r>
      <w:r>
        <w:tab/>
        <w:t>Meaning of may and must etc</w:t>
      </w:r>
      <w:r>
        <w:tab/>
      </w:r>
      <w:r>
        <w:fldChar w:fldCharType="begin"/>
      </w:r>
      <w:r>
        <w:instrText xml:space="preserve"> PAGEREF _Toc536782419 \h </w:instrText>
      </w:r>
      <w:r>
        <w:fldChar w:fldCharType="separate"/>
      </w:r>
      <w:r>
        <w:t>324</w:t>
      </w:r>
      <w:r>
        <w:fldChar w:fldCharType="end"/>
      </w:r>
    </w:p>
    <w:p>
      <w:pPr>
        <w:pStyle w:val="TOC8"/>
        <w:rPr>
          <w:rFonts w:asciiTheme="minorHAnsi" w:eastAsiaTheme="minorEastAsia" w:hAnsiTheme="minorHAnsi" w:cstheme="minorBidi"/>
          <w:szCs w:val="22"/>
        </w:rPr>
      </w:pPr>
      <w:r>
        <w:t>13.</w:t>
      </w:r>
      <w:r>
        <w:tab/>
        <w:t>Words and expressions used in statutory instruments</w:t>
      </w:r>
      <w:r>
        <w:tab/>
      </w:r>
      <w:r>
        <w:fldChar w:fldCharType="begin"/>
      </w:r>
      <w:r>
        <w:instrText xml:space="preserve"> PAGEREF _Toc536782420 \h </w:instrText>
      </w:r>
      <w:r>
        <w:fldChar w:fldCharType="separate"/>
      </w:r>
      <w:r>
        <w:t>324</w:t>
      </w:r>
      <w:r>
        <w:fldChar w:fldCharType="end"/>
      </w:r>
    </w:p>
    <w:p>
      <w:pPr>
        <w:pStyle w:val="TOC8"/>
        <w:rPr>
          <w:rFonts w:asciiTheme="minorHAnsi" w:eastAsiaTheme="minorEastAsia" w:hAnsiTheme="minorHAnsi" w:cstheme="minorBidi"/>
          <w:szCs w:val="22"/>
        </w:rPr>
      </w:pPr>
      <w:r>
        <w:t>14.</w:t>
      </w:r>
      <w:r>
        <w:tab/>
        <w:t>References to Minister</w:t>
      </w:r>
      <w:r>
        <w:tab/>
      </w:r>
      <w:r>
        <w:fldChar w:fldCharType="begin"/>
      </w:r>
      <w:r>
        <w:instrText xml:space="preserve"> PAGEREF _Toc536782421 \h </w:instrText>
      </w:r>
      <w:r>
        <w:fldChar w:fldCharType="separate"/>
      </w:r>
      <w:r>
        <w:t>325</w:t>
      </w:r>
      <w:r>
        <w:fldChar w:fldCharType="end"/>
      </w:r>
    </w:p>
    <w:p>
      <w:pPr>
        <w:pStyle w:val="TOC8"/>
        <w:rPr>
          <w:rFonts w:asciiTheme="minorHAnsi" w:eastAsiaTheme="minorEastAsia" w:hAnsiTheme="minorHAnsi" w:cstheme="minorBidi"/>
          <w:szCs w:val="22"/>
        </w:rPr>
      </w:pPr>
      <w:r>
        <w:t>15.</w:t>
      </w:r>
      <w:r>
        <w:tab/>
        <w:t>Production of records kept in computers etc</w:t>
      </w:r>
      <w:r>
        <w:tab/>
      </w:r>
      <w:r>
        <w:fldChar w:fldCharType="begin"/>
      </w:r>
      <w:r>
        <w:instrText xml:space="preserve"> PAGEREF _Toc536782422 \h </w:instrText>
      </w:r>
      <w:r>
        <w:fldChar w:fldCharType="separate"/>
      </w:r>
      <w:r>
        <w:t>326</w:t>
      </w:r>
      <w:r>
        <w:fldChar w:fldCharType="end"/>
      </w:r>
    </w:p>
    <w:p>
      <w:pPr>
        <w:pStyle w:val="TOC8"/>
        <w:rPr>
          <w:rFonts w:asciiTheme="minorHAnsi" w:eastAsiaTheme="minorEastAsia" w:hAnsiTheme="minorHAnsi" w:cstheme="minorBidi"/>
          <w:szCs w:val="22"/>
        </w:rPr>
      </w:pPr>
      <w:r>
        <w:t>16.</w:t>
      </w:r>
      <w:r>
        <w:tab/>
        <w:t>References to this jurisdiction to be implied</w:t>
      </w:r>
      <w:r>
        <w:tab/>
      </w:r>
      <w:r>
        <w:fldChar w:fldCharType="begin"/>
      </w:r>
      <w:r>
        <w:instrText xml:space="preserve"> PAGEREF _Toc536782423 \h </w:instrText>
      </w:r>
      <w:r>
        <w:fldChar w:fldCharType="separate"/>
      </w:r>
      <w:r>
        <w:t>326</w:t>
      </w:r>
      <w:r>
        <w:fldChar w:fldCharType="end"/>
      </w:r>
    </w:p>
    <w:p>
      <w:pPr>
        <w:pStyle w:val="TOC8"/>
        <w:rPr>
          <w:rFonts w:asciiTheme="minorHAnsi" w:eastAsiaTheme="minorEastAsia" w:hAnsiTheme="minorHAnsi" w:cstheme="minorBidi"/>
          <w:szCs w:val="22"/>
        </w:rPr>
      </w:pPr>
      <w:r>
        <w:t>17.</w:t>
      </w:r>
      <w:r>
        <w:tab/>
        <w:t>References to officers and holders of offices</w:t>
      </w:r>
      <w:r>
        <w:tab/>
      </w:r>
      <w:r>
        <w:fldChar w:fldCharType="begin"/>
      </w:r>
      <w:r>
        <w:instrText xml:space="preserve"> PAGEREF _Toc536782424 \h </w:instrText>
      </w:r>
      <w:r>
        <w:fldChar w:fldCharType="separate"/>
      </w:r>
      <w:r>
        <w:t>327</w:t>
      </w:r>
      <w:r>
        <w:fldChar w:fldCharType="end"/>
      </w:r>
    </w:p>
    <w:p>
      <w:pPr>
        <w:pStyle w:val="TOC8"/>
        <w:rPr>
          <w:rFonts w:asciiTheme="minorHAnsi" w:eastAsiaTheme="minorEastAsia" w:hAnsiTheme="minorHAnsi" w:cstheme="minorBidi"/>
          <w:szCs w:val="22"/>
        </w:rPr>
      </w:pPr>
      <w:r>
        <w:t>18.</w:t>
      </w:r>
      <w:r>
        <w:tab/>
        <w:t>Reference to certain provisions of Law</w:t>
      </w:r>
      <w:r>
        <w:tab/>
      </w:r>
      <w:r>
        <w:fldChar w:fldCharType="begin"/>
      </w:r>
      <w:r>
        <w:instrText xml:space="preserve"> PAGEREF _Toc536782425 \h </w:instrText>
      </w:r>
      <w:r>
        <w:fldChar w:fldCharType="separate"/>
      </w:r>
      <w:r>
        <w:t>327</w:t>
      </w:r>
      <w:r>
        <w:fldChar w:fldCharType="end"/>
      </w:r>
    </w:p>
    <w:p>
      <w:pPr>
        <w:pStyle w:val="TOC4"/>
        <w:tabs>
          <w:tab w:val="right" w:leader="dot" w:pos="7077"/>
        </w:tabs>
        <w:rPr>
          <w:rFonts w:asciiTheme="minorHAnsi" w:eastAsiaTheme="minorEastAsia" w:hAnsiTheme="minorHAnsi" w:cstheme="minorBidi"/>
          <w:b w:val="0"/>
          <w:szCs w:val="22"/>
        </w:rPr>
      </w:pPr>
      <w:r>
        <w:t>Part 4 — Functions and powers</w:t>
      </w:r>
    </w:p>
    <w:p>
      <w:pPr>
        <w:pStyle w:val="TOC8"/>
        <w:rPr>
          <w:rFonts w:asciiTheme="minorHAnsi" w:eastAsiaTheme="minorEastAsia" w:hAnsiTheme="minorHAnsi" w:cstheme="minorBidi"/>
          <w:szCs w:val="22"/>
        </w:rPr>
      </w:pPr>
      <w:r>
        <w:t>19.</w:t>
      </w:r>
      <w:r>
        <w:tab/>
        <w:t>Performance of statutory functions</w:t>
      </w:r>
      <w:r>
        <w:tab/>
      </w:r>
      <w:r>
        <w:fldChar w:fldCharType="begin"/>
      </w:r>
      <w:r>
        <w:instrText xml:space="preserve"> PAGEREF _Toc536782427 \h </w:instrText>
      </w:r>
      <w:r>
        <w:fldChar w:fldCharType="separate"/>
      </w:r>
      <w:r>
        <w:t>328</w:t>
      </w:r>
      <w:r>
        <w:fldChar w:fldCharType="end"/>
      </w:r>
    </w:p>
    <w:p>
      <w:pPr>
        <w:pStyle w:val="TOC8"/>
        <w:rPr>
          <w:rFonts w:asciiTheme="minorHAnsi" w:eastAsiaTheme="minorEastAsia" w:hAnsiTheme="minorHAnsi" w:cstheme="minorBidi"/>
          <w:szCs w:val="22"/>
        </w:rPr>
      </w:pPr>
      <w:r>
        <w:t>20.</w:t>
      </w:r>
      <w:r>
        <w:tab/>
        <w:t>Power to make instrument or decision includes power to amend or repeal</w:t>
      </w:r>
      <w:r>
        <w:tab/>
      </w:r>
      <w:r>
        <w:fldChar w:fldCharType="begin"/>
      </w:r>
      <w:r>
        <w:instrText xml:space="preserve"> PAGEREF _Toc536782428 \h </w:instrText>
      </w:r>
      <w:r>
        <w:fldChar w:fldCharType="separate"/>
      </w:r>
      <w:r>
        <w:t>329</w:t>
      </w:r>
      <w:r>
        <w:fldChar w:fldCharType="end"/>
      </w:r>
    </w:p>
    <w:p>
      <w:pPr>
        <w:pStyle w:val="TOC8"/>
        <w:rPr>
          <w:rFonts w:asciiTheme="minorHAnsi" w:eastAsiaTheme="minorEastAsia" w:hAnsiTheme="minorHAnsi" w:cstheme="minorBidi"/>
          <w:szCs w:val="22"/>
        </w:rPr>
      </w:pPr>
      <w:r>
        <w:t>21.</w:t>
      </w:r>
      <w:r>
        <w:tab/>
        <w:t>Matters for which statutory instruments may make provision</w:t>
      </w:r>
      <w:r>
        <w:tab/>
      </w:r>
      <w:r>
        <w:fldChar w:fldCharType="begin"/>
      </w:r>
      <w:r>
        <w:instrText xml:space="preserve"> PAGEREF _Toc536782429 \h </w:instrText>
      </w:r>
      <w:r>
        <w:fldChar w:fldCharType="separate"/>
      </w:r>
      <w:r>
        <w:t>329</w:t>
      </w:r>
      <w:r>
        <w:fldChar w:fldCharType="end"/>
      </w:r>
    </w:p>
    <w:p>
      <w:pPr>
        <w:pStyle w:val="TOC8"/>
        <w:rPr>
          <w:rFonts w:asciiTheme="minorHAnsi" w:eastAsiaTheme="minorEastAsia" w:hAnsiTheme="minorHAnsi" w:cstheme="minorBidi"/>
          <w:szCs w:val="22"/>
        </w:rPr>
      </w:pPr>
      <w:r>
        <w:t>22.</w:t>
      </w:r>
      <w:r>
        <w:tab/>
        <w:t>Presumption of validity and power to make</w:t>
      </w:r>
      <w:r>
        <w:tab/>
      </w:r>
      <w:r>
        <w:fldChar w:fldCharType="begin"/>
      </w:r>
      <w:r>
        <w:instrText xml:space="preserve"> PAGEREF _Toc536782430 \h </w:instrText>
      </w:r>
      <w:r>
        <w:fldChar w:fldCharType="separate"/>
      </w:r>
      <w:r>
        <w:t>330</w:t>
      </w:r>
      <w:r>
        <w:fldChar w:fldCharType="end"/>
      </w:r>
    </w:p>
    <w:p>
      <w:pPr>
        <w:pStyle w:val="TOC8"/>
        <w:rPr>
          <w:rFonts w:asciiTheme="minorHAnsi" w:eastAsiaTheme="minorEastAsia" w:hAnsiTheme="minorHAnsi" w:cstheme="minorBidi"/>
          <w:szCs w:val="22"/>
        </w:rPr>
      </w:pPr>
      <w:r>
        <w:t>23.</w:t>
      </w:r>
      <w:r>
        <w:tab/>
        <w:t>Appointments may be made by name or office</w:t>
      </w:r>
      <w:r>
        <w:tab/>
      </w:r>
      <w:r>
        <w:fldChar w:fldCharType="begin"/>
      </w:r>
      <w:r>
        <w:instrText xml:space="preserve"> PAGEREF _Toc536782431 \h </w:instrText>
      </w:r>
      <w:r>
        <w:fldChar w:fldCharType="separate"/>
      </w:r>
      <w:r>
        <w:t>331</w:t>
      </w:r>
      <w:r>
        <w:fldChar w:fldCharType="end"/>
      </w:r>
    </w:p>
    <w:p>
      <w:pPr>
        <w:pStyle w:val="TOC8"/>
        <w:rPr>
          <w:rFonts w:asciiTheme="minorHAnsi" w:eastAsiaTheme="minorEastAsia" w:hAnsiTheme="minorHAnsi" w:cstheme="minorBidi"/>
          <w:szCs w:val="22"/>
        </w:rPr>
      </w:pPr>
      <w:r>
        <w:t>24.</w:t>
      </w:r>
      <w:r>
        <w:tab/>
        <w:t>Acting appointments</w:t>
      </w:r>
      <w:r>
        <w:tab/>
      </w:r>
      <w:r>
        <w:fldChar w:fldCharType="begin"/>
      </w:r>
      <w:r>
        <w:instrText xml:space="preserve"> PAGEREF _Toc536782432 \h </w:instrText>
      </w:r>
      <w:r>
        <w:fldChar w:fldCharType="separate"/>
      </w:r>
      <w:r>
        <w:t>331</w:t>
      </w:r>
      <w:r>
        <w:fldChar w:fldCharType="end"/>
      </w:r>
    </w:p>
    <w:p>
      <w:pPr>
        <w:pStyle w:val="TOC8"/>
        <w:rPr>
          <w:rFonts w:asciiTheme="minorHAnsi" w:eastAsiaTheme="minorEastAsia" w:hAnsiTheme="minorHAnsi" w:cstheme="minorBidi"/>
          <w:szCs w:val="22"/>
        </w:rPr>
      </w:pPr>
      <w:r>
        <w:t>25.</w:t>
      </w:r>
      <w:r>
        <w:tab/>
        <w:t>Powers of appointment imply certain incidental powers</w:t>
      </w:r>
      <w:r>
        <w:tab/>
      </w:r>
      <w:r>
        <w:fldChar w:fldCharType="begin"/>
      </w:r>
      <w:r>
        <w:instrText xml:space="preserve"> PAGEREF _Toc536782433 \h </w:instrText>
      </w:r>
      <w:r>
        <w:fldChar w:fldCharType="separate"/>
      </w:r>
      <w:r>
        <w:t>333</w:t>
      </w:r>
      <w:r>
        <w:fldChar w:fldCharType="end"/>
      </w:r>
    </w:p>
    <w:p>
      <w:pPr>
        <w:pStyle w:val="TOC8"/>
        <w:rPr>
          <w:rFonts w:asciiTheme="minorHAnsi" w:eastAsiaTheme="minorEastAsia" w:hAnsiTheme="minorHAnsi" w:cstheme="minorBidi"/>
          <w:szCs w:val="22"/>
        </w:rPr>
      </w:pPr>
      <w:r>
        <w:t>26.</w:t>
      </w:r>
      <w:r>
        <w:tab/>
        <w:t>Delegation</w:t>
      </w:r>
      <w:r>
        <w:tab/>
      </w:r>
      <w:r>
        <w:fldChar w:fldCharType="begin"/>
      </w:r>
      <w:r>
        <w:instrText xml:space="preserve"> PAGEREF _Toc536782434 \h </w:instrText>
      </w:r>
      <w:r>
        <w:fldChar w:fldCharType="separate"/>
      </w:r>
      <w:r>
        <w:t>334</w:t>
      </w:r>
      <w:r>
        <w:fldChar w:fldCharType="end"/>
      </w:r>
    </w:p>
    <w:p>
      <w:pPr>
        <w:pStyle w:val="TOC8"/>
        <w:rPr>
          <w:rFonts w:asciiTheme="minorHAnsi" w:eastAsiaTheme="minorEastAsia" w:hAnsiTheme="minorHAnsi" w:cstheme="minorBidi"/>
          <w:szCs w:val="22"/>
        </w:rPr>
      </w:pPr>
      <w:r>
        <w:t>27.</w:t>
      </w:r>
      <w:r>
        <w:tab/>
        <w:t>Exercise of powers between enactment and commencement</w:t>
      </w:r>
      <w:r>
        <w:tab/>
      </w:r>
      <w:r>
        <w:fldChar w:fldCharType="begin"/>
      </w:r>
      <w:r>
        <w:instrText xml:space="preserve"> PAGEREF _Toc536782435 \h </w:instrText>
      </w:r>
      <w:r>
        <w:fldChar w:fldCharType="separate"/>
      </w:r>
      <w:r>
        <w:t>335</w:t>
      </w:r>
      <w:r>
        <w:fldChar w:fldCharType="end"/>
      </w:r>
    </w:p>
    <w:p>
      <w:pPr>
        <w:pStyle w:val="TOC8"/>
        <w:rPr>
          <w:rFonts w:asciiTheme="minorHAnsi" w:eastAsiaTheme="minorEastAsia" w:hAnsiTheme="minorHAnsi" w:cstheme="minorBidi"/>
          <w:szCs w:val="22"/>
        </w:rPr>
      </w:pPr>
      <w:r>
        <w:t>27A.</w:t>
      </w:r>
      <w:r>
        <w:tab/>
        <w:t>WA modifications of clause 27</w:t>
      </w:r>
      <w:r>
        <w:tab/>
      </w:r>
      <w:r>
        <w:fldChar w:fldCharType="begin"/>
      </w:r>
      <w:r>
        <w:instrText xml:space="preserve"> PAGEREF _Toc536782436 \h </w:instrText>
      </w:r>
      <w:r>
        <w:fldChar w:fldCharType="separate"/>
      </w:r>
      <w:r>
        <w:t>338</w:t>
      </w:r>
      <w:r>
        <w:fldChar w:fldCharType="end"/>
      </w:r>
    </w:p>
    <w:p>
      <w:pPr>
        <w:pStyle w:val="TOC4"/>
        <w:tabs>
          <w:tab w:val="right" w:leader="dot" w:pos="7077"/>
        </w:tabs>
        <w:rPr>
          <w:rFonts w:asciiTheme="minorHAnsi" w:eastAsiaTheme="minorEastAsia" w:hAnsiTheme="minorHAnsi" w:cstheme="minorBidi"/>
          <w:b w:val="0"/>
          <w:szCs w:val="22"/>
        </w:rPr>
      </w:pPr>
      <w:r>
        <w:t>Part 5 — Distance and time</w:t>
      </w:r>
    </w:p>
    <w:p>
      <w:pPr>
        <w:pStyle w:val="TOC8"/>
        <w:rPr>
          <w:rFonts w:asciiTheme="minorHAnsi" w:eastAsiaTheme="minorEastAsia" w:hAnsiTheme="minorHAnsi" w:cstheme="minorBidi"/>
          <w:szCs w:val="22"/>
        </w:rPr>
      </w:pPr>
      <w:r>
        <w:t>28.</w:t>
      </w:r>
      <w:r>
        <w:tab/>
        <w:t>Matters relating to distance and time</w:t>
      </w:r>
      <w:r>
        <w:tab/>
      </w:r>
      <w:r>
        <w:fldChar w:fldCharType="begin"/>
      </w:r>
      <w:r>
        <w:instrText xml:space="preserve"> PAGEREF _Toc536782438 \h </w:instrText>
      </w:r>
      <w:r>
        <w:fldChar w:fldCharType="separate"/>
      </w:r>
      <w:r>
        <w:t>338</w:t>
      </w:r>
      <w:r>
        <w:fldChar w:fldCharType="end"/>
      </w:r>
    </w:p>
    <w:p>
      <w:pPr>
        <w:pStyle w:val="TOC4"/>
        <w:tabs>
          <w:tab w:val="right" w:leader="dot" w:pos="7077"/>
        </w:tabs>
        <w:rPr>
          <w:rFonts w:asciiTheme="minorHAnsi" w:eastAsiaTheme="minorEastAsia" w:hAnsiTheme="minorHAnsi" w:cstheme="minorBidi"/>
          <w:b w:val="0"/>
          <w:szCs w:val="22"/>
        </w:rPr>
      </w:pPr>
      <w:r>
        <w:t>Part 6 — Service of documents</w:t>
      </w:r>
    </w:p>
    <w:p>
      <w:pPr>
        <w:pStyle w:val="TOC8"/>
        <w:rPr>
          <w:rFonts w:asciiTheme="minorHAnsi" w:eastAsiaTheme="minorEastAsia" w:hAnsiTheme="minorHAnsi" w:cstheme="minorBidi"/>
          <w:szCs w:val="22"/>
        </w:rPr>
      </w:pPr>
      <w:r>
        <w:t>29.</w:t>
      </w:r>
      <w:r>
        <w:tab/>
        <w:t>Service of documents and meaning of service by post etc</w:t>
      </w:r>
      <w:r>
        <w:tab/>
      </w:r>
      <w:r>
        <w:fldChar w:fldCharType="begin"/>
      </w:r>
      <w:r>
        <w:instrText xml:space="preserve"> PAGEREF _Toc536782440 \h </w:instrText>
      </w:r>
      <w:r>
        <w:fldChar w:fldCharType="separate"/>
      </w:r>
      <w:r>
        <w:t>339</w:t>
      </w:r>
      <w:r>
        <w:fldChar w:fldCharType="end"/>
      </w:r>
    </w:p>
    <w:p>
      <w:pPr>
        <w:pStyle w:val="TOC8"/>
        <w:rPr>
          <w:rFonts w:asciiTheme="minorHAnsi" w:eastAsiaTheme="minorEastAsia" w:hAnsiTheme="minorHAnsi" w:cstheme="minorBidi"/>
          <w:szCs w:val="22"/>
        </w:rPr>
      </w:pPr>
      <w:r>
        <w:t>30.</w:t>
      </w:r>
      <w:r>
        <w:tab/>
        <w:t>Meaning of service by post etc</w:t>
      </w:r>
      <w:r>
        <w:tab/>
      </w:r>
      <w:r>
        <w:fldChar w:fldCharType="begin"/>
      </w:r>
      <w:r>
        <w:instrText xml:space="preserve"> PAGEREF _Toc536782441 \h </w:instrText>
      </w:r>
      <w:r>
        <w:fldChar w:fldCharType="separate"/>
      </w:r>
      <w:r>
        <w:t>340</w:t>
      </w:r>
      <w:r>
        <w:fldChar w:fldCharType="end"/>
      </w:r>
    </w:p>
    <w:p>
      <w:pPr>
        <w:pStyle w:val="TOC4"/>
        <w:tabs>
          <w:tab w:val="right" w:leader="dot" w:pos="7077"/>
        </w:tabs>
        <w:rPr>
          <w:rFonts w:asciiTheme="minorHAnsi" w:eastAsiaTheme="minorEastAsia" w:hAnsiTheme="minorHAnsi" w:cstheme="minorBidi"/>
          <w:b w:val="0"/>
          <w:szCs w:val="22"/>
        </w:rPr>
      </w:pPr>
      <w:r>
        <w:t>Part 7 — Evidentiary matters</w:t>
      </w:r>
    </w:p>
    <w:p>
      <w:pPr>
        <w:pStyle w:val="TOC6"/>
        <w:tabs>
          <w:tab w:val="right" w:leader="dot" w:pos="7077"/>
        </w:tabs>
        <w:rPr>
          <w:rFonts w:asciiTheme="minorHAnsi" w:eastAsiaTheme="minorEastAsia" w:hAnsiTheme="minorHAnsi" w:cstheme="minorBidi"/>
          <w:b w:val="0"/>
          <w:sz w:val="22"/>
          <w:szCs w:val="22"/>
        </w:rPr>
      </w:pPr>
      <w:r>
        <w:t>Division 1 — Publication on websites</w:t>
      </w:r>
    </w:p>
    <w:p>
      <w:pPr>
        <w:pStyle w:val="TOC8"/>
        <w:rPr>
          <w:rFonts w:asciiTheme="minorHAnsi" w:eastAsiaTheme="minorEastAsia" w:hAnsiTheme="minorHAnsi" w:cstheme="minorBidi"/>
          <w:szCs w:val="22"/>
        </w:rPr>
      </w:pPr>
      <w:r>
        <w:t>31.</w:t>
      </w:r>
      <w:r>
        <w:tab/>
        <w:t>Definitions</w:t>
      </w:r>
      <w:r>
        <w:tab/>
      </w:r>
      <w:r>
        <w:fldChar w:fldCharType="begin"/>
      </w:r>
      <w:r>
        <w:instrText xml:space="preserve"> PAGEREF _Toc536782444 \h </w:instrText>
      </w:r>
      <w:r>
        <w:fldChar w:fldCharType="separate"/>
      </w:r>
      <w:r>
        <w:t>341</w:t>
      </w:r>
      <w:r>
        <w:fldChar w:fldCharType="end"/>
      </w:r>
    </w:p>
    <w:p>
      <w:pPr>
        <w:pStyle w:val="TOC8"/>
        <w:rPr>
          <w:rFonts w:asciiTheme="minorHAnsi" w:eastAsiaTheme="minorEastAsia" w:hAnsiTheme="minorHAnsi" w:cstheme="minorBidi"/>
          <w:szCs w:val="22"/>
        </w:rPr>
      </w:pPr>
      <w:r>
        <w:t>32.</w:t>
      </w:r>
      <w:r>
        <w:tab/>
        <w:t>Publication of decisions on websites</w:t>
      </w:r>
      <w:r>
        <w:tab/>
      </w:r>
      <w:r>
        <w:fldChar w:fldCharType="begin"/>
      </w:r>
      <w:r>
        <w:instrText xml:space="preserve"> PAGEREF _Toc536782445 \h </w:instrText>
      </w:r>
      <w:r>
        <w:fldChar w:fldCharType="separate"/>
      </w:r>
      <w:r>
        <w:t>342</w:t>
      </w:r>
      <w:r>
        <w:fldChar w:fldCharType="end"/>
      </w:r>
    </w:p>
    <w:p>
      <w:pPr>
        <w:pStyle w:val="TOC6"/>
        <w:tabs>
          <w:tab w:val="right" w:leader="dot" w:pos="7077"/>
        </w:tabs>
        <w:rPr>
          <w:rFonts w:asciiTheme="minorHAnsi" w:eastAsiaTheme="minorEastAsia" w:hAnsiTheme="minorHAnsi" w:cstheme="minorBidi"/>
          <w:b w:val="0"/>
          <w:sz w:val="22"/>
          <w:szCs w:val="22"/>
        </w:rPr>
      </w:pPr>
      <w:r>
        <w:t>Division 2 — Evidentiary certificates</w:t>
      </w:r>
    </w:p>
    <w:p>
      <w:pPr>
        <w:pStyle w:val="TOC8"/>
        <w:rPr>
          <w:rFonts w:asciiTheme="minorHAnsi" w:eastAsiaTheme="minorEastAsia" w:hAnsiTheme="minorHAnsi" w:cstheme="minorBidi"/>
          <w:szCs w:val="22"/>
        </w:rPr>
      </w:pPr>
      <w:r>
        <w:t>33.</w:t>
      </w:r>
      <w:r>
        <w:tab/>
        <w:t>Definitions</w:t>
      </w:r>
      <w:r>
        <w:tab/>
      </w:r>
      <w:r>
        <w:fldChar w:fldCharType="begin"/>
      </w:r>
      <w:r>
        <w:instrText xml:space="preserve"> PAGEREF _Toc536782447 \h </w:instrText>
      </w:r>
      <w:r>
        <w:fldChar w:fldCharType="separate"/>
      </w:r>
      <w:r>
        <w:t>342</w:t>
      </w:r>
      <w:r>
        <w:fldChar w:fldCharType="end"/>
      </w:r>
    </w:p>
    <w:p>
      <w:pPr>
        <w:pStyle w:val="TOC8"/>
        <w:rPr>
          <w:rFonts w:asciiTheme="minorHAnsi" w:eastAsiaTheme="minorEastAsia" w:hAnsiTheme="minorHAnsi" w:cstheme="minorBidi"/>
          <w:szCs w:val="22"/>
        </w:rPr>
      </w:pPr>
      <w:r>
        <w:t>34.</w:t>
      </w:r>
      <w:r>
        <w:tab/>
        <w:t>Evidentiary certificates—AER</w:t>
      </w:r>
      <w:r>
        <w:tab/>
      </w:r>
      <w:r>
        <w:fldChar w:fldCharType="begin"/>
      </w:r>
      <w:r>
        <w:instrText xml:space="preserve"> PAGEREF _Toc536782448 \h </w:instrText>
      </w:r>
      <w:r>
        <w:fldChar w:fldCharType="separate"/>
      </w:r>
      <w:r>
        <w:t>343</w:t>
      </w:r>
      <w:r>
        <w:fldChar w:fldCharType="end"/>
      </w:r>
    </w:p>
    <w:p>
      <w:pPr>
        <w:pStyle w:val="TOC8"/>
        <w:rPr>
          <w:rFonts w:asciiTheme="minorHAnsi" w:eastAsiaTheme="minorEastAsia" w:hAnsiTheme="minorHAnsi" w:cstheme="minorBidi"/>
          <w:szCs w:val="22"/>
        </w:rPr>
      </w:pPr>
      <w:r>
        <w:t>35.</w:t>
      </w:r>
      <w:r>
        <w:tab/>
        <w:t>Evidentiary certificates—AEMC</w:t>
      </w:r>
      <w:r>
        <w:tab/>
      </w:r>
      <w:r>
        <w:fldChar w:fldCharType="begin"/>
      </w:r>
      <w:r>
        <w:instrText xml:space="preserve"> PAGEREF _Toc536782449 \h </w:instrText>
      </w:r>
      <w:r>
        <w:fldChar w:fldCharType="separate"/>
      </w:r>
      <w:r>
        <w:t>344</w:t>
      </w:r>
      <w:r>
        <w:fldChar w:fldCharType="end"/>
      </w:r>
    </w:p>
    <w:p>
      <w:pPr>
        <w:pStyle w:val="TOC8"/>
        <w:rPr>
          <w:rFonts w:asciiTheme="minorHAnsi" w:eastAsiaTheme="minorEastAsia" w:hAnsiTheme="minorHAnsi" w:cstheme="minorBidi"/>
          <w:szCs w:val="22"/>
        </w:rPr>
      </w:pPr>
      <w:r>
        <w:t>36.</w:t>
      </w:r>
      <w:r>
        <w:tab/>
        <w:t>Evidentiary certificates—NCC</w:t>
      </w:r>
      <w:r>
        <w:tab/>
      </w:r>
      <w:r>
        <w:fldChar w:fldCharType="begin"/>
      </w:r>
      <w:r>
        <w:instrText xml:space="preserve"> PAGEREF _Toc536782450 \h </w:instrText>
      </w:r>
      <w:r>
        <w:fldChar w:fldCharType="separate"/>
      </w:r>
      <w:r>
        <w:t>345</w:t>
      </w:r>
      <w:r>
        <w:fldChar w:fldCharType="end"/>
      </w:r>
    </w:p>
    <w:p>
      <w:pPr>
        <w:pStyle w:val="TOC8"/>
        <w:rPr>
          <w:rFonts w:asciiTheme="minorHAnsi" w:eastAsiaTheme="minorEastAsia" w:hAnsiTheme="minorHAnsi" w:cstheme="minorBidi"/>
          <w:szCs w:val="22"/>
        </w:rPr>
      </w:pPr>
      <w:r>
        <w:t>37.</w:t>
      </w:r>
      <w:r>
        <w:tab/>
        <w:t>Evidentiary certificates—relevant Minister and Commonwealth Minister</w:t>
      </w:r>
      <w:r>
        <w:tab/>
      </w:r>
      <w:r>
        <w:fldChar w:fldCharType="begin"/>
      </w:r>
      <w:r>
        <w:instrText xml:space="preserve"> PAGEREF _Toc536782451 \h </w:instrText>
      </w:r>
      <w:r>
        <w:fldChar w:fldCharType="separate"/>
      </w:r>
      <w:r>
        <w:t>346</w:t>
      </w:r>
      <w:r>
        <w:fldChar w:fldCharType="end"/>
      </w:r>
    </w:p>
    <w:p>
      <w:pPr>
        <w:pStyle w:val="TOC8"/>
        <w:rPr>
          <w:rFonts w:asciiTheme="minorHAnsi" w:eastAsiaTheme="minorEastAsia" w:hAnsiTheme="minorHAnsi" w:cstheme="minorBidi"/>
          <w:szCs w:val="22"/>
        </w:rPr>
      </w:pPr>
      <w:r>
        <w:t>38.</w:t>
      </w:r>
      <w:r>
        <w:tab/>
        <w:t>Evidentiary certificates—Bulletin Board operator</w:t>
      </w:r>
      <w:r>
        <w:tab/>
      </w:r>
      <w:r>
        <w:fldChar w:fldCharType="begin"/>
      </w:r>
      <w:r>
        <w:instrText xml:space="preserve"> PAGEREF _Toc536782452 \h </w:instrText>
      </w:r>
      <w:r>
        <w:fldChar w:fldCharType="separate"/>
      </w:r>
      <w:r>
        <w:t>346</w:t>
      </w:r>
      <w:r>
        <w:fldChar w:fldCharType="end"/>
      </w:r>
    </w:p>
    <w:p>
      <w:pPr>
        <w:pStyle w:val="TOC4"/>
        <w:tabs>
          <w:tab w:val="right" w:leader="dot" w:pos="7077"/>
        </w:tabs>
        <w:rPr>
          <w:rFonts w:asciiTheme="minorHAnsi" w:eastAsiaTheme="minorEastAsia" w:hAnsiTheme="minorHAnsi" w:cstheme="minorBidi"/>
          <w:b w:val="0"/>
          <w:szCs w:val="22"/>
        </w:rPr>
      </w:pPr>
      <w:r>
        <w:t>Part 8 — Commencement of this Law and statutory instruments</w:t>
      </w:r>
    </w:p>
    <w:p>
      <w:pPr>
        <w:pStyle w:val="TOC8"/>
        <w:rPr>
          <w:rFonts w:asciiTheme="minorHAnsi" w:eastAsiaTheme="minorEastAsia" w:hAnsiTheme="minorHAnsi" w:cstheme="minorBidi"/>
          <w:szCs w:val="22"/>
        </w:rPr>
      </w:pPr>
      <w:r>
        <w:t>39.</w:t>
      </w:r>
      <w:r>
        <w:tab/>
        <w:t>Time of commencement of this Law or a provision of this Law</w:t>
      </w:r>
      <w:r>
        <w:tab/>
      </w:r>
      <w:r>
        <w:fldChar w:fldCharType="begin"/>
      </w:r>
      <w:r>
        <w:instrText xml:space="preserve"> PAGEREF _Toc536782454 \h </w:instrText>
      </w:r>
      <w:r>
        <w:fldChar w:fldCharType="separate"/>
      </w:r>
      <w:r>
        <w:t>347</w:t>
      </w:r>
      <w:r>
        <w:fldChar w:fldCharType="end"/>
      </w:r>
    </w:p>
    <w:p>
      <w:pPr>
        <w:pStyle w:val="TOC8"/>
        <w:rPr>
          <w:rFonts w:asciiTheme="minorHAnsi" w:eastAsiaTheme="minorEastAsia" w:hAnsiTheme="minorHAnsi" w:cstheme="minorBidi"/>
          <w:szCs w:val="22"/>
        </w:rPr>
      </w:pPr>
      <w:r>
        <w:t>40.</w:t>
      </w:r>
      <w:r>
        <w:tab/>
        <w:t>Time of commencement of a Rule</w:t>
      </w:r>
      <w:r>
        <w:tab/>
      </w:r>
      <w:r>
        <w:fldChar w:fldCharType="begin"/>
      </w:r>
      <w:r>
        <w:instrText xml:space="preserve"> PAGEREF _Toc536782455 \h </w:instrText>
      </w:r>
      <w:r>
        <w:fldChar w:fldCharType="separate"/>
      </w:r>
      <w:r>
        <w:t>347</w:t>
      </w:r>
      <w:r>
        <w:fldChar w:fldCharType="end"/>
      </w:r>
    </w:p>
    <w:p>
      <w:pPr>
        <w:pStyle w:val="TOC4"/>
        <w:tabs>
          <w:tab w:val="right" w:leader="dot" w:pos="7077"/>
        </w:tabs>
        <w:rPr>
          <w:rFonts w:asciiTheme="minorHAnsi" w:eastAsiaTheme="minorEastAsia" w:hAnsiTheme="minorHAnsi" w:cstheme="minorBidi"/>
          <w:b w:val="0"/>
          <w:szCs w:val="22"/>
        </w:rPr>
      </w:pPr>
      <w:r>
        <w:t>Part 9 — Effect of repeal, amendment or expiration</w:t>
      </w:r>
    </w:p>
    <w:p>
      <w:pPr>
        <w:pStyle w:val="TOC8"/>
        <w:rPr>
          <w:rFonts w:asciiTheme="minorHAnsi" w:eastAsiaTheme="minorEastAsia" w:hAnsiTheme="minorHAnsi" w:cstheme="minorBidi"/>
          <w:szCs w:val="22"/>
        </w:rPr>
      </w:pPr>
      <w:r>
        <w:t>41.</w:t>
      </w:r>
      <w:r>
        <w:tab/>
        <w:t>Time of Law, the Regulations or Rules ceasing to have effect</w:t>
      </w:r>
      <w:r>
        <w:tab/>
      </w:r>
      <w:r>
        <w:fldChar w:fldCharType="begin"/>
      </w:r>
      <w:r>
        <w:instrText xml:space="preserve"> PAGEREF _Toc536782457 \h </w:instrText>
      </w:r>
      <w:r>
        <w:fldChar w:fldCharType="separate"/>
      </w:r>
      <w:r>
        <w:t>347</w:t>
      </w:r>
      <w:r>
        <w:fldChar w:fldCharType="end"/>
      </w:r>
    </w:p>
    <w:p>
      <w:pPr>
        <w:pStyle w:val="TOC8"/>
        <w:rPr>
          <w:rFonts w:asciiTheme="minorHAnsi" w:eastAsiaTheme="minorEastAsia" w:hAnsiTheme="minorHAnsi" w:cstheme="minorBidi"/>
          <w:szCs w:val="22"/>
        </w:rPr>
      </w:pPr>
      <w:r>
        <w:t>42.</w:t>
      </w:r>
      <w:r>
        <w:tab/>
        <w:t>Repealed Law, Regulation or Rule provisions not revived</w:t>
      </w:r>
      <w:r>
        <w:tab/>
      </w:r>
      <w:r>
        <w:fldChar w:fldCharType="begin"/>
      </w:r>
      <w:r>
        <w:instrText xml:space="preserve"> PAGEREF _Toc536782458 \h </w:instrText>
      </w:r>
      <w:r>
        <w:fldChar w:fldCharType="separate"/>
      </w:r>
      <w:r>
        <w:t>348</w:t>
      </w:r>
      <w:r>
        <w:fldChar w:fldCharType="end"/>
      </w:r>
    </w:p>
    <w:p>
      <w:pPr>
        <w:pStyle w:val="TOC8"/>
        <w:rPr>
          <w:rFonts w:asciiTheme="minorHAnsi" w:eastAsiaTheme="minorEastAsia" w:hAnsiTheme="minorHAnsi" w:cstheme="minorBidi"/>
          <w:szCs w:val="22"/>
        </w:rPr>
      </w:pPr>
      <w:r>
        <w:t>43.</w:t>
      </w:r>
      <w:r>
        <w:tab/>
        <w:t>Saving of operation of repealed Law, Regulation or Rule provisions</w:t>
      </w:r>
      <w:r>
        <w:tab/>
      </w:r>
      <w:r>
        <w:fldChar w:fldCharType="begin"/>
      </w:r>
      <w:r>
        <w:instrText xml:space="preserve"> PAGEREF _Toc536782459 \h </w:instrText>
      </w:r>
      <w:r>
        <w:fldChar w:fldCharType="separate"/>
      </w:r>
      <w:r>
        <w:t>348</w:t>
      </w:r>
      <w:r>
        <w:fldChar w:fldCharType="end"/>
      </w:r>
    </w:p>
    <w:p>
      <w:pPr>
        <w:pStyle w:val="TOC8"/>
        <w:rPr>
          <w:rFonts w:asciiTheme="minorHAnsi" w:eastAsiaTheme="minorEastAsia" w:hAnsiTheme="minorHAnsi" w:cstheme="minorBidi"/>
          <w:szCs w:val="22"/>
        </w:rPr>
      </w:pPr>
      <w:r>
        <w:t>44.</w:t>
      </w:r>
      <w:r>
        <w:tab/>
        <w:t>Continuance of repealed provisions</w:t>
      </w:r>
      <w:r>
        <w:tab/>
      </w:r>
      <w:r>
        <w:fldChar w:fldCharType="begin"/>
      </w:r>
      <w:r>
        <w:instrText xml:space="preserve"> PAGEREF _Toc536782460 \h </w:instrText>
      </w:r>
      <w:r>
        <w:fldChar w:fldCharType="separate"/>
      </w:r>
      <w:r>
        <w:t>349</w:t>
      </w:r>
      <w:r>
        <w:fldChar w:fldCharType="end"/>
      </w:r>
    </w:p>
    <w:p>
      <w:pPr>
        <w:pStyle w:val="TOC8"/>
        <w:rPr>
          <w:rFonts w:asciiTheme="minorHAnsi" w:eastAsiaTheme="minorEastAsia" w:hAnsiTheme="minorHAnsi" w:cstheme="minorBidi"/>
          <w:szCs w:val="22"/>
        </w:rPr>
      </w:pPr>
      <w:r>
        <w:t>45.</w:t>
      </w:r>
      <w:r>
        <w:tab/>
        <w:t>Law and amending Acts to be read as one</w:t>
      </w:r>
      <w:r>
        <w:tab/>
      </w:r>
      <w:r>
        <w:fldChar w:fldCharType="begin"/>
      </w:r>
      <w:r>
        <w:instrText xml:space="preserve"> PAGEREF _Toc536782461 \h </w:instrText>
      </w:r>
      <w:r>
        <w:fldChar w:fldCharType="separate"/>
      </w:r>
      <w:r>
        <w:t>349</w:t>
      </w:r>
      <w:r>
        <w:fldChar w:fldCharType="end"/>
      </w:r>
    </w:p>
    <w:p>
      <w:pPr>
        <w:pStyle w:val="TOC4"/>
        <w:tabs>
          <w:tab w:val="right" w:leader="dot" w:pos="7077"/>
        </w:tabs>
        <w:rPr>
          <w:rFonts w:asciiTheme="minorHAnsi" w:eastAsiaTheme="minorEastAsia" w:hAnsiTheme="minorHAnsi" w:cstheme="minorBidi"/>
          <w:b w:val="0"/>
          <w:szCs w:val="22"/>
        </w:rPr>
      </w:pPr>
      <w:r>
        <w:t>Part 10 — Offences under this Law</w:t>
      </w:r>
    </w:p>
    <w:p>
      <w:pPr>
        <w:pStyle w:val="TOC8"/>
        <w:rPr>
          <w:rFonts w:asciiTheme="minorHAnsi" w:eastAsiaTheme="minorEastAsia" w:hAnsiTheme="minorHAnsi" w:cstheme="minorBidi"/>
          <w:szCs w:val="22"/>
        </w:rPr>
      </w:pPr>
      <w:r>
        <w:t>46.</w:t>
      </w:r>
      <w:r>
        <w:tab/>
        <w:t>Penalty at foot of provision</w:t>
      </w:r>
      <w:r>
        <w:tab/>
      </w:r>
      <w:r>
        <w:fldChar w:fldCharType="begin"/>
      </w:r>
      <w:r>
        <w:instrText xml:space="preserve"> PAGEREF _Toc536782463 \h </w:instrText>
      </w:r>
      <w:r>
        <w:fldChar w:fldCharType="separate"/>
      </w:r>
      <w:r>
        <w:t>349</w:t>
      </w:r>
      <w:r>
        <w:fldChar w:fldCharType="end"/>
      </w:r>
    </w:p>
    <w:p>
      <w:pPr>
        <w:pStyle w:val="TOC8"/>
        <w:rPr>
          <w:rFonts w:asciiTheme="minorHAnsi" w:eastAsiaTheme="minorEastAsia" w:hAnsiTheme="minorHAnsi" w:cstheme="minorBidi"/>
          <w:szCs w:val="22"/>
        </w:rPr>
      </w:pPr>
      <w:r>
        <w:t>47.</w:t>
      </w:r>
      <w:r>
        <w:tab/>
        <w:t>Penalty other than at foot of provision</w:t>
      </w:r>
      <w:r>
        <w:tab/>
      </w:r>
      <w:r>
        <w:fldChar w:fldCharType="begin"/>
      </w:r>
      <w:r>
        <w:instrText xml:space="preserve"> PAGEREF _Toc536782464 \h </w:instrText>
      </w:r>
      <w:r>
        <w:fldChar w:fldCharType="separate"/>
      </w:r>
      <w:r>
        <w:t>350</w:t>
      </w:r>
      <w:r>
        <w:fldChar w:fldCharType="end"/>
      </w:r>
    </w:p>
    <w:p>
      <w:pPr>
        <w:pStyle w:val="TOC8"/>
        <w:rPr>
          <w:rFonts w:asciiTheme="minorHAnsi" w:eastAsiaTheme="minorEastAsia" w:hAnsiTheme="minorHAnsi" w:cstheme="minorBidi"/>
          <w:szCs w:val="22"/>
        </w:rPr>
      </w:pPr>
      <w:r>
        <w:t>48.</w:t>
      </w:r>
      <w:r>
        <w:tab/>
        <w:t>Indictable offences and summary offences</w:t>
      </w:r>
      <w:r>
        <w:tab/>
      </w:r>
      <w:r>
        <w:fldChar w:fldCharType="begin"/>
      </w:r>
      <w:r>
        <w:instrText xml:space="preserve"> PAGEREF _Toc536782465 \h </w:instrText>
      </w:r>
      <w:r>
        <w:fldChar w:fldCharType="separate"/>
      </w:r>
      <w:r>
        <w:t>350</w:t>
      </w:r>
      <w:r>
        <w:fldChar w:fldCharType="end"/>
      </w:r>
    </w:p>
    <w:p>
      <w:pPr>
        <w:pStyle w:val="TOC8"/>
        <w:rPr>
          <w:rFonts w:asciiTheme="minorHAnsi" w:eastAsiaTheme="minorEastAsia" w:hAnsiTheme="minorHAnsi" w:cstheme="minorBidi"/>
          <w:szCs w:val="22"/>
        </w:rPr>
      </w:pPr>
      <w:r>
        <w:t>49.</w:t>
      </w:r>
      <w:r>
        <w:tab/>
        <w:t>Double jeopardy</w:t>
      </w:r>
      <w:r>
        <w:tab/>
      </w:r>
      <w:r>
        <w:fldChar w:fldCharType="begin"/>
      </w:r>
      <w:r>
        <w:instrText xml:space="preserve"> PAGEREF _Toc536782466 \h </w:instrText>
      </w:r>
      <w:r>
        <w:fldChar w:fldCharType="separate"/>
      </w:r>
      <w:r>
        <w:t>351</w:t>
      </w:r>
      <w:r>
        <w:fldChar w:fldCharType="end"/>
      </w:r>
    </w:p>
    <w:p>
      <w:pPr>
        <w:pStyle w:val="TOC8"/>
        <w:rPr>
          <w:rFonts w:asciiTheme="minorHAnsi" w:eastAsiaTheme="minorEastAsia" w:hAnsiTheme="minorHAnsi" w:cstheme="minorBidi"/>
          <w:szCs w:val="22"/>
        </w:rPr>
      </w:pPr>
      <w:r>
        <w:t>50.</w:t>
      </w:r>
      <w:r>
        <w:tab/>
        <w:t>Attempts and incitement</w:t>
      </w:r>
      <w:r>
        <w:tab/>
      </w:r>
      <w:r>
        <w:fldChar w:fldCharType="begin"/>
      </w:r>
      <w:r>
        <w:instrText xml:space="preserve"> PAGEREF _Toc536782467 \h </w:instrText>
      </w:r>
      <w:r>
        <w:fldChar w:fldCharType="separate"/>
      </w:r>
      <w:r>
        <w:t>352</w:t>
      </w:r>
      <w:r>
        <w:fldChar w:fldCharType="end"/>
      </w:r>
    </w:p>
    <w:p>
      <w:pPr>
        <w:pStyle w:val="TOC4"/>
        <w:tabs>
          <w:tab w:val="right" w:leader="dot" w:pos="7077"/>
        </w:tabs>
        <w:rPr>
          <w:rFonts w:asciiTheme="minorHAnsi" w:eastAsiaTheme="minorEastAsia" w:hAnsiTheme="minorHAnsi" w:cstheme="minorBidi"/>
          <w:b w:val="0"/>
          <w:szCs w:val="22"/>
        </w:rPr>
      </w:pPr>
      <w:r>
        <w:t>Part 11 — Instruments under this Law</w:t>
      </w:r>
    </w:p>
    <w:p>
      <w:pPr>
        <w:pStyle w:val="TOC8"/>
        <w:rPr>
          <w:rFonts w:asciiTheme="minorHAnsi" w:eastAsiaTheme="minorEastAsia" w:hAnsiTheme="minorHAnsi" w:cstheme="minorBidi"/>
          <w:szCs w:val="22"/>
        </w:rPr>
      </w:pPr>
      <w:r>
        <w:t>51.</w:t>
      </w:r>
      <w:r>
        <w:tab/>
        <w:t>Schedule applies to statutory instruments</w:t>
      </w:r>
      <w:r>
        <w:tab/>
      </w:r>
      <w:r>
        <w:fldChar w:fldCharType="begin"/>
      </w:r>
      <w:r>
        <w:instrText xml:space="preserve"> PAGEREF _Toc536782469 \h </w:instrText>
      </w:r>
      <w:r>
        <w:fldChar w:fldCharType="separate"/>
      </w:r>
      <w:r>
        <w:t>352</w:t>
      </w:r>
      <w:r>
        <w:fldChar w:fldCharType="end"/>
      </w:r>
    </w:p>
    <w:p>
      <w:pPr>
        <w:pStyle w:val="TOC8"/>
        <w:rPr>
          <w:rFonts w:asciiTheme="minorHAnsi" w:eastAsiaTheme="minorEastAsia" w:hAnsiTheme="minorHAnsi" w:cstheme="minorBidi"/>
          <w:szCs w:val="22"/>
        </w:rPr>
      </w:pPr>
      <w:r>
        <w:t>52.</w:t>
      </w:r>
      <w:r>
        <w:tab/>
        <w:t>National Gas Rules to be construed so as not to exceed the legislative power of the Legislature of this jurisdiction or the powers conferred by this Law</w:t>
      </w:r>
      <w:r>
        <w:tab/>
      </w:r>
      <w:r>
        <w:fldChar w:fldCharType="begin"/>
      </w:r>
      <w:r>
        <w:instrText xml:space="preserve"> PAGEREF _Toc536782470 \h </w:instrText>
      </w:r>
      <w:r>
        <w:fldChar w:fldCharType="separate"/>
      </w:r>
      <w:r>
        <w:t>353</w:t>
      </w:r>
      <w:r>
        <w:fldChar w:fldCharType="end"/>
      </w:r>
    </w:p>
    <w:p>
      <w:pPr>
        <w:pStyle w:val="TOC8"/>
        <w:rPr>
          <w:rFonts w:asciiTheme="minorHAnsi" w:eastAsiaTheme="minorEastAsia" w:hAnsiTheme="minorHAnsi" w:cstheme="minorBidi"/>
          <w:szCs w:val="22"/>
        </w:rPr>
      </w:pPr>
      <w:r>
        <w:t>53.</w:t>
      </w:r>
      <w:r>
        <w:tab/>
        <w:t>Invalid Rules</w:t>
      </w:r>
      <w:r>
        <w:tab/>
      </w:r>
      <w:r>
        <w:fldChar w:fldCharType="begin"/>
      </w:r>
      <w:r>
        <w:instrText xml:space="preserve"> PAGEREF _Toc536782471 \h </w:instrText>
      </w:r>
      <w:r>
        <w:fldChar w:fldCharType="separate"/>
      </w:r>
      <w:r>
        <w:t>354</w:t>
      </w:r>
      <w:r>
        <w:fldChar w:fldCharType="end"/>
      </w:r>
    </w:p>
    <w:p>
      <w:pPr>
        <w:pStyle w:val="TOC2"/>
        <w:tabs>
          <w:tab w:val="right" w:leader="dot" w:pos="7077"/>
        </w:tabs>
        <w:rPr>
          <w:rFonts w:asciiTheme="minorHAnsi" w:eastAsiaTheme="minorEastAsia" w:hAnsiTheme="minorHAnsi" w:cstheme="minorBidi"/>
          <w:b w:val="0"/>
          <w:sz w:val="22"/>
          <w:szCs w:val="22"/>
        </w:rPr>
      </w:pPr>
      <w:r>
        <w:t>Schedule 3 — Savings and transitionals</w:t>
      </w:r>
    </w:p>
    <w:p>
      <w:pPr>
        <w:pStyle w:val="TOC4"/>
        <w:tabs>
          <w:tab w:val="right" w:leader="dot" w:pos="7077"/>
        </w:tabs>
        <w:rPr>
          <w:rFonts w:asciiTheme="minorHAnsi" w:eastAsiaTheme="minorEastAsia" w:hAnsiTheme="minorHAnsi" w:cstheme="minorBidi"/>
          <w:b w:val="0"/>
          <w:szCs w:val="22"/>
        </w:rPr>
      </w:pPr>
      <w:r>
        <w:t>Part 1 — General</w:t>
      </w:r>
    </w:p>
    <w:p>
      <w:pPr>
        <w:pStyle w:val="TOC8"/>
        <w:rPr>
          <w:rFonts w:asciiTheme="minorHAnsi" w:eastAsiaTheme="minorEastAsia" w:hAnsiTheme="minorHAnsi" w:cstheme="minorBidi"/>
          <w:szCs w:val="22"/>
        </w:rPr>
      </w:pPr>
      <w:r>
        <w:t>1.</w:t>
      </w:r>
      <w:r>
        <w:tab/>
        <w:t>Definitions</w:t>
      </w:r>
      <w:r>
        <w:tab/>
      </w:r>
      <w:r>
        <w:fldChar w:fldCharType="begin"/>
      </w:r>
      <w:r>
        <w:instrText xml:space="preserve"> PAGEREF _Toc536782474 \h </w:instrText>
      </w:r>
      <w:r>
        <w:fldChar w:fldCharType="separate"/>
      </w:r>
      <w:r>
        <w:t>356</w:t>
      </w:r>
      <w:r>
        <w:fldChar w:fldCharType="end"/>
      </w:r>
    </w:p>
    <w:p>
      <w:pPr>
        <w:pStyle w:val="TOC8"/>
        <w:rPr>
          <w:rFonts w:asciiTheme="minorHAnsi" w:eastAsiaTheme="minorEastAsia" w:hAnsiTheme="minorHAnsi" w:cstheme="minorBidi"/>
          <w:szCs w:val="22"/>
        </w:rPr>
      </w:pPr>
      <w:r>
        <w:t>2.</w:t>
      </w:r>
      <w:r>
        <w:tab/>
        <w:t>Schedule subject to jurisdictional transitional arrangements in jurisdictional legislation</w:t>
      </w:r>
      <w:r>
        <w:tab/>
      </w:r>
      <w:r>
        <w:fldChar w:fldCharType="begin"/>
      </w:r>
      <w:r>
        <w:instrText xml:space="preserve"> PAGEREF _Toc536782475 \h </w:instrText>
      </w:r>
      <w:r>
        <w:fldChar w:fldCharType="separate"/>
      </w:r>
      <w:r>
        <w:t>359</w:t>
      </w:r>
      <w:r>
        <w:fldChar w:fldCharType="end"/>
      </w:r>
    </w:p>
    <w:p>
      <w:pPr>
        <w:pStyle w:val="TOC4"/>
        <w:tabs>
          <w:tab w:val="right" w:leader="dot" w:pos="7077"/>
        </w:tabs>
        <w:rPr>
          <w:rFonts w:asciiTheme="minorHAnsi" w:eastAsiaTheme="minorEastAsia" w:hAnsiTheme="minorHAnsi" w:cstheme="minorBidi"/>
          <w:b w:val="0"/>
          <w:szCs w:val="22"/>
        </w:rPr>
      </w:pPr>
      <w:r>
        <w:t>Part 2 — General savings provision</w:t>
      </w:r>
    </w:p>
    <w:p>
      <w:pPr>
        <w:pStyle w:val="TOC8"/>
        <w:rPr>
          <w:rFonts w:asciiTheme="minorHAnsi" w:eastAsiaTheme="minorEastAsia" w:hAnsiTheme="minorHAnsi" w:cstheme="minorBidi"/>
          <w:szCs w:val="22"/>
        </w:rPr>
      </w:pPr>
      <w:r>
        <w:t>3.</w:t>
      </w:r>
      <w:r>
        <w:tab/>
        <w:t>Saving of operation of old access law and Gas Code</w:t>
      </w:r>
      <w:r>
        <w:tab/>
      </w:r>
      <w:r>
        <w:fldChar w:fldCharType="begin"/>
      </w:r>
      <w:r>
        <w:instrText xml:space="preserve"> PAGEREF _Toc536782477 \h </w:instrText>
      </w:r>
      <w:r>
        <w:fldChar w:fldCharType="separate"/>
      </w:r>
      <w:r>
        <w:t>359</w:t>
      </w:r>
      <w:r>
        <w:fldChar w:fldCharType="end"/>
      </w:r>
    </w:p>
    <w:p>
      <w:pPr>
        <w:pStyle w:val="TOC4"/>
        <w:tabs>
          <w:tab w:val="right" w:leader="dot" w:pos="7077"/>
        </w:tabs>
        <w:rPr>
          <w:rFonts w:asciiTheme="minorHAnsi" w:eastAsiaTheme="minorEastAsia" w:hAnsiTheme="minorHAnsi" w:cstheme="minorBidi"/>
          <w:b w:val="0"/>
          <w:szCs w:val="22"/>
        </w:rPr>
      </w:pPr>
      <w:r>
        <w:t>Part 3 — Classification and coverage of pipelines</w:t>
      </w:r>
    </w:p>
    <w:p>
      <w:pPr>
        <w:pStyle w:val="TOC8"/>
        <w:rPr>
          <w:rFonts w:asciiTheme="minorHAnsi" w:eastAsiaTheme="minorEastAsia" w:hAnsiTheme="minorHAnsi" w:cstheme="minorBidi"/>
          <w:szCs w:val="22"/>
        </w:rPr>
      </w:pPr>
      <w:r>
        <w:t>4.</w:t>
      </w:r>
      <w:r>
        <w:tab/>
        <w:t>Pending applications for the classification of pipelines lapse</w:t>
      </w:r>
      <w:r>
        <w:tab/>
      </w:r>
      <w:r>
        <w:fldChar w:fldCharType="begin"/>
      </w:r>
      <w:r>
        <w:instrText xml:space="preserve"> PAGEREF _Toc536782479 \h </w:instrText>
      </w:r>
      <w:r>
        <w:fldChar w:fldCharType="separate"/>
      </w:r>
      <w:r>
        <w:t>360</w:t>
      </w:r>
      <w:r>
        <w:fldChar w:fldCharType="end"/>
      </w:r>
    </w:p>
    <w:p>
      <w:pPr>
        <w:pStyle w:val="TOC8"/>
        <w:rPr>
          <w:rFonts w:asciiTheme="minorHAnsi" w:eastAsiaTheme="minorEastAsia" w:hAnsiTheme="minorHAnsi" w:cstheme="minorBidi"/>
          <w:szCs w:val="22"/>
        </w:rPr>
      </w:pPr>
      <w:r>
        <w:t>5.</w:t>
      </w:r>
      <w:r>
        <w:tab/>
        <w:t>Old scheme coverage determinations</w:t>
      </w:r>
      <w:r>
        <w:tab/>
      </w:r>
      <w:r>
        <w:fldChar w:fldCharType="begin"/>
      </w:r>
      <w:r>
        <w:instrText xml:space="preserve"> PAGEREF _Toc536782480 \h </w:instrText>
      </w:r>
      <w:r>
        <w:fldChar w:fldCharType="separate"/>
      </w:r>
      <w:r>
        <w:t>360</w:t>
      </w:r>
      <w:r>
        <w:fldChar w:fldCharType="end"/>
      </w:r>
    </w:p>
    <w:p>
      <w:pPr>
        <w:pStyle w:val="TOC8"/>
        <w:rPr>
          <w:rFonts w:asciiTheme="minorHAnsi" w:eastAsiaTheme="minorEastAsia" w:hAnsiTheme="minorHAnsi" w:cstheme="minorBidi"/>
          <w:szCs w:val="22"/>
        </w:rPr>
      </w:pPr>
      <w:r>
        <w:t>6.</w:t>
      </w:r>
      <w:r>
        <w:tab/>
        <w:t>Old scheme covered transmission pipelines</w:t>
      </w:r>
      <w:r>
        <w:tab/>
      </w:r>
      <w:r>
        <w:fldChar w:fldCharType="begin"/>
      </w:r>
      <w:r>
        <w:instrText xml:space="preserve"> PAGEREF _Toc536782481 \h </w:instrText>
      </w:r>
      <w:r>
        <w:fldChar w:fldCharType="separate"/>
      </w:r>
      <w:r>
        <w:t>360</w:t>
      </w:r>
      <w:r>
        <w:fldChar w:fldCharType="end"/>
      </w:r>
    </w:p>
    <w:p>
      <w:pPr>
        <w:pStyle w:val="TOC8"/>
        <w:rPr>
          <w:rFonts w:asciiTheme="minorHAnsi" w:eastAsiaTheme="minorEastAsia" w:hAnsiTheme="minorHAnsi" w:cstheme="minorBidi"/>
          <w:szCs w:val="22"/>
        </w:rPr>
      </w:pPr>
      <w:r>
        <w:t>7.</w:t>
      </w:r>
      <w:r>
        <w:tab/>
        <w:t>Old scheme covered distribution pipelines</w:t>
      </w:r>
      <w:r>
        <w:tab/>
      </w:r>
      <w:r>
        <w:fldChar w:fldCharType="begin"/>
      </w:r>
      <w:r>
        <w:instrText xml:space="preserve"> PAGEREF _Toc536782482 \h </w:instrText>
      </w:r>
      <w:r>
        <w:fldChar w:fldCharType="separate"/>
      </w:r>
      <w:r>
        <w:t>360</w:t>
      </w:r>
      <w:r>
        <w:fldChar w:fldCharType="end"/>
      </w:r>
    </w:p>
    <w:p>
      <w:pPr>
        <w:pStyle w:val="TOC8"/>
        <w:rPr>
          <w:rFonts w:asciiTheme="minorHAnsi" w:eastAsiaTheme="minorEastAsia" w:hAnsiTheme="minorHAnsi" w:cstheme="minorBidi"/>
          <w:szCs w:val="22"/>
        </w:rPr>
      </w:pPr>
      <w:r>
        <w:t>8.</w:t>
      </w:r>
      <w:r>
        <w:tab/>
        <w:t>Pending coverage applications under old scheme (before NCC recommendation)</w:t>
      </w:r>
      <w:r>
        <w:tab/>
      </w:r>
      <w:r>
        <w:fldChar w:fldCharType="begin"/>
      </w:r>
      <w:r>
        <w:instrText xml:space="preserve"> PAGEREF _Toc536782483 \h </w:instrText>
      </w:r>
      <w:r>
        <w:fldChar w:fldCharType="separate"/>
      </w:r>
      <w:r>
        <w:t>361</w:t>
      </w:r>
      <w:r>
        <w:fldChar w:fldCharType="end"/>
      </w:r>
    </w:p>
    <w:p>
      <w:pPr>
        <w:pStyle w:val="TOC8"/>
        <w:rPr>
          <w:rFonts w:asciiTheme="minorHAnsi" w:eastAsiaTheme="minorEastAsia" w:hAnsiTheme="minorHAnsi" w:cstheme="minorBidi"/>
          <w:szCs w:val="22"/>
        </w:rPr>
      </w:pPr>
      <w:r>
        <w:t>9.</w:t>
      </w:r>
      <w:r>
        <w:tab/>
        <w:t>Pending relevant Minister decisions in relation to coverage under old scheme</w:t>
      </w:r>
      <w:r>
        <w:tab/>
      </w:r>
      <w:r>
        <w:fldChar w:fldCharType="begin"/>
      </w:r>
      <w:r>
        <w:instrText xml:space="preserve"> PAGEREF _Toc536782484 \h </w:instrText>
      </w:r>
      <w:r>
        <w:fldChar w:fldCharType="separate"/>
      </w:r>
      <w:r>
        <w:t>361</w:t>
      </w:r>
      <w:r>
        <w:fldChar w:fldCharType="end"/>
      </w:r>
    </w:p>
    <w:p>
      <w:pPr>
        <w:pStyle w:val="TOC8"/>
        <w:rPr>
          <w:rFonts w:asciiTheme="minorHAnsi" w:eastAsiaTheme="minorEastAsia" w:hAnsiTheme="minorHAnsi" w:cstheme="minorBidi"/>
          <w:szCs w:val="22"/>
        </w:rPr>
      </w:pPr>
      <w:r>
        <w:t>10.</w:t>
      </w:r>
      <w:r>
        <w:tab/>
        <w:t>Pending relevant Minister decisions in relation to coverage that are reviewed under old scheme</w:t>
      </w:r>
      <w:r>
        <w:tab/>
      </w:r>
      <w:r>
        <w:fldChar w:fldCharType="begin"/>
      </w:r>
      <w:r>
        <w:instrText xml:space="preserve"> PAGEREF _Toc536782485 \h </w:instrText>
      </w:r>
      <w:r>
        <w:fldChar w:fldCharType="separate"/>
      </w:r>
      <w:r>
        <w:t>362</w:t>
      </w:r>
      <w:r>
        <w:fldChar w:fldCharType="end"/>
      </w:r>
    </w:p>
    <w:p>
      <w:pPr>
        <w:pStyle w:val="TOC8"/>
        <w:rPr>
          <w:rFonts w:asciiTheme="minorHAnsi" w:eastAsiaTheme="minorEastAsia" w:hAnsiTheme="minorHAnsi" w:cstheme="minorBidi"/>
          <w:szCs w:val="22"/>
        </w:rPr>
      </w:pPr>
      <w:r>
        <w:t>11.</w:t>
      </w:r>
      <w:r>
        <w:tab/>
        <w:t>Pending old scheme coverage determinations where no applications for review under old scheme</w:t>
      </w:r>
      <w:r>
        <w:tab/>
      </w:r>
      <w:r>
        <w:fldChar w:fldCharType="begin"/>
      </w:r>
      <w:r>
        <w:instrText xml:space="preserve"> PAGEREF _Toc536782486 \h </w:instrText>
      </w:r>
      <w:r>
        <w:fldChar w:fldCharType="separate"/>
      </w:r>
      <w:r>
        <w:t>364</w:t>
      </w:r>
      <w:r>
        <w:fldChar w:fldCharType="end"/>
      </w:r>
    </w:p>
    <w:p>
      <w:pPr>
        <w:pStyle w:val="TOC8"/>
        <w:rPr>
          <w:rFonts w:asciiTheme="minorHAnsi" w:eastAsiaTheme="minorEastAsia" w:hAnsiTheme="minorHAnsi" w:cstheme="minorBidi"/>
          <w:szCs w:val="22"/>
        </w:rPr>
      </w:pPr>
      <w:r>
        <w:t>12.</w:t>
      </w:r>
      <w:r>
        <w:tab/>
        <w:t>Pending old scheme coverage determinations where applications for review under old scheme on foot</w:t>
      </w:r>
      <w:r>
        <w:tab/>
      </w:r>
      <w:r>
        <w:fldChar w:fldCharType="begin"/>
      </w:r>
      <w:r>
        <w:instrText xml:space="preserve"> PAGEREF _Toc536782487 \h </w:instrText>
      </w:r>
      <w:r>
        <w:fldChar w:fldCharType="separate"/>
      </w:r>
      <w:r>
        <w:t>364</w:t>
      </w:r>
      <w:r>
        <w:fldChar w:fldCharType="end"/>
      </w:r>
    </w:p>
    <w:p>
      <w:pPr>
        <w:pStyle w:val="TOC8"/>
        <w:rPr>
          <w:rFonts w:asciiTheme="minorHAnsi" w:eastAsiaTheme="minorEastAsia" w:hAnsiTheme="minorHAnsi" w:cstheme="minorBidi"/>
          <w:szCs w:val="22"/>
        </w:rPr>
      </w:pPr>
      <w:r>
        <w:t>13.</w:t>
      </w:r>
      <w:r>
        <w:tab/>
        <w:t>Pending old scheme no</w:t>
      </w:r>
      <w:r>
        <w:noBreakHyphen/>
        <w:t>coverage determinations where no applications for review under old scheme</w:t>
      </w:r>
      <w:r>
        <w:tab/>
      </w:r>
      <w:r>
        <w:fldChar w:fldCharType="begin"/>
      </w:r>
      <w:r>
        <w:instrText xml:space="preserve"> PAGEREF _Toc536782488 \h </w:instrText>
      </w:r>
      <w:r>
        <w:fldChar w:fldCharType="separate"/>
      </w:r>
      <w:r>
        <w:t>365</w:t>
      </w:r>
      <w:r>
        <w:fldChar w:fldCharType="end"/>
      </w:r>
    </w:p>
    <w:p>
      <w:pPr>
        <w:pStyle w:val="TOC8"/>
        <w:rPr>
          <w:rFonts w:asciiTheme="minorHAnsi" w:eastAsiaTheme="minorEastAsia" w:hAnsiTheme="minorHAnsi" w:cstheme="minorBidi"/>
          <w:szCs w:val="22"/>
        </w:rPr>
      </w:pPr>
      <w:r>
        <w:t>14.</w:t>
      </w:r>
      <w:r>
        <w:tab/>
        <w:t>Pending old scheme no</w:t>
      </w:r>
      <w:r>
        <w:noBreakHyphen/>
        <w:t>coverage determinations where applications for review under old scheme on foot</w:t>
      </w:r>
      <w:r>
        <w:tab/>
      </w:r>
      <w:r>
        <w:fldChar w:fldCharType="begin"/>
      </w:r>
      <w:r>
        <w:instrText xml:space="preserve"> PAGEREF _Toc536782489 \h </w:instrText>
      </w:r>
      <w:r>
        <w:fldChar w:fldCharType="separate"/>
      </w:r>
      <w:r>
        <w:t>366</w:t>
      </w:r>
      <w:r>
        <w:fldChar w:fldCharType="end"/>
      </w:r>
    </w:p>
    <w:p>
      <w:pPr>
        <w:pStyle w:val="TOC8"/>
        <w:rPr>
          <w:rFonts w:asciiTheme="minorHAnsi" w:eastAsiaTheme="minorEastAsia" w:hAnsiTheme="minorHAnsi" w:cstheme="minorBidi"/>
          <w:szCs w:val="22"/>
        </w:rPr>
      </w:pPr>
      <w:r>
        <w:t>15.</w:t>
      </w:r>
      <w:r>
        <w:tab/>
        <w:t>Pending coverage revocation applications under old scheme (before NCC recommendation)</w:t>
      </w:r>
      <w:r>
        <w:tab/>
      </w:r>
      <w:r>
        <w:fldChar w:fldCharType="begin"/>
      </w:r>
      <w:r>
        <w:instrText xml:space="preserve"> PAGEREF _Toc536782490 \h </w:instrText>
      </w:r>
      <w:r>
        <w:fldChar w:fldCharType="separate"/>
      </w:r>
      <w:r>
        <w:t>367</w:t>
      </w:r>
      <w:r>
        <w:fldChar w:fldCharType="end"/>
      </w:r>
    </w:p>
    <w:p>
      <w:pPr>
        <w:pStyle w:val="TOC8"/>
        <w:rPr>
          <w:rFonts w:asciiTheme="minorHAnsi" w:eastAsiaTheme="minorEastAsia" w:hAnsiTheme="minorHAnsi" w:cstheme="minorBidi"/>
          <w:szCs w:val="22"/>
        </w:rPr>
      </w:pPr>
      <w:r>
        <w:t>16.</w:t>
      </w:r>
      <w:r>
        <w:tab/>
        <w:t>Pending relevant Minister decisions in relation to coverage revocation under old scheme</w:t>
      </w:r>
      <w:r>
        <w:tab/>
      </w:r>
      <w:r>
        <w:fldChar w:fldCharType="begin"/>
      </w:r>
      <w:r>
        <w:instrText xml:space="preserve"> PAGEREF _Toc536782491 \h </w:instrText>
      </w:r>
      <w:r>
        <w:fldChar w:fldCharType="separate"/>
      </w:r>
      <w:r>
        <w:t>367</w:t>
      </w:r>
      <w:r>
        <w:fldChar w:fldCharType="end"/>
      </w:r>
    </w:p>
    <w:p>
      <w:pPr>
        <w:pStyle w:val="TOC8"/>
        <w:rPr>
          <w:rFonts w:asciiTheme="minorHAnsi" w:eastAsiaTheme="minorEastAsia" w:hAnsiTheme="minorHAnsi" w:cstheme="minorBidi"/>
          <w:szCs w:val="22"/>
        </w:rPr>
      </w:pPr>
      <w:r>
        <w:t>17.</w:t>
      </w:r>
      <w:r>
        <w:tab/>
        <w:t>Pending relevant Minister decisions in relation to coverage revocation that are reviewed under old scheme</w:t>
      </w:r>
      <w:r>
        <w:tab/>
      </w:r>
      <w:r>
        <w:fldChar w:fldCharType="begin"/>
      </w:r>
      <w:r>
        <w:instrText xml:space="preserve"> PAGEREF _Toc536782492 \h </w:instrText>
      </w:r>
      <w:r>
        <w:fldChar w:fldCharType="separate"/>
      </w:r>
      <w:r>
        <w:t>368</w:t>
      </w:r>
      <w:r>
        <w:fldChar w:fldCharType="end"/>
      </w:r>
    </w:p>
    <w:p>
      <w:pPr>
        <w:pStyle w:val="TOC8"/>
        <w:rPr>
          <w:rFonts w:asciiTheme="minorHAnsi" w:eastAsiaTheme="minorEastAsia" w:hAnsiTheme="minorHAnsi" w:cstheme="minorBidi"/>
          <w:szCs w:val="22"/>
        </w:rPr>
      </w:pPr>
      <w:r>
        <w:t>18.</w:t>
      </w:r>
      <w:r>
        <w:tab/>
        <w:t>Pending old scheme coverage revocation determinations where no applications for review under old scheme</w:t>
      </w:r>
      <w:r>
        <w:tab/>
      </w:r>
      <w:r>
        <w:fldChar w:fldCharType="begin"/>
      </w:r>
      <w:r>
        <w:instrText xml:space="preserve"> PAGEREF _Toc536782493 \h </w:instrText>
      </w:r>
      <w:r>
        <w:fldChar w:fldCharType="separate"/>
      </w:r>
      <w:r>
        <w:t>370</w:t>
      </w:r>
      <w:r>
        <w:fldChar w:fldCharType="end"/>
      </w:r>
    </w:p>
    <w:p>
      <w:pPr>
        <w:pStyle w:val="TOC8"/>
        <w:rPr>
          <w:rFonts w:asciiTheme="minorHAnsi" w:eastAsiaTheme="minorEastAsia" w:hAnsiTheme="minorHAnsi" w:cstheme="minorBidi"/>
          <w:szCs w:val="22"/>
        </w:rPr>
      </w:pPr>
      <w:r>
        <w:t>19.</w:t>
      </w:r>
      <w:r>
        <w:tab/>
        <w:t>Pending old scheme coverage revocation determinations where applications for review under old scheme on foot</w:t>
      </w:r>
      <w:r>
        <w:tab/>
      </w:r>
      <w:r>
        <w:fldChar w:fldCharType="begin"/>
      </w:r>
      <w:r>
        <w:instrText xml:space="preserve"> PAGEREF _Toc536782494 \h </w:instrText>
      </w:r>
      <w:r>
        <w:fldChar w:fldCharType="separate"/>
      </w:r>
      <w:r>
        <w:t>371</w:t>
      </w:r>
      <w:r>
        <w:fldChar w:fldCharType="end"/>
      </w:r>
    </w:p>
    <w:p>
      <w:pPr>
        <w:pStyle w:val="TOC8"/>
        <w:rPr>
          <w:rFonts w:asciiTheme="minorHAnsi" w:eastAsiaTheme="minorEastAsia" w:hAnsiTheme="minorHAnsi" w:cstheme="minorBidi"/>
          <w:szCs w:val="22"/>
        </w:rPr>
      </w:pPr>
      <w:r>
        <w:t>20.</w:t>
      </w:r>
      <w:r>
        <w:tab/>
        <w:t>Pending old scheme coverage non</w:t>
      </w:r>
      <w:r>
        <w:noBreakHyphen/>
        <w:t>revocation determinations where no applications for review under old scheme</w:t>
      </w:r>
      <w:r>
        <w:tab/>
      </w:r>
      <w:r>
        <w:fldChar w:fldCharType="begin"/>
      </w:r>
      <w:r>
        <w:instrText xml:space="preserve"> PAGEREF _Toc536782495 \h </w:instrText>
      </w:r>
      <w:r>
        <w:fldChar w:fldCharType="separate"/>
      </w:r>
      <w:r>
        <w:t>372</w:t>
      </w:r>
      <w:r>
        <w:fldChar w:fldCharType="end"/>
      </w:r>
    </w:p>
    <w:p>
      <w:pPr>
        <w:pStyle w:val="TOC8"/>
        <w:rPr>
          <w:rFonts w:asciiTheme="minorHAnsi" w:eastAsiaTheme="minorEastAsia" w:hAnsiTheme="minorHAnsi" w:cstheme="minorBidi"/>
          <w:szCs w:val="22"/>
        </w:rPr>
      </w:pPr>
      <w:r>
        <w:t>21.</w:t>
      </w:r>
      <w:r>
        <w:tab/>
        <w:t>Pending old scheme coverage non</w:t>
      </w:r>
      <w:r>
        <w:noBreakHyphen/>
        <w:t>revocation determinations where applications for review under old scheme on foot</w:t>
      </w:r>
      <w:r>
        <w:tab/>
      </w:r>
      <w:r>
        <w:fldChar w:fldCharType="begin"/>
      </w:r>
      <w:r>
        <w:instrText xml:space="preserve"> PAGEREF _Toc536782496 \h </w:instrText>
      </w:r>
      <w:r>
        <w:fldChar w:fldCharType="separate"/>
      </w:r>
      <w:r>
        <w:t>372</w:t>
      </w:r>
      <w:r>
        <w:fldChar w:fldCharType="end"/>
      </w:r>
    </w:p>
    <w:p>
      <w:pPr>
        <w:pStyle w:val="TOC8"/>
        <w:rPr>
          <w:rFonts w:asciiTheme="minorHAnsi" w:eastAsiaTheme="minorEastAsia" w:hAnsiTheme="minorHAnsi" w:cstheme="minorBidi"/>
          <w:szCs w:val="22"/>
        </w:rPr>
      </w:pPr>
      <w:r>
        <w:t>22.</w:t>
      </w:r>
      <w:r>
        <w:tab/>
        <w:t>Binding no</w:t>
      </w:r>
      <w:r>
        <w:noBreakHyphen/>
        <w:t>coverage determinations</w:t>
      </w:r>
      <w:r>
        <w:tab/>
      </w:r>
      <w:r>
        <w:fldChar w:fldCharType="begin"/>
      </w:r>
      <w:r>
        <w:instrText xml:space="preserve"> PAGEREF _Toc536782497 \h </w:instrText>
      </w:r>
      <w:r>
        <w:fldChar w:fldCharType="separate"/>
      </w:r>
      <w:r>
        <w:t>374</w:t>
      </w:r>
      <w:r>
        <w:fldChar w:fldCharType="end"/>
      </w:r>
    </w:p>
    <w:p>
      <w:pPr>
        <w:pStyle w:val="TOC8"/>
        <w:rPr>
          <w:rFonts w:asciiTheme="minorHAnsi" w:eastAsiaTheme="minorEastAsia" w:hAnsiTheme="minorHAnsi" w:cstheme="minorBidi"/>
          <w:szCs w:val="22"/>
        </w:rPr>
      </w:pPr>
      <w:r>
        <w:t>23.</w:t>
      </w:r>
      <w:r>
        <w:tab/>
        <w:t>Pending applications for binding no</w:t>
      </w:r>
      <w:r>
        <w:noBreakHyphen/>
        <w:t>coverage determinations (before NCC recommendation)</w:t>
      </w:r>
      <w:r>
        <w:tab/>
      </w:r>
      <w:r>
        <w:fldChar w:fldCharType="begin"/>
      </w:r>
      <w:r>
        <w:instrText xml:space="preserve"> PAGEREF _Toc536782498 \h </w:instrText>
      </w:r>
      <w:r>
        <w:fldChar w:fldCharType="separate"/>
      </w:r>
      <w:r>
        <w:t>374</w:t>
      </w:r>
      <w:r>
        <w:fldChar w:fldCharType="end"/>
      </w:r>
    </w:p>
    <w:p>
      <w:pPr>
        <w:pStyle w:val="TOC8"/>
        <w:rPr>
          <w:rFonts w:asciiTheme="minorHAnsi" w:eastAsiaTheme="minorEastAsia" w:hAnsiTheme="minorHAnsi" w:cstheme="minorBidi"/>
          <w:szCs w:val="22"/>
        </w:rPr>
      </w:pPr>
      <w:r>
        <w:t>24.</w:t>
      </w:r>
      <w:r>
        <w:tab/>
        <w:t>Pending relevant Minister decisions for binding no</w:t>
      </w:r>
      <w:r>
        <w:noBreakHyphen/>
        <w:t>coverage determinations under old scheme</w:t>
      </w:r>
      <w:r>
        <w:tab/>
      </w:r>
      <w:r>
        <w:fldChar w:fldCharType="begin"/>
      </w:r>
      <w:r>
        <w:instrText xml:space="preserve"> PAGEREF _Toc536782499 \h </w:instrText>
      </w:r>
      <w:r>
        <w:fldChar w:fldCharType="separate"/>
      </w:r>
      <w:r>
        <w:t>374</w:t>
      </w:r>
      <w:r>
        <w:fldChar w:fldCharType="end"/>
      </w:r>
    </w:p>
    <w:p>
      <w:pPr>
        <w:pStyle w:val="TOC8"/>
        <w:rPr>
          <w:rFonts w:asciiTheme="minorHAnsi" w:eastAsiaTheme="minorEastAsia" w:hAnsiTheme="minorHAnsi" w:cstheme="minorBidi"/>
          <w:szCs w:val="22"/>
        </w:rPr>
      </w:pPr>
      <w:r>
        <w:t>25.</w:t>
      </w:r>
      <w:r>
        <w:tab/>
        <w:t>Pending relevant Minister decisions in relation to binding no</w:t>
      </w:r>
      <w:r>
        <w:noBreakHyphen/>
        <w:t>coverage determinations that are reviewed under old scheme</w:t>
      </w:r>
      <w:r>
        <w:tab/>
      </w:r>
      <w:r>
        <w:fldChar w:fldCharType="begin"/>
      </w:r>
      <w:r>
        <w:instrText xml:space="preserve"> PAGEREF _Toc536782500 \h </w:instrText>
      </w:r>
      <w:r>
        <w:fldChar w:fldCharType="separate"/>
      </w:r>
      <w:r>
        <w:t>375</w:t>
      </w:r>
      <w:r>
        <w:fldChar w:fldCharType="end"/>
      </w:r>
    </w:p>
    <w:p>
      <w:pPr>
        <w:pStyle w:val="TOC4"/>
        <w:tabs>
          <w:tab w:val="right" w:leader="dot" w:pos="7077"/>
        </w:tabs>
        <w:rPr>
          <w:rFonts w:asciiTheme="minorHAnsi" w:eastAsiaTheme="minorEastAsia" w:hAnsiTheme="minorHAnsi" w:cstheme="minorBidi"/>
          <w:b w:val="0"/>
          <w:szCs w:val="22"/>
        </w:rPr>
      </w:pPr>
      <w:r>
        <w:t>Part 4 — Access arrangements</w:t>
      </w:r>
    </w:p>
    <w:p>
      <w:pPr>
        <w:pStyle w:val="TOC8"/>
        <w:rPr>
          <w:rFonts w:asciiTheme="minorHAnsi" w:eastAsiaTheme="minorEastAsia" w:hAnsiTheme="minorHAnsi" w:cstheme="minorBidi"/>
          <w:szCs w:val="22"/>
        </w:rPr>
      </w:pPr>
      <w:r>
        <w:t>26.</w:t>
      </w:r>
      <w:r>
        <w:tab/>
        <w:t>Current access arrangements (other than old scheme limited access arrangements)</w:t>
      </w:r>
      <w:r>
        <w:tab/>
      </w:r>
      <w:r>
        <w:fldChar w:fldCharType="begin"/>
      </w:r>
      <w:r>
        <w:instrText xml:space="preserve"> PAGEREF _Toc536782502 \h </w:instrText>
      </w:r>
      <w:r>
        <w:fldChar w:fldCharType="separate"/>
      </w:r>
      <w:r>
        <w:t>377</w:t>
      </w:r>
      <w:r>
        <w:fldChar w:fldCharType="end"/>
      </w:r>
    </w:p>
    <w:p>
      <w:pPr>
        <w:pStyle w:val="TOC8"/>
        <w:rPr>
          <w:rFonts w:asciiTheme="minorHAnsi" w:eastAsiaTheme="minorEastAsia" w:hAnsiTheme="minorHAnsi" w:cstheme="minorBidi"/>
          <w:szCs w:val="22"/>
        </w:rPr>
      </w:pPr>
      <w:r>
        <w:t>27.</w:t>
      </w:r>
      <w:r>
        <w:tab/>
        <w:t>Old scheme limited access arrangements</w:t>
      </w:r>
      <w:r>
        <w:tab/>
      </w:r>
      <w:r>
        <w:fldChar w:fldCharType="begin"/>
      </w:r>
      <w:r>
        <w:instrText xml:space="preserve"> PAGEREF _Toc536782503 \h </w:instrText>
      </w:r>
      <w:r>
        <w:fldChar w:fldCharType="separate"/>
      </w:r>
      <w:r>
        <w:t>377</w:t>
      </w:r>
      <w:r>
        <w:fldChar w:fldCharType="end"/>
      </w:r>
    </w:p>
    <w:p>
      <w:pPr>
        <w:pStyle w:val="TOC8"/>
        <w:rPr>
          <w:rFonts w:asciiTheme="minorHAnsi" w:eastAsiaTheme="minorEastAsia" w:hAnsiTheme="minorHAnsi" w:cstheme="minorBidi"/>
          <w:szCs w:val="22"/>
        </w:rPr>
      </w:pPr>
      <w:r>
        <w:t>28.</w:t>
      </w:r>
      <w:r>
        <w:tab/>
        <w:t>Access arrangements submitted but not approved or rejected before repeal of old scheme</w:t>
      </w:r>
      <w:r>
        <w:tab/>
      </w:r>
      <w:r>
        <w:fldChar w:fldCharType="begin"/>
      </w:r>
      <w:r>
        <w:instrText xml:space="preserve"> PAGEREF _Toc536782504 \h </w:instrText>
      </w:r>
      <w:r>
        <w:fldChar w:fldCharType="separate"/>
      </w:r>
      <w:r>
        <w:t>378</w:t>
      </w:r>
      <w:r>
        <w:fldChar w:fldCharType="end"/>
      </w:r>
    </w:p>
    <w:p>
      <w:pPr>
        <w:pStyle w:val="TOC8"/>
        <w:rPr>
          <w:rFonts w:asciiTheme="minorHAnsi" w:eastAsiaTheme="minorEastAsia" w:hAnsiTheme="minorHAnsi" w:cstheme="minorBidi"/>
          <w:szCs w:val="22"/>
        </w:rPr>
      </w:pPr>
      <w:r>
        <w:t>29.</w:t>
      </w:r>
      <w:r>
        <w:tab/>
        <w:t>Access arrangement revisions submitted but not approved or rejected before repeal of old scheme</w:t>
      </w:r>
      <w:r>
        <w:tab/>
      </w:r>
      <w:r>
        <w:fldChar w:fldCharType="begin"/>
      </w:r>
      <w:r>
        <w:instrText xml:space="preserve"> PAGEREF _Toc536782505 \h </w:instrText>
      </w:r>
      <w:r>
        <w:fldChar w:fldCharType="separate"/>
      </w:r>
      <w:r>
        <w:t>379</w:t>
      </w:r>
      <w:r>
        <w:fldChar w:fldCharType="end"/>
      </w:r>
    </w:p>
    <w:p>
      <w:pPr>
        <w:pStyle w:val="TOC8"/>
        <w:rPr>
          <w:rFonts w:asciiTheme="minorHAnsi" w:eastAsiaTheme="minorEastAsia" w:hAnsiTheme="minorHAnsi" w:cstheme="minorBidi"/>
          <w:szCs w:val="22"/>
        </w:rPr>
      </w:pPr>
      <w:r>
        <w:t>30.</w:t>
      </w:r>
      <w:r>
        <w:tab/>
        <w:t>Certain provisions of the Gas Code to continue to apply to current and proposed access arrangements</w:t>
      </w:r>
      <w:r>
        <w:tab/>
      </w:r>
      <w:r>
        <w:fldChar w:fldCharType="begin"/>
      </w:r>
      <w:r>
        <w:instrText xml:space="preserve"> PAGEREF _Toc536782506 \h </w:instrText>
      </w:r>
      <w:r>
        <w:fldChar w:fldCharType="separate"/>
      </w:r>
      <w:r>
        <w:t>380</w:t>
      </w:r>
      <w:r>
        <w:fldChar w:fldCharType="end"/>
      </w:r>
    </w:p>
    <w:p>
      <w:pPr>
        <w:pStyle w:val="TOC8"/>
        <w:rPr>
          <w:rFonts w:asciiTheme="minorHAnsi" w:eastAsiaTheme="minorEastAsia" w:hAnsiTheme="minorHAnsi" w:cstheme="minorBidi"/>
          <w:szCs w:val="22"/>
        </w:rPr>
      </w:pPr>
      <w:r>
        <w:t>31.</w:t>
      </w:r>
      <w:r>
        <w:tab/>
        <w:t>Certain decisions relating to certain access arrangements are reviewable regulatory decisions for purposes of Chapter 8 Part 5 of the Law</w:t>
      </w:r>
      <w:r>
        <w:tab/>
      </w:r>
      <w:r>
        <w:fldChar w:fldCharType="begin"/>
      </w:r>
      <w:r>
        <w:instrText xml:space="preserve"> PAGEREF _Toc536782507 \h </w:instrText>
      </w:r>
      <w:r>
        <w:fldChar w:fldCharType="separate"/>
      </w:r>
      <w:r>
        <w:t>381</w:t>
      </w:r>
      <w:r>
        <w:fldChar w:fldCharType="end"/>
      </w:r>
    </w:p>
    <w:p>
      <w:pPr>
        <w:pStyle w:val="TOC8"/>
        <w:rPr>
          <w:rFonts w:asciiTheme="minorHAnsi" w:eastAsiaTheme="minorEastAsia" w:hAnsiTheme="minorHAnsi" w:cstheme="minorBidi"/>
          <w:szCs w:val="22"/>
        </w:rPr>
      </w:pPr>
      <w:r>
        <w:t>32.</w:t>
      </w:r>
      <w:r>
        <w:tab/>
        <w:t>Limited access arrangements submitted but not approved before repeal of old scheme</w:t>
      </w:r>
      <w:r>
        <w:tab/>
      </w:r>
      <w:r>
        <w:fldChar w:fldCharType="begin"/>
      </w:r>
      <w:r>
        <w:instrText xml:space="preserve"> PAGEREF _Toc536782508 \h </w:instrText>
      </w:r>
      <w:r>
        <w:fldChar w:fldCharType="separate"/>
      </w:r>
      <w:r>
        <w:t>382</w:t>
      </w:r>
      <w:r>
        <w:fldChar w:fldCharType="end"/>
      </w:r>
    </w:p>
    <w:p>
      <w:pPr>
        <w:pStyle w:val="TOC8"/>
        <w:rPr>
          <w:rFonts w:asciiTheme="minorHAnsi" w:eastAsiaTheme="minorEastAsia" w:hAnsiTheme="minorHAnsi" w:cstheme="minorBidi"/>
          <w:szCs w:val="22"/>
        </w:rPr>
      </w:pPr>
      <w:r>
        <w:t>33.</w:t>
      </w:r>
      <w:r>
        <w:tab/>
        <w:t>Extensions and expansions policies</w:t>
      </w:r>
      <w:r>
        <w:tab/>
      </w:r>
      <w:r>
        <w:fldChar w:fldCharType="begin"/>
      </w:r>
      <w:r>
        <w:instrText xml:space="preserve"> PAGEREF _Toc536782509 \h </w:instrText>
      </w:r>
      <w:r>
        <w:fldChar w:fldCharType="separate"/>
      </w:r>
      <w:r>
        <w:t>383</w:t>
      </w:r>
      <w:r>
        <w:fldChar w:fldCharType="end"/>
      </w:r>
    </w:p>
    <w:p>
      <w:pPr>
        <w:pStyle w:val="TOC8"/>
        <w:rPr>
          <w:rFonts w:asciiTheme="minorHAnsi" w:eastAsiaTheme="minorEastAsia" w:hAnsiTheme="minorHAnsi" w:cstheme="minorBidi"/>
          <w:szCs w:val="22"/>
        </w:rPr>
      </w:pPr>
      <w:r>
        <w:t>34.</w:t>
      </w:r>
      <w:r>
        <w:tab/>
        <w:t>Queuing policies</w:t>
      </w:r>
      <w:r>
        <w:tab/>
      </w:r>
      <w:r>
        <w:fldChar w:fldCharType="begin"/>
      </w:r>
      <w:r>
        <w:instrText xml:space="preserve"> PAGEREF _Toc536782510 \h </w:instrText>
      </w:r>
      <w:r>
        <w:fldChar w:fldCharType="separate"/>
      </w:r>
      <w:r>
        <w:t>383</w:t>
      </w:r>
      <w:r>
        <w:fldChar w:fldCharType="end"/>
      </w:r>
    </w:p>
    <w:p>
      <w:pPr>
        <w:pStyle w:val="TOC4"/>
        <w:tabs>
          <w:tab w:val="right" w:leader="dot" w:pos="7077"/>
        </w:tabs>
        <w:rPr>
          <w:rFonts w:asciiTheme="minorHAnsi" w:eastAsiaTheme="minorEastAsia" w:hAnsiTheme="minorHAnsi" w:cstheme="minorBidi"/>
          <w:b w:val="0"/>
          <w:szCs w:val="22"/>
        </w:rPr>
      </w:pPr>
      <w:r>
        <w:t>Part 5 — Price regulation exemptions</w:t>
      </w:r>
    </w:p>
    <w:p>
      <w:pPr>
        <w:pStyle w:val="TOC8"/>
        <w:rPr>
          <w:rFonts w:asciiTheme="minorHAnsi" w:eastAsiaTheme="minorEastAsia" w:hAnsiTheme="minorHAnsi" w:cstheme="minorBidi"/>
          <w:szCs w:val="22"/>
        </w:rPr>
      </w:pPr>
      <w:r>
        <w:t>35.</w:t>
      </w:r>
      <w:r>
        <w:tab/>
        <w:t>Old scheme price regulation exemptions</w:t>
      </w:r>
      <w:r>
        <w:tab/>
      </w:r>
      <w:r>
        <w:fldChar w:fldCharType="begin"/>
      </w:r>
      <w:r>
        <w:instrText xml:space="preserve"> PAGEREF _Toc536782512 \h </w:instrText>
      </w:r>
      <w:r>
        <w:fldChar w:fldCharType="separate"/>
      </w:r>
      <w:r>
        <w:t>383</w:t>
      </w:r>
      <w:r>
        <w:fldChar w:fldCharType="end"/>
      </w:r>
    </w:p>
    <w:p>
      <w:pPr>
        <w:pStyle w:val="TOC8"/>
        <w:rPr>
          <w:rFonts w:asciiTheme="minorHAnsi" w:eastAsiaTheme="minorEastAsia" w:hAnsiTheme="minorHAnsi" w:cstheme="minorBidi"/>
          <w:szCs w:val="22"/>
        </w:rPr>
      </w:pPr>
      <w:r>
        <w:t>36.</w:t>
      </w:r>
      <w:r>
        <w:tab/>
        <w:t>Pending applications for price regulation exemptions</w:t>
      </w:r>
      <w:r>
        <w:tab/>
      </w:r>
      <w:r>
        <w:fldChar w:fldCharType="begin"/>
      </w:r>
      <w:r>
        <w:instrText xml:space="preserve"> PAGEREF _Toc536782513 \h </w:instrText>
      </w:r>
      <w:r>
        <w:fldChar w:fldCharType="separate"/>
      </w:r>
      <w:r>
        <w:t>383</w:t>
      </w:r>
      <w:r>
        <w:fldChar w:fldCharType="end"/>
      </w:r>
    </w:p>
    <w:p>
      <w:pPr>
        <w:pStyle w:val="TOC8"/>
        <w:rPr>
          <w:rFonts w:asciiTheme="minorHAnsi" w:eastAsiaTheme="minorEastAsia" w:hAnsiTheme="minorHAnsi" w:cstheme="minorBidi"/>
          <w:szCs w:val="22"/>
        </w:rPr>
      </w:pPr>
      <w:r>
        <w:t>37.</w:t>
      </w:r>
      <w:r>
        <w:tab/>
        <w:t>Pending Commonwealth Minister decisions for price regulation exemptions</w:t>
      </w:r>
      <w:r>
        <w:tab/>
      </w:r>
      <w:r>
        <w:fldChar w:fldCharType="begin"/>
      </w:r>
      <w:r>
        <w:instrText xml:space="preserve"> PAGEREF _Toc536782514 \h </w:instrText>
      </w:r>
      <w:r>
        <w:fldChar w:fldCharType="separate"/>
      </w:r>
      <w:r>
        <w:t>384</w:t>
      </w:r>
      <w:r>
        <w:fldChar w:fldCharType="end"/>
      </w:r>
    </w:p>
    <w:p>
      <w:pPr>
        <w:pStyle w:val="TOC4"/>
        <w:tabs>
          <w:tab w:val="right" w:leader="dot" w:pos="7077"/>
        </w:tabs>
        <w:rPr>
          <w:rFonts w:asciiTheme="minorHAnsi" w:eastAsiaTheme="minorEastAsia" w:hAnsiTheme="minorHAnsi" w:cstheme="minorBidi"/>
          <w:b w:val="0"/>
          <w:szCs w:val="22"/>
        </w:rPr>
      </w:pPr>
      <w:r>
        <w:t>Part 6 — Structural and operational separation (ring fencing)</w:t>
      </w:r>
    </w:p>
    <w:p>
      <w:pPr>
        <w:pStyle w:val="TOC8"/>
        <w:rPr>
          <w:rFonts w:asciiTheme="minorHAnsi" w:eastAsiaTheme="minorEastAsia" w:hAnsiTheme="minorHAnsi" w:cstheme="minorBidi"/>
          <w:szCs w:val="22"/>
        </w:rPr>
      </w:pPr>
      <w:r>
        <w:t>38.</w:t>
      </w:r>
      <w:r>
        <w:tab/>
        <w:t>Definitions</w:t>
      </w:r>
      <w:r>
        <w:tab/>
      </w:r>
      <w:r>
        <w:fldChar w:fldCharType="begin"/>
      </w:r>
      <w:r>
        <w:instrText xml:space="preserve"> PAGEREF _Toc536782516 \h </w:instrText>
      </w:r>
      <w:r>
        <w:fldChar w:fldCharType="separate"/>
      </w:r>
      <w:r>
        <w:t>385</w:t>
      </w:r>
      <w:r>
        <w:fldChar w:fldCharType="end"/>
      </w:r>
    </w:p>
    <w:p>
      <w:pPr>
        <w:pStyle w:val="TOC8"/>
        <w:rPr>
          <w:rFonts w:asciiTheme="minorHAnsi" w:eastAsiaTheme="minorEastAsia" w:hAnsiTheme="minorHAnsi" w:cstheme="minorBidi"/>
          <w:szCs w:val="22"/>
        </w:rPr>
      </w:pPr>
      <w:r>
        <w:t>39.</w:t>
      </w:r>
      <w:r>
        <w:tab/>
        <w:t>Compliance with certain old scheme ring fencing requirements sufficient compliance for 6 month period</w:t>
      </w:r>
      <w:r>
        <w:tab/>
      </w:r>
      <w:r>
        <w:fldChar w:fldCharType="begin"/>
      </w:r>
      <w:r>
        <w:instrText xml:space="preserve"> PAGEREF _Toc536782517 \h </w:instrText>
      </w:r>
      <w:r>
        <w:fldChar w:fldCharType="separate"/>
      </w:r>
      <w:r>
        <w:t>386</w:t>
      </w:r>
      <w:r>
        <w:fldChar w:fldCharType="end"/>
      </w:r>
    </w:p>
    <w:p>
      <w:pPr>
        <w:pStyle w:val="TOC8"/>
        <w:rPr>
          <w:rFonts w:asciiTheme="minorHAnsi" w:eastAsiaTheme="minorEastAsia" w:hAnsiTheme="minorHAnsi" w:cstheme="minorBidi"/>
          <w:szCs w:val="22"/>
        </w:rPr>
      </w:pPr>
      <w:r>
        <w:t>40.</w:t>
      </w:r>
      <w:r>
        <w:tab/>
        <w:t>Existing waivers of ring fencing obligations</w:t>
      </w:r>
      <w:r>
        <w:tab/>
      </w:r>
      <w:r>
        <w:fldChar w:fldCharType="begin"/>
      </w:r>
      <w:r>
        <w:instrText xml:space="preserve"> PAGEREF _Toc536782518 \h </w:instrText>
      </w:r>
      <w:r>
        <w:fldChar w:fldCharType="separate"/>
      </w:r>
      <w:r>
        <w:t>386</w:t>
      </w:r>
      <w:r>
        <w:fldChar w:fldCharType="end"/>
      </w:r>
    </w:p>
    <w:p>
      <w:pPr>
        <w:pStyle w:val="TOC8"/>
        <w:rPr>
          <w:rFonts w:asciiTheme="minorHAnsi" w:eastAsiaTheme="minorEastAsia" w:hAnsiTheme="minorHAnsi" w:cstheme="minorBidi"/>
          <w:szCs w:val="22"/>
        </w:rPr>
      </w:pPr>
      <w:r>
        <w:t>41.</w:t>
      </w:r>
      <w:r>
        <w:tab/>
        <w:t>Additional ring fencing obligations</w:t>
      </w:r>
      <w:r>
        <w:tab/>
      </w:r>
      <w:r>
        <w:fldChar w:fldCharType="begin"/>
      </w:r>
      <w:r>
        <w:instrText xml:space="preserve"> PAGEREF _Toc536782519 \h </w:instrText>
      </w:r>
      <w:r>
        <w:fldChar w:fldCharType="separate"/>
      </w:r>
      <w:r>
        <w:t>387</w:t>
      </w:r>
      <w:r>
        <w:fldChar w:fldCharType="end"/>
      </w:r>
    </w:p>
    <w:p>
      <w:pPr>
        <w:pStyle w:val="TOC4"/>
        <w:tabs>
          <w:tab w:val="right" w:leader="dot" w:pos="7077"/>
        </w:tabs>
        <w:rPr>
          <w:rFonts w:asciiTheme="minorHAnsi" w:eastAsiaTheme="minorEastAsia" w:hAnsiTheme="minorHAnsi" w:cstheme="minorBidi"/>
          <w:b w:val="0"/>
          <w:szCs w:val="22"/>
        </w:rPr>
      </w:pPr>
      <w:r>
        <w:t>Part 7 — Access disputes</w:t>
      </w:r>
    </w:p>
    <w:p>
      <w:pPr>
        <w:pStyle w:val="TOC8"/>
        <w:rPr>
          <w:rFonts w:asciiTheme="minorHAnsi" w:eastAsiaTheme="minorEastAsia" w:hAnsiTheme="minorHAnsi" w:cstheme="minorBidi"/>
          <w:szCs w:val="22"/>
        </w:rPr>
      </w:pPr>
      <w:r>
        <w:t>42.</w:t>
      </w:r>
      <w:r>
        <w:tab/>
        <w:t>Non</w:t>
      </w:r>
      <w:r>
        <w:noBreakHyphen/>
        <w:t>finalised access disputes</w:t>
      </w:r>
      <w:r>
        <w:tab/>
      </w:r>
      <w:r>
        <w:fldChar w:fldCharType="begin"/>
      </w:r>
      <w:r>
        <w:instrText xml:space="preserve"> PAGEREF _Toc536782521 \h </w:instrText>
      </w:r>
      <w:r>
        <w:fldChar w:fldCharType="separate"/>
      </w:r>
      <w:r>
        <w:t>387</w:t>
      </w:r>
      <w:r>
        <w:fldChar w:fldCharType="end"/>
      </w:r>
    </w:p>
    <w:p>
      <w:pPr>
        <w:pStyle w:val="TOC4"/>
        <w:tabs>
          <w:tab w:val="right" w:leader="dot" w:pos="7077"/>
        </w:tabs>
        <w:rPr>
          <w:rFonts w:asciiTheme="minorHAnsi" w:eastAsiaTheme="minorEastAsia" w:hAnsiTheme="minorHAnsi" w:cstheme="minorBidi"/>
          <w:b w:val="0"/>
          <w:szCs w:val="22"/>
        </w:rPr>
      </w:pPr>
      <w:r>
        <w:t>Part 8 — Investigations and proceedings</w:t>
      </w:r>
    </w:p>
    <w:p>
      <w:pPr>
        <w:pStyle w:val="TOC8"/>
        <w:rPr>
          <w:rFonts w:asciiTheme="minorHAnsi" w:eastAsiaTheme="minorEastAsia" w:hAnsiTheme="minorHAnsi" w:cstheme="minorBidi"/>
          <w:szCs w:val="22"/>
        </w:rPr>
      </w:pPr>
      <w:r>
        <w:t>43.</w:t>
      </w:r>
      <w:r>
        <w:tab/>
        <w:t>Investigations into breaches and possible breaches of the old access law or Gas Code</w:t>
      </w:r>
      <w:r>
        <w:tab/>
      </w:r>
      <w:r>
        <w:fldChar w:fldCharType="begin"/>
      </w:r>
      <w:r>
        <w:instrText xml:space="preserve"> PAGEREF _Toc536782523 \h </w:instrText>
      </w:r>
      <w:r>
        <w:fldChar w:fldCharType="separate"/>
      </w:r>
      <w:r>
        <w:t>388</w:t>
      </w:r>
      <w:r>
        <w:fldChar w:fldCharType="end"/>
      </w:r>
    </w:p>
    <w:p>
      <w:pPr>
        <w:pStyle w:val="TOC8"/>
        <w:rPr>
          <w:rFonts w:asciiTheme="minorHAnsi" w:eastAsiaTheme="minorEastAsia" w:hAnsiTheme="minorHAnsi" w:cstheme="minorBidi"/>
          <w:szCs w:val="22"/>
        </w:rPr>
      </w:pPr>
      <w:r>
        <w:t>44.</w:t>
      </w:r>
      <w:r>
        <w:tab/>
        <w:t>AER may conduct investigations into breaches or possible breaches of Gas Pipelines Access Law not investigated by a relevant Regulator</w:t>
      </w:r>
      <w:r>
        <w:tab/>
      </w:r>
      <w:r>
        <w:fldChar w:fldCharType="begin"/>
      </w:r>
      <w:r>
        <w:instrText xml:space="preserve"> PAGEREF _Toc536782524 \h </w:instrText>
      </w:r>
      <w:r>
        <w:fldChar w:fldCharType="separate"/>
      </w:r>
      <w:r>
        <w:t>389</w:t>
      </w:r>
      <w:r>
        <w:fldChar w:fldCharType="end"/>
      </w:r>
    </w:p>
    <w:p>
      <w:pPr>
        <w:pStyle w:val="TOC8"/>
        <w:rPr>
          <w:rFonts w:asciiTheme="minorHAnsi" w:eastAsiaTheme="minorEastAsia" w:hAnsiTheme="minorHAnsi" w:cstheme="minorBidi"/>
          <w:szCs w:val="22"/>
        </w:rPr>
      </w:pPr>
      <w:r>
        <w:t>45.</w:t>
      </w:r>
      <w:r>
        <w:tab/>
        <w:t>AER may bring proceedings in relation to breaches of old access law and Gas Code</w:t>
      </w:r>
      <w:r>
        <w:tab/>
      </w:r>
      <w:r>
        <w:fldChar w:fldCharType="begin"/>
      </w:r>
      <w:r>
        <w:instrText xml:space="preserve"> PAGEREF _Toc536782525 \h </w:instrText>
      </w:r>
      <w:r>
        <w:fldChar w:fldCharType="separate"/>
      </w:r>
      <w:r>
        <w:t>389</w:t>
      </w:r>
      <w:r>
        <w:fldChar w:fldCharType="end"/>
      </w:r>
    </w:p>
    <w:p>
      <w:pPr>
        <w:pStyle w:val="TOC4"/>
        <w:tabs>
          <w:tab w:val="right" w:leader="dot" w:pos="7077"/>
        </w:tabs>
        <w:rPr>
          <w:rFonts w:asciiTheme="minorHAnsi" w:eastAsiaTheme="minorEastAsia" w:hAnsiTheme="minorHAnsi" w:cstheme="minorBidi"/>
          <w:b w:val="0"/>
          <w:szCs w:val="22"/>
        </w:rPr>
      </w:pPr>
      <w:r>
        <w:t>Part 9 — Associate contracts</w:t>
      </w:r>
    </w:p>
    <w:p>
      <w:pPr>
        <w:pStyle w:val="TOC8"/>
        <w:rPr>
          <w:rFonts w:asciiTheme="minorHAnsi" w:eastAsiaTheme="minorEastAsia" w:hAnsiTheme="minorHAnsi" w:cstheme="minorBidi"/>
          <w:szCs w:val="22"/>
        </w:rPr>
      </w:pPr>
      <w:r>
        <w:t>46.</w:t>
      </w:r>
      <w:r>
        <w:tab/>
        <w:t>Pending associate contract approvals that are approved after commencement day</w:t>
      </w:r>
      <w:r>
        <w:tab/>
      </w:r>
      <w:r>
        <w:fldChar w:fldCharType="begin"/>
      </w:r>
      <w:r>
        <w:instrText xml:space="preserve"> PAGEREF _Toc536782527 \h </w:instrText>
      </w:r>
      <w:r>
        <w:fldChar w:fldCharType="separate"/>
      </w:r>
      <w:r>
        <w:t>390</w:t>
      </w:r>
      <w:r>
        <w:fldChar w:fldCharType="end"/>
      </w:r>
    </w:p>
    <w:p>
      <w:pPr>
        <w:pStyle w:val="TOC8"/>
        <w:rPr>
          <w:rFonts w:asciiTheme="minorHAnsi" w:eastAsiaTheme="minorEastAsia" w:hAnsiTheme="minorHAnsi" w:cstheme="minorBidi"/>
          <w:szCs w:val="22"/>
        </w:rPr>
      </w:pPr>
      <w:r>
        <w:t>47.</w:t>
      </w:r>
      <w:r>
        <w:tab/>
        <w:t>Pending associate contracts approvals that are not approved</w:t>
      </w:r>
      <w:r>
        <w:tab/>
      </w:r>
      <w:r>
        <w:fldChar w:fldCharType="begin"/>
      </w:r>
      <w:r>
        <w:instrText xml:space="preserve"> PAGEREF _Toc536782528 \h </w:instrText>
      </w:r>
      <w:r>
        <w:fldChar w:fldCharType="separate"/>
      </w:r>
      <w:r>
        <w:t>390</w:t>
      </w:r>
      <w:r>
        <w:fldChar w:fldCharType="end"/>
      </w:r>
    </w:p>
    <w:p>
      <w:pPr>
        <w:pStyle w:val="TOC8"/>
        <w:rPr>
          <w:rFonts w:asciiTheme="minorHAnsi" w:eastAsiaTheme="minorEastAsia" w:hAnsiTheme="minorHAnsi" w:cstheme="minorBidi"/>
          <w:szCs w:val="22"/>
        </w:rPr>
      </w:pPr>
      <w:r>
        <w:t>48.</w:t>
      </w:r>
      <w:r>
        <w:tab/>
        <w:t>Approved associate contracts</w:t>
      </w:r>
      <w:r>
        <w:tab/>
      </w:r>
      <w:r>
        <w:fldChar w:fldCharType="begin"/>
      </w:r>
      <w:r>
        <w:instrText xml:space="preserve"> PAGEREF _Toc536782529 \h </w:instrText>
      </w:r>
      <w:r>
        <w:fldChar w:fldCharType="separate"/>
      </w:r>
      <w:r>
        <w:t>392</w:t>
      </w:r>
      <w:r>
        <w:fldChar w:fldCharType="end"/>
      </w:r>
    </w:p>
    <w:p>
      <w:pPr>
        <w:pStyle w:val="TOC4"/>
        <w:tabs>
          <w:tab w:val="right" w:leader="dot" w:pos="7077"/>
        </w:tabs>
        <w:rPr>
          <w:rFonts w:asciiTheme="minorHAnsi" w:eastAsiaTheme="minorEastAsia" w:hAnsiTheme="minorHAnsi" w:cstheme="minorBidi"/>
          <w:b w:val="0"/>
          <w:szCs w:val="22"/>
        </w:rPr>
      </w:pPr>
      <w:r>
        <w:t>Part 10 — Other</w:t>
      </w:r>
    </w:p>
    <w:p>
      <w:pPr>
        <w:pStyle w:val="TOC8"/>
        <w:rPr>
          <w:rFonts w:asciiTheme="minorHAnsi" w:eastAsiaTheme="minorEastAsia" w:hAnsiTheme="minorHAnsi" w:cstheme="minorBidi"/>
          <w:szCs w:val="22"/>
        </w:rPr>
      </w:pPr>
      <w:r>
        <w:t>49.</w:t>
      </w:r>
      <w:r>
        <w:tab/>
        <w:t>Pending and final tender approval requests lapse</w:t>
      </w:r>
      <w:r>
        <w:tab/>
      </w:r>
      <w:r>
        <w:fldChar w:fldCharType="begin"/>
      </w:r>
      <w:r>
        <w:instrText xml:space="preserve"> PAGEREF _Toc536782531 \h </w:instrText>
      </w:r>
      <w:r>
        <w:fldChar w:fldCharType="separate"/>
      </w:r>
      <w:r>
        <w:t>392</w:t>
      </w:r>
      <w:r>
        <w:fldChar w:fldCharType="end"/>
      </w:r>
    </w:p>
    <w:p>
      <w:pPr>
        <w:pStyle w:val="TOC8"/>
        <w:rPr>
          <w:rFonts w:asciiTheme="minorHAnsi" w:eastAsiaTheme="minorEastAsia" w:hAnsiTheme="minorHAnsi" w:cstheme="minorBidi"/>
          <w:szCs w:val="22"/>
        </w:rPr>
      </w:pPr>
      <w:r>
        <w:t>50.</w:t>
      </w:r>
      <w:r>
        <w:tab/>
        <w:t>Decisions approving final approval requests</w:t>
      </w:r>
      <w:r>
        <w:tab/>
      </w:r>
      <w:r>
        <w:fldChar w:fldCharType="begin"/>
      </w:r>
      <w:r>
        <w:instrText xml:space="preserve"> PAGEREF _Toc536782532 \h </w:instrText>
      </w:r>
      <w:r>
        <w:fldChar w:fldCharType="separate"/>
      </w:r>
      <w:r>
        <w:t>392</w:t>
      </w:r>
      <w:r>
        <w:fldChar w:fldCharType="end"/>
      </w:r>
    </w:p>
    <w:p>
      <w:pPr>
        <w:pStyle w:val="TOC8"/>
        <w:rPr>
          <w:rFonts w:asciiTheme="minorHAnsi" w:eastAsiaTheme="minorEastAsia" w:hAnsiTheme="minorHAnsi" w:cstheme="minorBidi"/>
          <w:szCs w:val="22"/>
        </w:rPr>
      </w:pPr>
      <w:r>
        <w:t>51.</w:t>
      </w:r>
      <w:r>
        <w:tab/>
        <w:t>Rights under certain change of law provisions in agreements or deeds not to be triggered</w:t>
      </w:r>
      <w:r>
        <w:tab/>
      </w:r>
      <w:r>
        <w:fldChar w:fldCharType="begin"/>
      </w:r>
      <w:r>
        <w:instrText xml:space="preserve"> PAGEREF _Toc536782533 \h </w:instrText>
      </w:r>
      <w:r>
        <w:fldChar w:fldCharType="separate"/>
      </w:r>
      <w:r>
        <w:t>393</w:t>
      </w:r>
      <w:r>
        <w:fldChar w:fldCharType="end"/>
      </w:r>
    </w:p>
    <w:p>
      <w:pPr>
        <w:pStyle w:val="TOC8"/>
        <w:rPr>
          <w:rFonts w:asciiTheme="minorHAnsi" w:eastAsiaTheme="minorEastAsia" w:hAnsiTheme="minorHAnsi" w:cstheme="minorBidi"/>
          <w:szCs w:val="22"/>
        </w:rPr>
      </w:pPr>
      <w:r>
        <w:t>52.</w:t>
      </w:r>
      <w:r>
        <w:tab/>
        <w:t>References to relevant Regulator in access arrangements</w:t>
      </w:r>
      <w:r>
        <w:tab/>
      </w:r>
      <w:r>
        <w:fldChar w:fldCharType="begin"/>
      </w:r>
      <w:r>
        <w:instrText xml:space="preserve"> PAGEREF _Toc536782534 \h </w:instrText>
      </w:r>
      <w:r>
        <w:fldChar w:fldCharType="separate"/>
      </w:r>
      <w:r>
        <w:t>393</w:t>
      </w:r>
      <w:r>
        <w:fldChar w:fldCharType="end"/>
      </w:r>
    </w:p>
    <w:p>
      <w:pPr>
        <w:pStyle w:val="TOC8"/>
        <w:rPr>
          <w:rFonts w:asciiTheme="minorHAnsi" w:eastAsiaTheme="minorEastAsia" w:hAnsiTheme="minorHAnsi" w:cstheme="minorBidi"/>
          <w:szCs w:val="22"/>
        </w:rPr>
      </w:pPr>
      <w:r>
        <w:t>53.</w:t>
      </w:r>
      <w:r>
        <w:tab/>
        <w:t>Old scheme classifications and scheme participant determinations</w:t>
      </w:r>
      <w:r>
        <w:tab/>
      </w:r>
      <w:r>
        <w:fldChar w:fldCharType="begin"/>
      </w:r>
      <w:r>
        <w:instrText xml:space="preserve"> PAGEREF _Toc536782535 \h </w:instrText>
      </w:r>
      <w:r>
        <w:fldChar w:fldCharType="separate"/>
      </w:r>
      <w:r>
        <w:t>393</w:t>
      </w:r>
      <w:r>
        <w:fldChar w:fldCharType="end"/>
      </w:r>
    </w:p>
    <w:p>
      <w:pPr>
        <w:pStyle w:val="TOC2"/>
        <w:tabs>
          <w:tab w:val="right" w:leader="dot" w:pos="7077"/>
        </w:tabs>
        <w:rPr>
          <w:rFonts w:asciiTheme="minorHAnsi" w:eastAsiaTheme="minorEastAsia" w:hAnsiTheme="minorHAnsi" w:cstheme="minorBidi"/>
          <w:b w:val="0"/>
          <w:sz w:val="22"/>
          <w:szCs w:val="22"/>
        </w:rPr>
      </w:pPr>
      <w:r>
        <w:t>Notes about the Western Australian National Gas Access Law text</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_Toc536782537 \h </w:instrText>
      </w:r>
      <w:r>
        <w:fldChar w:fldCharType="separate"/>
      </w:r>
      <w:r>
        <w:t>395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National Gas Access (WA) Act 2009</w:t>
      </w:r>
    </w:p>
    <w:p>
      <w:pPr>
        <w:pStyle w:val="LongTitle"/>
        <w:suppressLineNumbers/>
        <w:rPr>
          <w:rFonts w:ascii="Times" w:hAnsi="Times"/>
        </w:rPr>
      </w:pPr>
      <w:bookmarkStart w:id="4" w:name="BillCited"/>
      <w:bookmarkEnd w:id="4"/>
      <w:r>
        <w:rPr>
          <w:snapToGrid w:val="0"/>
        </w:rPr>
        <w:t xml:space="preserve">An Act to establish a framework to enable third parties to gain access to certain gas pipeline services, to amend the </w:t>
      </w:r>
      <w:r>
        <w:rPr>
          <w:i/>
          <w:iCs/>
          <w:snapToGrid w:val="0"/>
        </w:rPr>
        <w:t>Gas Pipelines Access (Western Australia) Act 1998</w:t>
      </w:r>
      <w:r>
        <w:rPr>
          <w:snapToGrid w:val="0"/>
        </w:rPr>
        <w:t xml:space="preserve"> and various other Acts, and for other purposes</w:t>
      </w:r>
      <w:r>
        <w:rPr>
          <w:rFonts w:ascii="Times" w:hAnsi="Times"/>
        </w:rPr>
        <w:t>.</w:t>
      </w:r>
    </w:p>
    <w:p>
      <w:pPr>
        <w:pStyle w:val="Enactment"/>
      </w:pPr>
      <w:r>
        <w:rPr>
          <w:snapToGrid w:val="0"/>
        </w:rPr>
        <w:t>The Parliament of Western Australia enacts as follows:</w:t>
      </w:r>
    </w:p>
    <w:p>
      <w:pPr>
        <w:sectPr>
          <w:headerReference w:type="even" r:id="rId22"/>
          <w:headerReference w:type="default" r:id="rId23"/>
          <w:head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5" w:name="_Toc501633702"/>
      <w:bookmarkStart w:id="6" w:name="_Toc501712598"/>
      <w:bookmarkStart w:id="7" w:name="_Toc536781792"/>
      <w:r>
        <w:rPr>
          <w:rStyle w:val="CharPartNo"/>
        </w:rPr>
        <w:t>Part 1</w:t>
      </w:r>
      <w:r>
        <w:rPr>
          <w:rStyle w:val="CharDivNo"/>
        </w:rPr>
        <w:t> </w:t>
      </w:r>
      <w:r>
        <w:t>—</w:t>
      </w:r>
      <w:r>
        <w:rPr>
          <w:rStyle w:val="CharDivText"/>
        </w:rPr>
        <w:t> </w:t>
      </w:r>
      <w:r>
        <w:rPr>
          <w:rStyle w:val="CharPartText"/>
        </w:rPr>
        <w:t>Preliminary</w:t>
      </w:r>
      <w:bookmarkEnd w:id="5"/>
      <w:bookmarkEnd w:id="6"/>
      <w:bookmarkEnd w:id="7"/>
    </w:p>
    <w:p>
      <w:pPr>
        <w:pStyle w:val="Heading5"/>
      </w:pPr>
      <w:bookmarkStart w:id="8" w:name="_Toc536781793"/>
      <w:r>
        <w:rPr>
          <w:rStyle w:val="CharSectno"/>
        </w:rPr>
        <w:t>1</w:t>
      </w:r>
      <w:r>
        <w:t>.</w:t>
      </w:r>
      <w:r>
        <w:tab/>
      </w:r>
      <w:r>
        <w:rPr>
          <w:snapToGrid w:val="0"/>
        </w:rPr>
        <w:t>Short title</w:t>
      </w:r>
      <w:bookmarkEnd w:id="8"/>
    </w:p>
    <w:p>
      <w:pPr>
        <w:pStyle w:val="Subsection"/>
      </w:pPr>
      <w:r>
        <w:tab/>
      </w:r>
      <w:r>
        <w:tab/>
        <w:t>This</w:t>
      </w:r>
      <w:r>
        <w:rPr>
          <w:snapToGrid w:val="0"/>
        </w:rPr>
        <w:t xml:space="preserve"> is the</w:t>
      </w:r>
      <w:r>
        <w:rPr>
          <w:i/>
          <w:snapToGrid w:val="0"/>
        </w:rPr>
        <w:t xml:space="preserve"> National Gas Access (WA) Act 2009</w:t>
      </w:r>
      <w:r>
        <w:rPr>
          <w:snapToGrid w:val="0"/>
        </w:rPr>
        <w:t>.</w:t>
      </w:r>
    </w:p>
    <w:p>
      <w:pPr>
        <w:pStyle w:val="Heading5"/>
        <w:rPr>
          <w:snapToGrid w:val="0"/>
        </w:rPr>
      </w:pPr>
      <w:bookmarkStart w:id="9" w:name="_Toc536781794"/>
      <w:r>
        <w:rPr>
          <w:rStyle w:val="CharSectno"/>
        </w:rPr>
        <w:t>2</w:t>
      </w:r>
      <w:r>
        <w:rPr>
          <w:snapToGrid w:val="0"/>
        </w:rPr>
        <w:t>.</w:t>
      </w:r>
      <w:r>
        <w:rPr>
          <w:snapToGrid w:val="0"/>
        </w:rPr>
        <w:tab/>
      </w:r>
      <w:r>
        <w:t>Commencement</w:t>
      </w:r>
      <w:bookmarkEnd w:id="9"/>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spacing w:before="120"/>
        <w:ind w:left="958" w:hanging="958"/>
      </w:pPr>
      <w:bookmarkStart w:id="10" w:name="_Toc536781795"/>
      <w:r>
        <w:rPr>
          <w:rStyle w:val="CharSectno"/>
        </w:rPr>
        <w:t>3</w:t>
      </w:r>
      <w:r>
        <w:t>.</w:t>
      </w:r>
      <w:r>
        <w:tab/>
        <w:t>Terms used in this Act</w:t>
      </w:r>
      <w:bookmarkEnd w:id="10"/>
    </w:p>
    <w:p>
      <w:pPr>
        <w:pStyle w:val="Subsection"/>
      </w:pPr>
      <w:r>
        <w:tab/>
        <w:t>(1)</w:t>
      </w:r>
      <w:r>
        <w:tab/>
        <w:t xml:space="preserve">In this Act — </w:t>
      </w:r>
    </w:p>
    <w:p>
      <w:pPr>
        <w:pStyle w:val="Defstart"/>
        <w:tabs>
          <w:tab w:val="left" w:pos="960"/>
        </w:tabs>
      </w:pPr>
      <w:r>
        <w:rPr>
          <w:b/>
        </w:rPr>
        <w:tab/>
      </w:r>
      <w:r>
        <w:rPr>
          <w:rStyle w:val="CharDefText"/>
        </w:rPr>
        <w:t>National Gas Access (</w:t>
      </w:r>
      <w:smartTag w:uri="urn:schemas-microsoft-com:office:smarttags" w:element="State">
        <w:smartTag w:uri="urn:schemas-microsoft-com:office:smarttags" w:element="place">
          <w:r>
            <w:rPr>
              <w:rStyle w:val="CharDefText"/>
            </w:rPr>
            <w:t>Western Australia</w:t>
          </w:r>
        </w:smartTag>
      </w:smartTag>
      <w:r>
        <w:rPr>
          <w:rStyle w:val="CharDefText"/>
        </w:rPr>
        <w:t>) Law</w:t>
      </w:r>
      <w:r>
        <w:t xml:space="preserve"> means the provisions applying because of section 7;</w:t>
      </w:r>
    </w:p>
    <w:p>
      <w:pPr>
        <w:pStyle w:val="Defstart"/>
        <w:tabs>
          <w:tab w:val="left" w:pos="960"/>
        </w:tabs>
        <w:rPr>
          <w:rFonts w:eastAsia="Arial Unicode MS"/>
        </w:rPr>
      </w:pPr>
      <w:r>
        <w:rPr>
          <w:rFonts w:eastAsia="Arial Unicode MS"/>
        </w:rPr>
        <w:tab/>
      </w:r>
      <w:r>
        <w:rPr>
          <w:rStyle w:val="CharDefText"/>
          <w:rFonts w:eastAsia="Arial Unicode MS"/>
        </w:rPr>
        <w:t>National Gas Access (</w:t>
      </w:r>
      <w:smartTag w:uri="urn:schemas-microsoft-com:office:smarttags" w:element="State">
        <w:smartTag w:uri="urn:schemas-microsoft-com:office:smarttags" w:element="place">
          <w:r>
            <w:rPr>
              <w:rStyle w:val="CharDefText"/>
              <w:rFonts w:eastAsia="Arial Unicode MS"/>
            </w:rPr>
            <w:t>Western Australia</w:t>
          </w:r>
        </w:smartTag>
      </w:smartTag>
      <w:r>
        <w:rPr>
          <w:rStyle w:val="CharDefText"/>
          <w:rFonts w:eastAsia="Arial Unicode MS"/>
        </w:rPr>
        <w:t>) Regulations</w:t>
      </w:r>
      <w:r>
        <w:rPr>
          <w:rFonts w:eastAsia="Arial Unicode MS"/>
        </w:rPr>
        <w:t xml:space="preserve"> means the provisions applying because of section 8;</w:t>
      </w:r>
    </w:p>
    <w:p>
      <w:pPr>
        <w:pStyle w:val="Defstart"/>
        <w:tabs>
          <w:tab w:val="left" w:pos="960"/>
        </w:tabs>
      </w:pPr>
      <w:r>
        <w:rPr>
          <w:b/>
        </w:rPr>
        <w:tab/>
      </w:r>
      <w:r>
        <w:rPr>
          <w:rStyle w:val="CharDefText"/>
        </w:rPr>
        <w:t>South Australian Act</w:t>
      </w:r>
      <w:r>
        <w:t xml:space="preserve"> means the </w:t>
      </w:r>
      <w:r>
        <w:rPr>
          <w:i/>
          <w:iCs/>
        </w:rPr>
        <w:t>National Gas (</w:t>
      </w:r>
      <w:smartTag w:uri="urn:schemas-microsoft-com:office:smarttags" w:element="State">
        <w:r>
          <w:rPr>
            <w:i/>
            <w:iCs/>
          </w:rPr>
          <w:t>South Australia</w:t>
        </w:r>
      </w:smartTag>
      <w:r>
        <w:rPr>
          <w:i/>
          <w:iCs/>
        </w:rPr>
        <w:t>) Act 2008</w:t>
      </w:r>
      <w:r>
        <w:t xml:space="preserve"> of </w:t>
      </w:r>
      <w:smartTag w:uri="urn:schemas-microsoft-com:office:smarttags" w:element="State">
        <w:smartTag w:uri="urn:schemas-microsoft-com:office:smarttags" w:element="place">
          <w:r>
            <w:t>South Australia</w:t>
          </w:r>
        </w:smartTag>
      </w:smartTag>
      <w:r>
        <w:t xml:space="preserve"> as amended from time to time.</w:t>
      </w:r>
    </w:p>
    <w:p>
      <w:pPr>
        <w:pStyle w:val="Subsection"/>
      </w:pPr>
      <w:r>
        <w:tab/>
        <w:t>(2)</w:t>
      </w:r>
      <w:r>
        <w:tab/>
        <w:t>Words and expressions used in the National Gas Access (Western Australia) Law (whether or not defined in section 9(1)) and in this Act have the same respective meanings in this Act as they have in that Law.</w:t>
      </w:r>
    </w:p>
    <w:p>
      <w:pPr>
        <w:pStyle w:val="Subsection"/>
      </w:pPr>
      <w:r>
        <w:tab/>
        <w:t>(3)</w:t>
      </w:r>
      <w:r>
        <w:tab/>
        <w:t>This section does not apply to the extent that the context or subject matter otherwise indicates or requires.</w:t>
      </w:r>
    </w:p>
    <w:p>
      <w:pPr>
        <w:pStyle w:val="Heading5"/>
        <w:ind w:left="960" w:hanging="960"/>
      </w:pPr>
      <w:bookmarkStart w:id="11" w:name="_Toc536781796"/>
      <w:r>
        <w:rPr>
          <w:rStyle w:val="CharSectno"/>
        </w:rPr>
        <w:t>4</w:t>
      </w:r>
      <w:r>
        <w:t>.</w:t>
      </w:r>
      <w:r>
        <w:tab/>
        <w:t>Crown bound</w:t>
      </w:r>
      <w:bookmarkEnd w:id="11"/>
    </w:p>
    <w:p>
      <w:pPr>
        <w:pStyle w:val="Subsection"/>
      </w:pPr>
      <w:r>
        <w:tab/>
      </w:r>
      <w:r>
        <w:tab/>
        <w:t>This Act, the National Gas Access (</w:t>
      </w:r>
      <w:smartTag w:uri="urn:schemas-microsoft-com:office:smarttags" w:element="State">
        <w:r>
          <w:t>Western Australia</w:t>
        </w:r>
      </w:smartTag>
      <w:r>
        <w:t>) Law and the National Gas Access (</w:t>
      </w:r>
      <w:smartTag w:uri="urn:schemas-microsoft-com:office:smarttags" w:element="State">
        <w:smartTag w:uri="urn:schemas-microsoft-com:office:smarttags" w:element="place">
          <w:r>
            <w:t>Western Australia</w:t>
          </w:r>
        </w:smartTag>
      </w:smartTag>
      <w:r>
        <w:t>) Regulations bind the Crown in right of the State and, so far as the legislative power of the Parliament permits, the Crown in all its other capacities.</w:t>
      </w:r>
    </w:p>
    <w:p>
      <w:pPr>
        <w:pStyle w:val="Heading5"/>
      </w:pPr>
      <w:bookmarkStart w:id="12" w:name="_Toc536781797"/>
      <w:r>
        <w:rPr>
          <w:rStyle w:val="CharSectno"/>
        </w:rPr>
        <w:t>5</w:t>
      </w:r>
      <w:r>
        <w:t>.</w:t>
      </w:r>
      <w:r>
        <w:tab/>
        <w:t>Application to coastal waters</w:t>
      </w:r>
      <w:bookmarkEnd w:id="12"/>
    </w:p>
    <w:p>
      <w:pPr>
        <w:pStyle w:val="Subsection"/>
      </w:pPr>
      <w:r>
        <w:tab/>
        <w:t>(1)</w:t>
      </w:r>
      <w:r>
        <w:tab/>
        <w:t>This Act, the National Gas Access (</w:t>
      </w:r>
      <w:smartTag w:uri="urn:schemas-microsoft-com:office:smarttags" w:element="State">
        <w:r>
          <w:t>Western Australia</w:t>
        </w:r>
      </w:smartTag>
      <w:r>
        <w:t>) Law and the National Gas Access (</w:t>
      </w:r>
      <w:smartTag w:uri="urn:schemas-microsoft-com:office:smarttags" w:element="State">
        <w:smartTag w:uri="urn:schemas-microsoft-com:office:smarttags" w:element="place">
          <w:r>
            <w:t>Western Australia</w:t>
          </w:r>
        </w:smartTag>
      </w:smartTag>
      <w:r>
        <w:t>) Regulations apply in the coastal waters of this State as if the coastal waters were within the limits of the State.</w:t>
      </w:r>
    </w:p>
    <w:p>
      <w:pPr>
        <w:pStyle w:val="Subsection"/>
      </w:pPr>
      <w:r>
        <w:tab/>
        <w:t>(2)</w:t>
      </w:r>
      <w:r>
        <w:tab/>
        <w:t xml:space="preserve">In this section — </w:t>
      </w:r>
    </w:p>
    <w:p>
      <w:pPr>
        <w:pStyle w:val="Defstart"/>
      </w:pPr>
      <w:r>
        <w:tab/>
      </w:r>
      <w:r>
        <w:rPr>
          <w:rStyle w:val="CharDefText"/>
        </w:rPr>
        <w:t>adjacent area in respect of the State</w:t>
      </w:r>
      <w:r>
        <w:t xml:space="preserve"> means the adjacent area of this jurisdiction under the National Gas Access (</w:t>
      </w:r>
      <w:smartTag w:uri="urn:schemas-microsoft-com:office:smarttags" w:element="State">
        <w:smartTag w:uri="urn:schemas-microsoft-com:office:smarttags" w:element="place">
          <w:r>
            <w:t>Western Australia</w:t>
          </w:r>
        </w:smartTag>
      </w:smartTag>
      <w:r>
        <w:t>) Law (as defined in section 9(1) of this Act);</w:t>
      </w:r>
    </w:p>
    <w:p>
      <w:pPr>
        <w:pStyle w:val="Defstart"/>
      </w:pPr>
      <w:r>
        <w:rPr>
          <w:b/>
        </w:rPr>
        <w:tab/>
      </w:r>
      <w:r>
        <w:rPr>
          <w:rStyle w:val="CharDefText"/>
        </w:rPr>
        <w:t>coastal waters</w:t>
      </w:r>
      <w:r>
        <w:t>, in relation to this State, means any sea that is on the landward side of the adjacent area in respect of the State but is not within the limits of the State.</w:t>
      </w:r>
    </w:p>
    <w:p>
      <w:pPr>
        <w:pStyle w:val="Heading5"/>
      </w:pPr>
      <w:bookmarkStart w:id="13" w:name="_Toc536781798"/>
      <w:r>
        <w:rPr>
          <w:rStyle w:val="CharSectno"/>
        </w:rPr>
        <w:t>6</w:t>
      </w:r>
      <w:r>
        <w:t>.</w:t>
      </w:r>
      <w:r>
        <w:tab/>
        <w:t>Extra</w:t>
      </w:r>
      <w:r>
        <w:noBreakHyphen/>
        <w:t>territorial operation</w:t>
      </w:r>
      <w:bookmarkEnd w:id="13"/>
    </w:p>
    <w:p>
      <w:pPr>
        <w:pStyle w:val="Subsection"/>
      </w:pPr>
      <w:r>
        <w:tab/>
      </w:r>
      <w:r>
        <w:tab/>
        <w:t>It is the intention of the Parliament that this Act, the National Gas Access (Western Australia) Law and the National Gas Access (Western Australia) Regulations should, so far as possible, operate to the full extent of the extra</w:t>
      </w:r>
      <w:r>
        <w:noBreakHyphen/>
        <w:t>territorial legislative power of the State.</w:t>
      </w:r>
    </w:p>
    <w:p>
      <w:pPr>
        <w:pStyle w:val="Heading5"/>
      </w:pPr>
      <w:bookmarkStart w:id="14" w:name="_Toc536781799"/>
      <w:r>
        <w:rPr>
          <w:bCs/>
        </w:rPr>
        <w:t>6A</w:t>
      </w:r>
      <w:r>
        <w:t>.</w:t>
      </w:r>
      <w:r>
        <w:tab/>
        <w:t>Extension to certain pipelines for hauling gas other than natural gas</w:t>
      </w:r>
      <w:bookmarkEnd w:id="14"/>
    </w:p>
    <w:p>
      <w:pPr>
        <w:pStyle w:val="Subsection"/>
      </w:pPr>
      <w:r>
        <w:tab/>
        <w:t>(1)</w:t>
      </w:r>
      <w:r>
        <w:tab/>
        <w:t>The National Gas Access (</w:t>
      </w:r>
      <w:smartTag w:uri="urn:schemas-microsoft-com:office:smarttags" w:element="State">
        <w:r>
          <w:t>Western Australia</w:t>
        </w:r>
      </w:smartTag>
      <w:r>
        <w:t>) Law and the National Gas Access (</w:t>
      </w:r>
      <w:smartTag w:uri="urn:schemas-microsoft-com:office:smarttags" w:element="State">
        <w:smartTag w:uri="urn:schemas-microsoft-com:office:smarttags" w:element="place">
          <w:r>
            <w:t>Western Australia</w:t>
          </w:r>
        </w:smartTag>
      </w:smartTag>
      <w:r>
        <w:t xml:space="preserve">) Regulations apply to a pipeline for hauling gas other than natural gas if the pipeline constitutes or is part of a system for which a licence is in force under Part 2A of the </w:t>
      </w:r>
      <w:r>
        <w:rPr>
          <w:i/>
          <w:iCs/>
        </w:rPr>
        <w:t>Energy Coordination Act 1994</w:t>
      </w:r>
      <w:r>
        <w:t>.</w:t>
      </w:r>
    </w:p>
    <w:p>
      <w:pPr>
        <w:pStyle w:val="Subsection"/>
      </w:pPr>
      <w:r>
        <w:tab/>
        <w:t>(2)</w:t>
      </w:r>
      <w:r>
        <w:tab/>
        <w:t xml:space="preserve">Subsection (1) has effect — </w:t>
      </w:r>
    </w:p>
    <w:p>
      <w:pPr>
        <w:pStyle w:val="Indenta"/>
      </w:pPr>
      <w:r>
        <w:tab/>
        <w:t>(a)</w:t>
      </w:r>
      <w:r>
        <w:tab/>
        <w:t>despite the provisions of the National Gas Access (</w:t>
      </w:r>
      <w:smartTag w:uri="urn:schemas-microsoft-com:office:smarttags" w:element="State">
        <w:r>
          <w:t>Western Australia</w:t>
        </w:r>
      </w:smartTag>
      <w:r>
        <w:t>) Law and the National Gas Access (</w:t>
      </w:r>
      <w:smartTag w:uri="urn:schemas-microsoft-com:office:smarttags" w:element="State">
        <w:smartTag w:uri="urn:schemas-microsoft-com:office:smarttags" w:element="place">
          <w:r>
            <w:t>Western Australia</w:t>
          </w:r>
        </w:smartTag>
      </w:smartTag>
      <w:r>
        <w:t>) Regulations; and</w:t>
      </w:r>
    </w:p>
    <w:p>
      <w:pPr>
        <w:pStyle w:val="Indenta"/>
      </w:pPr>
      <w:r>
        <w:tab/>
        <w:t>(b)</w:t>
      </w:r>
      <w:r>
        <w:tab/>
        <w:t>as if, for the purposes of that subsection, a reference in that Law and those Regulations to natural gas were amended to include a reference to gas other than natural gas.</w:t>
      </w:r>
    </w:p>
    <w:p>
      <w:pPr>
        <w:pStyle w:val="Subsection"/>
      </w:pPr>
      <w:r>
        <w:tab/>
        <w:t>(3)</w:t>
      </w:r>
      <w:r>
        <w:tab/>
        <w:t xml:space="preserve">In this section — </w:t>
      </w:r>
    </w:p>
    <w:p>
      <w:pPr>
        <w:pStyle w:val="Defstart"/>
      </w:pPr>
      <w:r>
        <w:rPr>
          <w:b/>
        </w:rPr>
        <w:tab/>
      </w:r>
      <w:r>
        <w:rPr>
          <w:rStyle w:val="CharDefText"/>
        </w:rPr>
        <w:t>gas other than natural gas</w:t>
      </w:r>
      <w:r>
        <w:t xml:space="preserve"> means substances which — </w:t>
      </w:r>
    </w:p>
    <w:p>
      <w:pPr>
        <w:pStyle w:val="Defpara"/>
      </w:pPr>
      <w:r>
        <w:tab/>
        <w:t>(a)</w:t>
      </w:r>
      <w:r>
        <w:tab/>
        <w:t>are in a gaseous state at standard temperature and pressure; and</w:t>
      </w:r>
    </w:p>
    <w:p>
      <w:pPr>
        <w:pStyle w:val="Defpara"/>
      </w:pPr>
      <w:r>
        <w:tab/>
        <w:t>(b)</w:t>
      </w:r>
      <w:r>
        <w:tab/>
        <w:t xml:space="preserve">consist of — </w:t>
      </w:r>
    </w:p>
    <w:p>
      <w:pPr>
        <w:pStyle w:val="Defsubpara"/>
      </w:pPr>
      <w:r>
        <w:tab/>
        <w:t>(i)</w:t>
      </w:r>
      <w:r>
        <w:tab/>
        <w:t>naturally occurring hydrocarbons; or</w:t>
      </w:r>
    </w:p>
    <w:p>
      <w:pPr>
        <w:pStyle w:val="Defsubpara"/>
      </w:pPr>
      <w:r>
        <w:tab/>
        <w:t>(ii)</w:t>
      </w:r>
      <w:r>
        <w:tab/>
        <w:t>a naturally occurring or manufactured mixture of hydrocarbons and non</w:t>
      </w:r>
      <w:r>
        <w:noBreakHyphen/>
        <w:t>hydrocarbons, the principal constituent of which is propane, propene, butanes, butenes or a mixture of all or any of those substances or kinds of substances.</w:t>
      </w:r>
    </w:p>
    <w:p>
      <w:pPr>
        <w:pStyle w:val="Heading5"/>
      </w:pPr>
      <w:bookmarkStart w:id="15" w:name="_Toc536781800"/>
      <w:r>
        <w:rPr>
          <w:rStyle w:val="CharSectno"/>
        </w:rPr>
        <w:t>6B</w:t>
      </w:r>
      <w:r>
        <w:t>.</w:t>
      </w:r>
      <w:r>
        <w:tab/>
      </w:r>
      <w:r>
        <w:rPr>
          <w:i/>
          <w:iCs/>
        </w:rPr>
        <w:t>Interpretation Act 1984</w:t>
      </w:r>
      <w:r>
        <w:t xml:space="preserve"> does not apply</w:t>
      </w:r>
      <w:bookmarkEnd w:id="15"/>
    </w:p>
    <w:p>
      <w:pPr>
        <w:pStyle w:val="Subsection"/>
      </w:pPr>
      <w:r>
        <w:tab/>
        <w:t>(1)</w:t>
      </w:r>
      <w:r>
        <w:tab/>
        <w:t xml:space="preserve">The </w:t>
      </w:r>
      <w:r>
        <w:rPr>
          <w:i/>
          <w:iCs/>
        </w:rPr>
        <w:t>Interpretation Act 1984</w:t>
      </w:r>
      <w:r>
        <w:t xml:space="preserve"> does not apply to the National Gas Access (</w:t>
      </w:r>
      <w:smartTag w:uri="urn:schemas-microsoft-com:office:smarttags" w:element="State">
        <w:r>
          <w:t>Western Australia</w:t>
        </w:r>
      </w:smartTag>
      <w:r>
        <w:t>) Law, to regulations under Part 3, or to Rules under the National Gas Access (</w:t>
      </w:r>
      <w:smartTag w:uri="urn:schemas-microsoft-com:office:smarttags" w:element="State">
        <w:smartTag w:uri="urn:schemas-microsoft-com:office:smarttags" w:element="place">
          <w:r>
            <w:t>Western Australia</w:t>
          </w:r>
        </w:smartTag>
      </w:smartTag>
      <w:r>
        <w:t>) Law.</w:t>
      </w:r>
    </w:p>
    <w:p>
      <w:pPr>
        <w:pStyle w:val="Subsection"/>
      </w:pPr>
      <w:r>
        <w:tab/>
        <w:t>(2)</w:t>
      </w:r>
      <w:r>
        <w:tab/>
        <w:t xml:space="preserve">Despite subsection (1), section 25 of the </w:t>
      </w:r>
      <w:r>
        <w:rPr>
          <w:i/>
          <w:iCs/>
        </w:rPr>
        <w:t>Interpretation Act 1984</w:t>
      </w:r>
      <w:r>
        <w:t xml:space="preserve"> applies to the making of regulations under Part 3.</w:t>
      </w:r>
    </w:p>
    <w:p>
      <w:pPr>
        <w:pStyle w:val="Heading2"/>
      </w:pPr>
      <w:bookmarkStart w:id="16" w:name="_Toc501633711"/>
      <w:bookmarkStart w:id="17" w:name="_Toc501712607"/>
      <w:bookmarkStart w:id="18" w:name="_Toc536781801"/>
      <w:r>
        <w:rPr>
          <w:rStyle w:val="CharPartNo"/>
        </w:rPr>
        <w:t>Part 2</w:t>
      </w:r>
      <w:r>
        <w:rPr>
          <w:rStyle w:val="CharDivNo"/>
        </w:rPr>
        <w:t> </w:t>
      </w:r>
      <w:r>
        <w:t>—</w:t>
      </w:r>
      <w:r>
        <w:rPr>
          <w:rStyle w:val="CharDivText"/>
        </w:rPr>
        <w:t> </w:t>
      </w:r>
      <w:r>
        <w:rPr>
          <w:rStyle w:val="CharPartText"/>
        </w:rPr>
        <w:t>National Gas Access (</w:t>
      </w:r>
      <w:smartTag w:uri="urn:schemas-microsoft-com:office:smarttags" w:element="State">
        <w:smartTag w:uri="urn:schemas-microsoft-com:office:smarttags" w:element="place">
          <w:r>
            <w:rPr>
              <w:rStyle w:val="CharPartText"/>
            </w:rPr>
            <w:t>Western Australia</w:t>
          </w:r>
        </w:smartTag>
      </w:smartTag>
      <w:r>
        <w:rPr>
          <w:rStyle w:val="CharPartText"/>
        </w:rPr>
        <w:t>) Law and its regulations</w:t>
      </w:r>
      <w:bookmarkEnd w:id="16"/>
      <w:bookmarkEnd w:id="17"/>
      <w:bookmarkEnd w:id="18"/>
    </w:p>
    <w:p>
      <w:pPr>
        <w:pStyle w:val="Heading5"/>
      </w:pPr>
      <w:bookmarkStart w:id="19" w:name="_Toc536781802"/>
      <w:r>
        <w:rPr>
          <w:rStyle w:val="CharSectno"/>
        </w:rPr>
        <w:t>7</w:t>
      </w:r>
      <w:r>
        <w:t>.</w:t>
      </w:r>
      <w:r>
        <w:tab/>
        <w:t>National Gas Access (</w:t>
      </w:r>
      <w:smartTag w:uri="urn:schemas-microsoft-com:office:smarttags" w:element="State">
        <w:smartTag w:uri="urn:schemas-microsoft-com:office:smarttags" w:element="place">
          <w:r>
            <w:t>Western Australia</w:t>
          </w:r>
        </w:smartTag>
      </w:smartTag>
      <w:r>
        <w:t>) Law</w:t>
      </w:r>
      <w:bookmarkEnd w:id="19"/>
    </w:p>
    <w:p>
      <w:pPr>
        <w:pStyle w:val="Subsection"/>
      </w:pPr>
      <w:r>
        <w:tab/>
        <w:t>(1)</w:t>
      </w:r>
      <w:r>
        <w:tab/>
        <w:t xml:space="preserve">The Western Australian National Gas Access Law text — </w:t>
      </w:r>
    </w:p>
    <w:p>
      <w:pPr>
        <w:pStyle w:val="Indenta"/>
      </w:pPr>
      <w:r>
        <w:tab/>
        <w:t>(a)</w:t>
      </w:r>
      <w:r>
        <w:tab/>
        <w:t xml:space="preserve">applies as a law of </w:t>
      </w:r>
      <w:smartTag w:uri="urn:schemas-microsoft-com:office:smarttags" w:element="State">
        <w:smartTag w:uri="urn:schemas-microsoft-com:office:smarttags" w:element="place">
          <w:r>
            <w:t>Western Australia</w:t>
          </w:r>
        </w:smartTag>
      </w:smartTag>
      <w:r>
        <w:t>; and</w:t>
      </w:r>
    </w:p>
    <w:p>
      <w:pPr>
        <w:pStyle w:val="Indenta"/>
      </w:pPr>
      <w:r>
        <w:tab/>
        <w:t>(b)</w:t>
      </w:r>
      <w:r>
        <w:tab/>
        <w:t>as so applying may be referred to as the National Gas Access (</w:t>
      </w:r>
      <w:smartTag w:uri="urn:schemas-microsoft-com:office:smarttags" w:element="State">
        <w:smartTag w:uri="urn:schemas-microsoft-com:office:smarttags" w:element="place">
          <w:r>
            <w:t>Western Australia</w:t>
          </w:r>
        </w:smartTag>
      </w:smartTag>
      <w:r>
        <w:t>) Law.</w:t>
      </w:r>
    </w:p>
    <w:p>
      <w:pPr>
        <w:pStyle w:val="Subsection"/>
      </w:pPr>
      <w:r>
        <w:tab/>
        <w:t>(2)</w:t>
      </w:r>
      <w:r>
        <w:tab/>
        <w:t xml:space="preserve">In subsection (1) — </w:t>
      </w:r>
    </w:p>
    <w:p>
      <w:pPr>
        <w:pStyle w:val="Defstart"/>
      </w:pPr>
      <w:r>
        <w:tab/>
      </w:r>
      <w:r>
        <w:rPr>
          <w:rStyle w:val="CharDefText"/>
        </w:rPr>
        <w:t>Western Australian National Gas Access Law text</w:t>
      </w:r>
      <w:r>
        <w:t xml:space="preserve"> means the text that results from modifying the National Gas Law, as set out in the South Australian Act Schedule for the time being in force, to give effect to section 7A(3) and (4) and Schedule 1.</w:t>
      </w:r>
    </w:p>
    <w:p>
      <w:pPr>
        <w:pStyle w:val="Heading5"/>
      </w:pPr>
      <w:bookmarkStart w:id="20" w:name="_Toc536781803"/>
      <w:r>
        <w:rPr>
          <w:rStyle w:val="CharSectno"/>
        </w:rPr>
        <w:t>7A</w:t>
      </w:r>
      <w:r>
        <w:t>.</w:t>
      </w:r>
      <w:r>
        <w:tab/>
        <w:t>Amendments to Schedule to South Australian Act</w:t>
      </w:r>
      <w:bookmarkEnd w:id="20"/>
    </w:p>
    <w:p>
      <w:pPr>
        <w:pStyle w:val="Subsection"/>
      </w:pPr>
      <w:r>
        <w:tab/>
        <w:t>(1)</w:t>
      </w:r>
      <w:r>
        <w:tab/>
        <w:t>This section applies if, after the day on which the South Australian Act receives the Royal Assent,</w:t>
      </w:r>
      <w:r>
        <w:rPr>
          <w:b/>
          <w:i/>
        </w:rPr>
        <w:t xml:space="preserve"> </w:t>
      </w:r>
      <w:r>
        <w:t xml:space="preserve">the Parliament of South Australia enacts a provision to make an amendment to the Schedule to the South Australian Act as in force from time to time (an </w:t>
      </w:r>
      <w:r>
        <w:rPr>
          <w:rStyle w:val="CharDefText"/>
        </w:rPr>
        <w:t>SA Schedule amendment</w:t>
      </w:r>
      <w:r>
        <w:t>).</w:t>
      </w:r>
    </w:p>
    <w:p>
      <w:pPr>
        <w:pStyle w:val="Subsection"/>
      </w:pPr>
      <w:r>
        <w:tab/>
        <w:t>(2)</w:t>
      </w:r>
      <w:r>
        <w:tab/>
        <w:t>The Minister may by order declare that an SA Schedule amendment is relevant to the Western Australian National Gas Access Law text.</w:t>
      </w:r>
    </w:p>
    <w:p>
      <w:pPr>
        <w:pStyle w:val="Subsection"/>
      </w:pPr>
      <w:r>
        <w:tab/>
        <w:t>(3)</w:t>
      </w:r>
      <w:r>
        <w:tab/>
        <w:t>If the Minister has not declared that an SA Schedule amendment is relevant, the Western Australian National Gas Access Law text remains as if the amendment had not been made.</w:t>
      </w:r>
    </w:p>
    <w:p>
      <w:pPr>
        <w:pStyle w:val="Subsection"/>
      </w:pPr>
      <w:r>
        <w:tab/>
        <w:t>(4)</w:t>
      </w:r>
      <w:r>
        <w:tab/>
        <w:t>If the Minister has declared that an SA Schedule amendment is relevant, the Western Australian National Gas Access Law text remains, until the beginning of the day fixed by subsection (5), as if the amendment had not been made.</w:t>
      </w:r>
    </w:p>
    <w:p>
      <w:pPr>
        <w:pStyle w:val="Subsection"/>
      </w:pPr>
      <w:r>
        <w:tab/>
        <w:t>(5)</w:t>
      </w:r>
      <w:r>
        <w:tab/>
        <w:t xml:space="preserve">The day fixed is the day on which the order is published in the </w:t>
      </w:r>
      <w:r>
        <w:rPr>
          <w:i/>
          <w:iCs/>
        </w:rPr>
        <w:t>Government Gazette</w:t>
      </w:r>
      <w:r>
        <w:t xml:space="preserve"> unless a later day is specified in the order, in which case it is the day specified.</w:t>
      </w:r>
    </w:p>
    <w:p>
      <w:pPr>
        <w:pStyle w:val="Subsection"/>
      </w:pPr>
      <w:r>
        <w:tab/>
        <w:t>(6)</w:t>
      </w:r>
      <w:r>
        <w:tab/>
        <w:t xml:space="preserve">Subsection (4) does not give an SA Schedule amendment any earlier effect in this State than it has in </w:t>
      </w:r>
      <w:smartTag w:uri="urn:schemas-microsoft-com:office:smarttags" w:element="State">
        <w:smartTag w:uri="urn:schemas-microsoft-com:office:smarttags" w:element="place">
          <w:r>
            <w:t>South Australia</w:t>
          </w:r>
        </w:smartTag>
      </w:smartTag>
      <w:r>
        <w:t>.</w:t>
      </w:r>
    </w:p>
    <w:p>
      <w:pPr>
        <w:pStyle w:val="Heading5"/>
      </w:pPr>
      <w:bookmarkStart w:id="21" w:name="_Toc536781804"/>
      <w:r>
        <w:rPr>
          <w:rStyle w:val="CharSectno"/>
        </w:rPr>
        <w:t>7B</w:t>
      </w:r>
      <w:r>
        <w:t>.</w:t>
      </w:r>
      <w:r>
        <w:tab/>
        <w:t>Regulations amending Schedule 1 consequentially</w:t>
      </w:r>
      <w:bookmarkEnd w:id="21"/>
    </w:p>
    <w:p>
      <w:pPr>
        <w:pStyle w:val="Subsection"/>
      </w:pPr>
      <w:r>
        <w:tab/>
      </w:r>
      <w:r>
        <w:tab/>
        <w:t xml:space="preserve">The Governor may make regulations under this section amending Schedule 1 as is necessary or expedient to deal with consequences of — </w:t>
      </w:r>
    </w:p>
    <w:p>
      <w:pPr>
        <w:pStyle w:val="Indenta"/>
      </w:pPr>
      <w:r>
        <w:tab/>
        <w:t>(a)</w:t>
      </w:r>
      <w:r>
        <w:tab/>
        <w:t>an SA Schedule amendment; or</w:t>
      </w:r>
    </w:p>
    <w:p>
      <w:pPr>
        <w:pStyle w:val="Indenta"/>
      </w:pPr>
      <w:r>
        <w:tab/>
        <w:t>(b)</w:t>
      </w:r>
      <w:r>
        <w:tab/>
        <w:t>giving effect to section 7A(3) or (4).</w:t>
      </w:r>
    </w:p>
    <w:p>
      <w:pPr>
        <w:pStyle w:val="Heading5"/>
      </w:pPr>
      <w:bookmarkStart w:id="22" w:name="_Toc536781805"/>
      <w:r>
        <w:rPr>
          <w:bCs/>
        </w:rPr>
        <w:t>8</w:t>
      </w:r>
      <w:r>
        <w:t>.</w:t>
      </w:r>
      <w:r>
        <w:tab/>
        <w:t>National Gas Access (</w:t>
      </w:r>
      <w:smartTag w:uri="urn:schemas-microsoft-com:office:smarttags" w:element="State">
        <w:smartTag w:uri="urn:schemas-microsoft-com:office:smarttags" w:element="place">
          <w:r>
            <w:t>Western Australia</w:t>
          </w:r>
        </w:smartTag>
      </w:smartTag>
      <w:r>
        <w:t>) Regulations</w:t>
      </w:r>
      <w:bookmarkEnd w:id="22"/>
    </w:p>
    <w:p>
      <w:pPr>
        <w:pStyle w:val="Subsection"/>
      </w:pPr>
      <w:r>
        <w:tab/>
      </w:r>
      <w:r>
        <w:tab/>
        <w:t xml:space="preserve">The regulations in force for the time being under Part 3 — </w:t>
      </w:r>
    </w:p>
    <w:p>
      <w:pPr>
        <w:pStyle w:val="Indenta"/>
      </w:pPr>
      <w:r>
        <w:tab/>
        <w:t>(a)</w:t>
      </w:r>
      <w:r>
        <w:tab/>
        <w:t>apply as regulations in force for the purposes of the National Gas Access (</w:t>
      </w:r>
      <w:smartTag w:uri="urn:schemas-microsoft-com:office:smarttags" w:element="State">
        <w:smartTag w:uri="urn:schemas-microsoft-com:office:smarttags" w:element="place">
          <w:r>
            <w:t>Western Australia</w:t>
          </w:r>
        </w:smartTag>
      </w:smartTag>
      <w:r>
        <w:t>) Law; and</w:t>
      </w:r>
    </w:p>
    <w:p>
      <w:pPr>
        <w:pStyle w:val="Indenta"/>
      </w:pPr>
      <w:r>
        <w:tab/>
        <w:t>(b)</w:t>
      </w:r>
      <w:r>
        <w:tab/>
        <w:t>as so applying may be referred to as the National Gas Access (</w:t>
      </w:r>
      <w:smartTag w:uri="urn:schemas-microsoft-com:office:smarttags" w:element="State">
        <w:smartTag w:uri="urn:schemas-microsoft-com:office:smarttags" w:element="place">
          <w:r>
            <w:t>Western Australia</w:t>
          </w:r>
        </w:smartTag>
      </w:smartTag>
      <w:r>
        <w:t>) Regulations.</w:t>
      </w:r>
    </w:p>
    <w:p>
      <w:pPr>
        <w:pStyle w:val="Heading5"/>
      </w:pPr>
      <w:bookmarkStart w:id="23" w:name="_Toc536781806"/>
      <w:r>
        <w:rPr>
          <w:rStyle w:val="CharSectno"/>
        </w:rPr>
        <w:t>9</w:t>
      </w:r>
      <w:r>
        <w:t>.</w:t>
      </w:r>
      <w:r>
        <w:tab/>
        <w:t>Terms used in National Gas Access (</w:t>
      </w:r>
      <w:smartTag w:uri="urn:schemas-microsoft-com:office:smarttags" w:element="State">
        <w:smartTag w:uri="urn:schemas-microsoft-com:office:smarttags" w:element="place">
          <w:r>
            <w:t>Western Australia</w:t>
          </w:r>
        </w:smartTag>
      </w:smartTag>
      <w:r>
        <w:t>) Law and its regulations</w:t>
      </w:r>
      <w:bookmarkEnd w:id="23"/>
    </w:p>
    <w:p>
      <w:pPr>
        <w:pStyle w:val="Subsection"/>
      </w:pPr>
      <w:r>
        <w:tab/>
        <w:t>(1)</w:t>
      </w:r>
      <w:r>
        <w:tab/>
        <w:t>In the National Gas Access (</w:t>
      </w:r>
      <w:smartTag w:uri="urn:schemas-microsoft-com:office:smarttags" w:element="State">
        <w:r>
          <w:t>Western Australia</w:t>
        </w:r>
      </w:smartTag>
      <w:r>
        <w:t>) Law and the National Gas Access (</w:t>
      </w:r>
      <w:smartTag w:uri="urn:schemas-microsoft-com:office:smarttags" w:element="State">
        <w:smartTag w:uri="urn:schemas-microsoft-com:office:smarttags" w:element="place">
          <w:r>
            <w:t>Western Australia</w:t>
          </w:r>
        </w:smartTag>
      </w:smartTag>
      <w:r>
        <w:t xml:space="preserve">) Regulations — </w:t>
      </w:r>
    </w:p>
    <w:p>
      <w:pPr>
        <w:pStyle w:val="Defstart"/>
      </w:pPr>
      <w:r>
        <w:tab/>
      </w:r>
      <w:r>
        <w:rPr>
          <w:rStyle w:val="CharDefText"/>
        </w:rPr>
        <w:t>adjacent area of another participating jurisdiction</w:t>
      </w:r>
      <w:r>
        <w:t xml:space="preserve"> means the offshore area of a State other than this State or of the Northern Territory within the meaning given in section 7 of the </w:t>
      </w:r>
      <w:r>
        <w:rPr>
          <w:i/>
          <w:iCs/>
        </w:rPr>
        <w:t>Offshore Petroleum and Greenhouse Gas Storage Act 2006</w:t>
      </w:r>
      <w:r>
        <w:t xml:space="preserve"> of the Commonwealth;</w:t>
      </w:r>
    </w:p>
    <w:p>
      <w:pPr>
        <w:pStyle w:val="Defstart"/>
      </w:pPr>
      <w:r>
        <w:tab/>
      </w:r>
      <w:r>
        <w:rPr>
          <w:rStyle w:val="CharDefText"/>
        </w:rPr>
        <w:t>adjacent area of this jurisdiction</w:t>
      </w:r>
      <w:r>
        <w:t xml:space="preserve"> means the offshore area of the State within the meaning given in section 7 of the </w:t>
      </w:r>
      <w:r>
        <w:rPr>
          <w:i/>
          <w:iCs/>
        </w:rPr>
        <w:t>Offshore Petroleum and Greenhouse Gas Storage Act 2006</w:t>
      </w:r>
      <w:r>
        <w:t xml:space="preserve"> of the Commonwealth;</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designated Minister</w:t>
      </w:r>
      <w:r>
        <w:t xml:space="preserve"> means the Minister to whom the administration of this Act has been committed;</w:t>
      </w:r>
    </w:p>
    <w:p>
      <w:pPr>
        <w:pStyle w:val="Defstart"/>
      </w:pPr>
      <w:r>
        <w:rPr>
          <w:b/>
        </w:rPr>
        <w:tab/>
      </w:r>
      <w:r>
        <w:rPr>
          <w:rStyle w:val="CharDefText"/>
        </w:rPr>
        <w:t>dispute resolution body</w:t>
      </w:r>
      <w:r>
        <w:t xml:space="preserve"> means — </w:t>
      </w:r>
    </w:p>
    <w:p>
      <w:pPr>
        <w:pStyle w:val="Defpara"/>
      </w:pPr>
      <w:r>
        <w:tab/>
        <w:t>(a)</w:t>
      </w:r>
      <w:r>
        <w:tab/>
        <w:t>in relation to an ERA pipeline, the WA arbitrator;</w:t>
      </w:r>
    </w:p>
    <w:p>
      <w:pPr>
        <w:pStyle w:val="Defpara"/>
      </w:pPr>
      <w:r>
        <w:tab/>
        <w:t>(b)</w:t>
      </w:r>
      <w:r>
        <w:tab/>
        <w:t xml:space="preserve">in relation to any other pipeline, the Australian Energy Regulator established by section 44AE of the </w:t>
      </w:r>
      <w:r>
        <w:rPr>
          <w:i/>
          <w:iCs/>
        </w:rPr>
        <w:t>Trade Practices Act 1974</w:t>
      </w:r>
      <w:r>
        <w:t xml:space="preserve"> of the Commonwealth;</w:t>
      </w:r>
    </w:p>
    <w:p>
      <w:pPr>
        <w:pStyle w:val="Defstart"/>
      </w:pPr>
      <w:r>
        <w:rPr>
          <w:b/>
        </w:rPr>
        <w:tab/>
      </w:r>
      <w:r>
        <w:rPr>
          <w:rStyle w:val="CharDefText"/>
        </w:rPr>
        <w:t>ERA pipeline</w:t>
      </w:r>
      <w:r>
        <w:t xml:space="preserve"> means a pipeline other than — </w:t>
      </w:r>
    </w:p>
    <w:p>
      <w:pPr>
        <w:pStyle w:val="Defpara"/>
      </w:pPr>
      <w:r>
        <w:tab/>
        <w:t>(a)</w:t>
      </w:r>
      <w:r>
        <w:tab/>
        <w:t>an international pipeline; or</w:t>
      </w:r>
    </w:p>
    <w:p>
      <w:pPr>
        <w:pStyle w:val="Defpara"/>
      </w:pPr>
      <w:r>
        <w:tab/>
        <w:t>(b)</w:t>
      </w:r>
      <w:r>
        <w:tab/>
        <w:t>any other pipeline for which section 2 of the National Gas Access (</w:t>
      </w:r>
      <w:smartTag w:uri="urn:schemas-microsoft-com:office:smarttags" w:element="State">
        <w:smartTag w:uri="urn:schemas-microsoft-com:office:smarttags" w:element="place">
          <w:r>
            <w:t>Western Australia</w:t>
          </w:r>
        </w:smartTag>
      </w:smartTag>
      <w:r>
        <w:t>) Law defines the “relevant Minister” to mean a person other than the Minister responsible for the administration of this Act;</w:t>
      </w:r>
    </w:p>
    <w:p>
      <w:pPr>
        <w:pStyle w:val="Defstart"/>
      </w:pPr>
      <w:r>
        <w:rPr>
          <w:b/>
        </w:rPr>
        <w:tab/>
      </w:r>
      <w:r>
        <w:rPr>
          <w:rStyle w:val="CharDefText"/>
        </w:rPr>
        <w:t>Legislature of this jurisdiction</w:t>
      </w:r>
      <w:r>
        <w:t xml:space="preserve"> means the Parliament of Western Australia;</w:t>
      </w:r>
    </w:p>
    <w:p>
      <w:pPr>
        <w:pStyle w:val="Defstart"/>
      </w:pPr>
      <w:r>
        <w:rPr>
          <w:b/>
        </w:rPr>
        <w:tab/>
      </w:r>
      <w:r>
        <w:rPr>
          <w:rStyle w:val="CharDefText"/>
        </w:rPr>
        <w:t>National Gas Law</w:t>
      </w:r>
      <w:r>
        <w:t xml:space="preserve"> or </w:t>
      </w:r>
      <w:r>
        <w:rPr>
          <w:rStyle w:val="CharDefText"/>
        </w:rPr>
        <w:t>this Law</w:t>
      </w:r>
      <w:r>
        <w:t xml:space="preserve"> means the National Gas Access (</w:t>
      </w:r>
      <w:smartTag w:uri="urn:schemas-microsoft-com:office:smarttags" w:element="State">
        <w:smartTag w:uri="urn:schemas-microsoft-com:office:smarttags" w:element="place">
          <w:r>
            <w:t>Western Australia</w:t>
          </w:r>
        </w:smartTag>
      </w:smartTag>
      <w:r>
        <w:t>) Law;</w:t>
      </w:r>
    </w:p>
    <w:p>
      <w:pPr>
        <w:pStyle w:val="Defstart"/>
      </w:pPr>
      <w:r>
        <w:rPr>
          <w:b/>
        </w:rPr>
        <w:tab/>
      </w:r>
      <w:r>
        <w:rPr>
          <w:rStyle w:val="CharDefText"/>
        </w:rPr>
        <w:t>regulator</w:t>
      </w:r>
      <w:r>
        <w:t xml:space="preserve"> means — </w:t>
      </w:r>
    </w:p>
    <w:p>
      <w:pPr>
        <w:pStyle w:val="Defpara"/>
      </w:pPr>
      <w:r>
        <w:tab/>
        <w:t>(a)</w:t>
      </w:r>
      <w:r>
        <w:tab/>
        <w:t>in relation to an ERA pipeline, the ERA;</w:t>
      </w:r>
    </w:p>
    <w:p>
      <w:pPr>
        <w:pStyle w:val="Defpara"/>
      </w:pPr>
      <w:r>
        <w:tab/>
        <w:t>(b)</w:t>
      </w:r>
      <w:r>
        <w:tab/>
        <w:t xml:space="preserve">in relation to any other pipeline, the Australian Energy Regulator established by section 44AE of the </w:t>
      </w:r>
      <w:r>
        <w:rPr>
          <w:i/>
          <w:iCs/>
        </w:rPr>
        <w:t>Trade Practices Act 1974</w:t>
      </w:r>
      <w:r>
        <w:t xml:space="preserve"> of the Commonwealth;</w:t>
      </w:r>
    </w:p>
    <w:p>
      <w:pPr>
        <w:pStyle w:val="Defstart"/>
      </w:pPr>
      <w:r>
        <w:rPr>
          <w:b/>
        </w:rPr>
        <w:tab/>
      </w:r>
      <w:r>
        <w:rPr>
          <w:rStyle w:val="CharDefText"/>
        </w:rPr>
        <w:t>this jurisdiction</w:t>
      </w:r>
      <w:r>
        <w:t xml:space="preserve"> means the State of </w:t>
      </w:r>
      <w:smartTag w:uri="urn:schemas-microsoft-com:office:smarttags" w:element="State">
        <w:smartTag w:uri="urn:schemas-microsoft-com:office:smarttags" w:element="place">
          <w:r>
            <w:t>Western Australia</w:t>
          </w:r>
        </w:smartTag>
      </w:smartTag>
      <w:r>
        <w:t>;</w:t>
      </w:r>
    </w:p>
    <w:p>
      <w:pPr>
        <w:pStyle w:val="Defstart"/>
      </w:pPr>
      <w:r>
        <w:rPr>
          <w:b/>
        </w:rPr>
        <w:tab/>
      </w:r>
      <w:r>
        <w:rPr>
          <w:rStyle w:val="CharDefText"/>
        </w:rPr>
        <w:t>WA arbitrator</w:t>
      </w:r>
      <w:r>
        <w:t xml:space="preserve"> means the Western Australian Energy Disputes Arbitrator under Part 6 Division 3 of the </w:t>
      </w:r>
      <w:r>
        <w:rPr>
          <w:i/>
          <w:iCs/>
        </w:rPr>
        <w:t>Energy Arbitration and Review Act 1998</w:t>
      </w:r>
      <w:r>
        <w:t>.</w:t>
      </w:r>
    </w:p>
    <w:p>
      <w:pPr>
        <w:pStyle w:val="Subsection"/>
      </w:pPr>
      <w:r>
        <w:tab/>
        <w:t>(2)</w:t>
      </w:r>
      <w:r>
        <w:tab/>
        <w:t xml:space="preserve">A pipeline that is an offshore Western Australian pipeline as defined in section 3(1) of the </w:t>
      </w:r>
      <w:r>
        <w:rPr>
          <w:i/>
          <w:iCs/>
        </w:rPr>
        <w:t>Australian Energy Market Act 2004</w:t>
      </w:r>
      <w:r>
        <w:t xml:space="preserve"> of the Commonwealth is to be regarded as being situated wholly within </w:t>
      </w:r>
      <w:smartTag w:uri="urn:schemas-microsoft-com:office:smarttags" w:element="State">
        <w:r>
          <w:t>Western Australia</w:t>
        </w:r>
      </w:smartTag>
      <w:r>
        <w:t xml:space="preserve"> for the purpose of determining who is the relevant Minister under the National Gas Access (</w:t>
      </w:r>
      <w:smartTag w:uri="urn:schemas-microsoft-com:office:smarttags" w:element="State">
        <w:smartTag w:uri="urn:schemas-microsoft-com:office:smarttags" w:element="place">
          <w:r>
            <w:t>Western Australia</w:t>
          </w:r>
        </w:smartTag>
      </w:smartTag>
      <w:r>
        <w:t>) Law.</w:t>
      </w:r>
    </w:p>
    <w:p>
      <w:pPr>
        <w:pStyle w:val="Subsection"/>
      </w:pPr>
      <w:r>
        <w:tab/>
        <w:t>(3)</w:t>
      </w:r>
      <w:r>
        <w:tab/>
        <w:t xml:space="preserve">The </w:t>
      </w:r>
      <w:r>
        <w:rPr>
          <w:i/>
          <w:iCs/>
        </w:rPr>
        <w:t>Acts Interpretation Act 1915</w:t>
      </w:r>
      <w:r>
        <w:t>, and other Acts, of South Australia do not apply to the National Gas Law as set out in the Schedule to the South Australian Act in its application, with modifications, as a law of Western Australia.</w:t>
      </w:r>
    </w:p>
    <w:p>
      <w:pPr>
        <w:pStyle w:val="Footnotesection"/>
      </w:pPr>
      <w:r>
        <w:tab/>
        <w:t>[Section 9 amended: No. 42 of 2010 s. 184.]</w:t>
      </w:r>
    </w:p>
    <w:p>
      <w:pPr>
        <w:pStyle w:val="Heading2"/>
      </w:pPr>
      <w:bookmarkStart w:id="24" w:name="_Toc501633717"/>
      <w:bookmarkStart w:id="25" w:name="_Toc501712613"/>
      <w:bookmarkStart w:id="26" w:name="_Toc536781807"/>
      <w:r>
        <w:rPr>
          <w:rStyle w:val="CharPartNo"/>
        </w:rPr>
        <w:t>Part 3</w:t>
      </w:r>
      <w:r>
        <w:rPr>
          <w:rStyle w:val="CharDivNo"/>
        </w:rPr>
        <w:t> </w:t>
      </w:r>
      <w:r>
        <w:t>—</w:t>
      </w:r>
      <w:r>
        <w:rPr>
          <w:rStyle w:val="CharDivText"/>
        </w:rPr>
        <w:t> </w:t>
      </w:r>
      <w:r>
        <w:rPr>
          <w:rStyle w:val="CharPartText"/>
        </w:rPr>
        <w:t>Regulations for the National Gas Access (</w:t>
      </w:r>
      <w:smartTag w:uri="urn:schemas-microsoft-com:office:smarttags" w:element="place">
        <w:smartTag w:uri="urn:schemas-microsoft-com:office:smarttags" w:element="State">
          <w:r>
            <w:rPr>
              <w:rStyle w:val="CharPartText"/>
            </w:rPr>
            <w:t>Western Australia</w:t>
          </w:r>
        </w:smartTag>
      </w:smartTag>
      <w:r>
        <w:rPr>
          <w:rStyle w:val="CharPartText"/>
        </w:rPr>
        <w:t>) Law</w:t>
      </w:r>
      <w:bookmarkEnd w:id="24"/>
      <w:bookmarkEnd w:id="25"/>
      <w:bookmarkEnd w:id="26"/>
    </w:p>
    <w:p>
      <w:pPr>
        <w:pStyle w:val="Heading5"/>
      </w:pPr>
      <w:bookmarkStart w:id="27" w:name="_Toc536781808"/>
      <w:r>
        <w:rPr>
          <w:rStyle w:val="CharSectno"/>
        </w:rPr>
        <w:t>10</w:t>
      </w:r>
      <w:r>
        <w:t>.</w:t>
      </w:r>
      <w:r>
        <w:tab/>
        <w:t>Making regulations</w:t>
      </w:r>
      <w:bookmarkEnd w:id="27"/>
    </w:p>
    <w:p>
      <w:pPr>
        <w:pStyle w:val="Subsection"/>
      </w:pPr>
      <w:r>
        <w:tab/>
        <w:t>(1)</w:t>
      </w:r>
      <w:r>
        <w:tab/>
        <w:t>The Governor, acting with the advice and consent of the Executive Council, may make regulations contemplated by, or necessary or expedient for giving effect to, the National Gas Access (</w:t>
      </w:r>
      <w:smartTag w:uri="urn:schemas-microsoft-com:office:smarttags" w:element="State">
        <w:smartTag w:uri="urn:schemas-microsoft-com:office:smarttags" w:element="place">
          <w:r>
            <w:t>Western Australia</w:t>
          </w:r>
        </w:smartTag>
      </w:smartTag>
      <w:r>
        <w:t>) Law.</w:t>
      </w:r>
    </w:p>
    <w:p>
      <w:pPr>
        <w:pStyle w:val="Subsection"/>
      </w:pPr>
      <w:r>
        <w:tab/>
        <w:t>(2)</w:t>
      </w:r>
      <w:r>
        <w:tab/>
        <w:t>Without limiting subsection (1), the regulations may prescribe fees in respect of any matter under the National Gas Access (</w:t>
      </w:r>
      <w:smartTag w:uri="urn:schemas-microsoft-com:office:smarttags" w:element="State">
        <w:smartTag w:uri="urn:schemas-microsoft-com:office:smarttags" w:element="place">
          <w:r>
            <w:t>Western Australia</w:t>
          </w:r>
        </w:smartTag>
      </w:smartTag>
      <w:r>
        <w:t>) Law, and provide for the waiver or refund of such fees.</w:t>
      </w:r>
    </w:p>
    <w:p>
      <w:pPr>
        <w:pStyle w:val="Subsection"/>
      </w:pPr>
      <w:r>
        <w:tab/>
        <w:t>(3)</w:t>
      </w:r>
      <w:r>
        <w:tab/>
        <w:t xml:space="preserve">Regulations under this Part may — </w:t>
      </w:r>
    </w:p>
    <w:p>
      <w:pPr>
        <w:pStyle w:val="Indenta"/>
      </w:pPr>
      <w:r>
        <w:tab/>
        <w:t>(a)</w:t>
      </w:r>
      <w:r>
        <w:tab/>
        <w:t>be of general or limited application;</w:t>
      </w:r>
    </w:p>
    <w:p>
      <w:pPr>
        <w:pStyle w:val="Indenta"/>
      </w:pPr>
      <w:r>
        <w:tab/>
        <w:t>(b)</w:t>
      </w:r>
      <w:r>
        <w:tab/>
        <w:t>vary according to the persons, times, places or circumstances to which they are expressed to apply;</w:t>
      </w:r>
    </w:p>
    <w:p>
      <w:pPr>
        <w:pStyle w:val="Indenta"/>
      </w:pPr>
      <w:r>
        <w:tab/>
        <w:t>(c)</w:t>
      </w:r>
      <w:r>
        <w:tab/>
        <w:t>in relation to fees, prescribe differential fees or provide for fees to be determined according to prescribed factors.</w:t>
      </w:r>
    </w:p>
    <w:p>
      <w:pPr>
        <w:pStyle w:val="Subsection"/>
      </w:pPr>
      <w:r>
        <w:tab/>
        <w:t>(4)</w:t>
      </w:r>
      <w:r>
        <w:tab/>
        <w:t xml:space="preserve">Once the Governor has made a regulation prescribing 1 or more pipelines to be designated pipelines for the purposes of the definition of </w:t>
      </w:r>
      <w:r>
        <w:rPr>
          <w:b/>
          <w:bCs/>
          <w:i/>
          <w:iCs/>
        </w:rPr>
        <w:t>designated pipeline</w:t>
      </w:r>
      <w:r>
        <w:t xml:space="preserve"> in section 2 of the National Gas Access (</w:t>
      </w:r>
      <w:smartTag w:uri="urn:schemas-microsoft-com:office:smarttags" w:element="State">
        <w:smartTag w:uri="urn:schemas-microsoft-com:office:smarttags" w:element="place">
          <w:r>
            <w:t>Western Australia</w:t>
          </w:r>
        </w:smartTag>
      </w:smartTag>
      <w:r>
        <w:t>) Law, the Governor cannot make another regulation that prescribes any other pipeline to be a designated pipeline.</w:t>
      </w:r>
    </w:p>
    <w:p>
      <w:pPr>
        <w:pStyle w:val="Subsection"/>
      </w:pPr>
      <w:r>
        <w:tab/>
        <w:t>(5)</w:t>
      </w:r>
      <w:r>
        <w:tab/>
        <w:t>Regulations under this Part may be made only on the unanimous recommendation of the Ministers of the participating jurisdictions.</w:t>
      </w:r>
    </w:p>
    <w:p>
      <w:pPr>
        <w:pStyle w:val="Subsection"/>
      </w:pPr>
      <w:r>
        <w:tab/>
        <w:t>(6)</w:t>
      </w:r>
      <w:r>
        <w:tab/>
        <w:t xml:space="preserve">Regulations under this Part have to be published in the </w:t>
      </w:r>
      <w:r>
        <w:rPr>
          <w:i/>
          <w:iCs/>
        </w:rPr>
        <w:t>Government Gazette</w:t>
      </w:r>
      <w:r>
        <w:t>.</w:t>
      </w:r>
    </w:p>
    <w:p>
      <w:pPr>
        <w:pStyle w:val="Heading5"/>
      </w:pPr>
      <w:bookmarkStart w:id="28" w:name="_Toc536781809"/>
      <w:r>
        <w:rPr>
          <w:rStyle w:val="CharSectno"/>
        </w:rPr>
        <w:t>11</w:t>
      </w:r>
      <w:r>
        <w:t>.</w:t>
      </w:r>
      <w:r>
        <w:tab/>
        <w:t>Regulations may deal with transitional matters</w:t>
      </w:r>
      <w:bookmarkEnd w:id="28"/>
    </w:p>
    <w:p>
      <w:pPr>
        <w:pStyle w:val="Subsection"/>
      </w:pPr>
      <w:r>
        <w:tab/>
        <w:t>(1)</w:t>
      </w:r>
      <w:r>
        <w:tab/>
        <w:t>Without limiting the generality of section 10, the regulations may deal with matters of a transitional nature relating to the transition from the application of provisions of the Gas Pipelines Access Law to the application of provisions of the National Gas Access (</w:t>
      </w:r>
      <w:smartTag w:uri="urn:schemas-microsoft-com:office:smarttags" w:element="State">
        <w:smartTag w:uri="urn:schemas-microsoft-com:office:smarttags" w:element="place">
          <w:r>
            <w:t>Western Australia</w:t>
          </w:r>
        </w:smartTag>
      </w:smartTag>
      <w:r>
        <w:t>) Law.</w:t>
      </w:r>
    </w:p>
    <w:p>
      <w:pPr>
        <w:pStyle w:val="Subsection"/>
      </w:pPr>
      <w:r>
        <w:tab/>
        <w:t>(2)</w:t>
      </w:r>
      <w:r>
        <w:tab/>
        <w:t>Any provision of the regulations that deals with a matter of a transitional nature under subsection (1) may be expressed to take effect from a time that is earlier than the beginning of the day on which the regulations containing the provision are made, not being a time earlier than the commencement of this section.</w:t>
      </w:r>
    </w:p>
    <w:p>
      <w:pPr>
        <w:pStyle w:val="Subsection"/>
      </w:pPr>
      <w:r>
        <w:tab/>
        <w:t>(3)</w:t>
      </w:r>
      <w:r>
        <w:tab/>
        <w:t xml:space="preserve">If a provision of the regulations is expressed to take effect from a time that is earlier than the beginning of the day on which the regulations containing the provision are published in the </w:t>
      </w:r>
      <w:r>
        <w:rPr>
          <w:i/>
          <w:iCs/>
        </w:rPr>
        <w:t>Government Gazette</w:t>
      </w:r>
      <w:r>
        <w:t xml:space="preserve">, the provision must also provide that the provision does not operate so as — </w:t>
      </w:r>
    </w:p>
    <w:p>
      <w:pPr>
        <w:pStyle w:val="Indenta"/>
      </w:pPr>
      <w:r>
        <w:tab/>
        <w:t>(a)</w:t>
      </w:r>
      <w:r>
        <w:tab/>
        <w:t>to prejudicially affect the rights of a person (other than the rights of a Minister of a participating jurisdiction or an entity involved in the administration of the Gas Pipelines Access Law or the National Gas Access (Western Australia) Law) existing before the day of publication of those regulations; or</w:t>
      </w:r>
    </w:p>
    <w:p>
      <w:pPr>
        <w:pStyle w:val="Indenta"/>
      </w:pPr>
      <w:r>
        <w:tab/>
        <w:t>(b)</w:t>
      </w:r>
      <w:r>
        <w:tab/>
        <w:t>to impose liabilities on any person (other than liabilities imposed on a Minister of a participating jurisdiction or an entity involved in the administration of the Gas Pipelines Access Law or the National Gas Access (Western Australia) Law) in respect of anything done or omitted to be done before the day of publication of those regulations.</w:t>
      </w:r>
    </w:p>
    <w:p>
      <w:pPr>
        <w:pStyle w:val="Subsection"/>
      </w:pPr>
      <w:r>
        <w:tab/>
        <w:t>(4)</w:t>
      </w:r>
      <w:r>
        <w:tab/>
        <w:t xml:space="preserve">In this section — </w:t>
      </w:r>
    </w:p>
    <w:p>
      <w:pPr>
        <w:pStyle w:val="Defstart"/>
      </w:pPr>
      <w:r>
        <w:rPr>
          <w:b/>
        </w:rPr>
        <w:tab/>
      </w:r>
      <w:r>
        <w:rPr>
          <w:rStyle w:val="CharDefText"/>
        </w:rPr>
        <w:t>Gas Pipelines Access Law</w:t>
      </w:r>
      <w:r>
        <w:t xml:space="preserve"> has the meaning that the term had under section 3(1) of the </w:t>
      </w:r>
      <w:r>
        <w:rPr>
          <w:i/>
        </w:rPr>
        <w:t>Gas Pipelines Access (</w:t>
      </w:r>
      <w:smartTag w:uri="urn:schemas-microsoft-com:office:smarttags" w:element="State">
        <w:smartTag w:uri="urn:schemas-microsoft-com:office:smarttags" w:element="place">
          <w:r>
            <w:rPr>
              <w:i/>
            </w:rPr>
            <w:t>Western Australia</w:t>
          </w:r>
        </w:smartTag>
      </w:smartTag>
      <w:r>
        <w:rPr>
          <w:i/>
        </w:rPr>
        <w:t>) Act 1998</w:t>
      </w:r>
      <w:r>
        <w:t xml:space="preserve"> before the commencement of this section;</w:t>
      </w:r>
    </w:p>
    <w:p>
      <w:pPr>
        <w:pStyle w:val="Defstart"/>
      </w:pPr>
      <w:r>
        <w:rPr>
          <w:b/>
        </w:rPr>
        <w:tab/>
      </w:r>
      <w:r>
        <w:rPr>
          <w:rStyle w:val="CharDefText"/>
        </w:rPr>
        <w:t>matters of a transitional nature</w:t>
      </w:r>
      <w:r>
        <w:t xml:space="preserve"> includes matters of an application or savings nature;</w:t>
      </w:r>
    </w:p>
    <w:p>
      <w:pPr>
        <w:pStyle w:val="Defstart"/>
      </w:pPr>
      <w:r>
        <w:rPr>
          <w:b/>
        </w:rPr>
        <w:tab/>
      </w:r>
      <w:r>
        <w:rPr>
          <w:rStyle w:val="CharDefText"/>
        </w:rPr>
        <w:t>National Gas Access (</w:t>
      </w:r>
      <w:smartTag w:uri="urn:schemas-microsoft-com:office:smarttags" w:element="State">
        <w:smartTag w:uri="urn:schemas-microsoft-com:office:smarttags" w:element="place">
          <w:r>
            <w:rPr>
              <w:rStyle w:val="CharDefText"/>
            </w:rPr>
            <w:t>Western Australia</w:t>
          </w:r>
        </w:smartTag>
      </w:smartTag>
      <w:r>
        <w:rPr>
          <w:rStyle w:val="CharDefText"/>
        </w:rPr>
        <w:t>) Law</w:t>
      </w:r>
      <w:r>
        <w:t xml:space="preserve"> means the provisions applying from time to time because of section 7, and it includes Rules made and in force under those provisions from time to time.</w:t>
      </w:r>
    </w:p>
    <w:p>
      <w:pPr>
        <w:pStyle w:val="Heading2"/>
      </w:pPr>
      <w:bookmarkStart w:id="29" w:name="_Toc501633720"/>
      <w:bookmarkStart w:id="30" w:name="_Toc501712616"/>
      <w:bookmarkStart w:id="31" w:name="_Toc536781810"/>
      <w:r>
        <w:rPr>
          <w:rStyle w:val="CharPartNo"/>
        </w:rPr>
        <w:t>Part 4</w:t>
      </w:r>
      <w:r>
        <w:t> — </w:t>
      </w:r>
      <w:r>
        <w:rPr>
          <w:rStyle w:val="CharPartText"/>
        </w:rPr>
        <w:t>Cross vesting of functions and powers</w:t>
      </w:r>
      <w:bookmarkEnd w:id="29"/>
      <w:bookmarkEnd w:id="30"/>
      <w:bookmarkEnd w:id="31"/>
    </w:p>
    <w:p>
      <w:pPr>
        <w:pStyle w:val="Heading5"/>
      </w:pPr>
      <w:bookmarkStart w:id="32" w:name="_Toc536781811"/>
      <w:r>
        <w:rPr>
          <w:rStyle w:val="CharSectno"/>
        </w:rPr>
        <w:t>12</w:t>
      </w:r>
      <w:r>
        <w:t>.</w:t>
      </w:r>
      <w:r>
        <w:tab/>
        <w:t>Conferral of powers on Commonwealth Minister and Commonwealth bodies to act in this State</w:t>
      </w:r>
      <w:bookmarkEnd w:id="32"/>
    </w:p>
    <w:p>
      <w:pPr>
        <w:pStyle w:val="Subsection"/>
      </w:pPr>
      <w:r>
        <w:tab/>
        <w:t>(1)</w:t>
      </w:r>
      <w:r>
        <w:tab/>
        <w:t>The Commonwealth Minister and the Commonwealth bodies have power to do acts in or in relation to this State in the performance or exercise of a function or power expressed to be conferred on them respectively by the national gas legislation of another participating jurisdiction.</w:t>
      </w:r>
    </w:p>
    <w:p>
      <w:pPr>
        <w:pStyle w:val="Subsection"/>
      </w:pPr>
      <w:r>
        <w:tab/>
        <w:t>(2)</w:t>
      </w:r>
      <w:r>
        <w:tab/>
        <w:t xml:space="preserve">In subsection (1) — </w:t>
      </w:r>
    </w:p>
    <w:p>
      <w:pPr>
        <w:pStyle w:val="Defstart"/>
      </w:pPr>
      <w:r>
        <w:rPr>
          <w:b/>
        </w:rPr>
        <w:tab/>
      </w:r>
      <w:r>
        <w:rPr>
          <w:rStyle w:val="CharDefText"/>
        </w:rPr>
        <w:t>Commonwealth bodies</w:t>
      </w:r>
      <w:r>
        <w:t xml:space="preserve"> means any of the following:</w:t>
      </w:r>
    </w:p>
    <w:p>
      <w:pPr>
        <w:pStyle w:val="Defpara"/>
      </w:pPr>
      <w:r>
        <w:tab/>
        <w:t>(a)</w:t>
      </w:r>
      <w:r>
        <w:tab/>
        <w:t>the AER;</w:t>
      </w:r>
    </w:p>
    <w:p>
      <w:pPr>
        <w:pStyle w:val="Defpara"/>
      </w:pPr>
      <w:r>
        <w:tab/>
        <w:t>(b)</w:t>
      </w:r>
      <w:r>
        <w:tab/>
        <w:t>the NCC;</w:t>
      </w:r>
    </w:p>
    <w:p>
      <w:pPr>
        <w:pStyle w:val="Defpara"/>
      </w:pPr>
      <w:r>
        <w:tab/>
        <w:t>(c)</w:t>
      </w:r>
      <w:r>
        <w:tab/>
        <w:t>the Tribunal.</w:t>
      </w:r>
    </w:p>
    <w:p>
      <w:pPr>
        <w:pStyle w:val="Heading5"/>
      </w:pPr>
      <w:bookmarkStart w:id="33" w:name="_Toc536781812"/>
      <w:r>
        <w:rPr>
          <w:rStyle w:val="CharSectno"/>
        </w:rPr>
        <w:t>13</w:t>
      </w:r>
      <w:r>
        <w:t>.</w:t>
      </w:r>
      <w:r>
        <w:tab/>
        <w:t>Conferral of powers on Ministers of other</w:t>
      </w:r>
      <w:r>
        <w:rPr>
          <w:b w:val="0"/>
          <w:bCs/>
        </w:rPr>
        <w:t xml:space="preserve"> </w:t>
      </w:r>
      <w:r>
        <w:t>participating States and Territories to act in this State</w:t>
      </w:r>
      <w:bookmarkEnd w:id="33"/>
    </w:p>
    <w:p>
      <w:pPr>
        <w:pStyle w:val="Subsection"/>
      </w:pPr>
      <w:r>
        <w:tab/>
      </w:r>
      <w:r>
        <w:tab/>
        <w:t>The Minister of another participating jurisdiction has power to do acts in or in relation to this State in the performance or exercise of a function or power expressed to be conferred on the Minister by the national gas legislation of another participating jurisdiction.</w:t>
      </w:r>
    </w:p>
    <w:p>
      <w:pPr>
        <w:pStyle w:val="Heading5"/>
      </w:pPr>
      <w:bookmarkStart w:id="34" w:name="_Toc536781813"/>
      <w:r>
        <w:rPr>
          <w:rStyle w:val="CharSectno"/>
        </w:rPr>
        <w:t>14</w:t>
      </w:r>
      <w:r>
        <w:t>.</w:t>
      </w:r>
      <w:r>
        <w:tab/>
        <w:t>Conferral of functions or powers on State bodies</w:t>
      </w:r>
      <w:bookmarkEnd w:id="34"/>
    </w:p>
    <w:p>
      <w:pPr>
        <w:pStyle w:val="Subsection"/>
      </w:pPr>
      <w:r>
        <w:tab/>
      </w:r>
      <w:r>
        <w:tab/>
        <w:t xml:space="preserve">If the national gas legislation of another participating jurisdiction confers a function or power on the Minister or another agency or instrumentality of this State constituted by a law of this State, the Minister or the other agency or instrumentality — </w:t>
      </w:r>
    </w:p>
    <w:p>
      <w:pPr>
        <w:pStyle w:val="Indenta"/>
      </w:pPr>
      <w:r>
        <w:tab/>
        <w:t>(a)</w:t>
      </w:r>
      <w:r>
        <w:tab/>
        <w:t>may perform that function or exercise that power; and</w:t>
      </w:r>
    </w:p>
    <w:p>
      <w:pPr>
        <w:pStyle w:val="Indenta"/>
      </w:pPr>
      <w:r>
        <w:tab/>
        <w:t>(b)</w:t>
      </w:r>
      <w:r>
        <w:tab/>
        <w:t>may do all things necessary or expedient to be done in connection with the performance or exercise of that function or power.</w:t>
      </w:r>
    </w:p>
    <w:p>
      <w:pPr>
        <w:pStyle w:val="Heading2"/>
      </w:pPr>
      <w:bookmarkStart w:id="35" w:name="_Toc501633724"/>
      <w:bookmarkStart w:id="36" w:name="_Toc501712620"/>
      <w:bookmarkStart w:id="37" w:name="_Toc536781814"/>
      <w:r>
        <w:rPr>
          <w:rStyle w:val="CharPartNo"/>
        </w:rPr>
        <w:t>Part 5</w:t>
      </w:r>
      <w:r>
        <w:t> — </w:t>
      </w:r>
      <w:r>
        <w:rPr>
          <w:rStyle w:val="CharPartText"/>
        </w:rPr>
        <w:t>General</w:t>
      </w:r>
      <w:bookmarkEnd w:id="35"/>
      <w:bookmarkEnd w:id="36"/>
      <w:bookmarkEnd w:id="37"/>
    </w:p>
    <w:p>
      <w:pPr>
        <w:pStyle w:val="Heading5"/>
      </w:pPr>
      <w:bookmarkStart w:id="38" w:name="_Toc536781815"/>
      <w:r>
        <w:rPr>
          <w:rStyle w:val="CharSectno"/>
        </w:rPr>
        <w:t>15</w:t>
      </w:r>
      <w:r>
        <w:t>.</w:t>
      </w:r>
      <w:r>
        <w:tab/>
        <w:t>Exemption from taxes</w:t>
      </w:r>
      <w:bookmarkEnd w:id="38"/>
    </w:p>
    <w:p>
      <w:pPr>
        <w:pStyle w:val="Subsection"/>
        <w:spacing w:before="200"/>
      </w:pPr>
      <w:r>
        <w:tab/>
        <w:t>(1)</w:t>
      </w:r>
      <w:r>
        <w:tab/>
        <w:t xml:space="preserve">Any duty or other tax imposed by or under a law of this State is not payable in relation to — </w:t>
      </w:r>
    </w:p>
    <w:p>
      <w:pPr>
        <w:pStyle w:val="Indenta"/>
      </w:pPr>
      <w:r>
        <w:tab/>
        <w:t>(a)</w:t>
      </w:r>
      <w:r>
        <w:tab/>
        <w:t>an exempt matter; or</w:t>
      </w:r>
    </w:p>
    <w:p>
      <w:pPr>
        <w:pStyle w:val="Indenta"/>
      </w:pPr>
      <w:r>
        <w:tab/>
        <w:t>(b)</w:t>
      </w:r>
      <w:r>
        <w:tab/>
        <w:t>anything done (including, for example, a transaction entered into or an instrument or document made, executed, lodged or given) because of, or arising out of, an exempt matter.</w:t>
      </w:r>
    </w:p>
    <w:p>
      <w:pPr>
        <w:pStyle w:val="Subsection"/>
        <w:spacing w:before="200"/>
      </w:pPr>
      <w:r>
        <w:tab/>
        <w:t>(2)</w:t>
      </w:r>
      <w:r>
        <w:tab/>
        <w:t xml:space="preserve">In this section — </w:t>
      </w:r>
    </w:p>
    <w:p>
      <w:pPr>
        <w:pStyle w:val="Defstart"/>
      </w:pPr>
      <w:r>
        <w:rPr>
          <w:b/>
        </w:rPr>
        <w:tab/>
      </w:r>
      <w:r>
        <w:rPr>
          <w:rStyle w:val="CharDefText"/>
        </w:rPr>
        <w:t>exempt matter</w:t>
      </w:r>
      <w:r>
        <w:t xml:space="preserve"> means a transfer of assets or liabilities — </w:t>
      </w:r>
    </w:p>
    <w:p>
      <w:pPr>
        <w:pStyle w:val="Defpara"/>
      </w:pPr>
      <w:r>
        <w:tab/>
        <w:t>(a)</w:t>
      </w:r>
      <w:r>
        <w:tab/>
        <w:t>that is made for the purpose of ensuring that a person does not carry on a business of producing, purchasing or selling natural gas or processable gas in breach of any ring fencing requirements of any national gas legislation or for the purpose of the separation of certain businesses or business activities from other businesses or business activities of a person as required by an AER ring fencing determination; and</w:t>
      </w:r>
    </w:p>
    <w:p>
      <w:pPr>
        <w:pStyle w:val="Defpara"/>
      </w:pPr>
      <w:r>
        <w:tab/>
        <w:t>(b)</w:t>
      </w:r>
      <w:r>
        <w:tab/>
        <w:t xml:space="preserve">that the Minister and the Treasurer declare from time to time, by order notice of which is published in the </w:t>
      </w:r>
      <w:r>
        <w:rPr>
          <w:i/>
          <w:iCs/>
        </w:rPr>
        <w:t>Government Gazette</w:t>
      </w:r>
      <w:r>
        <w:t>, to be an exempt matter for the purposes of this section.</w:t>
      </w:r>
    </w:p>
    <w:p>
      <w:pPr>
        <w:pStyle w:val="Heading5"/>
      </w:pPr>
      <w:bookmarkStart w:id="39" w:name="_Toc536781816"/>
      <w:r>
        <w:rPr>
          <w:rStyle w:val="CharSectno"/>
        </w:rPr>
        <w:t>16</w:t>
      </w:r>
      <w:r>
        <w:t>.</w:t>
      </w:r>
      <w:r>
        <w:tab/>
        <w:t>Actions in relation to cross boundary pipelines</w:t>
      </w:r>
      <w:bookmarkEnd w:id="39"/>
    </w:p>
    <w:p>
      <w:pPr>
        <w:pStyle w:val="Subsection"/>
        <w:spacing w:before="200"/>
      </w:pPr>
      <w:r>
        <w:tab/>
        <w:t>(1)</w:t>
      </w:r>
      <w:r>
        <w:tab/>
        <w:t xml:space="preserve">If a pipeline is a cross boundary pipeline, any action taken under the national gas legislation of a participating jurisdiction in whose jurisdictional area a part of the pipeline is situated — </w:t>
      </w:r>
    </w:p>
    <w:p>
      <w:pPr>
        <w:pStyle w:val="Indenta"/>
      </w:pPr>
      <w:r>
        <w:tab/>
        <w:t>(a)</w:t>
      </w:r>
      <w:r>
        <w:tab/>
        <w:t>by, or in relation to, a relevant Minister; or</w:t>
      </w:r>
    </w:p>
    <w:p>
      <w:pPr>
        <w:pStyle w:val="Indenta"/>
        <w:keepNext/>
      </w:pPr>
      <w:r>
        <w:tab/>
        <w:t>(b)</w:t>
      </w:r>
      <w:r>
        <w:tab/>
        <w:t>by the Court within the meaning that term has in that legislation in relation to action taken by, or in relation to, a relevant Minister,</w:t>
      </w:r>
    </w:p>
    <w:p>
      <w:pPr>
        <w:pStyle w:val="Subsection"/>
      </w:pPr>
      <w:r>
        <w:tab/>
      </w:r>
      <w:r>
        <w:tab/>
        <w:t>is taken also to be taken under the national gas legislation of each participating jurisdiction in whose jurisdictional area a part of the pipeline is situated (</w:t>
      </w:r>
      <w:r>
        <w:rPr>
          <w:rStyle w:val="CharDefText"/>
          <w:bCs/>
        </w:rPr>
        <w:t>that other legislation</w:t>
      </w:r>
      <w:r>
        <w:t xml:space="preserve">) — </w:t>
      </w:r>
    </w:p>
    <w:p>
      <w:pPr>
        <w:pStyle w:val="Indenta"/>
      </w:pPr>
      <w:r>
        <w:tab/>
        <w:t>(c)</w:t>
      </w:r>
      <w:r>
        <w:tab/>
        <w:t>by, or in relation to, a relevant Minister within the meaning that term has in that other legislation; or</w:t>
      </w:r>
    </w:p>
    <w:p>
      <w:pPr>
        <w:pStyle w:val="Indenta"/>
      </w:pPr>
      <w:r>
        <w:tab/>
        <w:t>(d)</w:t>
      </w:r>
      <w:r>
        <w:tab/>
        <w:t>by the Court within the meaning that term has in that other legislation,</w:t>
      </w:r>
    </w:p>
    <w:p>
      <w:pPr>
        <w:pStyle w:val="Subsection"/>
      </w:pPr>
      <w:r>
        <w:tab/>
      </w:r>
      <w:r>
        <w:tab/>
        <w:t>as the case requires.</w:t>
      </w:r>
    </w:p>
    <w:p>
      <w:pPr>
        <w:pStyle w:val="Subsection"/>
      </w:pPr>
      <w:r>
        <w:tab/>
        <w:t>(2)</w:t>
      </w:r>
      <w:r>
        <w:tab/>
        <w:t>Despite subsection (1), no proceeding for judicial review or for a declaration, injunction, writ, order or remedy may be brought before the Court to challenge or question any action, or purported action, of a relevant Minister taken, or purportedly taken, in relation to a cross boundary distribution pipeline unless this jurisdiction has been determined to be the participating jurisdiction with which the cross boundary distribution pipeline is most closely connected.</w:t>
      </w:r>
    </w:p>
    <w:p>
      <w:pPr>
        <w:pStyle w:val="Subsection"/>
      </w:pPr>
      <w:r>
        <w:tab/>
        <w:t>(3)</w:t>
      </w:r>
      <w:r>
        <w:tab/>
        <w:t xml:space="preserve">A reference in this section — </w:t>
      </w:r>
    </w:p>
    <w:p>
      <w:pPr>
        <w:pStyle w:val="Indenta"/>
      </w:pPr>
      <w:r>
        <w:tab/>
        <w:t>(a)</w:t>
      </w:r>
      <w:r>
        <w:tab/>
        <w:t xml:space="preserve">to an action that is taken includes a reference to — </w:t>
      </w:r>
    </w:p>
    <w:p>
      <w:pPr>
        <w:pStyle w:val="Indenti"/>
      </w:pPr>
      <w:r>
        <w:tab/>
        <w:t>(i)</w:t>
      </w:r>
      <w:r>
        <w:tab/>
        <w:t>a decision or determination that is made; or</w:t>
      </w:r>
    </w:p>
    <w:p>
      <w:pPr>
        <w:pStyle w:val="Indenti"/>
      </w:pPr>
      <w:r>
        <w:tab/>
        <w:t>(ii)</w:t>
      </w:r>
      <w:r>
        <w:tab/>
        <w:t>an omission that is made;</w:t>
      </w:r>
    </w:p>
    <w:p>
      <w:pPr>
        <w:pStyle w:val="Indenta"/>
      </w:pPr>
      <w:r>
        <w:tab/>
        <w:t>(b)</w:t>
      </w:r>
      <w:r>
        <w:tab/>
        <w:t>to a purported action that is purportedly taken includes a reference to a purported decision or determination that is purportedly made.</w:t>
      </w:r>
    </w:p>
    <w:p>
      <w:pPr>
        <w:pStyle w:val="Subsection"/>
      </w:pPr>
      <w:r>
        <w:tab/>
        <w:t>(4)</w:t>
      </w:r>
      <w:r>
        <w:tab/>
        <w:t xml:space="preserve">In this section — </w:t>
      </w:r>
    </w:p>
    <w:p>
      <w:pPr>
        <w:pStyle w:val="Defstart"/>
      </w:pPr>
      <w:r>
        <w:rPr>
          <w:b/>
        </w:rPr>
        <w:tab/>
      </w:r>
      <w:r>
        <w:rPr>
          <w:rStyle w:val="CharDefText"/>
        </w:rPr>
        <w:t>cross boundary pipeline</w:t>
      </w:r>
      <w:r>
        <w:t xml:space="preserve"> means — </w:t>
      </w:r>
    </w:p>
    <w:p>
      <w:pPr>
        <w:pStyle w:val="Defpara"/>
      </w:pPr>
      <w:r>
        <w:tab/>
        <w:t>(a)</w:t>
      </w:r>
      <w:r>
        <w:tab/>
        <w:t>a cross boundary transmission pipeline; or</w:t>
      </w:r>
    </w:p>
    <w:p>
      <w:pPr>
        <w:pStyle w:val="Defpara"/>
      </w:pPr>
      <w:r>
        <w:tab/>
        <w:t>(b)</w:t>
      </w:r>
      <w:r>
        <w:tab/>
        <w:t>a cross boundary distribution pipeline.</w:t>
      </w:r>
    </w:p>
    <w:p>
      <w:pPr>
        <w:pStyle w:val="Heading5"/>
      </w:pPr>
      <w:bookmarkStart w:id="40" w:name="_Toc536781817"/>
      <w:r>
        <w:rPr>
          <w:rStyle w:val="CharSectno"/>
        </w:rPr>
        <w:t>17</w:t>
      </w:r>
      <w:r>
        <w:t>.</w:t>
      </w:r>
      <w:r>
        <w:tab/>
        <w:t>Conferral of functions and powers on Commonwealth bodies</w:t>
      </w:r>
      <w:bookmarkEnd w:id="40"/>
    </w:p>
    <w:p>
      <w:pPr>
        <w:pStyle w:val="Subsection"/>
      </w:pPr>
      <w:r>
        <w:tab/>
        <w:t>(1)</w:t>
      </w:r>
      <w:r>
        <w:tab/>
        <w:t>Clause 2 of Schedule 2 to the National Gas Access (</w:t>
      </w:r>
      <w:smartTag w:uri="urn:schemas-microsoft-com:office:smarttags" w:element="State">
        <w:r>
          <w:t>Western Australia</w:t>
        </w:r>
      </w:smartTag>
      <w:r>
        <w:t>) Law has effect in relation to the operation of any provision of this Act, or any regulation forming part of the National Gas Access (</w:t>
      </w:r>
      <w:smartTag w:uri="urn:schemas-microsoft-com:office:smarttags" w:element="State">
        <w:r>
          <w:t>Western Australia</w:t>
        </w:r>
      </w:smartTag>
      <w:r>
        <w:t>) Regulations, as if the provision or regulation formed part of the National Gas Access (</w:t>
      </w:r>
      <w:smartTag w:uri="urn:schemas-microsoft-com:office:smarttags" w:element="State">
        <w:smartTag w:uri="urn:schemas-microsoft-com:office:smarttags" w:element="place">
          <w:r>
            <w:t>Western Australia</w:t>
          </w:r>
        </w:smartTag>
      </w:smartTag>
      <w:r>
        <w:t>) Law.</w:t>
      </w:r>
    </w:p>
    <w:p>
      <w:pPr>
        <w:pStyle w:val="Subsection"/>
      </w:pPr>
      <w:r>
        <w:tab/>
        <w:t>(2)</w:t>
      </w:r>
      <w:r>
        <w:tab/>
        <w:t>Subsection (1) does not limit the effect that a provision or regulation would validly have apart from the subsection.</w:t>
      </w:r>
    </w:p>
    <w:p>
      <w:pPr>
        <w:pStyle w:val="Heading2"/>
      </w:pPr>
      <w:bookmarkStart w:id="41" w:name="_Toc501633728"/>
      <w:bookmarkStart w:id="42" w:name="_Toc501712624"/>
      <w:bookmarkStart w:id="43" w:name="_Toc536781818"/>
      <w:r>
        <w:rPr>
          <w:rStyle w:val="CharPartNo"/>
        </w:rPr>
        <w:t>Part 6</w:t>
      </w:r>
      <w:r>
        <w:t> — </w:t>
      </w:r>
      <w:r>
        <w:rPr>
          <w:rStyle w:val="CharPartText"/>
        </w:rPr>
        <w:t>Other local provisions</w:t>
      </w:r>
      <w:bookmarkEnd w:id="41"/>
      <w:bookmarkEnd w:id="42"/>
      <w:bookmarkEnd w:id="43"/>
    </w:p>
    <w:p>
      <w:pPr>
        <w:pStyle w:val="Heading3"/>
      </w:pPr>
      <w:bookmarkStart w:id="44" w:name="_Toc501633729"/>
      <w:bookmarkStart w:id="45" w:name="_Toc501712625"/>
      <w:bookmarkStart w:id="46" w:name="_Toc536781819"/>
      <w:r>
        <w:rPr>
          <w:rStyle w:val="CharDivNo"/>
        </w:rPr>
        <w:t>Division 1</w:t>
      </w:r>
      <w:r>
        <w:t> — </w:t>
      </w:r>
      <w:r>
        <w:rPr>
          <w:rStyle w:val="CharDivText"/>
        </w:rPr>
        <w:t>Economic Regulation Authority</w:t>
      </w:r>
      <w:bookmarkEnd w:id="44"/>
      <w:bookmarkEnd w:id="45"/>
      <w:bookmarkEnd w:id="46"/>
    </w:p>
    <w:p>
      <w:pPr>
        <w:pStyle w:val="Heading5"/>
      </w:pPr>
      <w:bookmarkStart w:id="47" w:name="_Toc536781820"/>
      <w:r>
        <w:rPr>
          <w:rStyle w:val="CharSectno"/>
        </w:rPr>
        <w:t>18</w:t>
      </w:r>
      <w:r>
        <w:t>.</w:t>
      </w:r>
      <w:r>
        <w:tab/>
        <w:t>Expertise of Director of Energy Safety to be used</w:t>
      </w:r>
      <w:bookmarkEnd w:id="47"/>
    </w:p>
    <w:p>
      <w:pPr>
        <w:pStyle w:val="Subsection"/>
      </w:pPr>
      <w:r>
        <w:tab/>
      </w:r>
      <w:r>
        <w:tab/>
        <w:t xml:space="preserve">In performing its functions under this Act the ERA is to make appropriate use of the expertise of the Director of Energy Safety under the </w:t>
      </w:r>
      <w:r>
        <w:rPr>
          <w:i/>
          <w:iCs/>
        </w:rPr>
        <w:t>Energy Coordination Act 1994</w:t>
      </w:r>
      <w:r>
        <w:t xml:space="preserve"> in relation to safety or technical standards in the gas supply industry.</w:t>
      </w:r>
    </w:p>
    <w:p>
      <w:pPr>
        <w:pStyle w:val="Heading3"/>
      </w:pPr>
      <w:bookmarkStart w:id="48" w:name="_Toc501633731"/>
      <w:bookmarkStart w:id="49" w:name="_Toc501712627"/>
      <w:bookmarkStart w:id="50" w:name="_Toc536781821"/>
      <w:r>
        <w:rPr>
          <w:rStyle w:val="CharDivNo"/>
        </w:rPr>
        <w:t>Division 2</w:t>
      </w:r>
      <w:r>
        <w:t> — </w:t>
      </w:r>
      <w:r>
        <w:rPr>
          <w:rStyle w:val="CharDivText"/>
        </w:rPr>
        <w:t>Miscellaneous</w:t>
      </w:r>
      <w:bookmarkEnd w:id="48"/>
      <w:bookmarkEnd w:id="49"/>
      <w:bookmarkEnd w:id="50"/>
    </w:p>
    <w:p>
      <w:pPr>
        <w:pStyle w:val="Heading5"/>
        <w:ind w:left="720"/>
        <w:rPr>
          <w:rFonts w:eastAsia="Arial Unicode MS"/>
          <w:snapToGrid w:val="0"/>
          <w:szCs w:val="22"/>
        </w:rPr>
      </w:pPr>
      <w:bookmarkStart w:id="51" w:name="_Toc536781822"/>
      <w:r>
        <w:rPr>
          <w:rStyle w:val="CharSectno"/>
        </w:rPr>
        <w:t>19</w:t>
      </w:r>
      <w:r>
        <w:rPr>
          <w:snapToGrid w:val="0"/>
          <w:szCs w:val="22"/>
        </w:rPr>
        <w:t>.</w:t>
      </w:r>
      <w:r>
        <w:rPr>
          <w:snapToGrid w:val="0"/>
          <w:szCs w:val="22"/>
        </w:rPr>
        <w:tab/>
        <w:t>Preservation of certain contracts relating to privatised DBNGP system</w:t>
      </w:r>
      <w:bookmarkEnd w:id="51"/>
    </w:p>
    <w:p>
      <w:pPr>
        <w:pStyle w:val="Subsection"/>
      </w:pPr>
      <w:r>
        <w:rPr>
          <w:sz w:val="22"/>
          <w:szCs w:val="22"/>
        </w:rPr>
        <w:tab/>
      </w:r>
      <w:r>
        <w:t>(1)</w:t>
      </w:r>
      <w:r>
        <w:rPr>
          <w:sz w:val="22"/>
          <w:szCs w:val="22"/>
        </w:rPr>
        <w:tab/>
      </w:r>
      <w:r>
        <w:rPr>
          <w:szCs w:val="22"/>
        </w:rPr>
        <w:t>The national provisions do not affect the continuance or operation of an exempt contract.</w:t>
      </w:r>
    </w:p>
    <w:p>
      <w:pPr>
        <w:pStyle w:val="Subsection"/>
        <w:rPr>
          <w:snapToGrid w:val="0"/>
          <w:szCs w:val="22"/>
        </w:rPr>
      </w:pPr>
      <w:r>
        <w:tab/>
        <w:t>(2)</w:t>
      </w:r>
      <w:r>
        <w:tab/>
      </w:r>
      <w:r>
        <w:rPr>
          <w:snapToGrid w:val="0"/>
          <w:szCs w:val="22"/>
        </w:rPr>
        <w:t xml:space="preserve">Despite the repeal of the </w:t>
      </w:r>
      <w:r>
        <w:rPr>
          <w:i/>
          <w:iCs/>
          <w:snapToGrid w:val="0"/>
          <w:szCs w:val="22"/>
        </w:rPr>
        <w:t>Gas Pipelines Access (Western Australia) Act 1998</w:t>
      </w:r>
      <w:r>
        <w:rPr>
          <w:snapToGrid w:val="0"/>
          <w:szCs w:val="22"/>
        </w:rPr>
        <w:t xml:space="preserve"> section 96, that section continues to apply </w:t>
      </w:r>
      <w:r>
        <w:rPr>
          <w:noProof/>
        </w:rPr>
        <w:t>to a contract other than an exempt contract</w:t>
      </w:r>
      <w:r>
        <w:rPr>
          <w:snapToGrid w:val="0"/>
          <w:szCs w:val="22"/>
        </w:rPr>
        <w:t xml:space="preserve"> as if the references in section 96(1) and (2)(b) to “the Code” were references to the relevant national provisions.</w:t>
      </w:r>
    </w:p>
    <w:p>
      <w:pPr>
        <w:pStyle w:val="Subsection"/>
        <w:rPr>
          <w:snapToGrid w:val="0"/>
          <w:szCs w:val="22"/>
        </w:rPr>
      </w:pPr>
      <w:r>
        <w:tab/>
        <w:t>(3)</w:t>
      </w:r>
      <w:r>
        <w:tab/>
      </w:r>
      <w:r>
        <w:rPr>
          <w:snapToGrid w:val="0"/>
          <w:szCs w:val="22"/>
        </w:rPr>
        <w:t>In this section — </w:t>
      </w:r>
    </w:p>
    <w:p>
      <w:pPr>
        <w:pStyle w:val="Defstart"/>
        <w:rPr>
          <w:sz w:val="22"/>
          <w:szCs w:val="22"/>
        </w:rPr>
      </w:pPr>
      <w:r>
        <w:tab/>
      </w:r>
      <w:r>
        <w:rPr>
          <w:rStyle w:val="CharDefText"/>
        </w:rPr>
        <w:t>exempt contract</w:t>
      </w:r>
      <w:r>
        <w:rPr>
          <w:sz w:val="22"/>
          <w:szCs w:val="22"/>
        </w:rPr>
        <w:t xml:space="preserve"> — </w:t>
      </w:r>
    </w:p>
    <w:p>
      <w:pPr>
        <w:pStyle w:val="Defpara"/>
        <w:rPr>
          <w:szCs w:val="22"/>
        </w:rPr>
      </w:pPr>
      <w:r>
        <w:rPr>
          <w:szCs w:val="22"/>
        </w:rPr>
        <w:tab/>
        <w:t>(a)</w:t>
      </w:r>
      <w:r>
        <w:rPr>
          <w:szCs w:val="22"/>
        </w:rPr>
        <w:tab/>
        <w:t xml:space="preserve">means a contract in respect of which a declaration under the </w:t>
      </w:r>
      <w:r>
        <w:rPr>
          <w:i/>
          <w:iCs/>
          <w:szCs w:val="22"/>
        </w:rPr>
        <w:t>Gas Corporation Act 1994</w:t>
      </w:r>
      <w:r>
        <w:rPr>
          <w:szCs w:val="22"/>
        </w:rPr>
        <w:t xml:space="preserve"> Schedule 5 clause 6 was in force immediately before the coming into operation of the </w:t>
      </w:r>
      <w:r>
        <w:rPr>
          <w:i/>
          <w:iCs/>
          <w:szCs w:val="22"/>
        </w:rPr>
        <w:t>Dampier to Bunbury Pipeline Act 1997</w:t>
      </w:r>
      <w:r>
        <w:rPr>
          <w:szCs w:val="22"/>
        </w:rPr>
        <w:t xml:space="preserve"> Schedule 4 clause 17(4); and</w:t>
      </w:r>
    </w:p>
    <w:p>
      <w:pPr>
        <w:pStyle w:val="Defpara"/>
        <w:rPr>
          <w:szCs w:val="22"/>
        </w:rPr>
      </w:pPr>
      <w:r>
        <w:rPr>
          <w:szCs w:val="22"/>
        </w:rPr>
        <w:tab/>
        <w:t>(b)</w:t>
      </w:r>
      <w:r>
        <w:rPr>
          <w:szCs w:val="22"/>
        </w:rPr>
        <w:tab/>
        <w:t xml:space="preserve">includes a contract entered into — </w:t>
      </w:r>
    </w:p>
    <w:p>
      <w:pPr>
        <w:pStyle w:val="Defsubpara"/>
        <w:rPr>
          <w:szCs w:val="22"/>
        </w:rPr>
      </w:pPr>
      <w:r>
        <w:rPr>
          <w:szCs w:val="22"/>
        </w:rPr>
        <w:tab/>
        <w:t>(i)</w:t>
      </w:r>
      <w:r>
        <w:rPr>
          <w:szCs w:val="22"/>
        </w:rPr>
        <w:tab/>
        <w:t>in substitution for a contract referred to in paragraph (a) or any provision of such a contract; or</w:t>
      </w:r>
    </w:p>
    <w:p>
      <w:pPr>
        <w:pStyle w:val="Defsubpara"/>
        <w:rPr>
          <w:szCs w:val="22"/>
        </w:rPr>
      </w:pPr>
      <w:r>
        <w:rPr>
          <w:szCs w:val="22"/>
        </w:rPr>
        <w:tab/>
        <w:t>(ii)</w:t>
      </w:r>
      <w:r>
        <w:rPr>
          <w:szCs w:val="22"/>
        </w:rPr>
        <w:tab/>
        <w:t>by way of amendment of a contract referred to in paragraph (a) or subparagraph (i);</w:t>
      </w:r>
    </w:p>
    <w:p>
      <w:pPr>
        <w:pStyle w:val="Defstart"/>
        <w:rPr>
          <w:szCs w:val="22"/>
        </w:rPr>
      </w:pPr>
      <w:r>
        <w:rPr>
          <w:szCs w:val="22"/>
        </w:rPr>
        <w:tab/>
      </w:r>
      <w:r>
        <w:rPr>
          <w:rStyle w:val="CharDefText"/>
        </w:rPr>
        <w:t>national provisions</w:t>
      </w:r>
      <w:r>
        <w:rPr>
          <w:szCs w:val="22"/>
        </w:rPr>
        <w:t xml:space="preserve"> means the National Gas Access (</w:t>
      </w:r>
      <w:smartTag w:uri="urn:schemas-microsoft-com:office:smarttags" w:element="State">
        <w:r>
          <w:rPr>
            <w:szCs w:val="22"/>
          </w:rPr>
          <w:t>Western Australia</w:t>
        </w:r>
      </w:smartTag>
      <w:r>
        <w:rPr>
          <w:szCs w:val="22"/>
        </w:rPr>
        <w:t>) Law, the Rules made under that Law, and the National Gas Access (</w:t>
      </w:r>
      <w:smartTag w:uri="urn:schemas-microsoft-com:office:smarttags" w:element="State">
        <w:smartTag w:uri="urn:schemas-microsoft-com:office:smarttags" w:element="place">
          <w:r>
            <w:rPr>
              <w:szCs w:val="22"/>
            </w:rPr>
            <w:t>Western Australia</w:t>
          </w:r>
        </w:smartTag>
      </w:smartTag>
      <w:r>
        <w:rPr>
          <w:szCs w:val="22"/>
        </w:rPr>
        <w:t>) Regulations;</w:t>
      </w:r>
    </w:p>
    <w:p>
      <w:pPr>
        <w:pStyle w:val="Defstart"/>
        <w:keepNext/>
        <w:keepLines/>
        <w:rPr>
          <w:szCs w:val="22"/>
        </w:rPr>
      </w:pPr>
      <w:r>
        <w:rPr>
          <w:szCs w:val="22"/>
        </w:rPr>
        <w:tab/>
      </w:r>
      <w:r>
        <w:rPr>
          <w:rStyle w:val="CharDefText"/>
        </w:rPr>
        <w:t>relevant national provisions</w:t>
      </w:r>
      <w:r>
        <w:rPr>
          <w:szCs w:val="22"/>
        </w:rPr>
        <w:t xml:space="preserve"> means any of the national provisions having the same purpose as a provision of the Gas Code, as defined in the National Gas Access (Western Australia) Law section 2.</w:t>
      </w:r>
    </w:p>
    <w:p>
      <w:pPr>
        <w:pStyle w:val="Heading5"/>
      </w:pPr>
      <w:bookmarkStart w:id="52" w:name="_Toc536781823"/>
      <w:r>
        <w:rPr>
          <w:rStyle w:val="CharSectno"/>
        </w:rPr>
        <w:t>20</w:t>
      </w:r>
      <w:r>
        <w:t>.</w:t>
      </w:r>
      <w:r>
        <w:tab/>
        <w:t xml:space="preserve">Transitional provisions for </w:t>
      </w:r>
      <w:smartTag w:uri="urn:schemas-microsoft-com:office:smarttags" w:element="City">
        <w:smartTag w:uri="urn:schemas-microsoft-com:office:smarttags" w:element="place">
          <w:r>
            <w:t>Kalgoorlie</w:t>
          </w:r>
        </w:smartTag>
      </w:smartTag>
      <w:r>
        <w:t xml:space="preserve"> to Kambalda pipeline</w:t>
      </w:r>
      <w:bookmarkEnd w:id="52"/>
    </w:p>
    <w:p>
      <w:pPr>
        <w:pStyle w:val="Subsection"/>
      </w:pPr>
      <w:r>
        <w:tab/>
        <w:t>(1)</w:t>
      </w:r>
      <w:r>
        <w:tab/>
        <w:t xml:space="preserve">This section applies to the pipeline to which licence PL27, granted under the </w:t>
      </w:r>
      <w:r>
        <w:rPr>
          <w:i/>
          <w:iCs/>
        </w:rPr>
        <w:t>Petroleum Pipelines Act 1969</w:t>
      </w:r>
      <w:r>
        <w:t>, applies.</w:t>
      </w:r>
    </w:p>
    <w:p>
      <w:pPr>
        <w:pStyle w:val="Subsection"/>
      </w:pPr>
      <w:r>
        <w:tab/>
        <w:t>(2)</w:t>
      </w:r>
      <w:r>
        <w:tab/>
        <w:t xml:space="preserve">A service provider has a period of 6 months after the day on which section 30 comes into operation (the </w:t>
      </w:r>
      <w:r>
        <w:rPr>
          <w:rStyle w:val="CharDefText"/>
        </w:rPr>
        <w:t>transitional period</w:t>
      </w:r>
      <w:r>
        <w:t xml:space="preserve">) within which to — </w:t>
      </w:r>
    </w:p>
    <w:p>
      <w:pPr>
        <w:pStyle w:val="Indenta"/>
      </w:pPr>
      <w:r>
        <w:tab/>
        <w:t>(a)</w:t>
      </w:r>
      <w:r>
        <w:tab/>
        <w:t>submit to the ERA an access arrangement; or</w:t>
      </w:r>
    </w:p>
    <w:p>
      <w:pPr>
        <w:pStyle w:val="Indenta"/>
      </w:pPr>
      <w:r>
        <w:tab/>
        <w:t>(b)</w:t>
      </w:r>
      <w:r>
        <w:tab/>
        <w:t xml:space="preserve">apply for a determination that the pipeline be no longer a covered pipeline; or </w:t>
      </w:r>
    </w:p>
    <w:p>
      <w:pPr>
        <w:pStyle w:val="Indenta"/>
      </w:pPr>
      <w:r>
        <w:tab/>
        <w:t>(c)</w:t>
      </w:r>
      <w:r>
        <w:tab/>
        <w:t>apply under section 112 of the National Gas Access (</w:t>
      </w:r>
      <w:smartTag w:uri="urn:schemas-microsoft-com:office:smarttags" w:element="State">
        <w:smartTag w:uri="urn:schemas-microsoft-com:office:smarttags" w:element="place">
          <w:r>
            <w:t>Western Australia</w:t>
          </w:r>
        </w:smartTag>
      </w:smartTag>
      <w:r>
        <w:t>) Law for a light regulation determination.</w:t>
      </w:r>
    </w:p>
    <w:p>
      <w:pPr>
        <w:pStyle w:val="Subsection"/>
      </w:pPr>
      <w:r>
        <w:tab/>
        <w:t>(3)</w:t>
      </w:r>
      <w:r>
        <w:tab/>
        <w:t>Despite section 111(b) of the National Gas Access (Western Australia) Law, an application may be made in accordance with subsection (2)(c), even though there is no applicable access arrangement for the pipeline, and Chapter 3 Part 2 Division 1 Subdivision 1 of that Law applies to the application.</w:t>
      </w:r>
    </w:p>
    <w:p>
      <w:pPr>
        <w:pStyle w:val="Heading5"/>
      </w:pPr>
      <w:bookmarkStart w:id="53" w:name="_Toc536781824"/>
      <w:r>
        <w:rPr>
          <w:rStyle w:val="CharSectno"/>
        </w:rPr>
        <w:t>21</w:t>
      </w:r>
      <w:r>
        <w:t>.</w:t>
      </w:r>
      <w:r>
        <w:tab/>
        <w:t>Regulations</w:t>
      </w:r>
      <w:bookmarkEnd w:id="53"/>
    </w:p>
    <w:p>
      <w:pPr>
        <w:pStyle w:val="Subsection"/>
      </w:pPr>
      <w:r>
        <w:tab/>
        <w:t>(1)</w:t>
      </w:r>
      <w:r>
        <w:tab/>
        <w:t>Without limiting the power to make regulations under Part 3, the Governor acting with the advice and consent of the Executive Council may make other regulations contemplated by, or necessary or expedient for giving effect to, this Act.</w:t>
      </w:r>
    </w:p>
    <w:p>
      <w:pPr>
        <w:pStyle w:val="Subsection"/>
      </w:pPr>
      <w:r>
        <w:tab/>
        <w:t>(2)</w:t>
      </w:r>
      <w:r>
        <w:tab/>
        <w:t>Regulations under subsection (1) may make provision for and in relation to the imposition and payment of fees and charges in connection with the performance of functions the arbitrator has under this Act, to the extent that the costs connected with performing those functions are not covered by fees under the National Gas Access (</w:t>
      </w:r>
      <w:smartTag w:uri="urn:schemas-microsoft-com:office:smarttags" w:element="State">
        <w:smartTag w:uri="urn:schemas-microsoft-com:office:smarttags" w:element="place">
          <w:r>
            <w:t>Western Australia</w:t>
          </w:r>
        </w:smartTag>
      </w:smartTag>
      <w:r>
        <w:t>) Regulations.</w:t>
      </w:r>
    </w:p>
    <w:p>
      <w:pPr>
        <w:pStyle w:val="Subsection"/>
      </w:pPr>
      <w:r>
        <w:tab/>
        <w:t>(3)</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(4)</w:t>
      </w:r>
      <w:r>
        <w:tab/>
        <w:t>Despite the National Gas Access (Western Australia) Law or Rules made under that Law, regulations under subsection (1) may make provision for further matters to affect the setting of a reference tariff for a reference service provided by means of a distribution pipeline to the extent that the service is used for the supply of natural gas to an end user prescribed by the regulations to be a small use customer for the purposes of this subsection.</w:t>
      </w:r>
    </w:p>
    <w:p>
      <w:pPr>
        <w:pStyle w:val="Subsection"/>
      </w:pPr>
      <w:r>
        <w:tab/>
        <w:t>(5)</w:t>
      </w:r>
      <w:r>
        <w:tab/>
        <w:t>Regulations under subsection (1) may prescribe a period ending not later than 31 December 2031 as a period during which the fixed principle referred to in clause 7.13(a)(ii) of the Revised Access Arrangement for the Dampier to Bunbury Natural Gas Pipeline dated 21 November 2006 applies despite anything in the National Gas Access (Western Australia) Law or Rules made under that Law, and during a period prescribed the fixed principle applies accordingly.</w:t>
      </w:r>
    </w:p>
    <w:p>
      <w:pPr>
        <w:pStyle w:val="Heading5"/>
      </w:pPr>
      <w:bookmarkStart w:id="54" w:name="_Toc536781825"/>
      <w:r>
        <w:rPr>
          <w:rStyle w:val="CharSectno"/>
        </w:rPr>
        <w:t>22</w:t>
      </w:r>
      <w:r>
        <w:t>.</w:t>
      </w:r>
      <w:r>
        <w:tab/>
        <w:t>Review of Act</w:t>
      </w:r>
      <w:bookmarkEnd w:id="54"/>
    </w:p>
    <w:p>
      <w:pPr>
        <w:pStyle w:val="Subsection"/>
      </w:pPr>
      <w:r>
        <w:tab/>
        <w:t>(1)</w:t>
      </w:r>
      <w:r>
        <w:tab/>
        <w:t xml:space="preserve">The Minister is to cause </w:t>
      </w:r>
      <w:r>
        <w:rPr>
          <w:szCs w:val="22"/>
        </w:rPr>
        <w:t>a person, other than an officer of a department or body for which the Minister is responsible, to carry out a review</w:t>
      </w:r>
      <w:r>
        <w:t xml:space="preserve"> of the operation and effectiveness of this Act as soon as is practicable after the review day described in subsection (2) and, in the course of that review, consideration is to be given, and regard is to be had, to — </w:t>
      </w:r>
    </w:p>
    <w:p>
      <w:pPr>
        <w:pStyle w:val="Indenta"/>
      </w:pPr>
      <w:r>
        <w:tab/>
        <w:t>(a)</w:t>
      </w:r>
      <w:r>
        <w:tab/>
        <w:t>the effectiveness of the operations of the ERA and the WA arbitrator; and</w:t>
      </w:r>
    </w:p>
    <w:p>
      <w:pPr>
        <w:pStyle w:val="Indenta"/>
      </w:pPr>
      <w:r>
        <w:tab/>
        <w:t>(b)</w:t>
      </w:r>
      <w:r>
        <w:tab/>
        <w:t>the need for the continuation of section 21(4) and (5); and</w:t>
      </w:r>
    </w:p>
    <w:p>
      <w:pPr>
        <w:pStyle w:val="Indenta"/>
      </w:pPr>
      <w:r>
        <w:tab/>
        <w:t>(c)</w:t>
      </w:r>
      <w:r>
        <w:tab/>
        <w:t>any other matters that appear to the Minister to be relevant to the operation and effectiveness of this Act.</w:t>
      </w:r>
    </w:p>
    <w:p>
      <w:pPr>
        <w:pStyle w:val="Subsection"/>
      </w:pPr>
      <w:r>
        <w:tab/>
        <w:t>(2)</w:t>
      </w:r>
      <w:r>
        <w:tab/>
        <w:t xml:space="preserve">The review day is 1 July 2013 unless, before that day a licence is granted under the </w:t>
      </w:r>
      <w:r>
        <w:rPr>
          <w:i/>
          <w:iCs/>
        </w:rPr>
        <w:t>Petroleum Pipelines Act 1969</w:t>
      </w:r>
      <w:r>
        <w:t xml:space="preserve"> for a pipeline that is to be partly in the jurisdictional area of this State and partly in the jurisdictional area of the Northern Territory or South Australia, in which case the review day is the day on which the licence is granted.</w:t>
      </w:r>
    </w:p>
    <w:p>
      <w:pPr>
        <w:pStyle w:val="Subsection"/>
        <w:rPr>
          <w:szCs w:val="22"/>
        </w:rPr>
      </w:pPr>
      <w:r>
        <w:rPr>
          <w:sz w:val="22"/>
          <w:szCs w:val="22"/>
        </w:rPr>
        <w:tab/>
      </w:r>
      <w:r>
        <w:t>(3)</w:t>
      </w:r>
      <w:r>
        <w:rPr>
          <w:sz w:val="22"/>
          <w:szCs w:val="22"/>
        </w:rPr>
        <w:tab/>
      </w:r>
      <w:r>
        <w:rPr>
          <w:szCs w:val="22"/>
        </w:rPr>
        <w:t>The person carrying out the review is to prepare and give to the Minister a report based on the review within sufficient time to enable the Minister to comply with subsection (4).</w:t>
      </w:r>
    </w:p>
    <w:p>
      <w:pPr>
        <w:pStyle w:val="Subsection"/>
        <w:rPr>
          <w:sz w:val="22"/>
          <w:szCs w:val="22"/>
        </w:rPr>
      </w:pPr>
      <w:r>
        <w:tab/>
        <w:t>(4)</w:t>
      </w:r>
      <w:r>
        <w:tab/>
        <w:t>The Minister is to prepare a response to the report and, as soon as is practicable after the response is prepared, and in any event not more than 12 months after the review day described in subsection (2), cause the report and the response to be laid before each House of Parliament.</w:t>
      </w:r>
    </w:p>
    <w:p>
      <w:pPr>
        <w:pStyle w:val="Heading2"/>
      </w:pPr>
      <w:bookmarkStart w:id="55" w:name="_Toc501633736"/>
      <w:bookmarkStart w:id="56" w:name="_Toc501712632"/>
      <w:bookmarkStart w:id="57" w:name="_Toc536781826"/>
      <w:r>
        <w:rPr>
          <w:rStyle w:val="CharPartNo"/>
        </w:rPr>
        <w:t>Part 7</w:t>
      </w:r>
      <w:r>
        <w:t> — </w:t>
      </w:r>
      <w:r>
        <w:rPr>
          <w:rStyle w:val="CharPartText"/>
        </w:rPr>
        <w:t>Various Acts amended</w:t>
      </w:r>
      <w:bookmarkEnd w:id="55"/>
      <w:bookmarkEnd w:id="56"/>
      <w:bookmarkEnd w:id="57"/>
    </w:p>
    <w:p>
      <w:pPr>
        <w:pStyle w:val="Heading3"/>
        <w:spacing w:before="120"/>
      </w:pPr>
      <w:bookmarkStart w:id="58" w:name="_Toc501633737"/>
      <w:bookmarkStart w:id="59" w:name="_Toc501712633"/>
      <w:bookmarkStart w:id="60" w:name="_Toc536781827"/>
      <w:r>
        <w:rPr>
          <w:rStyle w:val="CharDivNo"/>
        </w:rPr>
        <w:t>Division 1</w:t>
      </w:r>
      <w:r>
        <w:t> — </w:t>
      </w:r>
      <w:r>
        <w:rPr>
          <w:rStyle w:val="CharDivText"/>
          <w:i/>
        </w:rPr>
        <w:t>Gas Pipelines Access (</w:t>
      </w:r>
      <w:smartTag w:uri="urn:schemas-microsoft-com:office:smarttags" w:element="State">
        <w:smartTag w:uri="urn:schemas-microsoft-com:office:smarttags" w:element="place">
          <w:r>
            <w:rPr>
              <w:rStyle w:val="CharDivText"/>
              <w:i/>
            </w:rPr>
            <w:t>Western Australia</w:t>
          </w:r>
        </w:smartTag>
      </w:smartTag>
      <w:r>
        <w:rPr>
          <w:rStyle w:val="CharDivText"/>
          <w:i/>
        </w:rPr>
        <w:t>) Act 1998</w:t>
      </w:r>
      <w:bookmarkEnd w:id="58"/>
      <w:bookmarkEnd w:id="59"/>
      <w:bookmarkEnd w:id="60"/>
    </w:p>
    <w:p>
      <w:pPr>
        <w:pStyle w:val="Heading5"/>
        <w:spacing w:before="120"/>
      </w:pPr>
      <w:bookmarkStart w:id="61" w:name="_Toc536781828"/>
      <w:r>
        <w:rPr>
          <w:rStyle w:val="CharSectno"/>
        </w:rPr>
        <w:t>23</w:t>
      </w:r>
      <w:r>
        <w:t>.</w:t>
      </w:r>
      <w:r>
        <w:tab/>
        <w:t>Act amended</w:t>
      </w:r>
      <w:bookmarkEnd w:id="61"/>
    </w:p>
    <w:p>
      <w:pPr>
        <w:pStyle w:val="Subsection"/>
      </w:pPr>
      <w:r>
        <w:tab/>
      </w:r>
      <w:r>
        <w:tab/>
        <w:t xml:space="preserve">This Division amends the </w:t>
      </w:r>
      <w:r>
        <w:rPr>
          <w:i/>
          <w:iCs/>
        </w:rPr>
        <w:t>Gas Pipelines Access (</w:t>
      </w:r>
      <w:smartTag w:uri="urn:schemas-microsoft-com:office:smarttags" w:element="State">
        <w:smartTag w:uri="urn:schemas-microsoft-com:office:smarttags" w:element="place">
          <w:r>
            <w:rPr>
              <w:i/>
              <w:iCs/>
            </w:rPr>
            <w:t>Western Australia</w:t>
          </w:r>
        </w:smartTag>
      </w:smartTag>
      <w:r>
        <w:rPr>
          <w:i/>
          <w:iCs/>
        </w:rPr>
        <w:t>) Act 1998</w:t>
      </w:r>
      <w:r>
        <w:t>.</w:t>
      </w:r>
    </w:p>
    <w:p>
      <w:pPr>
        <w:pStyle w:val="Heading5"/>
        <w:spacing w:before="120"/>
      </w:pPr>
      <w:bookmarkStart w:id="62" w:name="_Toc536781829"/>
      <w:r>
        <w:rPr>
          <w:rStyle w:val="CharSectno"/>
        </w:rPr>
        <w:t>24</w:t>
      </w:r>
      <w:r>
        <w:t>.</w:t>
      </w:r>
      <w:r>
        <w:tab/>
        <w:t>Long title replaced</w:t>
      </w:r>
      <w:bookmarkEnd w:id="62"/>
    </w:p>
    <w:p>
      <w:pPr>
        <w:pStyle w:val="Subsection"/>
      </w:pPr>
      <w:r>
        <w:tab/>
      </w:r>
      <w:r>
        <w:tab/>
        <w:t>Delete the long title and insert:</w:t>
      </w:r>
    </w:p>
    <w:p>
      <w:pPr>
        <w:pStyle w:val="BlankOpen"/>
      </w:pPr>
    </w:p>
    <w:p>
      <w:pPr>
        <w:pStyle w:val="zLongTitle"/>
      </w:pPr>
      <w:r>
        <w:t>An Act to provide for a review board and for an official who may arbitrate certain disputes, and for related purposes.</w:t>
      </w:r>
    </w:p>
    <w:p>
      <w:pPr>
        <w:pStyle w:val="BlankClose"/>
      </w:pPr>
    </w:p>
    <w:p>
      <w:pPr>
        <w:pStyle w:val="Heading5"/>
      </w:pPr>
      <w:bookmarkStart w:id="63" w:name="_Toc536781830"/>
      <w:r>
        <w:rPr>
          <w:rStyle w:val="CharSectno"/>
        </w:rPr>
        <w:t>25</w:t>
      </w:r>
      <w:r>
        <w:t>.</w:t>
      </w:r>
      <w:r>
        <w:tab/>
        <w:t>Preamble deleted</w:t>
      </w:r>
      <w:bookmarkEnd w:id="63"/>
    </w:p>
    <w:p>
      <w:pPr>
        <w:pStyle w:val="Subsection"/>
      </w:pPr>
      <w:r>
        <w:tab/>
      </w:r>
      <w:r>
        <w:tab/>
        <w:t>Delete the preamble.</w:t>
      </w:r>
    </w:p>
    <w:p>
      <w:pPr>
        <w:pStyle w:val="Heading5"/>
      </w:pPr>
      <w:bookmarkStart w:id="64" w:name="_Toc536781831"/>
      <w:r>
        <w:rPr>
          <w:rStyle w:val="CharSectno"/>
        </w:rPr>
        <w:t>26</w:t>
      </w:r>
      <w:r>
        <w:t>.</w:t>
      </w:r>
      <w:r>
        <w:tab/>
        <w:t>Section 1 amended</w:t>
      </w:r>
      <w:bookmarkEnd w:id="64"/>
    </w:p>
    <w:p>
      <w:pPr>
        <w:pStyle w:val="Subsection"/>
      </w:pPr>
      <w:r>
        <w:tab/>
      </w:r>
      <w:r>
        <w:tab/>
        <w:t>In section 1 delete “</w:t>
      </w:r>
      <w:r>
        <w:rPr>
          <w:i/>
          <w:iCs/>
        </w:rPr>
        <w:t>Gas Pipelines Access (</w:t>
      </w:r>
      <w:smartTag w:uri="urn:schemas-microsoft-com:office:smarttags" w:element="State">
        <w:smartTag w:uri="urn:schemas-microsoft-com:office:smarttags" w:element="place">
          <w:r>
            <w:rPr>
              <w:i/>
              <w:iCs/>
            </w:rPr>
            <w:t>Western Australia</w:t>
          </w:r>
        </w:smartTag>
      </w:smartTag>
      <w:r>
        <w:rPr>
          <w:i/>
          <w:iCs/>
        </w:rPr>
        <w:t>) Act 1998.</w:t>
      </w:r>
      <w:r>
        <w:t>” and insert:</w:t>
      </w:r>
    </w:p>
    <w:p>
      <w:pPr>
        <w:pStyle w:val="BlankOpen"/>
      </w:pPr>
    </w:p>
    <w:p>
      <w:pPr>
        <w:pStyle w:val="Subsection"/>
        <w:rPr>
          <w:i/>
          <w:iCs/>
        </w:rPr>
      </w:pPr>
      <w:r>
        <w:tab/>
      </w:r>
      <w:r>
        <w:tab/>
      </w:r>
      <w:r>
        <w:rPr>
          <w:i/>
          <w:iCs/>
        </w:rPr>
        <w:t>Energy Arbitration and Review Act 1998.</w:t>
      </w:r>
    </w:p>
    <w:p>
      <w:pPr>
        <w:pStyle w:val="BlankClose"/>
      </w:pPr>
    </w:p>
    <w:p>
      <w:pPr>
        <w:pStyle w:val="Heading5"/>
      </w:pPr>
      <w:bookmarkStart w:id="65" w:name="_Toc536781832"/>
      <w:r>
        <w:rPr>
          <w:rStyle w:val="CharSectno"/>
        </w:rPr>
        <w:t>27</w:t>
      </w:r>
      <w:r>
        <w:t>.</w:t>
      </w:r>
      <w:r>
        <w:tab/>
        <w:t>Sections 2 to 4 deleted</w:t>
      </w:r>
      <w:bookmarkEnd w:id="65"/>
    </w:p>
    <w:p>
      <w:pPr>
        <w:pStyle w:val="Subsection"/>
      </w:pPr>
      <w:r>
        <w:tab/>
      </w:r>
      <w:r>
        <w:tab/>
        <w:t>Delete sections 2 to 4.</w:t>
      </w:r>
    </w:p>
    <w:p>
      <w:pPr>
        <w:pStyle w:val="Heading5"/>
      </w:pPr>
      <w:bookmarkStart w:id="66" w:name="_Toc536781833"/>
      <w:r>
        <w:rPr>
          <w:rStyle w:val="CharSectno"/>
        </w:rPr>
        <w:t>28</w:t>
      </w:r>
      <w:r>
        <w:t>.</w:t>
      </w:r>
      <w:r>
        <w:tab/>
        <w:t>Section 5 amended</w:t>
      </w:r>
      <w:bookmarkEnd w:id="66"/>
    </w:p>
    <w:p>
      <w:pPr>
        <w:pStyle w:val="Subsection"/>
      </w:pPr>
      <w:r>
        <w:tab/>
      </w:r>
      <w:r>
        <w:tab/>
        <w:t>In section 5 delete “bind” and all of the section before it and insert:</w:t>
      </w:r>
    </w:p>
    <w:p>
      <w:pPr>
        <w:pStyle w:val="BlankOpen"/>
      </w:pPr>
    </w:p>
    <w:p>
      <w:pPr>
        <w:pStyle w:val="Subsection"/>
      </w:pPr>
      <w:r>
        <w:tab/>
      </w:r>
      <w:r>
        <w:tab/>
        <w:t>This Act binds</w:t>
      </w:r>
    </w:p>
    <w:p>
      <w:pPr>
        <w:pStyle w:val="BlankClose"/>
      </w:pPr>
    </w:p>
    <w:p>
      <w:pPr>
        <w:pStyle w:val="Heading5"/>
      </w:pPr>
      <w:bookmarkStart w:id="67" w:name="_Toc536781834"/>
      <w:r>
        <w:rPr>
          <w:rStyle w:val="CharSectno"/>
        </w:rPr>
        <w:t>29</w:t>
      </w:r>
      <w:r>
        <w:t>.</w:t>
      </w:r>
      <w:r>
        <w:tab/>
        <w:t>Sections 6 to 8 deleted</w:t>
      </w:r>
      <w:bookmarkEnd w:id="67"/>
    </w:p>
    <w:p>
      <w:pPr>
        <w:pStyle w:val="Subsection"/>
        <w:spacing w:before="120"/>
      </w:pPr>
      <w:r>
        <w:tab/>
      </w:r>
      <w:r>
        <w:tab/>
        <w:t>Delete sections 6 to 8.</w:t>
      </w:r>
    </w:p>
    <w:p>
      <w:pPr>
        <w:pStyle w:val="Heading5"/>
      </w:pPr>
      <w:bookmarkStart w:id="68" w:name="_Toc536781835"/>
      <w:r>
        <w:rPr>
          <w:rStyle w:val="CharSectno"/>
        </w:rPr>
        <w:t>30</w:t>
      </w:r>
      <w:r>
        <w:t>.</w:t>
      </w:r>
      <w:r>
        <w:tab/>
        <w:t>Parts 2 to 5 deleted</w:t>
      </w:r>
      <w:bookmarkEnd w:id="68"/>
    </w:p>
    <w:p>
      <w:pPr>
        <w:pStyle w:val="Subsection"/>
        <w:spacing w:before="120"/>
      </w:pPr>
      <w:r>
        <w:tab/>
      </w:r>
      <w:r>
        <w:tab/>
        <w:t>Delete Parts 2 to 5.</w:t>
      </w:r>
    </w:p>
    <w:p>
      <w:pPr>
        <w:pStyle w:val="Heading5"/>
      </w:pPr>
      <w:bookmarkStart w:id="69" w:name="_Toc536781836"/>
      <w:r>
        <w:rPr>
          <w:rStyle w:val="CharSectno"/>
        </w:rPr>
        <w:t>31</w:t>
      </w:r>
      <w:r>
        <w:t>.</w:t>
      </w:r>
      <w:r>
        <w:tab/>
        <w:t>Part 6 heading replaced</w:t>
      </w:r>
      <w:bookmarkEnd w:id="69"/>
    </w:p>
    <w:p>
      <w:pPr>
        <w:pStyle w:val="Subsection"/>
        <w:spacing w:before="120"/>
      </w:pPr>
      <w:r>
        <w:tab/>
      </w:r>
      <w:r>
        <w:tab/>
        <w:t>Delete the heading to Part 6 and insert:</w:t>
      </w:r>
    </w:p>
    <w:p>
      <w:pPr>
        <w:pStyle w:val="BlankOpen"/>
      </w:pPr>
    </w:p>
    <w:p>
      <w:pPr>
        <w:pStyle w:val="zHeading2"/>
        <w:spacing w:before="0"/>
      </w:pPr>
      <w:bookmarkStart w:id="70" w:name="_Toc501633747"/>
      <w:bookmarkStart w:id="71" w:name="_Toc501712643"/>
      <w:bookmarkStart w:id="72" w:name="_Toc536781837"/>
      <w:r>
        <w:t>Part 6</w:t>
      </w:r>
      <w:r>
        <w:rPr>
          <w:b w:val="0"/>
        </w:rPr>
        <w:t> </w:t>
      </w:r>
      <w:r>
        <w:t>—</w:t>
      </w:r>
      <w:r>
        <w:rPr>
          <w:b w:val="0"/>
        </w:rPr>
        <w:t> </w:t>
      </w:r>
      <w:r>
        <w:t>Review board and arbitrator</w:t>
      </w:r>
      <w:bookmarkEnd w:id="70"/>
      <w:bookmarkEnd w:id="71"/>
      <w:bookmarkEnd w:id="72"/>
    </w:p>
    <w:p>
      <w:pPr>
        <w:pStyle w:val="BlankClose"/>
      </w:pPr>
    </w:p>
    <w:p>
      <w:pPr>
        <w:pStyle w:val="Heading5"/>
        <w:spacing w:before="180"/>
      </w:pPr>
      <w:bookmarkStart w:id="73" w:name="_Toc536781838"/>
      <w:r>
        <w:rPr>
          <w:rStyle w:val="CharSectno"/>
        </w:rPr>
        <w:t>32</w:t>
      </w:r>
      <w:r>
        <w:t>.</w:t>
      </w:r>
      <w:r>
        <w:tab/>
        <w:t>Part 6 Division 1 deleted</w:t>
      </w:r>
      <w:bookmarkEnd w:id="73"/>
    </w:p>
    <w:p>
      <w:pPr>
        <w:pStyle w:val="Subsection"/>
        <w:spacing w:before="120"/>
      </w:pPr>
      <w:r>
        <w:tab/>
      </w:r>
      <w:r>
        <w:tab/>
        <w:t>Delete Part 6 Division 1.</w:t>
      </w:r>
    </w:p>
    <w:p>
      <w:pPr>
        <w:pStyle w:val="Heading5"/>
        <w:spacing w:before="180"/>
      </w:pPr>
      <w:bookmarkStart w:id="74" w:name="_Toc536781839"/>
      <w:r>
        <w:rPr>
          <w:rStyle w:val="CharSectno"/>
        </w:rPr>
        <w:t>33</w:t>
      </w:r>
      <w:r>
        <w:t>.</w:t>
      </w:r>
      <w:r>
        <w:tab/>
        <w:t>Part 6 Division 2 heading replaced</w:t>
      </w:r>
      <w:bookmarkEnd w:id="74"/>
    </w:p>
    <w:p>
      <w:pPr>
        <w:pStyle w:val="Subsection"/>
        <w:spacing w:before="120"/>
      </w:pPr>
      <w:r>
        <w:tab/>
      </w:r>
      <w:r>
        <w:tab/>
        <w:t>Delete the heading to Part 6 Division 2 and insert:</w:t>
      </w:r>
    </w:p>
    <w:p>
      <w:pPr>
        <w:pStyle w:val="BlankOpen"/>
      </w:pPr>
    </w:p>
    <w:p>
      <w:pPr>
        <w:pStyle w:val="zHeading3"/>
        <w:spacing w:before="0"/>
      </w:pPr>
      <w:bookmarkStart w:id="75" w:name="_Toc501633750"/>
      <w:bookmarkStart w:id="76" w:name="_Toc501712646"/>
      <w:bookmarkStart w:id="77" w:name="_Toc536781840"/>
      <w:r>
        <w:t>Division 2 — Review board</w:t>
      </w:r>
      <w:bookmarkEnd w:id="75"/>
      <w:bookmarkEnd w:id="76"/>
      <w:bookmarkEnd w:id="77"/>
    </w:p>
    <w:p>
      <w:pPr>
        <w:pStyle w:val="BlankClose"/>
      </w:pPr>
    </w:p>
    <w:p>
      <w:pPr>
        <w:pStyle w:val="Heading5"/>
        <w:spacing w:before="180"/>
      </w:pPr>
      <w:bookmarkStart w:id="78" w:name="_Toc536781841"/>
      <w:r>
        <w:rPr>
          <w:rStyle w:val="CharSectno"/>
        </w:rPr>
        <w:t>34</w:t>
      </w:r>
      <w:r>
        <w:t>.</w:t>
      </w:r>
      <w:r>
        <w:tab/>
        <w:t>Section 49 amended</w:t>
      </w:r>
      <w:bookmarkEnd w:id="78"/>
    </w:p>
    <w:p>
      <w:pPr>
        <w:pStyle w:val="Subsection"/>
        <w:spacing w:before="120"/>
      </w:pPr>
      <w:r>
        <w:tab/>
      </w:r>
      <w:r>
        <w:tab/>
        <w:t xml:space="preserve">In section 49 in the definition of </w:t>
      </w:r>
      <w:r>
        <w:rPr>
          <w:b/>
          <w:bCs/>
          <w:i/>
          <w:iCs/>
        </w:rPr>
        <w:t>Board</w:t>
      </w:r>
      <w:r>
        <w:t xml:space="preserve"> delete “Western Australian Gas Review Board” and insert:</w:t>
      </w:r>
    </w:p>
    <w:p>
      <w:pPr>
        <w:pStyle w:val="BlankOpen"/>
      </w:pPr>
    </w:p>
    <w:p>
      <w:pPr>
        <w:pStyle w:val="Subsection"/>
      </w:pPr>
      <w:r>
        <w:tab/>
      </w:r>
      <w:r>
        <w:tab/>
        <w:t>Western Australian Electricity Review Board</w:t>
      </w:r>
    </w:p>
    <w:p>
      <w:pPr>
        <w:pStyle w:val="BlankClose"/>
      </w:pPr>
    </w:p>
    <w:p>
      <w:pPr>
        <w:pStyle w:val="Heading5"/>
        <w:spacing w:before="180"/>
      </w:pPr>
      <w:bookmarkStart w:id="79" w:name="_Toc536781842"/>
      <w:r>
        <w:rPr>
          <w:rStyle w:val="CharSectno"/>
        </w:rPr>
        <w:t>35</w:t>
      </w:r>
      <w:r>
        <w:t>.</w:t>
      </w:r>
      <w:r>
        <w:tab/>
        <w:t>Part 6 Division 2 Subdivision 2 heading replaced</w:t>
      </w:r>
      <w:bookmarkEnd w:id="79"/>
    </w:p>
    <w:p>
      <w:pPr>
        <w:pStyle w:val="Subsection"/>
        <w:spacing w:before="120"/>
      </w:pPr>
      <w:r>
        <w:tab/>
      </w:r>
      <w:r>
        <w:tab/>
        <w:t>Delete the heading to Part 6 Division 2 Subdivision 2 and insert:</w:t>
      </w:r>
    </w:p>
    <w:p>
      <w:pPr>
        <w:pStyle w:val="BlankOpen"/>
      </w:pPr>
    </w:p>
    <w:p>
      <w:pPr>
        <w:pStyle w:val="zHeading4"/>
        <w:spacing w:before="0"/>
      </w:pPr>
      <w:bookmarkStart w:id="80" w:name="_Toc501633753"/>
      <w:bookmarkStart w:id="81" w:name="_Toc501712649"/>
      <w:bookmarkStart w:id="82" w:name="_Toc536781843"/>
      <w:r>
        <w:t>Subdivision 2 — Western Australian Electricity Review Board established</w:t>
      </w:r>
      <w:bookmarkEnd w:id="80"/>
      <w:bookmarkEnd w:id="81"/>
      <w:bookmarkEnd w:id="82"/>
    </w:p>
    <w:p>
      <w:pPr>
        <w:pStyle w:val="BlankClose"/>
      </w:pPr>
    </w:p>
    <w:p>
      <w:pPr>
        <w:pStyle w:val="Heading5"/>
      </w:pPr>
      <w:bookmarkStart w:id="83" w:name="_Toc536781844"/>
      <w:r>
        <w:rPr>
          <w:rStyle w:val="CharSectno"/>
        </w:rPr>
        <w:t>36</w:t>
      </w:r>
      <w:r>
        <w:t>.</w:t>
      </w:r>
      <w:r>
        <w:tab/>
        <w:t>Section 50 amended</w:t>
      </w:r>
      <w:bookmarkEnd w:id="83"/>
    </w:p>
    <w:p>
      <w:pPr>
        <w:pStyle w:val="Subsection"/>
      </w:pPr>
      <w:r>
        <w:tab/>
        <w:t>(1)</w:t>
      </w:r>
      <w:r>
        <w:tab/>
        <w:t>In section 50(1) delete “Western Australian Gas Review Board” and insert:</w:t>
      </w:r>
    </w:p>
    <w:p>
      <w:pPr>
        <w:pStyle w:val="BlankOpen"/>
      </w:pPr>
    </w:p>
    <w:p>
      <w:pPr>
        <w:pStyle w:val="Subsection"/>
      </w:pPr>
      <w:r>
        <w:tab/>
      </w:r>
      <w:r>
        <w:tab/>
        <w:t>Western Australian Electricity Review Board</w:t>
      </w:r>
    </w:p>
    <w:p>
      <w:pPr>
        <w:pStyle w:val="BlankClose"/>
      </w:pPr>
    </w:p>
    <w:p>
      <w:pPr>
        <w:pStyle w:val="Subsection"/>
      </w:pPr>
      <w:r>
        <w:tab/>
        <w:t>(2)</w:t>
      </w:r>
      <w:r>
        <w:tab/>
        <w:t>After section 50(1) insert:</w:t>
      </w:r>
    </w:p>
    <w:p>
      <w:pPr>
        <w:pStyle w:val="BlankOpen"/>
      </w:pPr>
    </w:p>
    <w:p>
      <w:pPr>
        <w:pStyle w:val="zSubsection"/>
        <w:spacing w:before="0"/>
      </w:pPr>
      <w:r>
        <w:tab/>
        <w:t>(2A)</w:t>
      </w:r>
      <w:r>
        <w:tab/>
        <w:t xml:space="preserve">The Board has functions under the </w:t>
      </w:r>
      <w:r>
        <w:rPr>
          <w:i/>
          <w:iCs/>
        </w:rPr>
        <w:t>Electricity Industry Act 2004</w:t>
      </w:r>
      <w:r>
        <w:t>.</w:t>
      </w:r>
    </w:p>
    <w:p>
      <w:pPr>
        <w:pStyle w:val="BlankClose"/>
      </w:pPr>
    </w:p>
    <w:p>
      <w:pPr>
        <w:pStyle w:val="Heading5"/>
      </w:pPr>
      <w:bookmarkStart w:id="84" w:name="_Toc536781845"/>
      <w:r>
        <w:rPr>
          <w:rStyle w:val="CharSectno"/>
        </w:rPr>
        <w:t>37</w:t>
      </w:r>
      <w:r>
        <w:t>.</w:t>
      </w:r>
      <w:r>
        <w:tab/>
        <w:t>Section 57 amended</w:t>
      </w:r>
      <w:bookmarkEnd w:id="84"/>
    </w:p>
    <w:p>
      <w:pPr>
        <w:pStyle w:val="Subsection"/>
      </w:pPr>
      <w:r>
        <w:tab/>
      </w:r>
      <w:r>
        <w:tab/>
        <w:t>In section 57(1) delete “the Gas Pipelines Access (</w:t>
      </w:r>
      <w:smartTag w:uri="urn:schemas-microsoft-com:office:smarttags" w:element="State">
        <w:smartTag w:uri="urn:schemas-microsoft-com:office:smarttags" w:element="place">
          <w:r>
            <w:t>Western Australia</w:t>
          </w:r>
        </w:smartTag>
      </w:smartTag>
      <w:r>
        <w:t>) Law and”.</w:t>
      </w:r>
    </w:p>
    <w:p>
      <w:pPr>
        <w:pStyle w:val="Heading5"/>
      </w:pPr>
      <w:bookmarkStart w:id="85" w:name="_Toc536781846"/>
      <w:r>
        <w:rPr>
          <w:rStyle w:val="CharSectno"/>
        </w:rPr>
        <w:t>38</w:t>
      </w:r>
      <w:r>
        <w:t>.</w:t>
      </w:r>
      <w:r>
        <w:tab/>
        <w:t>Section 59 amended</w:t>
      </w:r>
      <w:bookmarkEnd w:id="85"/>
    </w:p>
    <w:p>
      <w:pPr>
        <w:pStyle w:val="Subsection"/>
      </w:pPr>
      <w:r>
        <w:tab/>
      </w:r>
      <w:r>
        <w:tab/>
        <w:t>In section 59(4) delete “Subject to the Gas Pipelines Access (</w:t>
      </w:r>
      <w:smartTag w:uri="urn:schemas-microsoft-com:office:smarttags" w:element="State">
        <w:smartTag w:uri="urn:schemas-microsoft-com:office:smarttags" w:element="place">
          <w:r>
            <w:t>Western Australia</w:t>
          </w:r>
        </w:smartTag>
      </w:smartTag>
      <w:r>
        <w:t>) Law, a party” and insert:</w:t>
      </w:r>
    </w:p>
    <w:p>
      <w:pPr>
        <w:pStyle w:val="BlankOpen"/>
      </w:pPr>
    </w:p>
    <w:p>
      <w:pPr>
        <w:pStyle w:val="Subsection"/>
      </w:pPr>
      <w:r>
        <w:tab/>
      </w:r>
      <w:r>
        <w:tab/>
        <w:t>A party</w:t>
      </w:r>
    </w:p>
    <w:p>
      <w:pPr>
        <w:pStyle w:val="BlankClose"/>
      </w:pPr>
    </w:p>
    <w:p>
      <w:pPr>
        <w:pStyle w:val="Heading5"/>
      </w:pPr>
      <w:bookmarkStart w:id="86" w:name="_Toc536781847"/>
      <w:r>
        <w:rPr>
          <w:rStyle w:val="CharSectno"/>
        </w:rPr>
        <w:t>39</w:t>
      </w:r>
      <w:r>
        <w:t>.</w:t>
      </w:r>
      <w:r>
        <w:tab/>
        <w:t>Section 61 amended</w:t>
      </w:r>
      <w:bookmarkEnd w:id="86"/>
    </w:p>
    <w:p>
      <w:pPr>
        <w:pStyle w:val="Subsection"/>
      </w:pPr>
      <w:r>
        <w:tab/>
      </w:r>
      <w:r>
        <w:tab/>
        <w:t xml:space="preserve">In section 61 in the definition of </w:t>
      </w:r>
      <w:r>
        <w:rPr>
          <w:b/>
          <w:bCs/>
          <w:i/>
          <w:iCs/>
        </w:rPr>
        <w:t>arbitrator</w:t>
      </w:r>
      <w:r>
        <w:t xml:space="preserve"> delete “Gas” and insert:</w:t>
      </w:r>
    </w:p>
    <w:p>
      <w:pPr>
        <w:pStyle w:val="BlankOpen"/>
        <w:keepNext w:val="0"/>
        <w:keepLines w:val="0"/>
      </w:pPr>
    </w:p>
    <w:p>
      <w:pPr>
        <w:pStyle w:val="Subsection"/>
      </w:pPr>
      <w:r>
        <w:tab/>
      </w:r>
      <w:r>
        <w:tab/>
        <w:t>Energy</w:t>
      </w:r>
    </w:p>
    <w:p>
      <w:pPr>
        <w:pStyle w:val="BlankClose"/>
        <w:keepLines w:val="0"/>
      </w:pPr>
    </w:p>
    <w:p>
      <w:pPr>
        <w:pStyle w:val="Heading5"/>
      </w:pPr>
      <w:bookmarkStart w:id="87" w:name="_Toc536781848"/>
      <w:r>
        <w:rPr>
          <w:rStyle w:val="CharSectno"/>
        </w:rPr>
        <w:t>40</w:t>
      </w:r>
      <w:r>
        <w:t>.</w:t>
      </w:r>
      <w:r>
        <w:tab/>
        <w:t>Part 6 Division 3 Subdivision 2 heading amended</w:t>
      </w:r>
      <w:bookmarkEnd w:id="87"/>
    </w:p>
    <w:p>
      <w:pPr>
        <w:pStyle w:val="Subsection"/>
        <w:keepNext/>
      </w:pPr>
      <w:r>
        <w:tab/>
      </w:r>
      <w:r>
        <w:tab/>
        <w:t>In the heading to Part 6 Division 3 Subdivision 2 delete “</w:t>
      </w:r>
      <w:r>
        <w:rPr>
          <w:b/>
        </w:rPr>
        <w:t>Gas</w:t>
      </w:r>
      <w:r>
        <w:t>” and insert:</w:t>
      </w:r>
    </w:p>
    <w:p>
      <w:pPr>
        <w:pStyle w:val="BlankOpen"/>
      </w:pPr>
    </w:p>
    <w:p>
      <w:pPr>
        <w:pStyle w:val="Subsection"/>
      </w:pPr>
      <w:r>
        <w:tab/>
      </w:r>
      <w:r>
        <w:tab/>
      </w:r>
      <w:r>
        <w:rPr>
          <w:b/>
        </w:rPr>
        <w:t>Energy</w:t>
      </w:r>
    </w:p>
    <w:p>
      <w:pPr>
        <w:pStyle w:val="BlankClose"/>
      </w:pPr>
    </w:p>
    <w:p>
      <w:pPr>
        <w:pStyle w:val="Heading5"/>
      </w:pPr>
      <w:bookmarkStart w:id="88" w:name="_Toc536781849"/>
      <w:r>
        <w:rPr>
          <w:rStyle w:val="CharSectno"/>
        </w:rPr>
        <w:t>41</w:t>
      </w:r>
      <w:r>
        <w:t>.</w:t>
      </w:r>
      <w:r>
        <w:tab/>
        <w:t>Section 62 amended</w:t>
      </w:r>
      <w:bookmarkEnd w:id="88"/>
    </w:p>
    <w:p>
      <w:pPr>
        <w:pStyle w:val="Subsection"/>
      </w:pPr>
      <w:r>
        <w:tab/>
      </w:r>
      <w:r>
        <w:tab/>
        <w:t>In section 62(1) delete “Gas” and insert:</w:t>
      </w:r>
    </w:p>
    <w:p>
      <w:pPr>
        <w:pStyle w:val="BlankOpen"/>
      </w:pPr>
    </w:p>
    <w:p>
      <w:pPr>
        <w:pStyle w:val="Subsection"/>
      </w:pPr>
      <w:r>
        <w:tab/>
      </w:r>
      <w:r>
        <w:tab/>
        <w:t>Energy</w:t>
      </w:r>
    </w:p>
    <w:p>
      <w:pPr>
        <w:pStyle w:val="BlankClose"/>
      </w:pPr>
    </w:p>
    <w:p>
      <w:pPr>
        <w:pStyle w:val="Heading5"/>
      </w:pPr>
      <w:bookmarkStart w:id="89" w:name="_Toc536781850"/>
      <w:r>
        <w:rPr>
          <w:rStyle w:val="CharSectno"/>
        </w:rPr>
        <w:t>42</w:t>
      </w:r>
      <w:r>
        <w:t>.</w:t>
      </w:r>
      <w:r>
        <w:tab/>
        <w:t>Section 73 amended</w:t>
      </w:r>
      <w:bookmarkEnd w:id="89"/>
    </w:p>
    <w:p>
      <w:pPr>
        <w:pStyle w:val="Subsection"/>
      </w:pPr>
      <w:r>
        <w:tab/>
      </w:r>
      <w:r>
        <w:tab/>
        <w:t>In section 73(1):</w:t>
      </w:r>
    </w:p>
    <w:p>
      <w:pPr>
        <w:pStyle w:val="Indenta"/>
      </w:pPr>
      <w:r>
        <w:tab/>
        <w:t>(a)</w:t>
      </w:r>
      <w:r>
        <w:tab/>
        <w:t>delete paragraphs (a) and (c) and insert:</w:t>
      </w:r>
    </w:p>
    <w:p>
      <w:pPr>
        <w:pStyle w:val="BlankOpen"/>
      </w:pPr>
    </w:p>
    <w:p>
      <w:pPr>
        <w:pStyle w:val="zIndenta"/>
        <w:spacing w:before="0"/>
        <w:ind w:right="565"/>
      </w:pPr>
      <w:r>
        <w:tab/>
        <w:t>(a)</w:t>
      </w:r>
      <w:r>
        <w:tab/>
        <w:t xml:space="preserve">by or under the </w:t>
      </w:r>
      <w:r>
        <w:rPr>
          <w:i/>
          <w:iCs/>
        </w:rPr>
        <w:t>National Gas Access (WA) Act 2009</w:t>
      </w:r>
      <w:r>
        <w:t>; or</w:t>
      </w:r>
    </w:p>
    <w:p>
      <w:pPr>
        <w:pStyle w:val="zIndenta"/>
      </w:pPr>
      <w:r>
        <w:tab/>
        <w:t>(b)</w:t>
      </w:r>
      <w:r>
        <w:tab/>
        <w:t xml:space="preserve">by or under the </w:t>
      </w:r>
      <w:r>
        <w:rPr>
          <w:i/>
          <w:iCs/>
        </w:rPr>
        <w:t>Electricity Industry Act 2004</w:t>
      </w:r>
      <w:r>
        <w:t>; or</w:t>
      </w:r>
    </w:p>
    <w:p>
      <w:pPr>
        <w:pStyle w:val="BlankClose"/>
      </w:pPr>
    </w:p>
    <w:p>
      <w:pPr>
        <w:pStyle w:val="Indenta"/>
      </w:pPr>
      <w:r>
        <w:tab/>
        <w:t>(b)</w:t>
      </w:r>
      <w:r>
        <w:tab/>
        <w:t>after paragraph (d) delete “and” and insert:</w:t>
      </w:r>
    </w:p>
    <w:p>
      <w:pPr>
        <w:pStyle w:val="BlankOpen"/>
      </w:pPr>
    </w:p>
    <w:p>
      <w:pPr>
        <w:pStyle w:val="Indenta"/>
      </w:pPr>
      <w:r>
        <w:tab/>
      </w:r>
      <w:r>
        <w:tab/>
        <w:t>or</w:t>
      </w:r>
    </w:p>
    <w:p>
      <w:pPr>
        <w:pStyle w:val="BlankClose"/>
      </w:pPr>
    </w:p>
    <w:p>
      <w:pPr>
        <w:pStyle w:val="Heading5"/>
      </w:pPr>
      <w:bookmarkStart w:id="90" w:name="_Toc536781851"/>
      <w:r>
        <w:rPr>
          <w:rStyle w:val="CharSectno"/>
        </w:rPr>
        <w:t>43</w:t>
      </w:r>
      <w:r>
        <w:t>.</w:t>
      </w:r>
      <w:r>
        <w:tab/>
        <w:t>Section 74 amended</w:t>
      </w:r>
      <w:bookmarkEnd w:id="90"/>
    </w:p>
    <w:p>
      <w:pPr>
        <w:pStyle w:val="Subsection"/>
      </w:pPr>
      <w:r>
        <w:tab/>
      </w:r>
      <w:r>
        <w:tab/>
        <w:t>After section 74(2) insert:</w:t>
      </w:r>
    </w:p>
    <w:p>
      <w:pPr>
        <w:pStyle w:val="BlankOpen"/>
      </w:pPr>
    </w:p>
    <w:p>
      <w:pPr>
        <w:pStyle w:val="zSubsection"/>
        <w:spacing w:before="0"/>
      </w:pPr>
      <w:r>
        <w:tab/>
        <w:t>(3)</w:t>
      </w:r>
      <w:r>
        <w:tab/>
        <w:t>Regulations referred to in subsection (1) may make provision for and in relation to the imposition and payment of fees and charges in connection with the performance of functions the arbitrator has under those regulations.</w:t>
      </w:r>
    </w:p>
    <w:p>
      <w:pPr>
        <w:pStyle w:val="zSubsection"/>
      </w:pPr>
      <w:r>
        <w:tab/>
        <w:t>(4)</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BlankClose"/>
      </w:pPr>
    </w:p>
    <w:p>
      <w:pPr>
        <w:pStyle w:val="Heading5"/>
      </w:pPr>
      <w:bookmarkStart w:id="91" w:name="_Toc536781852"/>
      <w:r>
        <w:rPr>
          <w:rStyle w:val="CharSectno"/>
        </w:rPr>
        <w:t>44</w:t>
      </w:r>
      <w:r>
        <w:t>.</w:t>
      </w:r>
      <w:r>
        <w:tab/>
        <w:t>Section 76 amended</w:t>
      </w:r>
      <w:bookmarkEnd w:id="91"/>
    </w:p>
    <w:p>
      <w:pPr>
        <w:pStyle w:val="Subsection"/>
      </w:pPr>
      <w:r>
        <w:tab/>
      </w:r>
      <w:r>
        <w:tab/>
        <w:t>In section 76:</w:t>
      </w:r>
    </w:p>
    <w:p>
      <w:pPr>
        <w:pStyle w:val="Indenta"/>
      </w:pPr>
      <w:r>
        <w:tab/>
        <w:t>(a)</w:t>
      </w:r>
      <w:r>
        <w:tab/>
        <w:t>delete “under the Code” and insert:</w:t>
      </w:r>
    </w:p>
    <w:p>
      <w:pPr>
        <w:pStyle w:val="BlankOpen"/>
      </w:pPr>
    </w:p>
    <w:p>
      <w:pPr>
        <w:pStyle w:val="Indenta"/>
      </w:pPr>
      <w:r>
        <w:tab/>
      </w:r>
      <w:r>
        <w:tab/>
        <w:t>in performing functions referred to in section 73(1)</w:t>
      </w:r>
    </w:p>
    <w:p>
      <w:pPr>
        <w:pStyle w:val="BlankClose"/>
      </w:pPr>
    </w:p>
    <w:p>
      <w:pPr>
        <w:pStyle w:val="Indenta"/>
      </w:pPr>
      <w:r>
        <w:tab/>
        <w:t>(b)</w:t>
      </w:r>
      <w:r>
        <w:tab/>
        <w:t>delete “local Regulator as defined in section 11.” and insert:</w:t>
      </w:r>
    </w:p>
    <w:p>
      <w:pPr>
        <w:pStyle w:val="BlankOpen"/>
      </w:pPr>
    </w:p>
    <w:p>
      <w:pPr>
        <w:pStyle w:val="zSubsection"/>
        <w:spacing w:before="0"/>
      </w:pPr>
      <w:r>
        <w:tab/>
      </w:r>
      <w:r>
        <w:tab/>
        <w:t xml:space="preserve">Economic Regulation Authority established by the </w:t>
      </w:r>
      <w:r>
        <w:rPr>
          <w:i/>
          <w:iCs/>
        </w:rPr>
        <w:t>Economic Regulation Authority Act 2003</w:t>
      </w:r>
      <w:r>
        <w:t>.</w:t>
      </w:r>
    </w:p>
    <w:p>
      <w:pPr>
        <w:pStyle w:val="BlankClose"/>
      </w:pPr>
    </w:p>
    <w:p>
      <w:pPr>
        <w:pStyle w:val="Heading5"/>
      </w:pPr>
      <w:bookmarkStart w:id="92" w:name="_Toc536781853"/>
      <w:r>
        <w:rPr>
          <w:rStyle w:val="CharSectno"/>
        </w:rPr>
        <w:t>45</w:t>
      </w:r>
      <w:r>
        <w:t>.</w:t>
      </w:r>
      <w:r>
        <w:tab/>
        <w:t>Section 77 amended</w:t>
      </w:r>
      <w:bookmarkEnd w:id="92"/>
    </w:p>
    <w:p>
      <w:pPr>
        <w:pStyle w:val="Subsection"/>
      </w:pPr>
      <w:r>
        <w:tab/>
      </w:r>
      <w:r>
        <w:tab/>
        <w:t>In section 77 delete “provided for by the Gas Pipelines Access (</w:t>
      </w:r>
      <w:smartTag w:uri="urn:schemas-microsoft-com:office:smarttags" w:element="State">
        <w:smartTag w:uri="urn:schemas-microsoft-com:office:smarttags" w:element="place">
          <w:r>
            <w:t>Western Australia</w:t>
          </w:r>
        </w:smartTag>
      </w:smartTag>
      <w:r>
        <w:t>) Law and the regulations” and insert:</w:t>
      </w:r>
    </w:p>
    <w:p>
      <w:pPr>
        <w:pStyle w:val="BlankOpen"/>
      </w:pPr>
    </w:p>
    <w:p>
      <w:pPr>
        <w:pStyle w:val="Subsection"/>
        <w:keepNext/>
        <w:keepLines/>
      </w:pPr>
      <w:r>
        <w:tab/>
      </w:r>
      <w:r>
        <w:tab/>
        <w:t>involved in performing the arbitrator’s functions</w:t>
      </w:r>
    </w:p>
    <w:p>
      <w:pPr>
        <w:pStyle w:val="BlankClose"/>
        <w:keepNext/>
      </w:pPr>
    </w:p>
    <w:p>
      <w:pPr>
        <w:pStyle w:val="Heading5"/>
      </w:pPr>
      <w:bookmarkStart w:id="93" w:name="_Toc536781854"/>
      <w:r>
        <w:rPr>
          <w:rStyle w:val="CharSectno"/>
        </w:rPr>
        <w:t>46</w:t>
      </w:r>
      <w:r>
        <w:t>.</w:t>
      </w:r>
      <w:r>
        <w:tab/>
        <w:t>Section 81 amended</w:t>
      </w:r>
      <w:bookmarkEnd w:id="93"/>
    </w:p>
    <w:p>
      <w:pPr>
        <w:pStyle w:val="Subsection"/>
        <w:rPr>
          <w:b/>
          <w:i/>
        </w:rPr>
      </w:pPr>
      <w:r>
        <w:tab/>
      </w:r>
      <w:r>
        <w:tab/>
        <w:t>In section 81 delete “under this Act”.</w:t>
      </w:r>
    </w:p>
    <w:p>
      <w:pPr>
        <w:pStyle w:val="Heading5"/>
      </w:pPr>
      <w:bookmarkStart w:id="94" w:name="_Toc536781855"/>
      <w:r>
        <w:rPr>
          <w:rStyle w:val="CharSectno"/>
        </w:rPr>
        <w:t>47</w:t>
      </w:r>
      <w:r>
        <w:t>.</w:t>
      </w:r>
      <w:r>
        <w:tab/>
        <w:t>Section 82 amended</w:t>
      </w:r>
      <w:bookmarkEnd w:id="94"/>
    </w:p>
    <w:p>
      <w:pPr>
        <w:pStyle w:val="Subsection"/>
        <w:keepNext/>
      </w:pPr>
      <w:r>
        <w:tab/>
        <w:t>(1)</w:t>
      </w:r>
      <w:r>
        <w:tab/>
        <w:t>In section 82(2) after “called” insert:</w:t>
      </w:r>
    </w:p>
    <w:p>
      <w:pPr>
        <w:pStyle w:val="BlankOpen"/>
      </w:pPr>
    </w:p>
    <w:p>
      <w:pPr>
        <w:pStyle w:val="zSubsection"/>
        <w:spacing w:before="0"/>
      </w:pPr>
      <w:r>
        <w:tab/>
      </w:r>
      <w:r>
        <w:tab/>
        <w:t>the “Western Australian Energy Disputes Arbitrator Account”, and it is to be a continuation of the account formerly called</w:t>
      </w:r>
    </w:p>
    <w:p>
      <w:pPr>
        <w:pStyle w:val="BlankClose"/>
      </w:pPr>
    </w:p>
    <w:p>
      <w:pPr>
        <w:pStyle w:val="Subsection"/>
      </w:pPr>
      <w:r>
        <w:tab/>
        <w:t>(2)</w:t>
      </w:r>
      <w:r>
        <w:tab/>
        <w:t>Delete section 82(3)(a)(ii) and insert:</w:t>
      </w:r>
    </w:p>
    <w:p>
      <w:pPr>
        <w:pStyle w:val="BlankOpen"/>
      </w:pPr>
    </w:p>
    <w:p>
      <w:pPr>
        <w:pStyle w:val="zIndenti"/>
        <w:spacing w:before="0"/>
      </w:pPr>
      <w:r>
        <w:tab/>
        <w:t>(ii)</w:t>
      </w:r>
      <w:r>
        <w:tab/>
        <w:t>fees and charges payable to the arbitrator or the Board in connection with the performance of the functions of the arbitrator or the Board;</w:t>
      </w:r>
    </w:p>
    <w:p>
      <w:pPr>
        <w:pStyle w:val="BlankClose"/>
      </w:pPr>
    </w:p>
    <w:p>
      <w:pPr>
        <w:pStyle w:val="Heading5"/>
      </w:pPr>
      <w:bookmarkStart w:id="95" w:name="_Toc536781856"/>
      <w:r>
        <w:rPr>
          <w:rStyle w:val="CharSectno"/>
        </w:rPr>
        <w:t>48</w:t>
      </w:r>
      <w:r>
        <w:t>.</w:t>
      </w:r>
      <w:r>
        <w:tab/>
        <w:t>Section 87 deleted</w:t>
      </w:r>
      <w:bookmarkEnd w:id="95"/>
    </w:p>
    <w:p>
      <w:pPr>
        <w:pStyle w:val="Subsection"/>
      </w:pPr>
      <w:r>
        <w:tab/>
      </w:r>
      <w:r>
        <w:tab/>
        <w:t>Delete section 87.</w:t>
      </w:r>
    </w:p>
    <w:p>
      <w:pPr>
        <w:pStyle w:val="Heading5"/>
      </w:pPr>
      <w:bookmarkStart w:id="96" w:name="_Toc536781857"/>
      <w:r>
        <w:rPr>
          <w:rStyle w:val="CharSectno"/>
        </w:rPr>
        <w:t>49</w:t>
      </w:r>
      <w:r>
        <w:t>.</w:t>
      </w:r>
      <w:r>
        <w:tab/>
        <w:t>Section 88 deleted</w:t>
      </w:r>
      <w:bookmarkEnd w:id="96"/>
    </w:p>
    <w:p>
      <w:pPr>
        <w:pStyle w:val="Subsection"/>
      </w:pPr>
      <w:r>
        <w:tab/>
      </w:r>
      <w:r>
        <w:tab/>
        <w:t>Delete section 88.</w:t>
      </w:r>
    </w:p>
    <w:p>
      <w:pPr>
        <w:pStyle w:val="Heading5"/>
      </w:pPr>
      <w:bookmarkStart w:id="97" w:name="_Toc536781858"/>
      <w:r>
        <w:rPr>
          <w:rStyle w:val="CharSectno"/>
        </w:rPr>
        <w:t>50</w:t>
      </w:r>
      <w:r>
        <w:t>.</w:t>
      </w:r>
      <w:r>
        <w:tab/>
        <w:t>Parts 7 and 8 deleted</w:t>
      </w:r>
      <w:bookmarkEnd w:id="97"/>
    </w:p>
    <w:p>
      <w:pPr>
        <w:pStyle w:val="Subsection"/>
      </w:pPr>
      <w:r>
        <w:tab/>
      </w:r>
      <w:r>
        <w:tab/>
        <w:t>Delete Parts 7 and 8.</w:t>
      </w:r>
    </w:p>
    <w:p>
      <w:pPr>
        <w:pStyle w:val="Heading5"/>
      </w:pPr>
      <w:bookmarkStart w:id="98" w:name="_Toc536781859"/>
      <w:r>
        <w:rPr>
          <w:rStyle w:val="CharSectno"/>
        </w:rPr>
        <w:t>51</w:t>
      </w:r>
      <w:r>
        <w:t>.</w:t>
      </w:r>
      <w:r>
        <w:tab/>
        <w:t>Schedules deleted</w:t>
      </w:r>
      <w:bookmarkEnd w:id="98"/>
    </w:p>
    <w:p>
      <w:pPr>
        <w:pStyle w:val="Subsection"/>
      </w:pPr>
      <w:r>
        <w:tab/>
      </w:r>
      <w:r>
        <w:tab/>
        <w:t>Delete Schedule 1 and its Appendix and Schedules 2 and 3.</w:t>
      </w:r>
    </w:p>
    <w:p>
      <w:pPr>
        <w:pStyle w:val="Heading3"/>
      </w:pPr>
      <w:bookmarkStart w:id="99" w:name="_Toc501633770"/>
      <w:bookmarkStart w:id="100" w:name="_Toc501712666"/>
      <w:bookmarkStart w:id="101" w:name="_Toc536781860"/>
      <w:r>
        <w:rPr>
          <w:rStyle w:val="CharDivNo"/>
        </w:rPr>
        <w:t>Division 2</w:t>
      </w:r>
      <w:r>
        <w:t> — </w:t>
      </w:r>
      <w:r>
        <w:rPr>
          <w:rStyle w:val="CharDivText"/>
          <w:i/>
          <w:iCs/>
        </w:rPr>
        <w:t>Economic Regulation Authority Act 2003</w:t>
      </w:r>
      <w:bookmarkEnd w:id="99"/>
      <w:bookmarkEnd w:id="100"/>
      <w:bookmarkEnd w:id="101"/>
    </w:p>
    <w:p>
      <w:pPr>
        <w:pStyle w:val="Heading5"/>
      </w:pPr>
      <w:bookmarkStart w:id="102" w:name="_Toc536781861"/>
      <w:r>
        <w:rPr>
          <w:rStyle w:val="CharSectno"/>
        </w:rPr>
        <w:t>52</w:t>
      </w:r>
      <w:r>
        <w:t>.</w:t>
      </w:r>
      <w:r>
        <w:tab/>
        <w:t>Act amended</w:t>
      </w:r>
      <w:bookmarkEnd w:id="102"/>
    </w:p>
    <w:p>
      <w:pPr>
        <w:pStyle w:val="Subsection"/>
      </w:pPr>
      <w:r>
        <w:tab/>
      </w:r>
      <w:r>
        <w:tab/>
        <w:t xml:space="preserve">This Division amends the </w:t>
      </w:r>
      <w:r>
        <w:rPr>
          <w:i/>
          <w:iCs/>
        </w:rPr>
        <w:t>Economic Regulation Authority Act 2003</w:t>
      </w:r>
      <w:r>
        <w:t>.</w:t>
      </w:r>
    </w:p>
    <w:p>
      <w:pPr>
        <w:pStyle w:val="Heading5"/>
      </w:pPr>
      <w:bookmarkStart w:id="103" w:name="_Toc536781862"/>
      <w:r>
        <w:rPr>
          <w:rStyle w:val="CharSectno"/>
        </w:rPr>
        <w:t>53</w:t>
      </w:r>
      <w:r>
        <w:t>.</w:t>
      </w:r>
      <w:r>
        <w:tab/>
        <w:t>Section 25 amended</w:t>
      </w:r>
      <w:bookmarkEnd w:id="103"/>
    </w:p>
    <w:p>
      <w:pPr>
        <w:pStyle w:val="Subsection"/>
      </w:pPr>
      <w:r>
        <w:tab/>
      </w:r>
      <w:r>
        <w:tab/>
        <w:t>In section 25:</w:t>
      </w:r>
    </w:p>
    <w:p>
      <w:pPr>
        <w:pStyle w:val="Indenta"/>
      </w:pPr>
      <w:r>
        <w:tab/>
        <w:t>(a)</w:t>
      </w:r>
      <w:r>
        <w:tab/>
        <w:t>delete paragraph (c) and insert:</w:t>
      </w:r>
    </w:p>
    <w:p>
      <w:pPr>
        <w:pStyle w:val="BlankOpen"/>
      </w:pPr>
    </w:p>
    <w:p>
      <w:pPr>
        <w:pStyle w:val="zIndenta"/>
        <w:spacing w:before="0"/>
        <w:rPr>
          <w:iCs/>
        </w:rPr>
      </w:pPr>
      <w:r>
        <w:tab/>
        <w:t>(c)</w:t>
      </w:r>
      <w:r>
        <w:tab/>
        <w:t xml:space="preserve">the functions it is given by or under the </w:t>
      </w:r>
      <w:r>
        <w:rPr>
          <w:i/>
          <w:iCs/>
          <w:snapToGrid w:val="0"/>
        </w:rPr>
        <w:t>National Gas Access (WA) Act 2009</w:t>
      </w:r>
      <w:r>
        <w:rPr>
          <w:iCs/>
          <w:snapToGrid w:val="0"/>
        </w:rPr>
        <w:t>; and</w:t>
      </w:r>
    </w:p>
    <w:p>
      <w:pPr>
        <w:pStyle w:val="BlankClose"/>
      </w:pPr>
    </w:p>
    <w:p>
      <w:pPr>
        <w:pStyle w:val="Indenta"/>
      </w:pPr>
      <w:r>
        <w:tab/>
        <w:t>(b)</w:t>
      </w:r>
      <w:r>
        <w:tab/>
        <w:t>after each of paragraphs (a), (b) and (d) insert:</w:t>
      </w:r>
    </w:p>
    <w:p>
      <w:pPr>
        <w:pStyle w:val="BlankOpen"/>
      </w:pPr>
    </w:p>
    <w:p>
      <w:pPr>
        <w:pStyle w:val="Indenta"/>
      </w:pPr>
      <w:r>
        <w:tab/>
      </w:r>
      <w:r>
        <w:tab/>
        <w:t>and</w:t>
      </w:r>
    </w:p>
    <w:p>
      <w:pPr>
        <w:pStyle w:val="BlankClose"/>
      </w:pPr>
    </w:p>
    <w:p>
      <w:pPr>
        <w:pStyle w:val="Heading5"/>
      </w:pPr>
      <w:bookmarkStart w:id="104" w:name="_Toc536781863"/>
      <w:r>
        <w:rPr>
          <w:rStyle w:val="CharSectno"/>
        </w:rPr>
        <w:t>54</w:t>
      </w:r>
      <w:r>
        <w:t>.</w:t>
      </w:r>
      <w:r>
        <w:tab/>
        <w:t>Section 28 amended</w:t>
      </w:r>
      <w:bookmarkEnd w:id="104"/>
    </w:p>
    <w:p>
      <w:pPr>
        <w:pStyle w:val="Subsection"/>
        <w:keepNext/>
      </w:pPr>
      <w:r>
        <w:tab/>
        <w:t>(1)</w:t>
      </w:r>
      <w:r>
        <w:tab/>
        <w:t xml:space="preserve">In section 28(3)(b) delete “referred to in section 36(1) of the </w:t>
      </w:r>
      <w:r>
        <w:rPr>
          <w:i/>
          <w:iCs/>
        </w:rPr>
        <w:t>Gas Pipelines Access (</w:t>
      </w:r>
      <w:smartTag w:uri="urn:schemas-microsoft-com:office:smarttags" w:element="State">
        <w:smartTag w:uri="urn:schemas-microsoft-com:office:smarttags" w:element="place">
          <w:r>
            <w:rPr>
              <w:i/>
              <w:iCs/>
            </w:rPr>
            <w:t>Western Australia</w:t>
          </w:r>
        </w:smartTag>
      </w:smartTag>
      <w:r>
        <w:rPr>
          <w:i/>
          <w:iCs/>
        </w:rPr>
        <w:t>) Act 1998</w:t>
      </w:r>
      <w:r>
        <w:t xml:space="preserve"> or” and insert:</w:t>
      </w:r>
    </w:p>
    <w:p>
      <w:pPr>
        <w:pStyle w:val="BlankOpen"/>
      </w:pPr>
    </w:p>
    <w:p>
      <w:pPr>
        <w:pStyle w:val="zIndenta"/>
        <w:spacing w:before="0"/>
      </w:pPr>
      <w:r>
        <w:tab/>
      </w:r>
      <w:r>
        <w:tab/>
        <w:t xml:space="preserve">given by or under the </w:t>
      </w:r>
      <w:r>
        <w:rPr>
          <w:i/>
          <w:iCs/>
          <w:snapToGrid w:val="0"/>
        </w:rPr>
        <w:t>National Gas Access (WA) Act 2009</w:t>
      </w:r>
      <w:r>
        <w:t xml:space="preserve"> or referred to in</w:t>
      </w:r>
    </w:p>
    <w:p>
      <w:pPr>
        <w:pStyle w:val="BlankClose"/>
      </w:pPr>
    </w:p>
    <w:p>
      <w:pPr>
        <w:pStyle w:val="Subsection"/>
      </w:pPr>
      <w:r>
        <w:tab/>
        <w:t>(2)</w:t>
      </w:r>
      <w:r>
        <w:tab/>
        <w:t>In section 28(5)(b) delete “</w:t>
      </w:r>
      <w:r>
        <w:rPr>
          <w:i/>
          <w:iCs/>
        </w:rPr>
        <w:t>Gas Pipelines Access (</w:t>
      </w:r>
      <w:smartTag w:uri="urn:schemas-microsoft-com:office:smarttags" w:element="State">
        <w:smartTag w:uri="urn:schemas-microsoft-com:office:smarttags" w:element="place">
          <w:r>
            <w:rPr>
              <w:i/>
              <w:iCs/>
            </w:rPr>
            <w:t>Western Australia</w:t>
          </w:r>
        </w:smartTag>
      </w:smartTag>
      <w:r>
        <w:rPr>
          <w:i/>
          <w:iCs/>
        </w:rPr>
        <w:t>) Act 1998</w:t>
      </w:r>
      <w:r>
        <w:t>, must send a copy of the direction to the Code Registrar within the meaning of that Act.” and insert:</w:t>
      </w:r>
    </w:p>
    <w:p>
      <w:pPr>
        <w:pStyle w:val="BlankOpen"/>
      </w:pPr>
    </w:p>
    <w:p>
      <w:pPr>
        <w:pStyle w:val="zIndenta"/>
        <w:spacing w:before="0"/>
      </w:pPr>
      <w:r>
        <w:tab/>
      </w:r>
      <w:r>
        <w:tab/>
      </w:r>
      <w:r>
        <w:rPr>
          <w:i/>
          <w:iCs/>
          <w:snapToGrid w:val="0"/>
        </w:rPr>
        <w:t>National Gas Access (WA) Act 2009</w:t>
      </w:r>
      <w:r>
        <w:t xml:space="preserve">, must send a copy of the direction to the Australian Energy Market Commission established by section 5 of the </w:t>
      </w:r>
      <w:r>
        <w:rPr>
          <w:i/>
          <w:iCs/>
        </w:rPr>
        <w:t xml:space="preserve">Australian Energy Market Commission Establishment Act 2004 </w:t>
      </w:r>
      <w:r>
        <w:t xml:space="preserve">of </w:t>
      </w:r>
      <w:smartTag w:uri="urn:schemas-microsoft-com:office:smarttags" w:element="State">
        <w:smartTag w:uri="urn:schemas-microsoft-com:office:smarttags" w:element="place">
          <w:r>
            <w:t>South Australia</w:t>
          </w:r>
        </w:smartTag>
      </w:smartTag>
      <w:r>
        <w:t>.</w:t>
      </w:r>
    </w:p>
    <w:p>
      <w:pPr>
        <w:pStyle w:val="BlankClose"/>
      </w:pPr>
    </w:p>
    <w:p>
      <w:pPr>
        <w:pStyle w:val="Heading5"/>
      </w:pPr>
      <w:bookmarkStart w:id="105" w:name="_Toc536781864"/>
      <w:r>
        <w:rPr>
          <w:rStyle w:val="CharSectno"/>
        </w:rPr>
        <w:t>55</w:t>
      </w:r>
      <w:r>
        <w:t>.</w:t>
      </w:r>
      <w:r>
        <w:tab/>
        <w:t>Section 32 amended</w:t>
      </w:r>
      <w:bookmarkEnd w:id="105"/>
    </w:p>
    <w:p>
      <w:pPr>
        <w:pStyle w:val="Subsection"/>
        <w:keepNext/>
        <w:spacing w:before="120"/>
      </w:pPr>
      <w:r>
        <w:tab/>
      </w:r>
      <w:r>
        <w:tab/>
        <w:t>In section 32(1) delete “Gas Pipelines Access (</w:t>
      </w:r>
      <w:smartTag w:uri="urn:schemas-microsoft-com:office:smarttags" w:element="State">
        <w:smartTag w:uri="urn:schemas-microsoft-com:office:smarttags" w:element="place">
          <w:r>
            <w:t>Western Australia</w:t>
          </w:r>
        </w:smartTag>
      </w:smartTag>
      <w:r>
        <w:t>) Law” and insert:</w:t>
      </w:r>
    </w:p>
    <w:p>
      <w:pPr>
        <w:pStyle w:val="BlankOpen"/>
      </w:pPr>
    </w:p>
    <w:p>
      <w:pPr>
        <w:pStyle w:val="Subsection"/>
      </w:pPr>
      <w:r>
        <w:tab/>
      </w:r>
      <w:r>
        <w:tab/>
        <w:t>National Gas Access (</w:t>
      </w:r>
      <w:smartTag w:uri="urn:schemas-microsoft-com:office:smarttags" w:element="State">
        <w:smartTag w:uri="urn:schemas-microsoft-com:office:smarttags" w:element="place">
          <w:r>
            <w:t>Western Australia</w:t>
          </w:r>
        </w:smartTag>
      </w:smartTag>
      <w:r>
        <w:t>) Law</w:t>
      </w:r>
    </w:p>
    <w:p>
      <w:pPr>
        <w:pStyle w:val="BlankClose"/>
      </w:pPr>
    </w:p>
    <w:p>
      <w:pPr>
        <w:pStyle w:val="Heading3"/>
      </w:pPr>
      <w:bookmarkStart w:id="106" w:name="_Toc501633775"/>
      <w:bookmarkStart w:id="107" w:name="_Toc501712671"/>
      <w:bookmarkStart w:id="108" w:name="_Toc536781865"/>
      <w:r>
        <w:rPr>
          <w:rStyle w:val="CharDivNo"/>
        </w:rPr>
        <w:t>Division 3</w:t>
      </w:r>
      <w:r>
        <w:t> — </w:t>
      </w:r>
      <w:r>
        <w:rPr>
          <w:rStyle w:val="CharDivText"/>
          <w:i/>
          <w:iCs/>
        </w:rPr>
        <w:t>Electricity Industry Act 2004</w:t>
      </w:r>
      <w:bookmarkEnd w:id="106"/>
      <w:bookmarkEnd w:id="107"/>
      <w:bookmarkEnd w:id="108"/>
    </w:p>
    <w:p>
      <w:pPr>
        <w:pStyle w:val="Heading5"/>
      </w:pPr>
      <w:bookmarkStart w:id="109" w:name="_Toc536781866"/>
      <w:r>
        <w:rPr>
          <w:rStyle w:val="CharSectno"/>
        </w:rPr>
        <w:t>56</w:t>
      </w:r>
      <w:r>
        <w:t>.</w:t>
      </w:r>
      <w:r>
        <w:tab/>
        <w:t>Act amended</w:t>
      </w:r>
      <w:bookmarkEnd w:id="109"/>
    </w:p>
    <w:p>
      <w:pPr>
        <w:pStyle w:val="Subsection"/>
        <w:spacing w:before="120"/>
      </w:pPr>
      <w:r>
        <w:tab/>
      </w:r>
      <w:r>
        <w:tab/>
        <w:t xml:space="preserve">This Division amends the </w:t>
      </w:r>
      <w:r>
        <w:rPr>
          <w:i/>
          <w:iCs/>
        </w:rPr>
        <w:t>Electricity Industry Act 2004</w:t>
      </w:r>
      <w:r>
        <w:t>.</w:t>
      </w:r>
    </w:p>
    <w:p>
      <w:pPr>
        <w:pStyle w:val="Heading5"/>
      </w:pPr>
      <w:bookmarkStart w:id="110" w:name="_Toc536781867"/>
      <w:r>
        <w:rPr>
          <w:rStyle w:val="CharSectno"/>
        </w:rPr>
        <w:t>57</w:t>
      </w:r>
      <w:r>
        <w:t>.</w:t>
      </w:r>
      <w:r>
        <w:tab/>
        <w:t>Section 3 amended</w:t>
      </w:r>
      <w:bookmarkEnd w:id="110"/>
    </w:p>
    <w:p>
      <w:pPr>
        <w:pStyle w:val="Subsection"/>
        <w:spacing w:before="120"/>
      </w:pPr>
      <w:r>
        <w:tab/>
      </w:r>
      <w:r>
        <w:tab/>
        <w:t>In section 3:</w:t>
      </w:r>
    </w:p>
    <w:p>
      <w:pPr>
        <w:pStyle w:val="Indenta"/>
      </w:pPr>
      <w:r>
        <w:tab/>
        <w:t>(a)</w:t>
      </w:r>
      <w:r>
        <w:tab/>
        <w:t xml:space="preserve">in the definition of </w:t>
      </w:r>
      <w:r>
        <w:rPr>
          <w:b/>
          <w:bCs/>
          <w:i/>
          <w:iCs/>
        </w:rPr>
        <w:t>arbitrator</w:t>
      </w:r>
      <w:r>
        <w:t xml:space="preserve"> delete “</w:t>
      </w:r>
      <w:r>
        <w:rPr>
          <w:i/>
          <w:iCs/>
        </w:rPr>
        <w:t>Gas Pipelines Access (</w:t>
      </w:r>
      <w:smartTag w:uri="urn:schemas-microsoft-com:office:smarttags" w:element="State">
        <w:smartTag w:uri="urn:schemas-microsoft-com:office:smarttags" w:element="place">
          <w:r>
            <w:rPr>
              <w:i/>
              <w:iCs/>
            </w:rPr>
            <w:t>Western Australia</w:t>
          </w:r>
        </w:smartTag>
      </w:smartTag>
      <w:r>
        <w:rPr>
          <w:i/>
          <w:iCs/>
        </w:rPr>
        <w:t>) Act 1998</w:t>
      </w:r>
      <w:r>
        <w:t>” and insert:</w:t>
      </w:r>
    </w:p>
    <w:p>
      <w:pPr>
        <w:pStyle w:val="BlankOpen"/>
      </w:pPr>
    </w:p>
    <w:p>
      <w:pPr>
        <w:pStyle w:val="Indenta"/>
        <w:rPr>
          <w:i/>
          <w:iCs/>
        </w:rPr>
      </w:pPr>
      <w:r>
        <w:tab/>
      </w:r>
      <w:r>
        <w:tab/>
      </w:r>
      <w:r>
        <w:rPr>
          <w:i/>
          <w:iCs/>
        </w:rPr>
        <w:t>Energy Arbitration and Review Act 1998</w:t>
      </w:r>
    </w:p>
    <w:p>
      <w:pPr>
        <w:pStyle w:val="BlankClose"/>
      </w:pPr>
    </w:p>
    <w:p>
      <w:pPr>
        <w:pStyle w:val="Indenta"/>
      </w:pPr>
      <w:r>
        <w:tab/>
        <w:t>(b)</w:t>
      </w:r>
      <w:r>
        <w:tab/>
        <w:t xml:space="preserve">in the definition of </w:t>
      </w:r>
      <w:r>
        <w:rPr>
          <w:b/>
          <w:bCs/>
          <w:i/>
          <w:iCs/>
        </w:rPr>
        <w:t>Board</w:t>
      </w:r>
      <w:r>
        <w:t xml:space="preserve"> delete “</w:t>
      </w:r>
      <w:r>
        <w:rPr>
          <w:i/>
          <w:iCs/>
        </w:rPr>
        <w:t>Gas Pipelines Access (</w:t>
      </w:r>
      <w:smartTag w:uri="urn:schemas-microsoft-com:office:smarttags" w:element="State">
        <w:smartTag w:uri="urn:schemas-microsoft-com:office:smarttags" w:element="place">
          <w:r>
            <w:rPr>
              <w:i/>
              <w:iCs/>
            </w:rPr>
            <w:t>Western Australia</w:t>
          </w:r>
        </w:smartTag>
      </w:smartTag>
      <w:r>
        <w:rPr>
          <w:i/>
          <w:iCs/>
        </w:rPr>
        <w:t>) Act 1998</w:t>
      </w:r>
      <w:r>
        <w:t>” and insert:</w:t>
      </w:r>
    </w:p>
    <w:p>
      <w:pPr>
        <w:pStyle w:val="BlankOpen"/>
      </w:pPr>
    </w:p>
    <w:p>
      <w:pPr>
        <w:pStyle w:val="Indenta"/>
        <w:rPr>
          <w:i/>
          <w:iCs/>
        </w:rPr>
      </w:pPr>
      <w:r>
        <w:tab/>
      </w:r>
      <w:r>
        <w:tab/>
      </w:r>
      <w:r>
        <w:rPr>
          <w:i/>
          <w:iCs/>
        </w:rPr>
        <w:t>Energy Arbitration and Review Act 1998</w:t>
      </w:r>
    </w:p>
    <w:p>
      <w:pPr>
        <w:pStyle w:val="BlankClose"/>
      </w:pPr>
    </w:p>
    <w:p>
      <w:pPr>
        <w:pStyle w:val="Heading5"/>
      </w:pPr>
      <w:bookmarkStart w:id="111" w:name="_Toc536781868"/>
      <w:r>
        <w:rPr>
          <w:rStyle w:val="CharSectno"/>
        </w:rPr>
        <w:t>58</w:t>
      </w:r>
      <w:r>
        <w:t>.</w:t>
      </w:r>
      <w:r>
        <w:tab/>
        <w:t>Section 113 deleted</w:t>
      </w:r>
      <w:bookmarkEnd w:id="111"/>
    </w:p>
    <w:p>
      <w:pPr>
        <w:pStyle w:val="Subsection"/>
        <w:spacing w:before="120"/>
      </w:pPr>
      <w:r>
        <w:tab/>
      </w:r>
      <w:r>
        <w:tab/>
        <w:t>Delete section 113.</w:t>
      </w:r>
    </w:p>
    <w:p>
      <w:pPr>
        <w:pStyle w:val="Heading5"/>
      </w:pPr>
      <w:bookmarkStart w:id="112" w:name="_Toc536781869"/>
      <w:r>
        <w:rPr>
          <w:rStyle w:val="CharSectno"/>
        </w:rPr>
        <w:t>59</w:t>
      </w:r>
      <w:r>
        <w:t>.</w:t>
      </w:r>
      <w:r>
        <w:tab/>
        <w:t>Section 125 amended</w:t>
      </w:r>
      <w:bookmarkEnd w:id="112"/>
    </w:p>
    <w:p>
      <w:pPr>
        <w:pStyle w:val="Subsection"/>
        <w:spacing w:before="120"/>
      </w:pPr>
      <w:r>
        <w:tab/>
        <w:t>(1)</w:t>
      </w:r>
      <w:r>
        <w:tab/>
        <w:t>Delete section 125(2)(b) and insert:</w:t>
      </w:r>
    </w:p>
    <w:p>
      <w:pPr>
        <w:pStyle w:val="BlankOpen"/>
      </w:pPr>
    </w:p>
    <w:p>
      <w:pPr>
        <w:pStyle w:val="zIndenta"/>
        <w:spacing w:before="0"/>
      </w:pPr>
      <w:r>
        <w:tab/>
        <w:t>(b)</w:t>
      </w:r>
      <w:r>
        <w:tab/>
        <w:t>make other provisions that it is necessary or convenient to make,</w:t>
      </w:r>
    </w:p>
    <w:p>
      <w:pPr>
        <w:pStyle w:val="BlankClose"/>
      </w:pPr>
    </w:p>
    <w:p>
      <w:pPr>
        <w:pStyle w:val="Subsection"/>
      </w:pPr>
      <w:r>
        <w:tab/>
        <w:t>(2)</w:t>
      </w:r>
      <w:r>
        <w:tab/>
        <w:t>After section 125(2) insert:</w:t>
      </w:r>
    </w:p>
    <w:p>
      <w:pPr>
        <w:pStyle w:val="BlankOpen"/>
      </w:pPr>
    </w:p>
    <w:p>
      <w:pPr>
        <w:pStyle w:val="zSubsection"/>
        <w:spacing w:before="0"/>
      </w:pPr>
      <w:r>
        <w:tab/>
        <w:t>(3A)</w:t>
      </w:r>
      <w:r>
        <w:tab/>
        <w:t xml:space="preserve">Regulations that, immediately before the day on which the </w:t>
      </w:r>
      <w:r>
        <w:rPr>
          <w:i/>
          <w:iCs/>
        </w:rPr>
        <w:t>National Gas Access (WA) Act 2009</w:t>
      </w:r>
      <w:r>
        <w:t xml:space="preserve"> section 59(1) comes into operation, apply provisions of the </w:t>
      </w:r>
      <w:r>
        <w:rPr>
          <w:i/>
          <w:iCs/>
        </w:rPr>
        <w:t>Gas Pipelines Access (Western Australia) Act 1998</w:t>
      </w:r>
      <w:r>
        <w:t xml:space="preserve"> continue to have the effect they had immediately before that day until the contrary intention appears from a regulation made after that day.</w:t>
      </w:r>
    </w:p>
    <w:p>
      <w:pPr>
        <w:pStyle w:val="BlankClose"/>
      </w:pPr>
    </w:p>
    <w:p>
      <w:pPr>
        <w:pStyle w:val="Heading5"/>
      </w:pPr>
      <w:bookmarkStart w:id="113" w:name="_Toc536781870"/>
      <w:r>
        <w:rPr>
          <w:rStyle w:val="CharSectno"/>
        </w:rPr>
        <w:t>60</w:t>
      </w:r>
      <w:r>
        <w:t>.</w:t>
      </w:r>
      <w:r>
        <w:tab/>
        <w:t>Section 130 amended</w:t>
      </w:r>
      <w:bookmarkEnd w:id="113"/>
    </w:p>
    <w:p>
      <w:pPr>
        <w:pStyle w:val="Subsection"/>
      </w:pPr>
      <w:r>
        <w:tab/>
        <w:t>(1)</w:t>
      </w:r>
      <w:r>
        <w:tab/>
        <w:t xml:space="preserve">In section 130(1) in the definition of </w:t>
      </w:r>
      <w:r>
        <w:rPr>
          <w:b/>
          <w:bCs/>
          <w:i/>
          <w:iCs/>
        </w:rPr>
        <w:t>gas pipelines access provisions</w:t>
      </w:r>
      <w:r>
        <w:t xml:space="preserve"> delete “Schedule 1.” and insert:</w:t>
      </w:r>
    </w:p>
    <w:p>
      <w:pPr>
        <w:pStyle w:val="BlankOpen"/>
      </w:pPr>
    </w:p>
    <w:p>
      <w:pPr>
        <w:pStyle w:val="zDefstart"/>
        <w:spacing w:before="0"/>
        <w:ind w:right="486"/>
      </w:pPr>
      <w:r>
        <w:tab/>
        <w:t xml:space="preserve">Schedule 1 as in force immediately before the day on which the </w:t>
      </w:r>
      <w:r>
        <w:rPr>
          <w:i/>
          <w:iCs/>
        </w:rPr>
        <w:t>National Gas Access (WA) Act 2009</w:t>
      </w:r>
      <w:r>
        <w:t xml:space="preserve"> section 51 deleted it.</w:t>
      </w:r>
    </w:p>
    <w:p>
      <w:pPr>
        <w:pStyle w:val="BlankClose"/>
      </w:pPr>
    </w:p>
    <w:p>
      <w:pPr>
        <w:pStyle w:val="Subsection"/>
      </w:pPr>
      <w:r>
        <w:tab/>
        <w:t>(2)</w:t>
      </w:r>
      <w:r>
        <w:tab/>
        <w:t>In section 130(8) delete “</w:t>
      </w:r>
      <w:r>
        <w:rPr>
          <w:i/>
          <w:iCs/>
        </w:rPr>
        <w:t>Gas Pipelines Access (</w:t>
      </w:r>
      <w:smartTag w:uri="urn:schemas-microsoft-com:office:smarttags" w:element="State">
        <w:smartTag w:uri="urn:schemas-microsoft-com:office:smarttags" w:element="place">
          <w:r>
            <w:rPr>
              <w:i/>
              <w:iCs/>
            </w:rPr>
            <w:t>Western Australia</w:t>
          </w:r>
        </w:smartTag>
      </w:smartTag>
      <w:r>
        <w:rPr>
          <w:i/>
          <w:iCs/>
        </w:rPr>
        <w:t>)</w:t>
      </w:r>
      <w:r>
        <w:t>” and insert:</w:t>
      </w:r>
    </w:p>
    <w:p>
      <w:pPr>
        <w:pStyle w:val="BlankOpen"/>
      </w:pPr>
    </w:p>
    <w:p>
      <w:pPr>
        <w:pStyle w:val="Subsection"/>
        <w:rPr>
          <w:i/>
          <w:iCs/>
        </w:rPr>
      </w:pPr>
      <w:r>
        <w:tab/>
      </w:r>
      <w:r>
        <w:tab/>
      </w:r>
      <w:r>
        <w:rPr>
          <w:i/>
          <w:iCs/>
        </w:rPr>
        <w:t>Energy Arbitration and Review</w:t>
      </w:r>
    </w:p>
    <w:p>
      <w:pPr>
        <w:pStyle w:val="BlankClose"/>
      </w:pPr>
    </w:p>
    <w:p>
      <w:pPr>
        <w:pStyle w:val="Subsection"/>
      </w:pPr>
      <w:r>
        <w:tab/>
        <w:t>(3)</w:t>
      </w:r>
      <w:r>
        <w:tab/>
        <w:t>Delete section 130(9) and insert:</w:t>
      </w:r>
    </w:p>
    <w:p>
      <w:pPr>
        <w:pStyle w:val="BlankOpen"/>
      </w:pPr>
    </w:p>
    <w:p>
      <w:pPr>
        <w:pStyle w:val="zSubsection"/>
        <w:spacing w:before="0"/>
      </w:pPr>
      <w:r>
        <w:tab/>
        <w:t>(9)</w:t>
      </w:r>
      <w:r>
        <w:tab/>
        <w:t>For proceedings to which subsection (8) extends the provisions described in that subsection, sections 57(1) and 59(4) of those provisions apply only to the extent that it is consistent with the Code for them to apply.</w:t>
      </w:r>
    </w:p>
    <w:p>
      <w:pPr>
        <w:pStyle w:val="BlankClose"/>
      </w:pPr>
    </w:p>
    <w:p>
      <w:pPr>
        <w:pStyle w:val="Heading5"/>
      </w:pPr>
      <w:bookmarkStart w:id="114" w:name="_Toc536781871"/>
      <w:r>
        <w:rPr>
          <w:rStyle w:val="CharSectno"/>
        </w:rPr>
        <w:t>61</w:t>
      </w:r>
      <w:r>
        <w:t>.</w:t>
      </w:r>
      <w:r>
        <w:tab/>
        <w:t>Section 133 amended</w:t>
      </w:r>
      <w:bookmarkEnd w:id="114"/>
    </w:p>
    <w:p>
      <w:pPr>
        <w:pStyle w:val="Subsection"/>
        <w:keepNext/>
      </w:pPr>
      <w:r>
        <w:tab/>
      </w:r>
      <w:r>
        <w:tab/>
        <w:t>In section 133(1) before “in connection with” insert:</w:t>
      </w:r>
    </w:p>
    <w:p>
      <w:pPr>
        <w:pStyle w:val="BlankOpen"/>
      </w:pPr>
    </w:p>
    <w:p>
      <w:pPr>
        <w:pStyle w:val="zSubsection"/>
        <w:spacing w:before="0"/>
      </w:pPr>
      <w:r>
        <w:tab/>
      </w:r>
      <w:r>
        <w:tab/>
        <w:t>in relation to the imposition and payment of fees and charges in connection with any matter under this Act, including</w:t>
      </w:r>
    </w:p>
    <w:p>
      <w:pPr>
        <w:pStyle w:val="BlankClose"/>
      </w:pPr>
    </w:p>
    <w:p>
      <w:pPr>
        <w:pStyle w:val="Heading3"/>
      </w:pPr>
      <w:bookmarkStart w:id="115" w:name="_Toc501633782"/>
      <w:bookmarkStart w:id="116" w:name="_Toc501712678"/>
      <w:bookmarkStart w:id="117" w:name="_Toc536781872"/>
      <w:r>
        <w:rPr>
          <w:rStyle w:val="CharDivNo"/>
        </w:rPr>
        <w:t>Division 4</w:t>
      </w:r>
      <w:r>
        <w:t> — </w:t>
      </w:r>
      <w:r>
        <w:rPr>
          <w:rStyle w:val="CharDivText"/>
          <w:i/>
          <w:iCs/>
        </w:rPr>
        <w:t>Energy Coordination Act 1994</w:t>
      </w:r>
      <w:bookmarkEnd w:id="115"/>
      <w:bookmarkEnd w:id="116"/>
      <w:bookmarkEnd w:id="117"/>
    </w:p>
    <w:p>
      <w:pPr>
        <w:pStyle w:val="Heading5"/>
      </w:pPr>
      <w:bookmarkStart w:id="118" w:name="_Toc536781873"/>
      <w:r>
        <w:rPr>
          <w:rStyle w:val="CharSectno"/>
        </w:rPr>
        <w:t>62</w:t>
      </w:r>
      <w:r>
        <w:t>.</w:t>
      </w:r>
      <w:r>
        <w:tab/>
        <w:t>Act amended</w:t>
      </w:r>
      <w:bookmarkEnd w:id="118"/>
    </w:p>
    <w:p>
      <w:pPr>
        <w:pStyle w:val="Subsection"/>
      </w:pPr>
      <w:r>
        <w:tab/>
      </w:r>
      <w:r>
        <w:tab/>
        <w:t xml:space="preserve">This Division amends the </w:t>
      </w:r>
      <w:r>
        <w:rPr>
          <w:i/>
          <w:iCs/>
        </w:rPr>
        <w:t>Energy Coordination Act 1994</w:t>
      </w:r>
      <w:r>
        <w:t>.</w:t>
      </w:r>
    </w:p>
    <w:p>
      <w:pPr>
        <w:pStyle w:val="Heading5"/>
        <w:spacing w:before="120"/>
      </w:pPr>
      <w:bookmarkStart w:id="119" w:name="_Toc536781874"/>
      <w:r>
        <w:rPr>
          <w:rStyle w:val="CharSectno"/>
        </w:rPr>
        <w:t>63</w:t>
      </w:r>
      <w:r>
        <w:t>.</w:t>
      </w:r>
      <w:r>
        <w:tab/>
        <w:t>Section 11J deleted</w:t>
      </w:r>
      <w:bookmarkEnd w:id="119"/>
    </w:p>
    <w:p>
      <w:pPr>
        <w:pStyle w:val="Subsection"/>
        <w:spacing w:before="100"/>
      </w:pPr>
      <w:r>
        <w:tab/>
      </w:r>
      <w:r>
        <w:tab/>
        <w:t>Delete section 11J.</w:t>
      </w:r>
    </w:p>
    <w:p>
      <w:pPr>
        <w:pStyle w:val="Heading5"/>
      </w:pPr>
      <w:bookmarkStart w:id="120" w:name="_Toc536781875"/>
      <w:r>
        <w:rPr>
          <w:rStyle w:val="CharSectno"/>
        </w:rPr>
        <w:t>64</w:t>
      </w:r>
      <w:r>
        <w:t>.</w:t>
      </w:r>
      <w:r>
        <w:tab/>
        <w:t>Section 11M amended</w:t>
      </w:r>
      <w:bookmarkEnd w:id="120"/>
    </w:p>
    <w:p>
      <w:pPr>
        <w:pStyle w:val="Subsection"/>
        <w:spacing w:before="100"/>
      </w:pPr>
      <w:r>
        <w:tab/>
      </w:r>
      <w:r>
        <w:tab/>
        <w:t>In section 11M(5) delete paragraph (a) and “or” after it and insert:</w:t>
      </w:r>
    </w:p>
    <w:p>
      <w:pPr>
        <w:pStyle w:val="BlankOpen"/>
      </w:pPr>
    </w:p>
    <w:p>
      <w:pPr>
        <w:pStyle w:val="zIndenta"/>
        <w:spacing w:before="0"/>
      </w:pPr>
      <w:r>
        <w:tab/>
        <w:t>(a)</w:t>
      </w:r>
      <w:r>
        <w:tab/>
        <w:t>the National Gas Access (</w:t>
      </w:r>
      <w:smartTag w:uri="urn:schemas-microsoft-com:office:smarttags" w:element="State">
        <w:smartTag w:uri="urn:schemas-microsoft-com:office:smarttags" w:element="place">
          <w:r>
            <w:t>Western Australia</w:t>
          </w:r>
        </w:smartTag>
      </w:smartTag>
      <w:r>
        <w:t>) Law; or</w:t>
      </w:r>
    </w:p>
    <w:p>
      <w:pPr>
        <w:pStyle w:val="BlankClose"/>
      </w:pPr>
    </w:p>
    <w:p>
      <w:pPr>
        <w:pStyle w:val="Heading5"/>
      </w:pPr>
      <w:bookmarkStart w:id="121" w:name="_Toc536781876"/>
      <w:r>
        <w:rPr>
          <w:rStyle w:val="CharSectno"/>
        </w:rPr>
        <w:t>65</w:t>
      </w:r>
      <w:r>
        <w:t>.</w:t>
      </w:r>
      <w:r>
        <w:tab/>
        <w:t>Section 11V amended</w:t>
      </w:r>
      <w:bookmarkEnd w:id="121"/>
    </w:p>
    <w:p>
      <w:pPr>
        <w:pStyle w:val="Subsection"/>
        <w:spacing w:before="100"/>
      </w:pPr>
      <w:r>
        <w:tab/>
      </w:r>
      <w:r>
        <w:tab/>
        <w:t>Delete section 11V(2) and insert:</w:t>
      </w:r>
    </w:p>
    <w:p>
      <w:pPr>
        <w:pStyle w:val="BlankOpen"/>
      </w:pPr>
    </w:p>
    <w:p>
      <w:pPr>
        <w:pStyle w:val="zSubsection"/>
        <w:spacing w:before="0"/>
      </w:pPr>
      <w:r>
        <w:tab/>
        <w:t>(2)</w:t>
      </w:r>
      <w:r>
        <w:tab/>
        <w:t>A licence does not have effect to the extent that it would be inconsistent with the National Gas Access (</w:t>
      </w:r>
      <w:smartTag w:uri="urn:schemas-microsoft-com:office:smarttags" w:element="State">
        <w:smartTag w:uri="urn:schemas-microsoft-com:office:smarttags" w:element="place">
          <w:r>
            <w:t>Western Australia</w:t>
          </w:r>
        </w:smartTag>
      </w:smartTag>
      <w:r>
        <w:t>) Law.</w:t>
      </w:r>
    </w:p>
    <w:p>
      <w:pPr>
        <w:pStyle w:val="BlankClose"/>
      </w:pPr>
    </w:p>
    <w:p>
      <w:pPr>
        <w:pStyle w:val="Heading5"/>
      </w:pPr>
      <w:bookmarkStart w:id="122" w:name="_Toc536781877"/>
      <w:r>
        <w:rPr>
          <w:rStyle w:val="CharSectno"/>
        </w:rPr>
        <w:t>66</w:t>
      </w:r>
      <w:r>
        <w:t>.</w:t>
      </w:r>
      <w:r>
        <w:tab/>
        <w:t>Section 11ZAC amended</w:t>
      </w:r>
      <w:bookmarkEnd w:id="122"/>
    </w:p>
    <w:p>
      <w:pPr>
        <w:pStyle w:val="Subsection"/>
        <w:keepNext/>
        <w:spacing w:before="100"/>
      </w:pPr>
      <w:r>
        <w:tab/>
      </w:r>
      <w:r>
        <w:tab/>
        <w:t>Delete section 11ZAC(4)(b) and insert:</w:t>
      </w:r>
    </w:p>
    <w:p>
      <w:pPr>
        <w:pStyle w:val="BlankOpen"/>
      </w:pPr>
    </w:p>
    <w:p>
      <w:pPr>
        <w:pStyle w:val="zIndenta"/>
        <w:spacing w:before="0"/>
      </w:pPr>
      <w:r>
        <w:tab/>
        <w:t>(b)</w:t>
      </w:r>
      <w:r>
        <w:tab/>
        <w:t>an access arrangement under the National Gas Access (</w:t>
      </w:r>
      <w:smartTag w:uri="urn:schemas-microsoft-com:office:smarttags" w:element="State">
        <w:smartTag w:uri="urn:schemas-microsoft-com:office:smarttags" w:element="place">
          <w:r>
            <w:t>Western Australia</w:t>
          </w:r>
        </w:smartTag>
      </w:smartTag>
      <w:r>
        <w:t>) Law.</w:t>
      </w:r>
    </w:p>
    <w:p>
      <w:pPr>
        <w:pStyle w:val="BlankClose"/>
      </w:pPr>
    </w:p>
    <w:p>
      <w:pPr>
        <w:pStyle w:val="Heading5"/>
      </w:pPr>
      <w:bookmarkStart w:id="123" w:name="_Toc536781878"/>
      <w:r>
        <w:rPr>
          <w:rStyle w:val="CharSectno"/>
        </w:rPr>
        <w:t>67</w:t>
      </w:r>
      <w:r>
        <w:t>.</w:t>
      </w:r>
      <w:r>
        <w:tab/>
        <w:t>Schedule 1A amended</w:t>
      </w:r>
      <w:bookmarkEnd w:id="123"/>
    </w:p>
    <w:p>
      <w:pPr>
        <w:pStyle w:val="Subsection"/>
      </w:pPr>
      <w:r>
        <w:tab/>
      </w:r>
      <w:r>
        <w:tab/>
        <w:t>In Schedule 1A in paragraph (a) delete “</w:t>
      </w:r>
      <w:r>
        <w:rPr>
          <w:sz w:val="22"/>
        </w:rPr>
        <w:t>Gas Pipelines Access (</w:t>
      </w:r>
      <w:smartTag w:uri="urn:schemas-microsoft-com:office:smarttags" w:element="State">
        <w:smartTag w:uri="urn:schemas-microsoft-com:office:smarttags" w:element="place">
          <w:r>
            <w:rPr>
              <w:sz w:val="22"/>
            </w:rPr>
            <w:t>Western Australia</w:t>
          </w:r>
        </w:smartTag>
      </w:smartTag>
      <w:r>
        <w:rPr>
          <w:sz w:val="22"/>
        </w:rPr>
        <w:t>) Law;</w:t>
      </w:r>
      <w:r>
        <w:t>” and insert:</w:t>
      </w:r>
    </w:p>
    <w:p>
      <w:pPr>
        <w:pStyle w:val="BlankOpen"/>
      </w:pPr>
    </w:p>
    <w:p>
      <w:pPr>
        <w:pStyle w:val="Subsection"/>
        <w:rPr>
          <w:sz w:val="22"/>
        </w:rPr>
      </w:pPr>
      <w:r>
        <w:tab/>
      </w:r>
      <w:r>
        <w:tab/>
      </w:r>
      <w:r>
        <w:rPr>
          <w:sz w:val="22"/>
        </w:rPr>
        <w:t>National Gas Access (</w:t>
      </w:r>
      <w:smartTag w:uri="urn:schemas-microsoft-com:office:smarttags" w:element="State">
        <w:smartTag w:uri="urn:schemas-microsoft-com:office:smarttags" w:element="place">
          <w:r>
            <w:rPr>
              <w:sz w:val="22"/>
            </w:rPr>
            <w:t>Western Australia</w:t>
          </w:r>
        </w:smartTag>
      </w:smartTag>
      <w:r>
        <w:rPr>
          <w:sz w:val="22"/>
        </w:rPr>
        <w:t>) Law;</w:t>
      </w:r>
    </w:p>
    <w:p>
      <w:pPr>
        <w:pStyle w:val="BlankClose"/>
      </w:pPr>
    </w:p>
    <w:p>
      <w:pPr>
        <w:pStyle w:val="Heading3"/>
      </w:pPr>
      <w:bookmarkStart w:id="124" w:name="_Toc501633789"/>
      <w:bookmarkStart w:id="125" w:name="_Toc501712685"/>
      <w:bookmarkStart w:id="126" w:name="_Toc536781879"/>
      <w:r>
        <w:rPr>
          <w:rStyle w:val="CharDivNo"/>
        </w:rPr>
        <w:t>Division 5</w:t>
      </w:r>
      <w:r>
        <w:t> — </w:t>
      </w:r>
      <w:r>
        <w:rPr>
          <w:rStyle w:val="CharDivText"/>
          <w:iCs/>
        </w:rPr>
        <w:t>Other Acts amended</w:t>
      </w:r>
      <w:bookmarkEnd w:id="124"/>
      <w:bookmarkEnd w:id="125"/>
      <w:bookmarkEnd w:id="126"/>
    </w:p>
    <w:p>
      <w:pPr>
        <w:pStyle w:val="Heading5"/>
      </w:pPr>
      <w:bookmarkStart w:id="127" w:name="_Toc536781880"/>
      <w:r>
        <w:rPr>
          <w:rStyle w:val="CharSectno"/>
        </w:rPr>
        <w:t>68</w:t>
      </w:r>
      <w:r>
        <w:t>.</w:t>
      </w:r>
      <w:r>
        <w:tab/>
      </w:r>
      <w:r>
        <w:rPr>
          <w:i/>
          <w:iCs/>
        </w:rPr>
        <w:t>Constitution Acts Amendment Act 1899 amended</w:t>
      </w:r>
      <w:bookmarkEnd w:id="127"/>
    </w:p>
    <w:p>
      <w:pPr>
        <w:pStyle w:val="Subsection"/>
      </w:pPr>
      <w:r>
        <w:tab/>
        <w:t>(1)</w:t>
      </w:r>
      <w:r>
        <w:tab/>
        <w:t xml:space="preserve">This section amends the </w:t>
      </w:r>
      <w:r>
        <w:rPr>
          <w:i/>
          <w:iCs/>
        </w:rPr>
        <w:t>Constitution Acts Amendment Act 1899</w:t>
      </w:r>
      <w:r>
        <w:t>.</w:t>
      </w:r>
    </w:p>
    <w:p>
      <w:pPr>
        <w:pStyle w:val="Subsection"/>
      </w:pPr>
      <w:r>
        <w:tab/>
        <w:t>(2)</w:t>
      </w:r>
      <w:r>
        <w:tab/>
        <w:t>In Schedule V Part 1 Division 1 in the item for the Western Australian Gas Disputes Arbitrator:</w:t>
      </w:r>
    </w:p>
    <w:p>
      <w:pPr>
        <w:pStyle w:val="Indenta"/>
      </w:pPr>
      <w:r>
        <w:tab/>
        <w:t>(a)</w:t>
      </w:r>
      <w:r>
        <w:tab/>
        <w:t>delete “</w:t>
      </w:r>
      <w:r>
        <w:rPr>
          <w:sz w:val="22"/>
        </w:rPr>
        <w:t>Gas Disputes</w:t>
      </w:r>
      <w:r>
        <w:t>” and insert:</w:t>
      </w:r>
    </w:p>
    <w:p>
      <w:pPr>
        <w:pStyle w:val="BlankOpen"/>
      </w:pPr>
    </w:p>
    <w:p>
      <w:pPr>
        <w:pStyle w:val="Indenta"/>
        <w:rPr>
          <w:sz w:val="22"/>
        </w:rPr>
      </w:pPr>
      <w:r>
        <w:tab/>
      </w:r>
      <w:r>
        <w:tab/>
      </w:r>
      <w:r>
        <w:rPr>
          <w:sz w:val="22"/>
        </w:rPr>
        <w:t>Energy Disputes</w:t>
      </w:r>
    </w:p>
    <w:p>
      <w:pPr>
        <w:pStyle w:val="BlankClose"/>
      </w:pPr>
    </w:p>
    <w:p>
      <w:pPr>
        <w:pStyle w:val="Indenta"/>
      </w:pPr>
      <w:r>
        <w:tab/>
        <w:t>(b)</w:t>
      </w:r>
      <w:r>
        <w:tab/>
        <w:t>delete “</w:t>
      </w:r>
      <w:r>
        <w:rPr>
          <w:i/>
          <w:iCs/>
          <w:sz w:val="22"/>
        </w:rPr>
        <w:t>Gas Pipelines Access (</w:t>
      </w:r>
      <w:smartTag w:uri="urn:schemas-microsoft-com:office:smarttags" w:element="State">
        <w:smartTag w:uri="urn:schemas-microsoft-com:office:smarttags" w:element="place">
          <w:r>
            <w:rPr>
              <w:i/>
              <w:iCs/>
              <w:sz w:val="22"/>
            </w:rPr>
            <w:t>Western Australia</w:t>
          </w:r>
        </w:smartTag>
      </w:smartTag>
      <w:r>
        <w:rPr>
          <w:i/>
          <w:iCs/>
          <w:sz w:val="22"/>
        </w:rPr>
        <w:t>)</w:t>
      </w:r>
      <w:r>
        <w:t>” and insert:</w:t>
      </w:r>
    </w:p>
    <w:p>
      <w:pPr>
        <w:pStyle w:val="BlankOpen"/>
      </w:pPr>
    </w:p>
    <w:p>
      <w:pPr>
        <w:pStyle w:val="Indenta"/>
        <w:rPr>
          <w:i/>
          <w:iCs/>
          <w:sz w:val="22"/>
        </w:rPr>
      </w:pPr>
      <w:r>
        <w:tab/>
      </w:r>
      <w:r>
        <w:tab/>
      </w:r>
      <w:r>
        <w:rPr>
          <w:i/>
          <w:iCs/>
          <w:sz w:val="22"/>
        </w:rPr>
        <w:t>Energy Arbitration and Review</w:t>
      </w:r>
    </w:p>
    <w:p>
      <w:pPr>
        <w:pStyle w:val="BlankClose"/>
      </w:pPr>
    </w:p>
    <w:p>
      <w:pPr>
        <w:pStyle w:val="Heading5"/>
      </w:pPr>
      <w:bookmarkStart w:id="128" w:name="_Toc536781881"/>
      <w:r>
        <w:rPr>
          <w:rStyle w:val="CharSectno"/>
        </w:rPr>
        <w:t>69</w:t>
      </w:r>
      <w:r>
        <w:t>.</w:t>
      </w:r>
      <w:r>
        <w:tab/>
      </w:r>
      <w:r>
        <w:rPr>
          <w:i/>
          <w:iCs/>
        </w:rPr>
        <w:t>Financial Management Act 2006 amended</w:t>
      </w:r>
      <w:bookmarkEnd w:id="128"/>
    </w:p>
    <w:p>
      <w:pPr>
        <w:pStyle w:val="Subsection"/>
      </w:pPr>
      <w:r>
        <w:tab/>
        <w:t>(1)</w:t>
      </w:r>
      <w:r>
        <w:tab/>
        <w:t xml:space="preserve">This section amends the </w:t>
      </w:r>
      <w:r>
        <w:rPr>
          <w:i/>
          <w:iCs/>
        </w:rPr>
        <w:t>Financial Management Act 2006</w:t>
      </w:r>
      <w:r>
        <w:t>.</w:t>
      </w:r>
    </w:p>
    <w:p>
      <w:pPr>
        <w:pStyle w:val="Subsection"/>
      </w:pPr>
      <w:r>
        <w:tab/>
        <w:t>(2)</w:t>
      </w:r>
      <w:r>
        <w:tab/>
        <w:t>In Schedule 1 in the item “Western Australian Gas Disputes Arbitrator” delete “</w:t>
      </w:r>
      <w:r>
        <w:rPr>
          <w:sz w:val="22"/>
        </w:rPr>
        <w:t>Gas</w:t>
      </w:r>
      <w:r>
        <w:t>” and insert:</w:t>
      </w:r>
    </w:p>
    <w:p>
      <w:pPr>
        <w:pStyle w:val="BlankOpen"/>
      </w:pPr>
    </w:p>
    <w:p>
      <w:pPr>
        <w:pStyle w:val="Subsection"/>
        <w:rPr>
          <w:sz w:val="22"/>
        </w:rPr>
      </w:pPr>
      <w:r>
        <w:tab/>
      </w:r>
      <w:r>
        <w:tab/>
      </w:r>
      <w:r>
        <w:rPr>
          <w:sz w:val="22"/>
        </w:rPr>
        <w:t>Energy</w:t>
      </w:r>
    </w:p>
    <w:p>
      <w:pPr>
        <w:pStyle w:val="BlankClose"/>
      </w:pPr>
    </w:p>
    <w:p>
      <w:pPr>
        <w:pStyle w:val="Heading5"/>
      </w:pPr>
      <w:bookmarkStart w:id="129" w:name="_Toc536781882"/>
      <w:r>
        <w:rPr>
          <w:rStyle w:val="CharSectno"/>
        </w:rPr>
        <w:t>70</w:t>
      </w:r>
      <w:r>
        <w:t>.</w:t>
      </w:r>
      <w:r>
        <w:tab/>
      </w:r>
      <w:r>
        <w:rPr>
          <w:i/>
          <w:iCs/>
        </w:rPr>
        <w:t>Freedom of Information Act 1992 amended</w:t>
      </w:r>
      <w:bookmarkEnd w:id="129"/>
    </w:p>
    <w:p>
      <w:pPr>
        <w:pStyle w:val="Subsection"/>
      </w:pPr>
      <w:r>
        <w:tab/>
        <w:t>(1)</w:t>
      </w:r>
      <w:r>
        <w:tab/>
        <w:t xml:space="preserve">This section amends the </w:t>
      </w:r>
      <w:r>
        <w:rPr>
          <w:i/>
          <w:iCs/>
        </w:rPr>
        <w:t>Freedom of Information Act 1992</w:t>
      </w:r>
      <w:r>
        <w:t>.</w:t>
      </w:r>
    </w:p>
    <w:p>
      <w:pPr>
        <w:pStyle w:val="Subsection"/>
      </w:pPr>
      <w:r>
        <w:tab/>
        <w:t>(2)</w:t>
      </w:r>
      <w:r>
        <w:tab/>
        <w:t>Delete the Glossary clause 7A(1) and insert:</w:t>
      </w:r>
    </w:p>
    <w:p>
      <w:pPr>
        <w:pStyle w:val="BlankOpen"/>
      </w:pPr>
    </w:p>
    <w:p>
      <w:pPr>
        <w:pStyle w:val="zySubsection"/>
        <w:spacing w:before="0"/>
      </w:pPr>
      <w:r>
        <w:tab/>
        <w:t>(1)</w:t>
      </w:r>
      <w:r>
        <w:tab/>
        <w:t xml:space="preserve">In this clause — </w:t>
      </w:r>
    </w:p>
    <w:p>
      <w:pPr>
        <w:pStyle w:val="zyDefstart"/>
        <w:ind w:right="606"/>
      </w:pPr>
      <w:r>
        <w:tab/>
      </w:r>
      <w:r>
        <w:rPr>
          <w:rStyle w:val="CharDefText"/>
        </w:rPr>
        <w:t>access regulation functions</w:t>
      </w:r>
      <w:r>
        <w:t xml:space="preserve"> means the functions given by or under the </w:t>
      </w:r>
      <w:r>
        <w:rPr>
          <w:i/>
          <w:iCs/>
        </w:rPr>
        <w:t>National Gas Access (WA) Act 2009</w:t>
      </w:r>
      <w:r>
        <w:t>;</w:t>
      </w:r>
    </w:p>
    <w:p>
      <w:pPr>
        <w:pStyle w:val="zyDefstart"/>
      </w:pPr>
      <w:r>
        <w:tab/>
      </w:r>
      <w:r>
        <w:rPr>
          <w:rStyle w:val="CharDefText"/>
        </w:rPr>
        <w:t>arbitrator</w:t>
      </w:r>
      <w:r>
        <w:t xml:space="preserve"> has the meaning given in section 61 of the </w:t>
      </w:r>
      <w:r>
        <w:rPr>
          <w:i/>
        </w:rPr>
        <w:t>Energy Arbitration and Review Act 1998</w:t>
      </w:r>
      <w:r>
        <w:t>;</w:t>
      </w:r>
    </w:p>
    <w:p>
      <w:pPr>
        <w:pStyle w:val="zyDefstart"/>
      </w:pPr>
      <w:r>
        <w:tab/>
      </w:r>
      <w:r>
        <w:rPr>
          <w:rStyle w:val="CharDefText"/>
        </w:rPr>
        <w:t>Authority</w:t>
      </w:r>
      <w:r>
        <w:t xml:space="preserve"> means the Economic Regulation Authority established by the </w:t>
      </w:r>
      <w:r>
        <w:rPr>
          <w:i/>
          <w:iCs/>
        </w:rPr>
        <w:t>Economic Regulation Authority Act 2003</w:t>
      </w:r>
      <w:r>
        <w:t>;</w:t>
      </w:r>
    </w:p>
    <w:p>
      <w:pPr>
        <w:pStyle w:val="zyDefstart"/>
      </w:pPr>
      <w:r>
        <w:tab/>
      </w:r>
      <w:r>
        <w:rPr>
          <w:rStyle w:val="CharDefText"/>
        </w:rPr>
        <w:t>Board</w:t>
      </w:r>
      <w:r>
        <w:t xml:space="preserve"> has the meaning given in section 49 of the </w:t>
      </w:r>
      <w:r>
        <w:rPr>
          <w:i/>
          <w:iCs/>
        </w:rPr>
        <w:t>Energy Arbitration and Review Act 1998</w:t>
      </w:r>
      <w:r>
        <w:t>.</w:t>
      </w:r>
    </w:p>
    <w:p>
      <w:pPr>
        <w:pStyle w:val="BlankClose"/>
      </w:pPr>
    </w:p>
    <w:p>
      <w:pPr>
        <w:pStyle w:val="Heading5"/>
      </w:pPr>
      <w:bookmarkStart w:id="130" w:name="_Toc536781883"/>
      <w:r>
        <w:rPr>
          <w:rStyle w:val="CharSectno"/>
        </w:rPr>
        <w:t>71</w:t>
      </w:r>
      <w:r>
        <w:t>.</w:t>
      </w:r>
      <w:r>
        <w:tab/>
      </w:r>
      <w:r>
        <w:rPr>
          <w:i/>
        </w:rPr>
        <w:t>Parliamentary Commissioner Act 1971</w:t>
      </w:r>
      <w:r>
        <w:rPr>
          <w:i/>
          <w:iCs/>
        </w:rPr>
        <w:t xml:space="preserve"> amended</w:t>
      </w:r>
      <w:bookmarkEnd w:id="130"/>
    </w:p>
    <w:p>
      <w:pPr>
        <w:pStyle w:val="Subsection"/>
      </w:pPr>
      <w:r>
        <w:tab/>
        <w:t>(1)</w:t>
      </w:r>
      <w:r>
        <w:tab/>
        <w:t xml:space="preserve">This section amends the </w:t>
      </w:r>
      <w:r>
        <w:rPr>
          <w:i/>
          <w:iCs/>
        </w:rPr>
        <w:t>Parliamentary Commissioner Act 1971</w:t>
      </w:r>
      <w:r>
        <w:t>.</w:t>
      </w:r>
    </w:p>
    <w:p>
      <w:pPr>
        <w:pStyle w:val="Subsection"/>
      </w:pPr>
      <w:r>
        <w:tab/>
        <w:t>(2)</w:t>
      </w:r>
      <w:r>
        <w:tab/>
        <w:t>In Schedule 1 in the item for the Economic Regulation Authority delete “</w:t>
      </w:r>
      <w:r>
        <w:rPr>
          <w:sz w:val="22"/>
        </w:rPr>
        <w:t xml:space="preserve">referred to in section 36(1) of the </w:t>
      </w:r>
      <w:r>
        <w:rPr>
          <w:i/>
          <w:iCs/>
          <w:sz w:val="22"/>
        </w:rPr>
        <w:t>Gas Pipelines Access (</w:t>
      </w:r>
      <w:smartTag w:uri="urn:schemas-microsoft-com:office:smarttags" w:element="State">
        <w:smartTag w:uri="urn:schemas-microsoft-com:office:smarttags" w:element="place">
          <w:r>
            <w:rPr>
              <w:i/>
              <w:iCs/>
              <w:sz w:val="22"/>
            </w:rPr>
            <w:t>Western Australia</w:t>
          </w:r>
        </w:smartTag>
      </w:smartTag>
      <w:r>
        <w:rPr>
          <w:i/>
          <w:iCs/>
          <w:sz w:val="22"/>
        </w:rPr>
        <w:t>) Act 1998</w:t>
      </w:r>
      <w:r>
        <w:rPr>
          <w:sz w:val="22"/>
        </w:rPr>
        <w:t xml:space="preserve"> and</w:t>
      </w:r>
      <w:r>
        <w:t>” and insert:</w:t>
      </w:r>
    </w:p>
    <w:p>
      <w:pPr>
        <w:pStyle w:val="BlankOpen"/>
      </w:pPr>
    </w:p>
    <w:p>
      <w:pPr>
        <w:pStyle w:val="zyIndenta"/>
        <w:spacing w:before="0"/>
      </w:pPr>
      <w:r>
        <w:tab/>
      </w:r>
      <w:r>
        <w:tab/>
        <w:t xml:space="preserve">given by or under the </w:t>
      </w:r>
      <w:r>
        <w:rPr>
          <w:i/>
          <w:iCs/>
          <w:snapToGrid w:val="0"/>
        </w:rPr>
        <w:t>National Gas Access (WA) Act 2009</w:t>
      </w:r>
      <w:r>
        <w:t xml:space="preserve"> or referred to in</w:t>
      </w:r>
    </w:p>
    <w:p>
      <w:pPr>
        <w:pStyle w:val="BlankClose"/>
      </w:pPr>
    </w:p>
    <w:p>
      <w:pPr>
        <w:pStyle w:val="Heading5"/>
      </w:pPr>
      <w:bookmarkStart w:id="131" w:name="_Toc536781884"/>
      <w:r>
        <w:rPr>
          <w:rStyle w:val="CharSectno"/>
        </w:rPr>
        <w:t>72</w:t>
      </w:r>
      <w:r>
        <w:t>.</w:t>
      </w:r>
      <w:r>
        <w:tab/>
      </w:r>
      <w:r>
        <w:rPr>
          <w:i/>
          <w:iCs/>
        </w:rPr>
        <w:t>Petroleum Pipelines Act 1969 amended</w:t>
      </w:r>
      <w:bookmarkEnd w:id="131"/>
    </w:p>
    <w:p>
      <w:pPr>
        <w:pStyle w:val="Subsection"/>
      </w:pPr>
      <w:r>
        <w:tab/>
        <w:t>(1)</w:t>
      </w:r>
      <w:r>
        <w:tab/>
        <w:t xml:space="preserve">This section amends the </w:t>
      </w:r>
      <w:r>
        <w:rPr>
          <w:i/>
          <w:iCs/>
        </w:rPr>
        <w:t>Petroleum Pipelines Act 1969</w:t>
      </w:r>
      <w:r>
        <w:t>.</w:t>
      </w:r>
    </w:p>
    <w:p>
      <w:pPr>
        <w:pStyle w:val="Subsection"/>
      </w:pPr>
      <w:r>
        <w:tab/>
        <w:t>(2)</w:t>
      </w:r>
      <w:r>
        <w:tab/>
        <w:t>Delete section 5A.</w:t>
      </w:r>
    </w:p>
    <w:p>
      <w:pPr>
        <w:sectPr>
          <w:headerReference w:type="even" r:id="rId25"/>
          <w:headerReference w:type="default" r:id="rId26"/>
          <w:headerReference w:type="first" r:id="rId27"/>
          <w:endnotePr>
            <w:numFmt w:val="decimal"/>
          </w:endnotePr>
          <w:pgSz w:w="11907" w:h="16840" w:code="9"/>
          <w:pgMar w:top="2381" w:right="2410" w:bottom="3544" w:left="2410" w:header="720" w:footer="3380" w:gutter="0"/>
          <w:cols w:space="720"/>
          <w:noEndnote/>
          <w:docGrid w:linePitch="326"/>
        </w:sectPr>
      </w:pPr>
    </w:p>
    <w:p>
      <w:pPr>
        <w:pStyle w:val="yScheduleHeading"/>
      </w:pPr>
      <w:bookmarkStart w:id="132" w:name="_Toc501633795"/>
      <w:bookmarkStart w:id="133" w:name="_Toc501712691"/>
      <w:bookmarkStart w:id="134" w:name="_Toc536781885"/>
      <w:r>
        <w:rPr>
          <w:rStyle w:val="CharSchNo"/>
        </w:rPr>
        <w:t>Schedule 1</w:t>
      </w:r>
      <w:r>
        <w:rPr>
          <w:rStyle w:val="CharSDivNo"/>
        </w:rPr>
        <w:t> </w:t>
      </w:r>
      <w:r>
        <w:t>— </w:t>
      </w:r>
      <w:r>
        <w:rPr>
          <w:rStyle w:val="CharSchText"/>
        </w:rPr>
        <w:t>Some modifications to National Gas Law as in Schedule to South Australian Act</w:t>
      </w:r>
      <w:bookmarkEnd w:id="132"/>
      <w:bookmarkEnd w:id="133"/>
      <w:bookmarkEnd w:id="134"/>
    </w:p>
    <w:p>
      <w:pPr>
        <w:pStyle w:val="yShoulderClause"/>
      </w:pPr>
      <w:r>
        <w:t>[s. 7(2)]</w:t>
      </w:r>
    </w:p>
    <w:p>
      <w:pPr>
        <w:pStyle w:val="yHeading5"/>
      </w:pPr>
      <w:bookmarkStart w:id="135" w:name="_Toc536781886"/>
      <w:r>
        <w:rPr>
          <w:rStyle w:val="CharSClsNo"/>
        </w:rPr>
        <w:t>1</w:t>
      </w:r>
      <w:r>
        <w:t>.</w:t>
      </w:r>
      <w:r>
        <w:tab/>
        <w:t>Purpose of this Schedule</w:t>
      </w:r>
      <w:bookmarkEnd w:id="135"/>
    </w:p>
    <w:p>
      <w:pPr>
        <w:pStyle w:val="ySubsection"/>
        <w:spacing w:before="180"/>
      </w:pPr>
      <w:r>
        <w:tab/>
        <w:t>(1)</w:t>
      </w:r>
      <w:r>
        <w:tab/>
        <w:t>This Schedule makes the modifications to the underlying National Gas Law that, together with modifications giving effect to section 7A(3) and (4), result in the text that section 7(1) applies as the National Gas Access (Western Australia) Law.</w:t>
      </w:r>
    </w:p>
    <w:p>
      <w:pPr>
        <w:pStyle w:val="ySubsection"/>
      </w:pPr>
      <w:r>
        <w:tab/>
        <w:t>(2)</w:t>
      </w:r>
      <w:r>
        <w:tab/>
        <w:t xml:space="preserve">In subclause (1) — </w:t>
      </w:r>
    </w:p>
    <w:p>
      <w:pPr>
        <w:pStyle w:val="yDefstart"/>
      </w:pPr>
      <w:r>
        <w:tab/>
      </w:r>
      <w:r>
        <w:rPr>
          <w:rStyle w:val="CharDefText"/>
        </w:rPr>
        <w:t>underlying National Gas Law</w:t>
      </w:r>
      <w:r>
        <w:t xml:space="preserve"> means the National Gas Law, as set out in the South Australian Act Schedule for the time being in force.</w:t>
      </w:r>
    </w:p>
    <w:p>
      <w:pPr>
        <w:pStyle w:val="yHeading5"/>
      </w:pPr>
      <w:bookmarkStart w:id="136" w:name="_Toc536781887"/>
      <w:r>
        <w:rPr>
          <w:rStyle w:val="CharSClsNo"/>
        </w:rPr>
        <w:t>2</w:t>
      </w:r>
      <w:r>
        <w:t>.</w:t>
      </w:r>
      <w:r>
        <w:tab/>
        <w:t>Section 1 modified</w:t>
      </w:r>
      <w:bookmarkEnd w:id="136"/>
    </w:p>
    <w:p>
      <w:pPr>
        <w:pStyle w:val="ySubsection"/>
        <w:spacing w:before="180"/>
      </w:pPr>
      <w:r>
        <w:tab/>
      </w:r>
      <w:r>
        <w:tab/>
        <w:t>In section 1 after “National Gas” insert —</w:t>
      </w:r>
    </w:p>
    <w:p>
      <w:pPr>
        <w:pStyle w:val="BlankOpen"/>
      </w:pPr>
    </w:p>
    <w:p>
      <w:pPr>
        <w:pStyle w:val="ySubsection"/>
        <w:rPr>
          <w:sz w:val="23"/>
        </w:rPr>
      </w:pPr>
      <w:r>
        <w:tab/>
      </w:r>
      <w:r>
        <w:tab/>
      </w:r>
      <w:r>
        <w:rPr>
          <w:sz w:val="23"/>
        </w:rPr>
        <w:t>Access</w:t>
      </w:r>
    </w:p>
    <w:p>
      <w:pPr>
        <w:pStyle w:val="BlankClose"/>
      </w:pPr>
    </w:p>
    <w:p>
      <w:pPr>
        <w:pStyle w:val="yHeading5"/>
      </w:pPr>
      <w:bookmarkStart w:id="137" w:name="_Toc536781888"/>
      <w:r>
        <w:rPr>
          <w:rStyle w:val="CharSClsNo"/>
        </w:rPr>
        <w:t>3</w:t>
      </w:r>
      <w:r>
        <w:t>.</w:t>
      </w:r>
      <w:r>
        <w:tab/>
        <w:t>Section 2 modified</w:t>
      </w:r>
      <w:bookmarkEnd w:id="137"/>
    </w:p>
    <w:p>
      <w:pPr>
        <w:pStyle w:val="ySubsection"/>
      </w:pPr>
      <w:r>
        <w:tab/>
        <w:t>(1)</w:t>
      </w:r>
      <w:r>
        <w:tab/>
        <w:t xml:space="preserve">In section 2 delete the definitions of </w:t>
      </w:r>
      <w:r>
        <w:rPr>
          <w:b/>
          <w:bCs/>
          <w:i/>
          <w:iCs/>
        </w:rPr>
        <w:t>dispute resolution body</w:t>
      </w:r>
      <w:r>
        <w:t xml:space="preserve">, </w:t>
      </w:r>
      <w:r>
        <w:rPr>
          <w:rStyle w:val="CharDefText"/>
        </w:rPr>
        <w:t>initial National Gas Rules</w:t>
      </w:r>
      <w:r>
        <w:t xml:space="preserve">, </w:t>
      </w:r>
      <w:r>
        <w:rPr>
          <w:b/>
          <w:bCs/>
          <w:i/>
          <w:iCs/>
        </w:rPr>
        <w:t>old access law</w:t>
      </w:r>
      <w:r>
        <w:t xml:space="preserve"> and </w:t>
      </w:r>
      <w:r>
        <w:rPr>
          <w:b/>
          <w:bCs/>
          <w:i/>
          <w:iCs/>
        </w:rPr>
        <w:t>Regulations</w:t>
      </w:r>
      <w:r>
        <w:t>.</w:t>
      </w:r>
    </w:p>
    <w:p>
      <w:pPr>
        <w:pStyle w:val="ySubsection"/>
        <w:keepNext/>
      </w:pPr>
      <w:r>
        <w:tab/>
        <w:t>(2)</w:t>
      </w:r>
      <w:r>
        <w:tab/>
        <w:t>In section 2 insert in alphabetical order:</w:t>
      </w:r>
    </w:p>
    <w:p>
      <w:pPr>
        <w:pStyle w:val="BlankOpen"/>
      </w:pPr>
    </w:p>
    <w:p>
      <w:pPr>
        <w:pStyle w:val="zDefstart"/>
        <w:spacing w:before="0"/>
        <w:ind w:right="566"/>
        <w:rPr>
          <w:sz w:val="23"/>
        </w:rPr>
      </w:pPr>
      <w:r>
        <w:rPr>
          <w:sz w:val="23"/>
        </w:rPr>
        <w:tab/>
      </w:r>
      <w:r>
        <w:rPr>
          <w:rStyle w:val="CharDefText"/>
          <w:sz w:val="23"/>
        </w:rPr>
        <w:t>dispute resolution body</w:t>
      </w:r>
      <w:r>
        <w:rPr>
          <w:sz w:val="23"/>
        </w:rPr>
        <w:t xml:space="preserve"> has the meaning given to that term in</w:t>
      </w:r>
      <w:r>
        <w:rPr>
          <w:iCs/>
          <w:sz w:val="23"/>
        </w:rPr>
        <w:t xml:space="preserve"> section 9(1) of</w:t>
      </w:r>
      <w:r>
        <w:rPr>
          <w:sz w:val="23"/>
        </w:rPr>
        <w:t xml:space="preserve"> the </w:t>
      </w:r>
      <w:r>
        <w:rPr>
          <w:i/>
          <w:sz w:val="23"/>
        </w:rPr>
        <w:t>National Gas Access (WA) Act 2009</w:t>
      </w:r>
      <w:r>
        <w:rPr>
          <w:sz w:val="23"/>
        </w:rPr>
        <w:t>;</w:t>
      </w:r>
    </w:p>
    <w:p>
      <w:pPr>
        <w:pStyle w:val="zDefstart"/>
        <w:ind w:right="567"/>
      </w:pPr>
      <w:r>
        <w:rPr>
          <w:sz w:val="23"/>
        </w:rPr>
        <w:tab/>
      </w:r>
      <w:r>
        <w:rPr>
          <w:rStyle w:val="CharDefText"/>
          <w:sz w:val="23"/>
        </w:rPr>
        <w:t>initial National Gas Rules</w:t>
      </w:r>
      <w:r>
        <w:rPr>
          <w:sz w:val="23"/>
        </w:rPr>
        <w:t xml:space="preserve"> means — </w:t>
      </w:r>
    </w:p>
    <w:p>
      <w:pPr>
        <w:pStyle w:val="zDefpara"/>
      </w:pPr>
      <w:r>
        <w:tab/>
        <w:t>(a)</w:t>
      </w:r>
      <w:r>
        <w:tab/>
        <w:t xml:space="preserve">the National Gas Rules that, when the </w:t>
      </w:r>
      <w:r>
        <w:rPr>
          <w:i/>
        </w:rPr>
        <w:t>National Gas Access (WA) Act 2009</w:t>
      </w:r>
      <w:r>
        <w:t xml:space="preserve"> section 30 came into operation, applied under section 294; and</w:t>
      </w:r>
    </w:p>
    <w:p>
      <w:pPr>
        <w:pStyle w:val="zDefpara"/>
      </w:pPr>
      <w:r>
        <w:tab/>
        <w:t>(b)</w:t>
      </w:r>
      <w:r>
        <w:tab/>
        <w:t xml:space="preserve">the </w:t>
      </w:r>
      <w:bookmarkStart w:id="138" w:name="RuleErr_5"/>
      <w:r>
        <w:rPr>
          <w:i/>
        </w:rPr>
        <w:t>National Gas Access (Pipelines-Arbitration Amendment) Rules 2017</w:t>
      </w:r>
      <w:bookmarkEnd w:id="138"/>
      <w:r>
        <w:t xml:space="preserve"> made by the Minister for Mineral Resources and Energy of South Australia under the National Gas (South Australia) Law section 294F (notice of which was published in the </w:t>
      </w:r>
      <w:r>
        <w:rPr>
          <w:i/>
        </w:rPr>
        <w:t>Government Gazette</w:t>
      </w:r>
      <w:r>
        <w:t xml:space="preserve"> of South Australia on 1 August 2017 at p. 2994);</w:t>
      </w:r>
    </w:p>
    <w:p>
      <w:pPr>
        <w:pStyle w:val="zDefstart"/>
        <w:rPr>
          <w:sz w:val="23"/>
        </w:rPr>
      </w:pPr>
      <w:r>
        <w:rPr>
          <w:sz w:val="23"/>
        </w:rPr>
        <w:tab/>
      </w:r>
      <w:r>
        <w:rPr>
          <w:rStyle w:val="CharDefText"/>
          <w:sz w:val="23"/>
        </w:rPr>
        <w:t>old access law</w:t>
      </w:r>
      <w:r>
        <w:rPr>
          <w:sz w:val="23"/>
        </w:rPr>
        <w:t xml:space="preserve"> means Schedule 1 to the </w:t>
      </w:r>
      <w:r>
        <w:rPr>
          <w:i/>
          <w:iCs/>
          <w:sz w:val="23"/>
        </w:rPr>
        <w:t>Gas Pipelines Access (</w:t>
      </w:r>
      <w:smartTag w:uri="urn:schemas-microsoft-com:office:smarttags" w:element="State">
        <w:smartTag w:uri="urn:schemas-microsoft-com:office:smarttags" w:element="place">
          <w:r>
            <w:rPr>
              <w:i/>
              <w:iCs/>
              <w:sz w:val="23"/>
            </w:rPr>
            <w:t>Western Australia</w:t>
          </w:r>
        </w:smartTag>
      </w:smartTag>
      <w:r>
        <w:rPr>
          <w:i/>
          <w:iCs/>
          <w:sz w:val="23"/>
        </w:rPr>
        <w:t>) Act 1998</w:t>
      </w:r>
      <w:r>
        <w:rPr>
          <w:sz w:val="23"/>
        </w:rPr>
        <w:t xml:space="preserve"> as in force from time to time before the commencement of section 30 of the </w:t>
      </w:r>
      <w:r>
        <w:rPr>
          <w:i/>
          <w:iCs/>
          <w:sz w:val="23"/>
        </w:rPr>
        <w:t>National Gas Access (WA) Act 2009</w:t>
      </w:r>
      <w:r>
        <w:rPr>
          <w:sz w:val="23"/>
        </w:rPr>
        <w:t>;</w:t>
      </w:r>
    </w:p>
    <w:p>
      <w:pPr>
        <w:pStyle w:val="zDefstart"/>
        <w:rPr>
          <w:sz w:val="23"/>
        </w:rPr>
      </w:pPr>
      <w:r>
        <w:rPr>
          <w:sz w:val="23"/>
        </w:rPr>
        <w:tab/>
      </w:r>
      <w:r>
        <w:rPr>
          <w:rStyle w:val="CharDefText"/>
          <w:sz w:val="23"/>
        </w:rPr>
        <w:t>Regulations</w:t>
      </w:r>
      <w:r>
        <w:rPr>
          <w:sz w:val="23"/>
        </w:rPr>
        <w:t xml:space="preserve"> means the regulations made under Part 3 of the </w:t>
      </w:r>
      <w:r>
        <w:rPr>
          <w:i/>
          <w:sz w:val="23"/>
        </w:rPr>
        <w:t>National Gas Access (WA) Act 2009</w:t>
      </w:r>
      <w:r>
        <w:rPr>
          <w:sz w:val="23"/>
        </w:rPr>
        <w:t xml:space="preserve"> that apply as a law of this jurisdiction;</w:t>
      </w:r>
    </w:p>
    <w:p>
      <w:pPr>
        <w:pStyle w:val="zDefstart"/>
        <w:rPr>
          <w:iCs/>
          <w:sz w:val="23"/>
        </w:rPr>
      </w:pPr>
      <w:r>
        <w:rPr>
          <w:sz w:val="23"/>
        </w:rPr>
        <w:tab/>
      </w:r>
      <w:r>
        <w:rPr>
          <w:rStyle w:val="CharDefText"/>
          <w:sz w:val="23"/>
        </w:rPr>
        <w:t>regulator</w:t>
      </w:r>
      <w:r>
        <w:rPr>
          <w:sz w:val="23"/>
        </w:rPr>
        <w:t xml:space="preserve"> has the meaning given to that term in </w:t>
      </w:r>
      <w:r>
        <w:rPr>
          <w:iCs/>
          <w:sz w:val="23"/>
        </w:rPr>
        <w:t xml:space="preserve">section 9(1) of </w:t>
      </w:r>
      <w:r>
        <w:rPr>
          <w:sz w:val="23"/>
        </w:rPr>
        <w:t xml:space="preserve">the </w:t>
      </w:r>
      <w:r>
        <w:rPr>
          <w:i/>
          <w:sz w:val="23"/>
        </w:rPr>
        <w:t>National Gas Access (WA) Act 2009</w:t>
      </w:r>
      <w:r>
        <w:rPr>
          <w:sz w:val="23"/>
        </w:rPr>
        <w:t>;</w:t>
      </w:r>
    </w:p>
    <w:p>
      <w:pPr>
        <w:pStyle w:val="zDefstart"/>
      </w:pPr>
      <w:r>
        <w:rPr>
          <w:sz w:val="23"/>
        </w:rPr>
        <w:tab/>
      </w:r>
      <w:r>
        <w:rPr>
          <w:rStyle w:val="CharDefText"/>
          <w:sz w:val="23"/>
        </w:rPr>
        <w:t>WA arbitrator</w:t>
      </w:r>
      <w:r>
        <w:rPr>
          <w:sz w:val="23"/>
        </w:rPr>
        <w:t xml:space="preserve"> has the meaning given to that term in</w:t>
      </w:r>
      <w:r>
        <w:rPr>
          <w:iCs/>
          <w:sz w:val="23"/>
        </w:rPr>
        <w:t xml:space="preserve"> section 9(1) of</w:t>
      </w:r>
      <w:r>
        <w:rPr>
          <w:sz w:val="23"/>
        </w:rPr>
        <w:t xml:space="preserve"> the </w:t>
      </w:r>
      <w:r>
        <w:rPr>
          <w:i/>
          <w:sz w:val="23"/>
        </w:rPr>
        <w:t>National Gas Access (WA) Act 2009</w:t>
      </w:r>
      <w:r>
        <w:rPr>
          <w:sz w:val="23"/>
        </w:rPr>
        <w:t>.</w:t>
      </w:r>
    </w:p>
    <w:p>
      <w:pPr>
        <w:pStyle w:val="BlankClose"/>
      </w:pPr>
    </w:p>
    <w:p>
      <w:pPr>
        <w:pStyle w:val="ySubsection"/>
      </w:pPr>
      <w:r>
        <w:tab/>
        <w:t>(3)</w:t>
      </w:r>
      <w:r>
        <w:tab/>
        <w:t xml:space="preserve">In section 2 in the definition of </w:t>
      </w:r>
      <w:r>
        <w:rPr>
          <w:b/>
          <w:bCs/>
          <w:i/>
          <w:iCs/>
        </w:rPr>
        <w:t>AER</w:t>
      </w:r>
      <w:r>
        <w:t xml:space="preserve"> after “Commonwealth” insert:</w:t>
      </w:r>
    </w:p>
    <w:p>
      <w:pPr>
        <w:pStyle w:val="BlankOpen"/>
      </w:pPr>
    </w:p>
    <w:p>
      <w:pPr>
        <w:pStyle w:val="zDefstart"/>
        <w:spacing w:before="0"/>
        <w:rPr>
          <w:sz w:val="23"/>
        </w:rPr>
      </w:pPr>
      <w:r>
        <w:rPr>
          <w:sz w:val="23"/>
        </w:rPr>
        <w:tab/>
        <w:t>except if section 2A requires the term to be given a different meaning</w:t>
      </w:r>
    </w:p>
    <w:p>
      <w:pPr>
        <w:pStyle w:val="BlankClose"/>
      </w:pPr>
    </w:p>
    <w:p>
      <w:pPr>
        <w:pStyle w:val="ySubsection"/>
      </w:pPr>
      <w:r>
        <w:tab/>
        <w:t>(4)</w:t>
      </w:r>
      <w:r>
        <w:tab/>
        <w:t xml:space="preserve">In section 2 in the definition of </w:t>
      </w:r>
      <w:r>
        <w:rPr>
          <w:b/>
          <w:bCs/>
          <w:i/>
          <w:iCs/>
        </w:rPr>
        <w:t>Gas Code</w:t>
      </w:r>
      <w:r>
        <w:t xml:space="preserve"> delete “</w:t>
      </w:r>
      <w:r>
        <w:rPr>
          <w:sz w:val="23"/>
        </w:rPr>
        <w:t xml:space="preserve">in force from time to time before the commencement of section 20 of the </w:t>
      </w:r>
      <w:r>
        <w:rPr>
          <w:i/>
          <w:iCs/>
          <w:sz w:val="23"/>
        </w:rPr>
        <w:t>National Gas (</w:t>
      </w:r>
      <w:smartTag w:uri="urn:schemas-microsoft-com:office:smarttags" w:element="State">
        <w:r>
          <w:rPr>
            <w:i/>
            <w:iCs/>
            <w:sz w:val="23"/>
          </w:rPr>
          <w:t>South Australia</w:t>
        </w:r>
      </w:smartTag>
      <w:r>
        <w:rPr>
          <w:i/>
          <w:iCs/>
          <w:sz w:val="23"/>
        </w:rPr>
        <w:t>) Act 2008</w:t>
      </w:r>
      <w:r>
        <w:rPr>
          <w:sz w:val="23"/>
        </w:rPr>
        <w:t xml:space="preserve"> of </w:t>
      </w:r>
      <w:smartTag w:uri="urn:schemas-microsoft-com:office:smarttags" w:element="State">
        <w:smartTag w:uri="urn:schemas-microsoft-com:office:smarttags" w:element="place">
          <w:r>
            <w:rPr>
              <w:sz w:val="23"/>
            </w:rPr>
            <w:t>South Australia</w:t>
          </w:r>
        </w:smartTag>
      </w:smartTag>
      <w:r>
        <w:rPr>
          <w:sz w:val="23"/>
        </w:rPr>
        <w:t>;</w:t>
      </w:r>
      <w:r>
        <w:t>” and insert:</w:t>
      </w:r>
    </w:p>
    <w:p>
      <w:pPr>
        <w:pStyle w:val="BlankOpen"/>
      </w:pPr>
    </w:p>
    <w:p>
      <w:pPr>
        <w:pStyle w:val="zDefstart"/>
        <w:spacing w:before="0"/>
        <w:rPr>
          <w:sz w:val="23"/>
        </w:rPr>
      </w:pPr>
      <w:r>
        <w:tab/>
      </w:r>
      <w:r>
        <w:rPr>
          <w:sz w:val="23"/>
        </w:rPr>
        <w:t xml:space="preserve">amended and applying from time to time before the commencement of section 30 of the </w:t>
      </w:r>
      <w:r>
        <w:rPr>
          <w:i/>
          <w:iCs/>
          <w:sz w:val="23"/>
        </w:rPr>
        <w:t>National Gas Access (WA) Act 2009</w:t>
      </w:r>
      <w:r>
        <w:rPr>
          <w:sz w:val="23"/>
        </w:rPr>
        <w:t xml:space="preserve"> as a law of </w:t>
      </w:r>
      <w:smartTag w:uri="urn:schemas-microsoft-com:office:smarttags" w:element="State">
        <w:smartTag w:uri="urn:schemas-microsoft-com:office:smarttags" w:element="place">
          <w:r>
            <w:rPr>
              <w:sz w:val="23"/>
            </w:rPr>
            <w:t>Western Australia</w:t>
          </w:r>
        </w:smartTag>
      </w:smartTag>
      <w:r>
        <w:rPr>
          <w:sz w:val="23"/>
        </w:rPr>
        <w:t>;</w:t>
      </w:r>
    </w:p>
    <w:p>
      <w:pPr>
        <w:pStyle w:val="BlankClose"/>
      </w:pPr>
    </w:p>
    <w:p>
      <w:pPr>
        <w:pStyle w:val="ySubsection"/>
        <w:keepNext/>
      </w:pPr>
      <w:r>
        <w:tab/>
        <w:t>(5)</w:t>
      </w:r>
      <w:r>
        <w:tab/>
        <w:t xml:space="preserve">In section 2 in the definition of </w:t>
      </w:r>
      <w:r>
        <w:rPr>
          <w:b/>
          <w:bCs/>
          <w:i/>
          <w:iCs/>
        </w:rPr>
        <w:t>initial National Gas Rules</w:t>
      </w:r>
      <w:r>
        <w:t xml:space="preserve"> delete “</w:t>
      </w:r>
      <w:r>
        <w:rPr>
          <w:color w:val="000000"/>
          <w:sz w:val="23"/>
          <w:szCs w:val="23"/>
        </w:rPr>
        <w:t>made</w:t>
      </w:r>
      <w:r>
        <w:t>” and insert:</w:t>
      </w:r>
    </w:p>
    <w:p>
      <w:pPr>
        <w:pStyle w:val="zSubsection"/>
        <w:keepNext/>
        <w:rPr>
          <w:sz w:val="23"/>
        </w:rPr>
      </w:pPr>
      <w:r>
        <w:tab/>
      </w:r>
      <w:r>
        <w:tab/>
      </w:r>
      <w:r>
        <w:rPr>
          <w:sz w:val="23"/>
        </w:rPr>
        <w:t xml:space="preserve">that, when section 30 of the </w:t>
      </w:r>
      <w:r>
        <w:rPr>
          <w:i/>
          <w:iCs/>
          <w:sz w:val="23"/>
        </w:rPr>
        <w:t>National Gas Access (WA) Act 2009</w:t>
      </w:r>
      <w:r>
        <w:rPr>
          <w:sz w:val="23"/>
        </w:rPr>
        <w:t xml:space="preserve"> comes into operation, apply</w:t>
      </w:r>
    </w:p>
    <w:p>
      <w:pPr>
        <w:pStyle w:val="yFootnotesection"/>
        <w:rPr>
          <w:sz w:val="23"/>
        </w:rPr>
      </w:pPr>
      <w:r>
        <w:tab/>
        <w:t>[Clause 3 amended: Gazette 22 Dec 2017 p. 5985.]</w:t>
      </w:r>
    </w:p>
    <w:p>
      <w:pPr>
        <w:pStyle w:val="yHeading5"/>
      </w:pPr>
      <w:bookmarkStart w:id="139" w:name="_Toc536781889"/>
      <w:r>
        <w:rPr>
          <w:rStyle w:val="CharSClsNo"/>
        </w:rPr>
        <w:t>4</w:t>
      </w:r>
      <w:r>
        <w:t>.</w:t>
      </w:r>
      <w:r>
        <w:tab/>
        <w:t>Sections 2A and 2B inserted</w:t>
      </w:r>
      <w:bookmarkEnd w:id="139"/>
    </w:p>
    <w:p>
      <w:pPr>
        <w:pStyle w:val="ySubsection"/>
      </w:pPr>
      <w:r>
        <w:tab/>
      </w:r>
      <w:r>
        <w:tab/>
        <w:t>After section 2 insert:</w:t>
      </w:r>
    </w:p>
    <w:p>
      <w:pPr>
        <w:pStyle w:val="BlankOpen"/>
      </w:pPr>
    </w:p>
    <w:p>
      <w:pPr>
        <w:pStyle w:val="zHeading5"/>
        <w:spacing w:before="0"/>
      </w:pPr>
      <w:bookmarkStart w:id="140" w:name="_Toc536781890"/>
      <w:r>
        <w:t>2A.</w:t>
      </w:r>
      <w:r>
        <w:rPr>
          <w:b w:val="0"/>
        </w:rPr>
        <w:tab/>
      </w:r>
      <w:r>
        <w:t>Meaning of AER modified</w:t>
      </w:r>
      <w:bookmarkEnd w:id="140"/>
    </w:p>
    <w:p>
      <w:pPr>
        <w:pStyle w:val="zSubsection"/>
        <w:rPr>
          <w:sz w:val="23"/>
        </w:rPr>
      </w:pPr>
      <w:r>
        <w:rPr>
          <w:sz w:val="23"/>
        </w:rPr>
        <w:tab/>
        <w:t>(1)</w:t>
      </w:r>
      <w:r>
        <w:rPr>
          <w:sz w:val="23"/>
        </w:rPr>
        <w:tab/>
        <w:t xml:space="preserve">In this Law, other than in the definition of </w:t>
      </w:r>
      <w:r>
        <w:rPr>
          <w:b/>
          <w:bCs/>
          <w:i/>
          <w:iCs/>
          <w:sz w:val="23"/>
        </w:rPr>
        <w:t>AER</w:t>
      </w:r>
      <w:r>
        <w:rPr>
          <w:sz w:val="23"/>
        </w:rPr>
        <w:t xml:space="preserve"> in section 2, a reference to the AER is to be read as a reference to the regulator (whether the ERA or the AER) except to the extent that subsection (2) gives a different meaning.</w:t>
      </w:r>
    </w:p>
    <w:p>
      <w:pPr>
        <w:pStyle w:val="zSubsection"/>
        <w:rPr>
          <w:sz w:val="23"/>
        </w:rPr>
      </w:pPr>
      <w:r>
        <w:rPr>
          <w:sz w:val="23"/>
        </w:rPr>
        <w:tab/>
        <w:t>(2)</w:t>
      </w:r>
      <w:r>
        <w:rPr>
          <w:sz w:val="23"/>
        </w:rPr>
        <w:tab/>
        <w:t xml:space="preserve">To the extent to which a reference to the AER is capable of being read as a reference to the Australian Energy Regulator established by section 44AE of the </w:t>
      </w:r>
      <w:r>
        <w:rPr>
          <w:i/>
          <w:iCs/>
          <w:sz w:val="23"/>
        </w:rPr>
        <w:t>Trade Practices Act 1974</w:t>
      </w:r>
      <w:r>
        <w:rPr>
          <w:sz w:val="23"/>
        </w:rPr>
        <w:t xml:space="preserve"> of the Commonwealth acting as the disputes resolution body, the term is to be read as having or including that meaning.</w:t>
      </w:r>
    </w:p>
    <w:p>
      <w:pPr>
        <w:pStyle w:val="zHeading5"/>
      </w:pPr>
      <w:bookmarkStart w:id="141" w:name="_Toc536781891"/>
      <w:r>
        <w:t>2B.</w:t>
      </w:r>
      <w:r>
        <w:rPr>
          <w:b w:val="0"/>
        </w:rPr>
        <w:tab/>
      </w:r>
      <w:r>
        <w:t>References to WA application Act</w:t>
      </w:r>
      <w:bookmarkEnd w:id="141"/>
    </w:p>
    <w:p>
      <w:pPr>
        <w:pStyle w:val="zSubsection"/>
        <w:rPr>
          <w:sz w:val="23"/>
        </w:rPr>
      </w:pPr>
      <w:r>
        <w:rPr>
          <w:sz w:val="23"/>
        </w:rPr>
        <w:tab/>
      </w:r>
      <w:r>
        <w:rPr>
          <w:sz w:val="23"/>
        </w:rPr>
        <w:tab/>
        <w:t xml:space="preserve">In this Law, a reference to </w:t>
      </w:r>
      <w:r>
        <w:rPr>
          <w:color w:val="000000"/>
          <w:sz w:val="23"/>
          <w:szCs w:val="23"/>
        </w:rPr>
        <w:t xml:space="preserve">the </w:t>
      </w:r>
      <w:r>
        <w:rPr>
          <w:i/>
          <w:iCs/>
          <w:color w:val="000000"/>
          <w:sz w:val="23"/>
          <w:szCs w:val="23"/>
        </w:rPr>
        <w:t>National Gas Access (</w:t>
      </w:r>
      <w:smartTag w:uri="urn:schemas-microsoft-com:office:smarttags" w:element="State">
        <w:smartTag w:uri="urn:schemas-microsoft-com:office:smarttags" w:element="place">
          <w:r>
            <w:rPr>
              <w:i/>
              <w:iCs/>
              <w:color w:val="000000"/>
              <w:sz w:val="23"/>
              <w:szCs w:val="23"/>
            </w:rPr>
            <w:t>Western Australia</w:t>
          </w:r>
        </w:smartTag>
      </w:smartTag>
      <w:r>
        <w:rPr>
          <w:i/>
          <w:iCs/>
          <w:color w:val="000000"/>
          <w:sz w:val="23"/>
          <w:szCs w:val="23"/>
        </w:rPr>
        <w:t>) Act 2008</w:t>
      </w:r>
      <w:r>
        <w:rPr>
          <w:sz w:val="23"/>
        </w:rPr>
        <w:t xml:space="preserve">, if any, is to be read as a reference to </w:t>
      </w:r>
      <w:r>
        <w:rPr>
          <w:snapToGrid w:val="0"/>
          <w:sz w:val="22"/>
        </w:rPr>
        <w:t>the</w:t>
      </w:r>
      <w:r>
        <w:rPr>
          <w:i/>
          <w:snapToGrid w:val="0"/>
          <w:sz w:val="22"/>
        </w:rPr>
        <w:t xml:space="preserve"> National Gas Access (WA) Act 2009</w:t>
      </w:r>
      <w:r>
        <w:rPr>
          <w:sz w:val="23"/>
        </w:rPr>
        <w:t>.</w:t>
      </w:r>
    </w:p>
    <w:p>
      <w:pPr>
        <w:pStyle w:val="BlankClose"/>
      </w:pPr>
    </w:p>
    <w:p>
      <w:pPr>
        <w:pStyle w:val="yHeading5"/>
      </w:pPr>
      <w:bookmarkStart w:id="142" w:name="_Toc536781892"/>
      <w:r>
        <w:rPr>
          <w:rStyle w:val="CharSClsNo"/>
        </w:rPr>
        <w:t>5</w:t>
      </w:r>
      <w:r>
        <w:t>.</w:t>
      </w:r>
      <w:r>
        <w:tab/>
        <w:t>Chapter 1 Part 1A inserted</w:t>
      </w:r>
      <w:bookmarkEnd w:id="142"/>
    </w:p>
    <w:p>
      <w:pPr>
        <w:pStyle w:val="ySubsection"/>
        <w:keepNext/>
      </w:pPr>
      <w:r>
        <w:tab/>
      </w:r>
      <w:r>
        <w:tab/>
        <w:t>After Chapter 1 Part 1 insert:</w:t>
      </w:r>
    </w:p>
    <w:p>
      <w:pPr>
        <w:pStyle w:val="BlankOpen"/>
      </w:pPr>
    </w:p>
    <w:p>
      <w:pPr>
        <w:pStyle w:val="zHeading3"/>
        <w:spacing w:before="0"/>
      </w:pPr>
      <w:bookmarkStart w:id="143" w:name="_Toc501633803"/>
      <w:bookmarkStart w:id="144" w:name="_Toc501712699"/>
      <w:bookmarkStart w:id="145" w:name="_Toc536781893"/>
      <w:r>
        <w:t>Part 1A</w:t>
      </w:r>
      <w:r>
        <w:rPr>
          <w:b w:val="0"/>
        </w:rPr>
        <w:t> — </w:t>
      </w:r>
      <w:r>
        <w:t>Postponement of Natural Gas Services Bulletin Board provisions</w:t>
      </w:r>
      <w:bookmarkEnd w:id="143"/>
      <w:bookmarkEnd w:id="144"/>
      <w:bookmarkEnd w:id="145"/>
    </w:p>
    <w:p>
      <w:pPr>
        <w:pStyle w:val="zHeading5"/>
      </w:pPr>
      <w:bookmarkStart w:id="146" w:name="_Toc536781894"/>
      <w:r>
        <w:t>20A.</w:t>
      </w:r>
      <w:r>
        <w:rPr>
          <w:b w:val="0"/>
        </w:rPr>
        <w:tab/>
      </w:r>
      <w:r>
        <w:t>Minister may fix day on which provisions apply</w:t>
      </w:r>
      <w:bookmarkEnd w:id="146"/>
    </w:p>
    <w:p>
      <w:pPr>
        <w:pStyle w:val="zSubsection"/>
        <w:rPr>
          <w:sz w:val="23"/>
        </w:rPr>
      </w:pPr>
      <w:r>
        <w:rPr>
          <w:sz w:val="23"/>
        </w:rPr>
        <w:tab/>
      </w:r>
      <w:r>
        <w:rPr>
          <w:sz w:val="23"/>
        </w:rPr>
        <w:tab/>
        <w:t xml:space="preserve">To the extent that a provision of this Law relates to the Natural Gas Services Bulletin Board, the provision does not apply before a day is fixed by the Minister, by an order notice of which is published in the </w:t>
      </w:r>
      <w:r>
        <w:rPr>
          <w:i/>
          <w:sz w:val="23"/>
        </w:rPr>
        <w:t>Government Gazette</w:t>
      </w:r>
      <w:r>
        <w:rPr>
          <w:sz w:val="23"/>
        </w:rPr>
        <w:t>, as the day on and after which provisions of this Law relating to the Natural Gas Services Bulletin Board apply.</w:t>
      </w:r>
    </w:p>
    <w:p>
      <w:pPr>
        <w:pStyle w:val="BlankClose"/>
      </w:pPr>
    </w:p>
    <w:p>
      <w:pPr>
        <w:pStyle w:val="yHeading5"/>
        <w:spacing w:before="120"/>
      </w:pPr>
      <w:bookmarkStart w:id="147" w:name="_Toc536781895"/>
      <w:r>
        <w:rPr>
          <w:rStyle w:val="CharSClsNo"/>
        </w:rPr>
        <w:t>6</w:t>
      </w:r>
      <w:r>
        <w:t>.</w:t>
      </w:r>
      <w:r>
        <w:tab/>
        <w:t>Section 29 modified</w:t>
      </w:r>
      <w:bookmarkEnd w:id="147"/>
    </w:p>
    <w:p>
      <w:pPr>
        <w:pStyle w:val="ySubsection"/>
      </w:pPr>
      <w:r>
        <w:tab/>
      </w:r>
      <w:r>
        <w:tab/>
        <w:t>In section 29 after “Commonwealth” insert:</w:t>
      </w:r>
    </w:p>
    <w:p>
      <w:pPr>
        <w:pStyle w:val="BlankOpen"/>
      </w:pPr>
    </w:p>
    <w:p>
      <w:pPr>
        <w:pStyle w:val="zSubsection"/>
        <w:spacing w:before="0"/>
      </w:pPr>
      <w:r>
        <w:tab/>
      </w:r>
      <w:r>
        <w:tab/>
      </w:r>
      <w:r>
        <w:rPr>
          <w:sz w:val="23"/>
        </w:rPr>
        <w:t xml:space="preserve">or by the ERA under section 29 of the </w:t>
      </w:r>
      <w:r>
        <w:rPr>
          <w:i/>
          <w:iCs/>
          <w:sz w:val="23"/>
        </w:rPr>
        <w:t>Economic Regulation Authority Act 2003</w:t>
      </w:r>
    </w:p>
    <w:p>
      <w:pPr>
        <w:pStyle w:val="BlankClose"/>
      </w:pPr>
    </w:p>
    <w:p>
      <w:pPr>
        <w:pStyle w:val="yHeading5"/>
        <w:spacing w:before="120"/>
      </w:pPr>
      <w:bookmarkStart w:id="148" w:name="_Toc536781896"/>
      <w:r>
        <w:rPr>
          <w:rStyle w:val="CharSClsNo"/>
        </w:rPr>
        <w:t>7</w:t>
      </w:r>
      <w:r>
        <w:t>.</w:t>
      </w:r>
      <w:r>
        <w:tab/>
        <w:t>Section 30 modified</w:t>
      </w:r>
      <w:bookmarkEnd w:id="148"/>
    </w:p>
    <w:p>
      <w:pPr>
        <w:pStyle w:val="ySubsection"/>
        <w:keepNext/>
      </w:pPr>
      <w:r>
        <w:tab/>
        <w:t>(1)</w:t>
      </w:r>
      <w:r>
        <w:tab/>
        <w:t>In section 30 delete “</w:t>
      </w:r>
      <w:r>
        <w:rPr>
          <w:sz w:val="23"/>
        </w:rPr>
        <w:t>Section 44AAF</w:t>
      </w:r>
      <w:r>
        <w:t>” and insert:</w:t>
      </w:r>
    </w:p>
    <w:p>
      <w:pPr>
        <w:pStyle w:val="BlankOpen"/>
      </w:pPr>
    </w:p>
    <w:p>
      <w:pPr>
        <w:pStyle w:val="zSubsection"/>
        <w:spacing w:before="0"/>
        <w:rPr>
          <w:sz w:val="23"/>
        </w:rPr>
      </w:pPr>
      <w:r>
        <w:rPr>
          <w:sz w:val="23"/>
        </w:rPr>
        <w:tab/>
        <w:t>(1)</w:t>
      </w:r>
      <w:r>
        <w:rPr>
          <w:sz w:val="23"/>
        </w:rPr>
        <w:tab/>
        <w:t>Section 44AAF</w:t>
      </w:r>
    </w:p>
    <w:p>
      <w:pPr>
        <w:pStyle w:val="BlankClose"/>
      </w:pPr>
    </w:p>
    <w:p>
      <w:pPr>
        <w:pStyle w:val="ySubsection"/>
      </w:pPr>
      <w:r>
        <w:tab/>
        <w:t>(2)</w:t>
      </w:r>
      <w:r>
        <w:tab/>
        <w:t>At the end of section 30 insert:</w:t>
      </w:r>
    </w:p>
    <w:p>
      <w:pPr>
        <w:pStyle w:val="BlankOpen"/>
      </w:pPr>
    </w:p>
    <w:p>
      <w:pPr>
        <w:pStyle w:val="zSubsection"/>
        <w:spacing w:before="0"/>
        <w:rPr>
          <w:sz w:val="23"/>
        </w:rPr>
      </w:pPr>
      <w:r>
        <w:rPr>
          <w:sz w:val="23"/>
        </w:rPr>
        <w:tab/>
        <w:t>(2)</w:t>
      </w:r>
      <w:r>
        <w:rPr>
          <w:sz w:val="23"/>
        </w:rPr>
        <w:tab/>
        <w:t>Without limiting section 2A, that section also applies to section 44AAF as adopted by subsection (1) and, when the adopted section is read as if a reference in it to the AER were a reference to the ERA, it is further modified as follows:</w:t>
      </w:r>
    </w:p>
    <w:p>
      <w:pPr>
        <w:pStyle w:val="zIndenta"/>
        <w:rPr>
          <w:sz w:val="23"/>
        </w:rPr>
      </w:pPr>
      <w:r>
        <w:rPr>
          <w:sz w:val="23"/>
        </w:rPr>
        <w:tab/>
        <w:t>(a)</w:t>
      </w:r>
      <w:r>
        <w:rPr>
          <w:sz w:val="23"/>
        </w:rPr>
        <w:tab/>
        <w:t>delete subsection (3)(c) of the adopted section and insert:</w:t>
      </w:r>
    </w:p>
    <w:p>
      <w:pPr>
        <w:pStyle w:val="BlankOpen"/>
      </w:pPr>
    </w:p>
    <w:p>
      <w:pPr>
        <w:pStyle w:val="zIndenta"/>
        <w:rPr>
          <w:sz w:val="23"/>
        </w:rPr>
      </w:pPr>
      <w:r>
        <w:rPr>
          <w:sz w:val="23"/>
        </w:rPr>
        <w:tab/>
        <w:t>(c)</w:t>
      </w:r>
      <w:r>
        <w:rPr>
          <w:sz w:val="23"/>
        </w:rPr>
        <w:tab/>
        <w:t xml:space="preserve">the Australian Energy Regulator established by section 44AE of the </w:t>
      </w:r>
      <w:r>
        <w:rPr>
          <w:i/>
          <w:iCs/>
          <w:sz w:val="23"/>
        </w:rPr>
        <w:t>Trade Practices Act 1974</w:t>
      </w:r>
      <w:r>
        <w:rPr>
          <w:sz w:val="23"/>
        </w:rPr>
        <w:t xml:space="preserve"> of the Commonwealth;</w:t>
      </w:r>
    </w:p>
    <w:p>
      <w:pPr>
        <w:pStyle w:val="BlankClose"/>
      </w:pPr>
    </w:p>
    <w:p>
      <w:pPr>
        <w:pStyle w:val="zIndenta"/>
        <w:rPr>
          <w:sz w:val="23"/>
        </w:rPr>
      </w:pPr>
      <w:r>
        <w:rPr>
          <w:sz w:val="23"/>
        </w:rPr>
        <w:tab/>
        <w:t>(b)</w:t>
      </w:r>
      <w:r>
        <w:rPr>
          <w:sz w:val="23"/>
        </w:rPr>
        <w:tab/>
        <w:t>delete subsection (6)(a)(i) of the adopted section and insert:</w:t>
      </w:r>
    </w:p>
    <w:p>
      <w:pPr>
        <w:pStyle w:val="BlankOpen"/>
      </w:pPr>
    </w:p>
    <w:p>
      <w:pPr>
        <w:pStyle w:val="zIndenti"/>
        <w:spacing w:before="0"/>
        <w:rPr>
          <w:sz w:val="23"/>
        </w:rPr>
      </w:pPr>
      <w:r>
        <w:rPr>
          <w:sz w:val="23"/>
        </w:rPr>
        <w:tab/>
        <w:t>(i)</w:t>
      </w:r>
      <w:r>
        <w:rPr>
          <w:sz w:val="23"/>
        </w:rPr>
        <w:tab/>
        <w:t>an ERA member, a person assisting the ERA in the performance of its functions or a delegate of the ERA;</w:t>
      </w:r>
    </w:p>
    <w:p>
      <w:pPr>
        <w:pStyle w:val="BlankClose"/>
      </w:pPr>
    </w:p>
    <w:p>
      <w:pPr>
        <w:pStyle w:val="yHeading5"/>
        <w:spacing w:before="120"/>
      </w:pPr>
      <w:bookmarkStart w:id="149" w:name="_Toc536781897"/>
      <w:r>
        <w:rPr>
          <w:rStyle w:val="CharSClsNo"/>
        </w:rPr>
        <w:t>8</w:t>
      </w:r>
      <w:r>
        <w:t>.</w:t>
      </w:r>
      <w:r>
        <w:tab/>
        <w:t>Chapter 2 Part 1A inserted</w:t>
      </w:r>
      <w:bookmarkEnd w:id="149"/>
    </w:p>
    <w:p>
      <w:pPr>
        <w:pStyle w:val="ySubsection"/>
      </w:pPr>
      <w:r>
        <w:tab/>
      </w:r>
      <w:r>
        <w:tab/>
        <w:t>After Chapter 2 Part 1 insert:</w:t>
      </w:r>
    </w:p>
    <w:p>
      <w:pPr>
        <w:pStyle w:val="BlankOpen"/>
      </w:pPr>
    </w:p>
    <w:p>
      <w:pPr>
        <w:pStyle w:val="zHeading3"/>
        <w:spacing w:before="0"/>
      </w:pPr>
      <w:bookmarkStart w:id="150" w:name="_Toc501633808"/>
      <w:bookmarkStart w:id="151" w:name="_Toc501712704"/>
      <w:bookmarkStart w:id="152" w:name="_Toc536781898"/>
      <w:r>
        <w:t>Part 1A</w:t>
      </w:r>
      <w:r>
        <w:rPr>
          <w:b w:val="0"/>
        </w:rPr>
        <w:t> — </w:t>
      </w:r>
      <w:r>
        <w:t>Functions and powers of WA arbitrator</w:t>
      </w:r>
      <w:bookmarkEnd w:id="150"/>
      <w:bookmarkEnd w:id="151"/>
      <w:bookmarkEnd w:id="152"/>
    </w:p>
    <w:p>
      <w:pPr>
        <w:pStyle w:val="zHeading5"/>
      </w:pPr>
      <w:bookmarkStart w:id="153" w:name="_Toc536781899"/>
      <w:r>
        <w:t>68A.</w:t>
      </w:r>
      <w:r>
        <w:rPr>
          <w:b w:val="0"/>
        </w:rPr>
        <w:tab/>
      </w:r>
      <w:r>
        <w:t>Manner in which WA arbitrator must perform or exercise certain functions or powers</w:t>
      </w:r>
      <w:bookmarkEnd w:id="153"/>
    </w:p>
    <w:p>
      <w:pPr>
        <w:pStyle w:val="zSubsection"/>
        <w:rPr>
          <w:sz w:val="23"/>
        </w:rPr>
      </w:pPr>
      <w:r>
        <w:rPr>
          <w:sz w:val="23"/>
        </w:rPr>
        <w:tab/>
        <w:t>(1)</w:t>
      </w:r>
      <w:r>
        <w:rPr>
          <w:sz w:val="23"/>
        </w:rPr>
        <w:tab/>
        <w:t>The WA arbitrator must, in performing or exercising a function or power that relates to an access determination, perform or exercise that function or power in a manner that will or is likely to contribute to the achievement of the national gas objective.</w:t>
      </w:r>
    </w:p>
    <w:p>
      <w:pPr>
        <w:pStyle w:val="zSubsection"/>
        <w:rPr>
          <w:sz w:val="23"/>
        </w:rPr>
      </w:pPr>
      <w:r>
        <w:rPr>
          <w:sz w:val="23"/>
        </w:rPr>
        <w:tab/>
        <w:t>(2)</w:t>
      </w:r>
      <w:r>
        <w:rPr>
          <w:sz w:val="23"/>
        </w:rPr>
        <w:tab/>
        <w:t xml:space="preserve">In addition, the WA arbitrator — </w:t>
      </w:r>
    </w:p>
    <w:p>
      <w:pPr>
        <w:pStyle w:val="zIndenta"/>
        <w:rPr>
          <w:sz w:val="23"/>
        </w:rPr>
      </w:pPr>
      <w:r>
        <w:rPr>
          <w:sz w:val="23"/>
        </w:rPr>
        <w:tab/>
        <w:t>(a)</w:t>
      </w:r>
      <w:r>
        <w:rPr>
          <w:sz w:val="23"/>
        </w:rPr>
        <w:tab/>
        <w:t>must take into account the revenue and pricing principles when making an access determination relating to a rate or charge for a pipeline service; and</w:t>
      </w:r>
    </w:p>
    <w:p>
      <w:pPr>
        <w:pStyle w:val="zIndenta"/>
        <w:rPr>
          <w:sz w:val="23"/>
        </w:rPr>
      </w:pPr>
      <w:r>
        <w:rPr>
          <w:sz w:val="23"/>
        </w:rPr>
        <w:tab/>
        <w:t>(b)</w:t>
      </w:r>
      <w:r>
        <w:rPr>
          <w:sz w:val="23"/>
        </w:rPr>
        <w:tab/>
        <w:t>may take into account the revenue and pricing principles when performing or exercising any other function or power that relates to an access determination, if the WA arbitrator considers it appropriate to do so.</w:t>
      </w:r>
    </w:p>
    <w:p>
      <w:pPr>
        <w:pStyle w:val="zSubsection"/>
      </w:pPr>
      <w:r>
        <w:rPr>
          <w:sz w:val="23"/>
        </w:rPr>
        <w:tab/>
        <w:t>(3)</w:t>
      </w:r>
      <w:r>
        <w:rPr>
          <w:sz w:val="23"/>
        </w:rPr>
        <w:tab/>
        <w:t>For the purposes of subsection (2)(a), a reference to a reference service in the revenue and pricing principles must be read as a reference to a pipeline service.</w:t>
      </w:r>
    </w:p>
    <w:p>
      <w:pPr>
        <w:pStyle w:val="BlankClose"/>
      </w:pPr>
    </w:p>
    <w:p>
      <w:pPr>
        <w:pStyle w:val="yHeading5"/>
        <w:spacing w:before="120"/>
      </w:pPr>
      <w:bookmarkStart w:id="154" w:name="_Toc536781900"/>
      <w:r>
        <w:rPr>
          <w:rStyle w:val="CharSClsNo"/>
        </w:rPr>
        <w:t>9</w:t>
      </w:r>
      <w:r>
        <w:t>.</w:t>
      </w:r>
      <w:r>
        <w:tab/>
        <w:t>Section 181A inserted</w:t>
      </w:r>
      <w:bookmarkEnd w:id="154"/>
    </w:p>
    <w:p>
      <w:pPr>
        <w:pStyle w:val="ySubsection"/>
      </w:pPr>
      <w:r>
        <w:tab/>
      </w:r>
      <w:r>
        <w:tab/>
        <w:t>After section 181 insert:</w:t>
      </w:r>
    </w:p>
    <w:p>
      <w:pPr>
        <w:pStyle w:val="BlankOpen"/>
      </w:pPr>
    </w:p>
    <w:p>
      <w:pPr>
        <w:pStyle w:val="zHeading5"/>
        <w:spacing w:before="0"/>
      </w:pPr>
      <w:bookmarkStart w:id="155" w:name="_Toc536781901"/>
      <w:r>
        <w:t>181A.</w:t>
      </w:r>
      <w:r>
        <w:rPr>
          <w:b w:val="0"/>
        </w:rPr>
        <w:tab/>
      </w:r>
      <w:r>
        <w:t>Providing information for certain disputes</w:t>
      </w:r>
      <w:bookmarkEnd w:id="155"/>
    </w:p>
    <w:p>
      <w:pPr>
        <w:pStyle w:val="zSubsection"/>
        <w:rPr>
          <w:sz w:val="23"/>
        </w:rPr>
      </w:pPr>
      <w:r>
        <w:rPr>
          <w:sz w:val="23"/>
        </w:rPr>
        <w:tab/>
        <w:t>(1)</w:t>
      </w:r>
      <w:r>
        <w:rPr>
          <w:sz w:val="23"/>
        </w:rPr>
        <w:tab/>
        <w:t xml:space="preserve">If the dispute resolution body for a dispute notified under section 181(1) is the WA arbitrator — </w:t>
      </w:r>
    </w:p>
    <w:p>
      <w:pPr>
        <w:pStyle w:val="zIndenta"/>
        <w:rPr>
          <w:sz w:val="23"/>
        </w:rPr>
      </w:pPr>
      <w:r>
        <w:rPr>
          <w:sz w:val="23"/>
        </w:rPr>
        <w:tab/>
        <w:t>(a)</w:t>
      </w:r>
      <w:r>
        <w:rPr>
          <w:sz w:val="23"/>
        </w:rPr>
        <w:tab/>
        <w:t>the WA arbitrator is to inform the ERA that notification of the dispute has been received; and</w:t>
      </w:r>
    </w:p>
    <w:p>
      <w:pPr>
        <w:pStyle w:val="zIndenta"/>
        <w:rPr>
          <w:sz w:val="23"/>
        </w:rPr>
      </w:pPr>
      <w:r>
        <w:rPr>
          <w:sz w:val="23"/>
        </w:rPr>
        <w:tab/>
        <w:t>(b)</w:t>
      </w:r>
      <w:r>
        <w:rPr>
          <w:sz w:val="23"/>
        </w:rPr>
        <w:tab/>
        <w:t>the WA arbitrator may request the ERA to give the WA arbitrator any information in the ERA’s possession that is relevant to the dispute.</w:t>
      </w:r>
    </w:p>
    <w:p>
      <w:pPr>
        <w:pStyle w:val="zSubsection"/>
        <w:rPr>
          <w:sz w:val="23"/>
        </w:rPr>
      </w:pPr>
      <w:r>
        <w:rPr>
          <w:sz w:val="23"/>
        </w:rPr>
        <w:tab/>
        <w:t>(2)</w:t>
      </w:r>
      <w:r>
        <w:rPr>
          <w:sz w:val="23"/>
        </w:rPr>
        <w:tab/>
        <w:t>The ERA is to give the WA arbitrator the information requested, whether or not it is confidential and whether or not it came into the ERA’s possession for the purposes of resolving the dispute.</w:t>
      </w:r>
    </w:p>
    <w:p>
      <w:pPr>
        <w:pStyle w:val="zSubsection"/>
      </w:pPr>
      <w:r>
        <w:rPr>
          <w:sz w:val="23"/>
        </w:rPr>
        <w:tab/>
        <w:t>(3)</w:t>
      </w:r>
      <w:r>
        <w:rPr>
          <w:sz w:val="23"/>
        </w:rPr>
        <w:tab/>
        <w:t>If the ERA gives the WA arbitrator information that is confidential, the ERA is to identify the nature and extent of the confidentiality and the WA arbitrator is to treat the information accordingly.</w:t>
      </w:r>
    </w:p>
    <w:p>
      <w:pPr>
        <w:pStyle w:val="BlankClose"/>
      </w:pPr>
    </w:p>
    <w:p>
      <w:pPr>
        <w:pStyle w:val="yHeading5"/>
      </w:pPr>
      <w:bookmarkStart w:id="156" w:name="_Toc536781902"/>
      <w:r>
        <w:rPr>
          <w:rStyle w:val="CharSClsNo"/>
        </w:rPr>
        <w:t>10</w:t>
      </w:r>
      <w:r>
        <w:t>.</w:t>
      </w:r>
      <w:r>
        <w:tab/>
        <w:t>Section 231 modified</w:t>
      </w:r>
      <w:bookmarkEnd w:id="156"/>
    </w:p>
    <w:p>
      <w:pPr>
        <w:pStyle w:val="ySubsection"/>
        <w:spacing w:before="100"/>
      </w:pPr>
      <w:r>
        <w:tab/>
        <w:t>(1)</w:t>
      </w:r>
      <w:r>
        <w:tab/>
        <w:t>After section 231(1) insert:</w:t>
      </w:r>
    </w:p>
    <w:p>
      <w:pPr>
        <w:pStyle w:val="BlankOpen"/>
      </w:pPr>
    </w:p>
    <w:p>
      <w:pPr>
        <w:pStyle w:val="zSubsection"/>
        <w:spacing w:before="0"/>
        <w:rPr>
          <w:sz w:val="23"/>
        </w:rPr>
      </w:pPr>
      <w:r>
        <w:rPr>
          <w:sz w:val="23"/>
        </w:rPr>
        <w:tab/>
        <w:t>(1A)</w:t>
      </w:r>
      <w:r>
        <w:rPr>
          <w:sz w:val="23"/>
        </w:rPr>
        <w:tab/>
        <w:t>When subsection (1) is read as if a reference in it to the AER were a reference to the ERA, the subsection is to be read as if “on behalf of the Commonwealth” had been deleted.</w:t>
      </w:r>
    </w:p>
    <w:p>
      <w:pPr>
        <w:pStyle w:val="BlankClose"/>
      </w:pPr>
    </w:p>
    <w:p>
      <w:pPr>
        <w:pStyle w:val="ySubsection"/>
      </w:pPr>
      <w:r>
        <w:tab/>
        <w:t>(2)</w:t>
      </w:r>
      <w:r>
        <w:tab/>
        <w:t>After section 231(3) insert:</w:t>
      </w:r>
    </w:p>
    <w:p>
      <w:pPr>
        <w:pStyle w:val="BlankOpen"/>
      </w:pPr>
    </w:p>
    <w:p>
      <w:pPr>
        <w:pStyle w:val="zSubsection"/>
        <w:spacing w:before="0"/>
        <w:rPr>
          <w:sz w:val="23"/>
        </w:rPr>
      </w:pPr>
      <w:r>
        <w:rPr>
          <w:sz w:val="23"/>
        </w:rPr>
        <w:tab/>
        <w:t>(3A)</w:t>
      </w:r>
      <w:r>
        <w:rPr>
          <w:sz w:val="23"/>
        </w:rPr>
        <w:tab/>
        <w:t>When subsection (3) is read as if a reference in it to the AER were a reference to the ERA, the subsection is to be read as if “on behalf of the Commonwealth” had been deleted.</w:t>
      </w:r>
    </w:p>
    <w:p>
      <w:pPr>
        <w:pStyle w:val="BlankClose"/>
      </w:pPr>
    </w:p>
    <w:p>
      <w:pPr>
        <w:pStyle w:val="yHeading5"/>
        <w:spacing w:before="120"/>
      </w:pPr>
      <w:bookmarkStart w:id="157" w:name="_Toc536781903"/>
      <w:r>
        <w:rPr>
          <w:rStyle w:val="CharSClsNo"/>
        </w:rPr>
        <w:t>11</w:t>
      </w:r>
      <w:r>
        <w:t>.</w:t>
      </w:r>
      <w:r>
        <w:tab/>
        <w:t>Section 240 modified</w:t>
      </w:r>
      <w:bookmarkEnd w:id="157"/>
    </w:p>
    <w:p>
      <w:pPr>
        <w:pStyle w:val="ySubsection"/>
      </w:pPr>
      <w:r>
        <w:tab/>
      </w:r>
      <w:r>
        <w:tab/>
        <w:t>In section 240 delete “</w:t>
      </w:r>
      <w:r>
        <w:rPr>
          <w:sz w:val="23"/>
        </w:rPr>
        <w:t>Commonwealth.</w:t>
      </w:r>
      <w:r>
        <w:t>” and insert:</w:t>
      </w:r>
    </w:p>
    <w:p>
      <w:pPr>
        <w:pStyle w:val="BlankOpen"/>
      </w:pPr>
    </w:p>
    <w:p>
      <w:pPr>
        <w:pStyle w:val="zSubsection"/>
        <w:spacing w:before="0"/>
        <w:rPr>
          <w:sz w:val="23"/>
        </w:rPr>
      </w:pPr>
      <w:r>
        <w:rPr>
          <w:sz w:val="23"/>
        </w:rPr>
        <w:tab/>
      </w:r>
      <w:r>
        <w:rPr>
          <w:sz w:val="23"/>
        </w:rPr>
        <w:tab/>
        <w:t>State of Western Australia except if the order is made on an application by the AER on behalf of the Commonwealth, in which case it is payable to the Commonwealth.</w:t>
      </w:r>
    </w:p>
    <w:p>
      <w:pPr>
        <w:pStyle w:val="BlankClose"/>
      </w:pPr>
    </w:p>
    <w:p>
      <w:pPr>
        <w:pStyle w:val="yHeading5"/>
        <w:spacing w:before="120"/>
      </w:pPr>
      <w:bookmarkStart w:id="158" w:name="_Toc536781904"/>
      <w:r>
        <w:rPr>
          <w:rStyle w:val="CharSClsNo"/>
        </w:rPr>
        <w:t>12</w:t>
      </w:r>
      <w:r>
        <w:t>.</w:t>
      </w:r>
      <w:r>
        <w:tab/>
        <w:t>Section 290 modified</w:t>
      </w:r>
      <w:bookmarkEnd w:id="158"/>
    </w:p>
    <w:p>
      <w:pPr>
        <w:pStyle w:val="ySubsection"/>
      </w:pPr>
      <w:r>
        <w:tab/>
      </w:r>
      <w:r>
        <w:tab/>
        <w:t xml:space="preserve">In section 290 in the definition of </w:t>
      </w:r>
      <w:r>
        <w:rPr>
          <w:b/>
          <w:bCs/>
          <w:i/>
          <w:iCs/>
        </w:rPr>
        <w:t>publish</w:t>
      </w:r>
      <w:r>
        <w:t xml:space="preserve"> paragraph (a) delete “section </w:t>
      </w:r>
      <w:r>
        <w:rPr>
          <w:sz w:val="23"/>
        </w:rPr>
        <w:t>294 or 315</w:t>
      </w:r>
      <w:r>
        <w:t>” and insert:</w:t>
      </w:r>
    </w:p>
    <w:p>
      <w:pPr>
        <w:pStyle w:val="BlankOpen"/>
      </w:pPr>
    </w:p>
    <w:p>
      <w:pPr>
        <w:pStyle w:val="ySubsection"/>
        <w:rPr>
          <w:sz w:val="23"/>
        </w:rPr>
      </w:pPr>
      <w:r>
        <w:tab/>
      </w:r>
      <w:r>
        <w:tab/>
      </w:r>
      <w:r>
        <w:rPr>
          <w:sz w:val="23"/>
        </w:rPr>
        <w:t>section 315</w:t>
      </w:r>
    </w:p>
    <w:p>
      <w:pPr>
        <w:pStyle w:val="BlankClose"/>
      </w:pPr>
    </w:p>
    <w:p>
      <w:pPr>
        <w:pStyle w:val="yHeading5"/>
      </w:pPr>
      <w:bookmarkStart w:id="159" w:name="_Toc536781905"/>
      <w:r>
        <w:rPr>
          <w:rStyle w:val="CharSClsNo"/>
        </w:rPr>
        <w:t>13</w:t>
      </w:r>
      <w:r>
        <w:t>.</w:t>
      </w:r>
      <w:r>
        <w:tab/>
        <w:t>Section 294 replaced</w:t>
      </w:r>
      <w:bookmarkEnd w:id="159"/>
    </w:p>
    <w:p>
      <w:pPr>
        <w:pStyle w:val="ySubsection"/>
      </w:pPr>
      <w:r>
        <w:tab/>
      </w:r>
      <w:r>
        <w:tab/>
        <w:t>Delete section 294 and insert:</w:t>
      </w:r>
    </w:p>
    <w:p>
      <w:pPr>
        <w:pStyle w:val="BlankOpen"/>
      </w:pPr>
    </w:p>
    <w:p>
      <w:pPr>
        <w:pStyle w:val="zHeading5"/>
        <w:spacing w:before="0"/>
      </w:pPr>
      <w:bookmarkStart w:id="160" w:name="_Toc536781906"/>
      <w:r>
        <w:rPr>
          <w:rStyle w:val="CharSectno"/>
        </w:rPr>
        <w:t>294</w:t>
      </w:r>
      <w:r>
        <w:t>.</w:t>
      </w:r>
      <w:r>
        <w:tab/>
        <w:t>Initial National Gas Rules for WA</w:t>
      </w:r>
      <w:bookmarkEnd w:id="160"/>
    </w:p>
    <w:p>
      <w:pPr>
        <w:pStyle w:val="zSubsection"/>
        <w:rPr>
          <w:color w:val="000000"/>
          <w:sz w:val="23"/>
          <w:szCs w:val="23"/>
        </w:rPr>
      </w:pPr>
      <w:r>
        <w:rPr>
          <w:color w:val="000000"/>
          <w:sz w:val="23"/>
          <w:szCs w:val="23"/>
        </w:rPr>
        <w:tab/>
        <w:t>(1)</w:t>
      </w:r>
      <w:r>
        <w:rPr>
          <w:color w:val="000000"/>
          <w:sz w:val="23"/>
          <w:szCs w:val="23"/>
        </w:rPr>
        <w:tab/>
        <w:t xml:space="preserve">The National Gas Rules that apply upon </w:t>
      </w:r>
      <w:r>
        <w:rPr>
          <w:sz w:val="23"/>
        </w:rPr>
        <w:t xml:space="preserve">section 30 of the </w:t>
      </w:r>
      <w:r>
        <w:rPr>
          <w:i/>
          <w:iCs/>
          <w:sz w:val="23"/>
        </w:rPr>
        <w:t>National Gas Access (WA) Act 2009</w:t>
      </w:r>
      <w:r>
        <w:rPr>
          <w:sz w:val="23"/>
        </w:rPr>
        <w:t xml:space="preserve"> coming into operation are as set out in the document called the </w:t>
      </w:r>
      <w:r>
        <w:rPr>
          <w:i/>
          <w:iCs/>
          <w:sz w:val="23"/>
        </w:rPr>
        <w:t>National Gas Rules 2008</w:t>
      </w:r>
      <w:r>
        <w:rPr>
          <w:sz w:val="23"/>
        </w:rPr>
        <w:t xml:space="preserve">, signed on 1 July 2008 by the </w:t>
      </w:r>
      <w:r>
        <w:rPr>
          <w:color w:val="000000"/>
          <w:sz w:val="23"/>
          <w:szCs w:val="23"/>
        </w:rPr>
        <w:t>Minister for Energy of South Australia, as affected, if applicable, by any amendments made by the AEMC under national gas legislation before the coming into operation of that section.</w:t>
      </w:r>
    </w:p>
    <w:p>
      <w:pPr>
        <w:pStyle w:val="zSubsection"/>
        <w:rPr>
          <w:color w:val="000000"/>
          <w:sz w:val="23"/>
          <w:szCs w:val="23"/>
        </w:rPr>
      </w:pPr>
      <w:r>
        <w:rPr>
          <w:color w:val="000000"/>
          <w:sz w:val="23"/>
          <w:szCs w:val="23"/>
        </w:rPr>
        <w:tab/>
        <w:t>(2)</w:t>
      </w:r>
      <w:r>
        <w:rPr>
          <w:color w:val="000000"/>
          <w:sz w:val="23"/>
          <w:szCs w:val="23"/>
        </w:rPr>
        <w:tab/>
        <w:t xml:space="preserve">Subsection (1) does not prevent the AEMC from making Rules under this Chapter that amend or revoke the </w:t>
      </w:r>
      <w:r>
        <w:rPr>
          <w:sz w:val="23"/>
        </w:rPr>
        <w:t>rules referred to in it.</w:t>
      </w:r>
    </w:p>
    <w:p>
      <w:pPr>
        <w:pStyle w:val="yFootnotesection"/>
        <w:rPr>
          <w:color w:val="000000"/>
          <w:sz w:val="23"/>
          <w:szCs w:val="23"/>
        </w:rPr>
      </w:pPr>
      <w:r>
        <w:tab/>
        <w:t>[Clause 13 amended: Gazette 22 Dec 2017 p. 5986.]</w:t>
      </w:r>
    </w:p>
    <w:p>
      <w:pPr>
        <w:pStyle w:val="yHeading5"/>
        <w:spacing w:before="120"/>
      </w:pPr>
      <w:bookmarkStart w:id="161" w:name="_Toc536781907"/>
      <w:r>
        <w:rPr>
          <w:rStyle w:val="CharSClsNo"/>
        </w:rPr>
        <w:t>14</w:t>
      </w:r>
      <w:r>
        <w:t>.</w:t>
      </w:r>
      <w:r>
        <w:tab/>
        <w:t>Schedule 1 modified</w:t>
      </w:r>
      <w:bookmarkEnd w:id="161"/>
    </w:p>
    <w:p>
      <w:pPr>
        <w:pStyle w:val="ySubsection"/>
      </w:pPr>
      <w:r>
        <w:tab/>
      </w:r>
      <w:r>
        <w:tab/>
        <w:t>In Schedule 1 item 82 delete “</w:t>
      </w:r>
      <w:r>
        <w:rPr>
          <w:sz w:val="20"/>
        </w:rPr>
        <w:t xml:space="preserve">section 20 of the </w:t>
      </w:r>
      <w:r>
        <w:rPr>
          <w:i/>
          <w:iCs/>
          <w:sz w:val="20"/>
        </w:rPr>
        <w:t>National Gas (</w:t>
      </w:r>
      <w:smartTag w:uri="urn:schemas-microsoft-com:office:smarttags" w:element="State">
        <w:r>
          <w:rPr>
            <w:i/>
            <w:iCs/>
            <w:sz w:val="20"/>
          </w:rPr>
          <w:t>South Australia</w:t>
        </w:r>
      </w:smartTag>
      <w:r>
        <w:rPr>
          <w:i/>
          <w:iCs/>
          <w:sz w:val="20"/>
        </w:rPr>
        <w:t>) Act 2008</w:t>
      </w:r>
      <w:r>
        <w:rPr>
          <w:sz w:val="20"/>
        </w:rPr>
        <w:t xml:space="preserve"> of </w:t>
      </w:r>
      <w:smartTag w:uri="urn:schemas-microsoft-com:office:smarttags" w:element="place">
        <w:r>
          <w:rPr>
            <w:sz w:val="20"/>
          </w:rPr>
          <w:t>South Australia.</w:t>
        </w:r>
      </w:smartTag>
      <w:r>
        <w:t>” and insert:</w:t>
      </w:r>
    </w:p>
    <w:p>
      <w:pPr>
        <w:pStyle w:val="BlankOpen"/>
      </w:pPr>
    </w:p>
    <w:p>
      <w:pPr>
        <w:pStyle w:val="zySubsection"/>
        <w:spacing w:before="0"/>
        <w:rPr>
          <w:sz w:val="20"/>
        </w:rPr>
      </w:pPr>
      <w:r>
        <w:tab/>
      </w:r>
      <w:r>
        <w:tab/>
      </w:r>
      <w:r>
        <w:rPr>
          <w:sz w:val="20"/>
        </w:rPr>
        <w:t xml:space="preserve">section 30 of the </w:t>
      </w:r>
      <w:r>
        <w:rPr>
          <w:i/>
          <w:iCs/>
          <w:sz w:val="20"/>
        </w:rPr>
        <w:t>National Gas Access (WA) Act 2009</w:t>
      </w:r>
      <w:r>
        <w:rPr>
          <w:sz w:val="20"/>
        </w:rPr>
        <w:t xml:space="preserve"> of </w:t>
      </w:r>
      <w:smartTag w:uri="urn:schemas-microsoft-com:office:smarttags" w:element="State">
        <w:smartTag w:uri="urn:schemas-microsoft-com:office:smarttags" w:element="place">
          <w:r>
            <w:rPr>
              <w:sz w:val="20"/>
            </w:rPr>
            <w:t>Western Australia</w:t>
          </w:r>
        </w:smartTag>
      </w:smartTag>
      <w:r>
        <w:rPr>
          <w:sz w:val="20"/>
        </w:rPr>
        <w:t>.</w:t>
      </w:r>
    </w:p>
    <w:p>
      <w:pPr>
        <w:pStyle w:val="BlankClose"/>
      </w:pPr>
    </w:p>
    <w:p>
      <w:pPr>
        <w:pStyle w:val="yHeading5"/>
      </w:pPr>
      <w:bookmarkStart w:id="162" w:name="_Toc536781908"/>
      <w:r>
        <w:rPr>
          <w:rStyle w:val="CharSClsNo"/>
        </w:rPr>
        <w:t>15</w:t>
      </w:r>
      <w:r>
        <w:t>.</w:t>
      </w:r>
      <w:r>
        <w:tab/>
        <w:t>Schedule 2 clause 27A inserted</w:t>
      </w:r>
      <w:bookmarkEnd w:id="162"/>
    </w:p>
    <w:p>
      <w:pPr>
        <w:pStyle w:val="ySubsection"/>
      </w:pPr>
      <w:r>
        <w:tab/>
      </w:r>
      <w:r>
        <w:tab/>
        <w:t>After Schedule 2 clause 27 insert:</w:t>
      </w:r>
    </w:p>
    <w:p>
      <w:pPr>
        <w:pStyle w:val="BlankOpen"/>
      </w:pPr>
    </w:p>
    <w:p>
      <w:pPr>
        <w:pStyle w:val="zyHeading5"/>
        <w:spacing w:before="0"/>
      </w:pPr>
      <w:bookmarkStart w:id="163" w:name="_Toc536781909"/>
      <w:r>
        <w:t>27A.</w:t>
      </w:r>
      <w:r>
        <w:rPr>
          <w:b w:val="0"/>
        </w:rPr>
        <w:tab/>
      </w:r>
      <w:r>
        <w:t>WA modifications of clause 27</w:t>
      </w:r>
      <w:bookmarkEnd w:id="163"/>
    </w:p>
    <w:p>
      <w:pPr>
        <w:pStyle w:val="zySubsection"/>
        <w:rPr>
          <w:sz w:val="23"/>
        </w:rPr>
      </w:pPr>
      <w:r>
        <w:rPr>
          <w:sz w:val="23"/>
        </w:rPr>
        <w:tab/>
      </w:r>
      <w:r>
        <w:rPr>
          <w:sz w:val="23"/>
        </w:rPr>
        <w:tab/>
        <w:t xml:space="preserve">Clause 27 applies to a conferral of power by this Law to the extent that the power derives from an amendment to the </w:t>
      </w:r>
      <w:r>
        <w:rPr>
          <w:color w:val="000000"/>
          <w:sz w:val="23"/>
          <w:szCs w:val="23"/>
        </w:rPr>
        <w:t xml:space="preserve">Schedule to the </w:t>
      </w:r>
      <w:r>
        <w:rPr>
          <w:i/>
          <w:iCs/>
          <w:color w:val="000000"/>
          <w:sz w:val="23"/>
          <w:szCs w:val="23"/>
        </w:rPr>
        <w:t>National Gas (</w:t>
      </w:r>
      <w:smartTag w:uri="urn:schemas-microsoft-com:office:smarttags" w:element="State">
        <w:r>
          <w:rPr>
            <w:i/>
            <w:iCs/>
            <w:color w:val="000000"/>
            <w:sz w:val="23"/>
            <w:szCs w:val="23"/>
          </w:rPr>
          <w:t>South Australia</w:t>
        </w:r>
      </w:smartTag>
      <w:r>
        <w:rPr>
          <w:i/>
          <w:iCs/>
          <w:color w:val="000000"/>
          <w:sz w:val="23"/>
          <w:szCs w:val="23"/>
        </w:rPr>
        <w:t>) Act 2008</w:t>
      </w:r>
      <w:r>
        <w:rPr>
          <w:color w:val="000000"/>
          <w:sz w:val="23"/>
          <w:szCs w:val="23"/>
        </w:rPr>
        <w:t xml:space="preserve"> of </w:t>
      </w:r>
      <w:smartTag w:uri="urn:schemas-microsoft-com:office:smarttags" w:element="State">
        <w:smartTag w:uri="urn:schemas-microsoft-com:office:smarttags" w:element="place">
          <w:r>
            <w:rPr>
              <w:color w:val="000000"/>
              <w:sz w:val="23"/>
              <w:szCs w:val="23"/>
            </w:rPr>
            <w:t>South Australia</w:t>
          </w:r>
        </w:smartTag>
      </w:smartTag>
      <w:r>
        <w:rPr>
          <w:sz w:val="23"/>
        </w:rPr>
        <w:t xml:space="preserve"> — </w:t>
      </w:r>
    </w:p>
    <w:p>
      <w:pPr>
        <w:pStyle w:val="zyIndenta"/>
        <w:ind w:right="424"/>
        <w:rPr>
          <w:sz w:val="23"/>
        </w:rPr>
      </w:pPr>
      <w:r>
        <w:rPr>
          <w:sz w:val="23"/>
        </w:rPr>
        <w:tab/>
        <w:t>(a)</w:t>
      </w:r>
      <w:r>
        <w:rPr>
          <w:sz w:val="23"/>
        </w:rPr>
        <w:tab/>
        <w:t xml:space="preserve">as if references in clause 27(2), (5) and (6) to the commencement of the empowering provision referred to the time when the Western Australian National Gas Access Law text, as defined in section 7(2) of the </w:t>
      </w:r>
      <w:r>
        <w:rPr>
          <w:i/>
          <w:iCs/>
          <w:sz w:val="23"/>
        </w:rPr>
        <w:t>National Gas Access (WA) Act 2009</w:t>
      </w:r>
      <w:r>
        <w:rPr>
          <w:sz w:val="23"/>
        </w:rPr>
        <w:t>, is affected by the amendment; and</w:t>
      </w:r>
    </w:p>
    <w:p>
      <w:pPr>
        <w:pStyle w:val="zyIndenta"/>
        <w:rPr>
          <w:sz w:val="23"/>
        </w:rPr>
      </w:pPr>
      <w:r>
        <w:rPr>
          <w:sz w:val="23"/>
        </w:rPr>
        <w:tab/>
        <w:t>(b)</w:t>
      </w:r>
      <w:r>
        <w:rPr>
          <w:sz w:val="23"/>
        </w:rPr>
        <w:tab/>
        <w:t>as if the reference in clause 27(3) to additional power that would be conferred had an Act of South Australia commenced referred to additional power that would be conferred had the Western Australian National Gas Access Law text been already affected by the amendment; and</w:t>
      </w:r>
    </w:p>
    <w:p>
      <w:pPr>
        <w:pStyle w:val="zyIndenta"/>
      </w:pPr>
      <w:r>
        <w:rPr>
          <w:sz w:val="23"/>
        </w:rPr>
        <w:tab/>
        <w:t>(c)</w:t>
      </w:r>
      <w:r>
        <w:rPr>
          <w:sz w:val="23"/>
        </w:rPr>
        <w:tab/>
        <w:t>as if clause 27(7) had been omitted.</w:t>
      </w:r>
    </w:p>
    <w:p>
      <w:pPr>
        <w:pStyle w:val="BlankClose"/>
      </w:pPr>
    </w:p>
    <w:p>
      <w:pPr>
        <w:pStyle w:val="yHeading5"/>
      </w:pPr>
      <w:bookmarkStart w:id="164" w:name="_Toc536781910"/>
      <w:r>
        <w:rPr>
          <w:rStyle w:val="CharSClsNo"/>
        </w:rPr>
        <w:t>16</w:t>
      </w:r>
      <w:r>
        <w:t>.</w:t>
      </w:r>
      <w:r>
        <w:tab/>
        <w:t>Schedule 2 clause 34 modified</w:t>
      </w:r>
      <w:bookmarkEnd w:id="164"/>
    </w:p>
    <w:p>
      <w:pPr>
        <w:pStyle w:val="ySubsection"/>
      </w:pPr>
      <w:r>
        <w:tab/>
        <w:t>(1)</w:t>
      </w:r>
      <w:r>
        <w:tab/>
        <w:t>In Schedule 2 clause 34 delete “</w:t>
      </w:r>
      <w:r>
        <w:rPr>
          <w:sz w:val="23"/>
        </w:rPr>
        <w:t>In any proceedings</w:t>
      </w:r>
      <w:r>
        <w:t>” and insert:</w:t>
      </w:r>
    </w:p>
    <w:p>
      <w:pPr>
        <w:pStyle w:val="BlankOpen"/>
      </w:pPr>
    </w:p>
    <w:p>
      <w:pPr>
        <w:pStyle w:val="zySubsection"/>
        <w:spacing w:before="0"/>
        <w:rPr>
          <w:sz w:val="23"/>
        </w:rPr>
      </w:pPr>
      <w:r>
        <w:rPr>
          <w:sz w:val="23"/>
        </w:rPr>
        <w:tab/>
        <w:t>(1)</w:t>
      </w:r>
      <w:r>
        <w:rPr>
          <w:sz w:val="23"/>
        </w:rPr>
        <w:tab/>
        <w:t>In any proceedings</w:t>
      </w:r>
    </w:p>
    <w:p>
      <w:pPr>
        <w:pStyle w:val="BlankClose"/>
      </w:pPr>
    </w:p>
    <w:p>
      <w:pPr>
        <w:pStyle w:val="ySubsection"/>
      </w:pPr>
      <w:r>
        <w:tab/>
        <w:t>(2)</w:t>
      </w:r>
      <w:r>
        <w:tab/>
        <w:t>At the end of Schedule 2 clause 34 insert:</w:t>
      </w:r>
    </w:p>
    <w:p>
      <w:pPr>
        <w:pStyle w:val="BlankOpen"/>
      </w:pPr>
    </w:p>
    <w:p>
      <w:pPr>
        <w:pStyle w:val="zySubsection"/>
        <w:spacing w:before="0"/>
        <w:rPr>
          <w:sz w:val="23"/>
        </w:rPr>
      </w:pPr>
      <w:r>
        <w:rPr>
          <w:sz w:val="23"/>
        </w:rPr>
        <w:tab/>
        <w:t>(2)</w:t>
      </w:r>
      <w:r>
        <w:rPr>
          <w:sz w:val="23"/>
        </w:rPr>
        <w:tab/>
        <w:t xml:space="preserve">When subclause (1) is read as if a reference in it to the AER were a reference to the ERA, the subclause is to be read as if “an AER member, or an SES employee or acting SES employee assisting the AER as mentioned in section 44AAC of the </w:t>
      </w:r>
      <w:r>
        <w:rPr>
          <w:i/>
          <w:iCs/>
          <w:sz w:val="23"/>
        </w:rPr>
        <w:t>Trade Practices Act 1974</w:t>
      </w:r>
      <w:r>
        <w:rPr>
          <w:sz w:val="23"/>
        </w:rPr>
        <w:t xml:space="preserve"> of the Commonwealth” had been deleted and the following had been inserted instead:</w:t>
      </w:r>
    </w:p>
    <w:p>
      <w:pPr>
        <w:pStyle w:val="BlankOpen"/>
      </w:pPr>
    </w:p>
    <w:p>
      <w:pPr>
        <w:pStyle w:val="zySubsection"/>
        <w:spacing w:before="0"/>
        <w:rPr>
          <w:sz w:val="23"/>
        </w:rPr>
      </w:pPr>
      <w:r>
        <w:tab/>
      </w:r>
      <w:r>
        <w:tab/>
      </w:r>
      <w:r>
        <w:rPr>
          <w:sz w:val="23"/>
        </w:rPr>
        <w:t>a member of the ERA</w:t>
      </w:r>
    </w:p>
    <w:p>
      <w:pPr>
        <w:pStyle w:val="BlankClose"/>
      </w:pPr>
    </w:p>
    <w:p>
      <w:pPr>
        <w:pStyle w:val="yHeading5"/>
      </w:pPr>
      <w:bookmarkStart w:id="165" w:name="_Toc536781911"/>
      <w:r>
        <w:rPr>
          <w:rStyle w:val="CharSClsNo"/>
        </w:rPr>
        <w:t>17</w:t>
      </w:r>
      <w:r>
        <w:t>.</w:t>
      </w:r>
      <w:r>
        <w:tab/>
        <w:t>Schedule 2 clause 50 replaced</w:t>
      </w:r>
      <w:bookmarkEnd w:id="165"/>
    </w:p>
    <w:p>
      <w:pPr>
        <w:pStyle w:val="ySubsection"/>
        <w:keepNext/>
      </w:pPr>
      <w:r>
        <w:tab/>
      </w:r>
      <w:r>
        <w:tab/>
        <w:t>Delete Schedule 2 clause 50 and insert:</w:t>
      </w:r>
    </w:p>
    <w:p>
      <w:pPr>
        <w:pStyle w:val="BlankOpen"/>
      </w:pPr>
    </w:p>
    <w:p>
      <w:pPr>
        <w:pStyle w:val="zyHeading5"/>
        <w:spacing w:before="0"/>
      </w:pPr>
      <w:bookmarkStart w:id="166" w:name="_Toc536781912"/>
      <w:r>
        <w:t>50.</w:t>
      </w:r>
      <w:r>
        <w:rPr>
          <w:b w:val="0"/>
        </w:rPr>
        <w:tab/>
      </w:r>
      <w:r>
        <w:t>Attempts and incitement</w:t>
      </w:r>
      <w:bookmarkEnd w:id="166"/>
    </w:p>
    <w:p>
      <w:pPr>
        <w:pStyle w:val="zySubsection"/>
        <w:rPr>
          <w:sz w:val="23"/>
        </w:rPr>
      </w:pPr>
      <w:r>
        <w:rPr>
          <w:sz w:val="23"/>
        </w:rPr>
        <w:tab/>
      </w:r>
      <w:r>
        <w:rPr>
          <w:sz w:val="23"/>
        </w:rPr>
        <w:tab/>
        <w:t xml:space="preserve">Section 555A(1) and (2) of </w:t>
      </w:r>
      <w:r>
        <w:rPr>
          <w:i/>
          <w:iCs/>
          <w:sz w:val="23"/>
        </w:rPr>
        <w:t>The Criminal Code</w:t>
      </w:r>
      <w:r>
        <w:rPr>
          <w:sz w:val="23"/>
        </w:rPr>
        <w:t xml:space="preserve"> apply in relation to a simple offence under this Law as if it were a simple offence under </w:t>
      </w:r>
      <w:r>
        <w:rPr>
          <w:i/>
          <w:iCs/>
          <w:sz w:val="23"/>
        </w:rPr>
        <w:t>The Criminal Code</w:t>
      </w:r>
      <w:r>
        <w:rPr>
          <w:sz w:val="23"/>
        </w:rPr>
        <w:t>.</w:t>
      </w:r>
    </w:p>
    <w:p>
      <w:pPr>
        <w:pStyle w:val="BlankClose"/>
      </w:pPr>
    </w:p>
    <w:p>
      <w:pPr>
        <w:pStyle w:val="yHeading5"/>
        <w:spacing w:before="180"/>
      </w:pPr>
      <w:bookmarkStart w:id="167" w:name="_Toc536781913"/>
      <w:r>
        <w:rPr>
          <w:rStyle w:val="CharSClsNo"/>
        </w:rPr>
        <w:t>18</w:t>
      </w:r>
      <w:r>
        <w:t>.</w:t>
      </w:r>
      <w:r>
        <w:tab/>
        <w:t>Schedule 3 modified</w:t>
      </w:r>
      <w:bookmarkEnd w:id="167"/>
    </w:p>
    <w:p>
      <w:pPr>
        <w:pStyle w:val="ySubsection"/>
        <w:spacing w:before="120"/>
      </w:pPr>
      <w:r>
        <w:tab/>
        <w:t>(1)</w:t>
      </w:r>
      <w:r>
        <w:tab/>
        <w:t xml:space="preserve">In Schedule 3 clause 1 in the definition of </w:t>
      </w:r>
      <w:r>
        <w:rPr>
          <w:b/>
          <w:bCs/>
          <w:i/>
          <w:iCs/>
        </w:rPr>
        <w:t>commencement day</w:t>
      </w:r>
      <w:r>
        <w:t xml:space="preserve"> delete “</w:t>
      </w:r>
      <w:r>
        <w:rPr>
          <w:sz w:val="23"/>
        </w:rPr>
        <w:t>section 20 of the new application Act</w:t>
      </w:r>
      <w:r>
        <w:t>” and insert:</w:t>
      </w:r>
    </w:p>
    <w:p>
      <w:pPr>
        <w:pStyle w:val="BlankOpen"/>
      </w:pPr>
    </w:p>
    <w:p>
      <w:pPr>
        <w:pStyle w:val="zySubsection"/>
        <w:spacing w:before="0"/>
        <w:rPr>
          <w:sz w:val="23"/>
        </w:rPr>
      </w:pPr>
      <w:r>
        <w:tab/>
      </w:r>
      <w:r>
        <w:tab/>
      </w:r>
      <w:r>
        <w:rPr>
          <w:sz w:val="23"/>
        </w:rPr>
        <w:t xml:space="preserve">section 30 of the </w:t>
      </w:r>
      <w:r>
        <w:rPr>
          <w:i/>
          <w:iCs/>
          <w:sz w:val="23"/>
        </w:rPr>
        <w:t>National Gas Access (WA) Act 2009</w:t>
      </w:r>
    </w:p>
    <w:p>
      <w:pPr>
        <w:pStyle w:val="BlankClose"/>
      </w:pPr>
    </w:p>
    <w:p>
      <w:pPr>
        <w:pStyle w:val="ySubsection"/>
        <w:keepNext/>
      </w:pPr>
      <w:r>
        <w:tab/>
        <w:t>(2)</w:t>
      </w:r>
      <w:r>
        <w:tab/>
        <w:t>In Schedule 3 clause 45(3)(b) delete “</w:t>
      </w:r>
      <w:r>
        <w:rPr>
          <w:i/>
          <w:iCs/>
          <w:sz w:val="23"/>
        </w:rPr>
        <w:t>Gas Pipelines Access (</w:t>
      </w:r>
      <w:smartTag w:uri="urn:schemas-microsoft-com:office:smarttags" w:element="State">
        <w:smartTag w:uri="urn:schemas-microsoft-com:office:smarttags" w:element="place">
          <w:r>
            <w:rPr>
              <w:i/>
              <w:iCs/>
              <w:sz w:val="23"/>
            </w:rPr>
            <w:t>South Australia</w:t>
          </w:r>
        </w:smartTag>
      </w:smartTag>
      <w:r>
        <w:rPr>
          <w:i/>
          <w:iCs/>
          <w:sz w:val="23"/>
        </w:rPr>
        <w:t>) Regulations 1999</w:t>
      </w:r>
      <w:r>
        <w:rPr>
          <w:sz w:val="23"/>
        </w:rPr>
        <w:t xml:space="preserve"> were not revoked</w:t>
      </w:r>
      <w:r>
        <w:rPr>
          <w:i/>
          <w:iCs/>
          <w:sz w:val="23"/>
        </w:rPr>
        <w:t>.</w:t>
      </w:r>
      <w:r>
        <w:t>” and insert:</w:t>
      </w:r>
    </w:p>
    <w:p>
      <w:pPr>
        <w:pStyle w:val="BlankOpen"/>
      </w:pPr>
    </w:p>
    <w:p>
      <w:pPr>
        <w:pStyle w:val="zyIndenta"/>
        <w:spacing w:before="0"/>
        <w:rPr>
          <w:sz w:val="23"/>
        </w:rPr>
      </w:pPr>
      <w:r>
        <w:tab/>
      </w:r>
      <w:r>
        <w:tab/>
      </w:r>
      <w:r>
        <w:rPr>
          <w:i/>
          <w:iCs/>
          <w:sz w:val="23"/>
        </w:rPr>
        <w:t>Gas Pipelines Access (</w:t>
      </w:r>
      <w:smartTag w:uri="urn:schemas-microsoft-com:office:smarttags" w:element="State">
        <w:smartTag w:uri="urn:schemas-microsoft-com:office:smarttags" w:element="place">
          <w:r>
            <w:rPr>
              <w:i/>
              <w:iCs/>
              <w:sz w:val="23"/>
            </w:rPr>
            <w:t>Western Australia</w:t>
          </w:r>
        </w:smartTag>
      </w:smartTag>
      <w:r>
        <w:rPr>
          <w:i/>
          <w:iCs/>
          <w:sz w:val="23"/>
        </w:rPr>
        <w:t>) Regulations 2000</w:t>
      </w:r>
      <w:r>
        <w:rPr>
          <w:sz w:val="23"/>
        </w:rPr>
        <w:t xml:space="preserve"> were not repealed.</w:t>
      </w:r>
    </w:p>
    <w:p>
      <w:p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nHeading2"/>
      </w:pPr>
      <w:bookmarkStart w:id="169" w:name="_Toc501633824"/>
      <w:bookmarkStart w:id="170" w:name="_Toc501712720"/>
      <w:bookmarkStart w:id="171" w:name="_Toc536781914"/>
      <w:r>
        <w:t xml:space="preserve">Notes about </w:t>
      </w:r>
      <w:r>
        <w:rPr>
          <w:i/>
          <w:iCs/>
        </w:rPr>
        <w:t>National Gas Access (WA) Act 2009</w:t>
      </w:r>
      <w:bookmarkEnd w:id="169"/>
      <w:bookmarkEnd w:id="170"/>
      <w:bookmarkEnd w:id="171"/>
    </w:p>
    <w:p>
      <w:pPr>
        <w:pStyle w:val="nSubsection"/>
        <w:rPr>
          <w:snapToGrid w:val="0"/>
        </w:rPr>
      </w:pPr>
      <w:r>
        <w:rPr>
          <w:snapToGrid w:val="0"/>
          <w:vertAlign w:val="superscript"/>
        </w:rPr>
        <w:t>1</w:t>
      </w:r>
      <w:r>
        <w:rPr>
          <w:snapToGrid w:val="0"/>
        </w:rPr>
        <w:tab/>
        <w:t xml:space="preserve">This is a compilation of the </w:t>
      </w:r>
      <w:r>
        <w:rPr>
          <w:i/>
          <w:snapToGrid w:val="0"/>
        </w:rPr>
        <w:t>National Gas Access (WA) Act 2009</w:t>
      </w:r>
      <w:r>
        <w:rPr>
          <w:iCs/>
          <w:snapToGrid w:val="0"/>
        </w:rPr>
        <w:t xml:space="preserve"> and includes the amendments made by the other written laws referred to in the following table</w:t>
      </w:r>
      <w:r>
        <w:rPr>
          <w:snapToGrid w:val="0"/>
        </w:rPr>
        <w:t>.</w:t>
      </w:r>
    </w:p>
    <w:p>
      <w:pPr>
        <w:pStyle w:val="nHeading3"/>
        <w:rPr>
          <w:snapToGrid w:val="0"/>
        </w:rPr>
      </w:pPr>
      <w:bookmarkStart w:id="172" w:name="_Toc536781915"/>
      <w:r>
        <w:rPr>
          <w:snapToGrid w:val="0"/>
        </w:rPr>
        <w:t>Compilation table</w:t>
      </w:r>
      <w:bookmarkEnd w:id="17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National Gas Access (WA) Act 2009</w:t>
            </w:r>
          </w:p>
        </w:tc>
        <w:tc>
          <w:tcPr>
            <w:tcW w:w="1134" w:type="dxa"/>
            <w:tcBorders>
              <w:bottom w:val="nil"/>
            </w:tcBorders>
          </w:tcPr>
          <w:p>
            <w:pPr>
              <w:pStyle w:val="nTable"/>
              <w:spacing w:after="40"/>
            </w:pPr>
            <w:r>
              <w:t>16 of 2009</w:t>
            </w:r>
          </w:p>
        </w:tc>
        <w:tc>
          <w:tcPr>
            <w:tcW w:w="1134" w:type="dxa"/>
            <w:tcBorders>
              <w:bottom w:val="nil"/>
            </w:tcBorders>
          </w:tcPr>
          <w:p>
            <w:pPr>
              <w:pStyle w:val="nTable"/>
              <w:spacing w:after="40"/>
            </w:pPr>
            <w:r>
              <w:t>1 Sep 2009</w:t>
            </w:r>
          </w:p>
        </w:tc>
        <w:tc>
          <w:tcPr>
            <w:tcW w:w="2552" w:type="dxa"/>
            <w:tcBorders>
              <w:bottom w:val="nil"/>
            </w:tcBorders>
          </w:tcPr>
          <w:p>
            <w:pPr>
              <w:pStyle w:val="nTable"/>
              <w:spacing w:after="40"/>
            </w:pPr>
            <w:r>
              <w:t>s. 1 and 2: 1 Sep 2009 (see s. 2(a));</w:t>
            </w:r>
            <w:r>
              <w:br/>
              <w:t xml:space="preserve">Act other than s. 1 and 2: 1 Jan 2010 (see s. 2(b) and </w:t>
            </w:r>
            <w:r>
              <w:rPr>
                <w:i/>
                <w:iCs/>
              </w:rPr>
              <w:t>Gazette</w:t>
            </w:r>
            <w:r>
              <w:t xml:space="preserve"> 31 Dec 2009 p. 5327)</w:t>
            </w:r>
          </w:p>
        </w:tc>
      </w:tr>
      <w:tr>
        <w:tc>
          <w:tcPr>
            <w:tcW w:w="2268" w:type="dxa"/>
            <w:tcBorders>
              <w:top w:val="nil"/>
              <w:bottom w:val="nil"/>
            </w:tcBorders>
          </w:tcPr>
          <w:p>
            <w:pPr>
              <w:pStyle w:val="nTable"/>
              <w:spacing w:after="40"/>
            </w:pPr>
            <w:r>
              <w:rPr>
                <w:i/>
                <w:snapToGrid w:val="0"/>
              </w:rPr>
              <w:t>Petroleum and Energy Legislation Amendment Act 2010</w:t>
            </w:r>
            <w:r>
              <w:rPr>
                <w:iCs/>
                <w:snapToGrid w:val="0"/>
              </w:rPr>
              <w:t xml:space="preserve"> s. 184</w:t>
            </w:r>
          </w:p>
        </w:tc>
        <w:tc>
          <w:tcPr>
            <w:tcW w:w="1134" w:type="dxa"/>
            <w:tcBorders>
              <w:top w:val="nil"/>
              <w:bottom w:val="nil"/>
            </w:tcBorders>
          </w:tcPr>
          <w:p>
            <w:pPr>
              <w:pStyle w:val="nTable"/>
              <w:spacing w:after="40"/>
            </w:pPr>
            <w:r>
              <w:t>42 of 2010</w:t>
            </w:r>
          </w:p>
        </w:tc>
        <w:tc>
          <w:tcPr>
            <w:tcW w:w="1134" w:type="dxa"/>
            <w:tcBorders>
              <w:top w:val="nil"/>
              <w:bottom w:val="nil"/>
            </w:tcBorders>
          </w:tcPr>
          <w:p>
            <w:pPr>
              <w:pStyle w:val="nTable"/>
              <w:spacing w:after="40"/>
            </w:pPr>
            <w:r>
              <w:t>28 Oct 2010</w:t>
            </w:r>
          </w:p>
        </w:tc>
        <w:tc>
          <w:tcPr>
            <w:tcW w:w="2552" w:type="dxa"/>
            <w:tcBorders>
              <w:top w:val="nil"/>
              <w:bottom w:val="nil"/>
            </w:tcBorders>
          </w:tcPr>
          <w:p>
            <w:pPr>
              <w:pStyle w:val="nTable"/>
              <w:spacing w:after="40"/>
            </w:pPr>
            <w:r>
              <w:t xml:space="preserve">25 May 2011 (see s. 2(b) </w:t>
            </w:r>
            <w:r>
              <w:rPr>
                <w:i/>
              </w:rPr>
              <w:t>Gazette</w:t>
            </w:r>
            <w:r>
              <w:t xml:space="preserve"> 24 May 2011 p. 1892)</w:t>
            </w:r>
          </w:p>
        </w:tc>
      </w:tr>
      <w:tr>
        <w:tc>
          <w:tcPr>
            <w:tcW w:w="4536" w:type="dxa"/>
            <w:gridSpan w:val="3"/>
            <w:tcBorders>
              <w:top w:val="nil"/>
            </w:tcBorders>
          </w:tcPr>
          <w:p>
            <w:pPr>
              <w:pStyle w:val="nTable"/>
              <w:spacing w:after="40"/>
            </w:pPr>
            <w:r>
              <w:rPr>
                <w:i/>
                <w:snapToGrid w:val="0"/>
              </w:rPr>
              <w:t>National Gas Access (WA) (Act Amendment) Regulations 2017</w:t>
            </w:r>
            <w:r>
              <w:rPr>
                <w:snapToGrid w:val="0"/>
              </w:rPr>
              <w:t xml:space="preserve"> published in </w:t>
            </w:r>
            <w:r>
              <w:rPr>
                <w:i/>
                <w:snapToGrid w:val="0"/>
              </w:rPr>
              <w:t xml:space="preserve">Gazette </w:t>
            </w:r>
            <w:r>
              <w:rPr>
                <w:snapToGrid w:val="0"/>
              </w:rPr>
              <w:t>22 Dec 2017 p. 5985</w:t>
            </w:r>
            <w:r>
              <w:rPr>
                <w:snapToGrid w:val="0"/>
              </w:rPr>
              <w:noBreakHyphen/>
              <w:t>6</w:t>
            </w:r>
          </w:p>
        </w:tc>
        <w:tc>
          <w:tcPr>
            <w:tcW w:w="2552" w:type="dxa"/>
            <w:tcBorders>
              <w:top w:val="nil"/>
            </w:tcBorders>
          </w:tcPr>
          <w:p>
            <w:pPr>
              <w:pStyle w:val="nTable"/>
              <w:spacing w:after="40"/>
            </w:pPr>
            <w:r>
              <w:rPr>
                <w:rFonts w:ascii="Times" w:hAnsi="Times"/>
                <w:bCs/>
                <w:snapToGrid w:val="0"/>
                <w:spacing w:val="-2"/>
              </w:rPr>
              <w:t>r. 1 and 2: 22 Dec 2017 (see r. 2(a));</w:t>
            </w:r>
            <w:r>
              <w:rPr>
                <w:rFonts w:ascii="Times" w:hAnsi="Times"/>
                <w:bCs/>
                <w:snapToGrid w:val="0"/>
                <w:spacing w:val="-2"/>
              </w:rPr>
              <w:br/>
              <w:t xml:space="preserve">Regulations other than r. 1 and 2: 23 Dec 2017 (see r. 2(b) and </w:t>
            </w:r>
            <w:r>
              <w:rPr>
                <w:rFonts w:ascii="Times" w:hAnsi="Times"/>
                <w:bCs/>
                <w:i/>
                <w:snapToGrid w:val="0"/>
                <w:spacing w:val="-2"/>
              </w:rPr>
              <w:t>Gazette</w:t>
            </w:r>
            <w:r>
              <w:rPr>
                <w:rFonts w:ascii="Times" w:hAnsi="Times"/>
                <w:bCs/>
                <w:snapToGrid w:val="0"/>
                <w:spacing w:val="-2"/>
              </w:rPr>
              <w:t xml:space="preserve"> 22 Dec 2017 p. 5984)</w:t>
            </w:r>
          </w:p>
        </w:tc>
      </w:tr>
    </w:tbl>
    <w:p/>
    <w:p>
      <w:pPr>
        <w:sectPr>
          <w:headerReference w:type="even" r:id="rId30"/>
          <w:headerReference w:type="default" r:id="rId31"/>
          <w:endnotePr>
            <w:numFmt w:val="decimal"/>
          </w:endnotePr>
          <w:pgSz w:w="11907" w:h="16840" w:code="9"/>
          <w:pgMar w:top="2381" w:right="2410" w:bottom="3544" w:left="2410" w:header="720" w:footer="3380" w:gutter="0"/>
          <w:cols w:space="720"/>
          <w:docGrid w:linePitch="326"/>
        </w:sectPr>
      </w:pPr>
    </w:p>
    <w:p>
      <w:pPr>
        <w:pStyle w:val="yScheduleHeading"/>
        <w:pageBreakBefore w:val="0"/>
      </w:pPr>
      <w:bookmarkStart w:id="173" w:name="_Toc501633826"/>
      <w:bookmarkStart w:id="174" w:name="_Toc501712722"/>
      <w:bookmarkStart w:id="175" w:name="_Toc536781916"/>
      <w:r>
        <w:rPr>
          <w:rStyle w:val="CharSchNo"/>
        </w:rPr>
        <w:t>Note</w:t>
      </w:r>
      <w:r>
        <w:rPr>
          <w:rStyle w:val="CharSDivNo"/>
        </w:rPr>
        <w:t> </w:t>
      </w:r>
      <w:r>
        <w:t>—</w:t>
      </w:r>
      <w:r>
        <w:rPr>
          <w:rStyle w:val="CharSDivText"/>
        </w:rPr>
        <w:t> </w:t>
      </w:r>
      <w:r>
        <w:rPr>
          <w:rStyle w:val="CharSchText"/>
        </w:rPr>
        <w:t>Western Australian National Gas Access Law text</w:t>
      </w:r>
      <w:bookmarkEnd w:id="173"/>
      <w:bookmarkEnd w:id="174"/>
      <w:bookmarkEnd w:id="175"/>
    </w:p>
    <w:p>
      <w:pPr>
        <w:pStyle w:val="ySubsection"/>
        <w:rPr>
          <w:b/>
          <w:bCs/>
          <w:i/>
          <w:iCs/>
        </w:rPr>
      </w:pPr>
      <w:r>
        <w:rPr>
          <w:b/>
          <w:bCs/>
          <w:i/>
          <w:iCs/>
        </w:rPr>
        <w:tab/>
      </w:r>
      <w:r>
        <w:rPr>
          <w:b/>
          <w:bCs/>
          <w:i/>
          <w:iCs/>
        </w:rPr>
        <w:tab/>
        <w:t>[This note is not part of the Act.  It shows the text that, under section 7(1), applies as the National Gas Access (</w:t>
      </w:r>
      <w:smartTag w:uri="urn:schemas-microsoft-com:office:smarttags" w:element="State">
        <w:smartTag w:uri="urn:schemas-microsoft-com:office:smarttags" w:element="place">
          <w:r>
            <w:rPr>
              <w:b/>
              <w:bCs/>
              <w:i/>
              <w:iCs/>
            </w:rPr>
            <w:t>Western Australia</w:t>
          </w:r>
        </w:smartTag>
      </w:smartTag>
      <w:r>
        <w:rPr>
          <w:b/>
          <w:bCs/>
          <w:i/>
          <w:iCs/>
        </w:rPr>
        <w:t>) Law.]</w:t>
      </w:r>
    </w:p>
    <w:p>
      <w:pPr>
        <w:pStyle w:val="Heading2"/>
        <w:pageBreakBefore w:val="0"/>
      </w:pPr>
      <w:bookmarkStart w:id="176" w:name="_Toc501633827"/>
      <w:bookmarkStart w:id="177" w:name="_Toc501712723"/>
      <w:bookmarkStart w:id="178" w:name="_Toc536781917"/>
      <w:r>
        <w:rPr>
          <w:rStyle w:val="CharPartNo"/>
          <w:sz w:val="28"/>
        </w:rPr>
        <w:t xml:space="preserve">Chapter 1 </w:t>
      </w:r>
      <w:r>
        <w:t>—</w:t>
      </w:r>
      <w:r>
        <w:rPr>
          <w:color w:val="000000"/>
          <w:szCs w:val="34"/>
        </w:rPr>
        <w:t xml:space="preserve"> </w:t>
      </w:r>
      <w:r>
        <w:rPr>
          <w:rStyle w:val="CharPartText"/>
          <w:sz w:val="28"/>
        </w:rPr>
        <w:t>Preliminary</w:t>
      </w:r>
      <w:bookmarkEnd w:id="176"/>
      <w:bookmarkEnd w:id="177"/>
      <w:bookmarkEnd w:id="178"/>
    </w:p>
    <w:p>
      <w:pPr>
        <w:pStyle w:val="Heading3"/>
        <w:rPr>
          <w:szCs w:val="26"/>
        </w:rPr>
      </w:pPr>
      <w:bookmarkStart w:id="179" w:name="_Toc501633828"/>
      <w:bookmarkStart w:id="180" w:name="_Toc501712724"/>
      <w:bookmarkStart w:id="181" w:name="_Toc536781918"/>
      <w:r>
        <w:rPr>
          <w:rStyle w:val="CharDivNo"/>
        </w:rPr>
        <w:t xml:space="preserve">Part 1 </w:t>
      </w:r>
      <w:r>
        <w:rPr>
          <w:szCs w:val="26"/>
        </w:rPr>
        <w:t>—</w:t>
      </w:r>
      <w:r>
        <w:rPr>
          <w:color w:val="000000"/>
          <w:szCs w:val="32"/>
        </w:rPr>
        <w:t xml:space="preserve"> </w:t>
      </w:r>
      <w:r>
        <w:rPr>
          <w:rStyle w:val="CharDivText"/>
        </w:rPr>
        <w:t>Citation and interpretation</w:t>
      </w:r>
      <w:bookmarkEnd w:id="179"/>
      <w:bookmarkEnd w:id="180"/>
      <w:bookmarkEnd w:id="181"/>
    </w:p>
    <w:p>
      <w:pPr>
        <w:pStyle w:val="Heading5"/>
      </w:pPr>
      <w:bookmarkStart w:id="182" w:name="_Toc536781919"/>
      <w:r>
        <w:rPr>
          <w:rStyle w:val="CharSectno"/>
        </w:rPr>
        <w:t>1</w:t>
      </w:r>
      <w:r>
        <w:t>.</w:t>
      </w:r>
      <w:r>
        <w:tab/>
        <w:t>Citation</w:t>
      </w:r>
      <w:bookmarkEnd w:id="182"/>
    </w:p>
    <w:p>
      <w:pPr>
        <w:keepLines/>
        <w:autoSpaceDE w:val="0"/>
        <w:autoSpaceDN w:val="0"/>
        <w:adjustRightInd w:val="0"/>
        <w:spacing w:before="120"/>
        <w:ind w:left="1588"/>
        <w:rPr>
          <w:color w:val="000000"/>
          <w:sz w:val="23"/>
          <w:szCs w:val="23"/>
        </w:rPr>
      </w:pPr>
      <w:r>
        <w:rPr>
          <w:color w:val="000000"/>
          <w:sz w:val="23"/>
          <w:szCs w:val="23"/>
        </w:rPr>
        <w:t>This law may be cited as the National Gas Access Law.</w:t>
      </w:r>
    </w:p>
    <w:p>
      <w:pPr>
        <w:pStyle w:val="Footnotesection"/>
        <w:rPr>
          <w:color w:val="000000"/>
          <w:sz w:val="23"/>
          <w:szCs w:val="23"/>
        </w:rPr>
      </w:pPr>
      <w:r>
        <w:tab/>
        <w:t>[Section 1 modified: WA Act Sch. 1 cl. 2.]</w:t>
      </w:r>
    </w:p>
    <w:p>
      <w:pPr>
        <w:pStyle w:val="Heading5"/>
      </w:pPr>
      <w:bookmarkStart w:id="183" w:name="_Toc536781920"/>
      <w:r>
        <w:rPr>
          <w:rStyle w:val="CharSectno"/>
        </w:rPr>
        <w:t>2</w:t>
      </w:r>
      <w:r>
        <w:t>.</w:t>
      </w:r>
      <w:r>
        <w:tab/>
        <w:t>Definitions</w:t>
      </w:r>
      <w:bookmarkEnd w:id="183"/>
    </w:p>
    <w:p>
      <w:pPr>
        <w:keepNext/>
        <w:keepLines/>
        <w:autoSpaceDE w:val="0"/>
        <w:autoSpaceDN w:val="0"/>
        <w:adjustRightInd w:val="0"/>
        <w:spacing w:before="120"/>
        <w:ind w:left="1588"/>
        <w:rPr>
          <w:color w:val="000000"/>
          <w:sz w:val="23"/>
          <w:szCs w:val="23"/>
        </w:rPr>
      </w:pPr>
      <w:r>
        <w:rPr>
          <w:color w:val="000000"/>
          <w:sz w:val="23"/>
          <w:szCs w:val="23"/>
        </w:rPr>
        <w:t>In this Law—</w:t>
      </w:r>
    </w:p>
    <w:p>
      <w:pPr>
        <w:keepLines/>
        <w:autoSpaceDE w:val="0"/>
        <w:autoSpaceDN w:val="0"/>
        <w:adjustRightInd w:val="0"/>
        <w:spacing w:before="120"/>
        <w:ind w:left="1588"/>
        <w:rPr>
          <w:color w:val="000000"/>
          <w:sz w:val="23"/>
          <w:szCs w:val="23"/>
        </w:rPr>
      </w:pPr>
      <w:r>
        <w:rPr>
          <w:rStyle w:val="CharDefText"/>
          <w:sz w:val="23"/>
        </w:rPr>
        <w:t>15</w:t>
      </w:r>
      <w:r>
        <w:rPr>
          <w:rStyle w:val="CharDefText"/>
          <w:sz w:val="23"/>
        </w:rPr>
        <w:noBreakHyphen/>
        <w:t>year no</w:t>
      </w:r>
      <w:r>
        <w:rPr>
          <w:rStyle w:val="CharDefText"/>
          <w:sz w:val="23"/>
        </w:rPr>
        <w:noBreakHyphen/>
        <w:t>coverage determination</w:t>
      </w:r>
      <w:r>
        <w:rPr>
          <w:color w:val="000000"/>
          <w:sz w:val="23"/>
          <w:szCs w:val="23"/>
        </w:rPr>
        <w:t xml:space="preserve"> means a determination of a relevant Minister under Chapter 5 Part 2;</w:t>
      </w:r>
    </w:p>
    <w:p>
      <w:pPr>
        <w:keepLines/>
        <w:autoSpaceDE w:val="0"/>
        <w:autoSpaceDN w:val="0"/>
        <w:adjustRightInd w:val="0"/>
        <w:spacing w:before="120"/>
        <w:ind w:left="1588"/>
        <w:rPr>
          <w:color w:val="000000"/>
          <w:sz w:val="23"/>
          <w:szCs w:val="23"/>
        </w:rPr>
      </w:pPr>
      <w:r>
        <w:rPr>
          <w:rStyle w:val="CharDefText"/>
          <w:sz w:val="23"/>
        </w:rPr>
        <w:t>ACCC</w:t>
      </w:r>
      <w:r>
        <w:rPr>
          <w:color w:val="000000"/>
          <w:sz w:val="23"/>
          <w:szCs w:val="23"/>
        </w:rPr>
        <w:t xml:space="preserve"> means the Australian Competition and Consumer Commission established by section 6A of the </w:t>
      </w:r>
      <w:r>
        <w:rPr>
          <w:i/>
          <w:iCs/>
          <w:color w:val="000000"/>
          <w:sz w:val="23"/>
          <w:szCs w:val="23"/>
        </w:rPr>
        <w:t>Trade Practices Act 1974</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access arrangement</w:t>
      </w:r>
      <w:r>
        <w:rPr>
          <w:bCs/>
          <w:i/>
          <w:iCs/>
          <w:color w:val="000000"/>
          <w:sz w:val="23"/>
          <w:szCs w:val="23"/>
        </w:rPr>
        <w:t xml:space="preserve"> </w:t>
      </w:r>
      <w:r>
        <w:rPr>
          <w:color w:val="000000"/>
          <w:sz w:val="23"/>
          <w:szCs w:val="23"/>
        </w:rPr>
        <w:t>means an arrangement setting out terms and conditions about access to pipeline services provided or to be provided by means of a pipeline;</w:t>
      </w:r>
    </w:p>
    <w:p>
      <w:pPr>
        <w:keepLines/>
        <w:autoSpaceDE w:val="0"/>
        <w:autoSpaceDN w:val="0"/>
        <w:adjustRightInd w:val="0"/>
        <w:spacing w:before="120"/>
        <w:ind w:left="1588"/>
        <w:rPr>
          <w:color w:val="000000"/>
          <w:sz w:val="23"/>
          <w:szCs w:val="23"/>
        </w:rPr>
      </w:pPr>
      <w:r>
        <w:rPr>
          <w:rStyle w:val="CharDefText"/>
          <w:bCs/>
          <w:sz w:val="23"/>
        </w:rPr>
        <w:t>access determination</w:t>
      </w:r>
      <w:r>
        <w:rPr>
          <w:bCs/>
          <w:i/>
          <w:iCs/>
          <w:color w:val="000000"/>
          <w:sz w:val="23"/>
          <w:szCs w:val="23"/>
        </w:rPr>
        <w:t xml:space="preserve"> </w:t>
      </w:r>
      <w:r>
        <w:rPr>
          <w:color w:val="000000"/>
          <w:sz w:val="23"/>
          <w:szCs w:val="23"/>
        </w:rPr>
        <w:t>means a determination of the dispute resolution body under Chapter 6 Part 3 and includes a determination varied under Part 4 of that Chapter;</w:t>
      </w:r>
    </w:p>
    <w:p>
      <w:pPr>
        <w:keepLines/>
        <w:autoSpaceDE w:val="0"/>
        <w:autoSpaceDN w:val="0"/>
        <w:adjustRightInd w:val="0"/>
        <w:spacing w:before="120"/>
        <w:ind w:left="1588"/>
        <w:rPr>
          <w:color w:val="000000"/>
          <w:sz w:val="23"/>
          <w:szCs w:val="23"/>
        </w:rPr>
      </w:pPr>
      <w:r>
        <w:rPr>
          <w:rStyle w:val="CharDefText"/>
          <w:bCs/>
          <w:sz w:val="23"/>
        </w:rPr>
        <w:t>AEMC</w:t>
      </w:r>
      <w:r>
        <w:rPr>
          <w:color w:val="000000"/>
          <w:sz w:val="23"/>
          <w:szCs w:val="23"/>
        </w:rPr>
        <w:t xml:space="preserve"> means the Australian Energy Market Commission established by section 5 of the </w:t>
      </w:r>
      <w:r>
        <w:rPr>
          <w:i/>
          <w:iCs/>
          <w:color w:val="000000"/>
          <w:sz w:val="23"/>
          <w:szCs w:val="23"/>
        </w:rPr>
        <w:t>Australian Energy Market Commission Establishment Act 2004</w:t>
      </w:r>
      <w:r>
        <w:rPr>
          <w:color w:val="000000"/>
          <w:sz w:val="23"/>
          <w:szCs w:val="23"/>
        </w:rPr>
        <w:t xml:space="preserve"> of </w:t>
      </w:r>
      <w:smartTag w:uri="urn:schemas-microsoft-com:office:smarttags" w:element="State">
        <w:smartTag w:uri="urn:schemas-microsoft-com:office:smarttags" w:element="place">
          <w:r>
            <w:rPr>
              <w:color w:val="000000"/>
              <w:sz w:val="23"/>
              <w:szCs w:val="23"/>
            </w:rPr>
            <w:t>South Australia</w:t>
          </w:r>
        </w:smartTag>
      </w:smartTag>
      <w:r>
        <w:rPr>
          <w:color w:val="000000"/>
          <w:sz w:val="23"/>
          <w:szCs w:val="23"/>
        </w:rPr>
        <w:t>;</w:t>
      </w:r>
    </w:p>
    <w:p>
      <w:pPr>
        <w:keepLines/>
        <w:autoSpaceDE w:val="0"/>
        <w:autoSpaceDN w:val="0"/>
        <w:adjustRightInd w:val="0"/>
        <w:spacing w:before="120"/>
        <w:ind w:left="1588"/>
        <w:rPr>
          <w:color w:val="000000"/>
          <w:sz w:val="23"/>
          <w:szCs w:val="23"/>
        </w:rPr>
      </w:pPr>
      <w:r>
        <w:rPr>
          <w:rStyle w:val="CharDefText"/>
          <w:bCs/>
          <w:sz w:val="23"/>
        </w:rPr>
        <w:t>AER</w:t>
      </w:r>
      <w:r>
        <w:rPr>
          <w:color w:val="000000"/>
          <w:sz w:val="23"/>
          <w:szCs w:val="23"/>
        </w:rPr>
        <w:t xml:space="preserve"> means the Australian Energy Regulator established by section 44AE of the </w:t>
      </w:r>
      <w:r>
        <w:rPr>
          <w:i/>
          <w:iCs/>
          <w:color w:val="000000"/>
          <w:sz w:val="23"/>
          <w:szCs w:val="23"/>
        </w:rPr>
        <w:t>Trade Practices Act 1974</w:t>
      </w:r>
      <w:r>
        <w:rPr>
          <w:color w:val="000000"/>
          <w:sz w:val="23"/>
          <w:szCs w:val="23"/>
        </w:rPr>
        <w:t xml:space="preserve"> of the Commonwealth except if section 2A requires the term to be given a different meaning;</w:t>
      </w:r>
    </w:p>
    <w:p>
      <w:pPr>
        <w:autoSpaceDE w:val="0"/>
        <w:autoSpaceDN w:val="0"/>
        <w:adjustRightInd w:val="0"/>
        <w:spacing w:before="120"/>
        <w:ind w:left="1588"/>
        <w:rPr>
          <w:color w:val="000000"/>
          <w:sz w:val="23"/>
          <w:szCs w:val="23"/>
        </w:rPr>
      </w:pPr>
      <w:r>
        <w:rPr>
          <w:rStyle w:val="CharDefText"/>
          <w:bCs/>
          <w:sz w:val="23"/>
        </w:rPr>
        <w:t>AER economic regulatory decision</w:t>
      </w:r>
      <w:r>
        <w:rPr>
          <w:color w:val="000000"/>
          <w:sz w:val="23"/>
          <w:szCs w:val="23"/>
        </w:rPr>
        <w:t xml:space="preserve"> means a decision (however described) of the AER under this Law or the Rules performing or exercising an AER economic regulatory function or power;</w:t>
      </w:r>
    </w:p>
    <w:p>
      <w:pPr>
        <w:keepNext/>
        <w:keepLines/>
        <w:autoSpaceDE w:val="0"/>
        <w:autoSpaceDN w:val="0"/>
        <w:adjustRightInd w:val="0"/>
        <w:spacing w:before="120"/>
        <w:ind w:left="1588"/>
        <w:rPr>
          <w:color w:val="000000"/>
          <w:sz w:val="23"/>
          <w:szCs w:val="23"/>
        </w:rPr>
      </w:pPr>
      <w:r>
        <w:rPr>
          <w:rStyle w:val="CharDefText"/>
          <w:bCs/>
          <w:sz w:val="23"/>
        </w:rPr>
        <w:t>AER economic regulatory function or power</w:t>
      </w:r>
      <w:r>
        <w:rPr>
          <w:bCs/>
          <w:color w:val="000000"/>
          <w:sz w:val="23"/>
          <w:szCs w:val="23"/>
        </w:rPr>
        <w:t xml:space="preserve"> </w:t>
      </w:r>
      <w:r>
        <w:rPr>
          <w:color w:val="000000"/>
          <w:sz w:val="23"/>
          <w:szCs w:val="23"/>
        </w:rPr>
        <w:t>means a function or power performed or exercised by the AER under this Law or the Rules that relates to the economic regulation of pipeline services provided by a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means of;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connection with,</w:t>
      </w:r>
    </w:p>
    <w:p>
      <w:pPr>
        <w:keepLines/>
        <w:autoSpaceDE w:val="0"/>
        <w:autoSpaceDN w:val="0"/>
        <w:adjustRightInd w:val="0"/>
        <w:spacing w:before="120"/>
        <w:ind w:left="1588"/>
        <w:rPr>
          <w:color w:val="000000"/>
          <w:sz w:val="23"/>
          <w:szCs w:val="23"/>
        </w:rPr>
      </w:pPr>
      <w:r>
        <w:rPr>
          <w:color w:val="000000"/>
          <w:sz w:val="23"/>
          <w:szCs w:val="23"/>
        </w:rPr>
        <w:t>a scheme pipeline and includes a function or power performed or exercised by the AER under this Law or the Rules that relates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preparation of a service provider performance report;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ring fencing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 applicable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 access determination (if the AER is the dispute resolution body);</w:t>
      </w:r>
    </w:p>
    <w:p>
      <w:pPr>
        <w:keepLines/>
        <w:autoSpaceDE w:val="0"/>
        <w:autoSpaceDN w:val="0"/>
        <w:adjustRightInd w:val="0"/>
        <w:spacing w:before="120"/>
        <w:ind w:left="1588"/>
        <w:rPr>
          <w:color w:val="000000"/>
          <w:sz w:val="23"/>
          <w:szCs w:val="23"/>
        </w:rPr>
      </w:pPr>
      <w:r>
        <w:rPr>
          <w:rStyle w:val="CharDefText"/>
          <w:bCs/>
          <w:sz w:val="23"/>
        </w:rPr>
        <w:t>AER ring fencing determination</w:t>
      </w:r>
      <w:r>
        <w:rPr>
          <w:bCs/>
          <w:i/>
          <w:iCs/>
          <w:color w:val="000000"/>
          <w:sz w:val="23"/>
          <w:szCs w:val="23"/>
        </w:rPr>
        <w:t xml:space="preserve"> </w:t>
      </w:r>
      <w:r>
        <w:rPr>
          <w:color w:val="000000"/>
          <w:sz w:val="23"/>
          <w:szCs w:val="23"/>
        </w:rPr>
        <w:t>means a determination of the AER under section 143(1);</w:t>
      </w:r>
    </w:p>
    <w:p>
      <w:pPr>
        <w:keepNext/>
        <w:keepLines/>
        <w:autoSpaceDE w:val="0"/>
        <w:autoSpaceDN w:val="0"/>
        <w:adjustRightInd w:val="0"/>
        <w:spacing w:before="120"/>
        <w:ind w:left="1588"/>
        <w:rPr>
          <w:color w:val="000000"/>
          <w:sz w:val="23"/>
          <w:szCs w:val="23"/>
        </w:rPr>
      </w:pPr>
      <w:r>
        <w:rPr>
          <w:rStyle w:val="CharDefText"/>
          <w:bCs/>
          <w:sz w:val="23"/>
        </w:rPr>
        <w:t>applicable access arrangement</w:t>
      </w:r>
      <w:r>
        <w:rPr>
          <w:bCs/>
          <w:i/>
          <w:iCs/>
          <w:color w:val="000000"/>
          <w:sz w:val="23"/>
          <w:szCs w:val="23"/>
        </w:rPr>
        <w:t xml:space="preserve"> </w:t>
      </w:r>
      <w:r>
        <w:rPr>
          <w:color w:val="000000"/>
          <w:sz w:val="23"/>
          <w:szCs w:val="23"/>
        </w:rPr>
        <w:t>means a limited access arrangement or full access arrangement that has taken effect after being approved or made by the AER under the Rules and includes an applicable access arrangement as varied—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an access determination as provided by this Law or the Rules;</w:t>
      </w:r>
    </w:p>
    <w:p>
      <w:pPr>
        <w:keepNext/>
        <w:keepLines/>
        <w:autoSpaceDE w:val="0"/>
        <w:autoSpaceDN w:val="0"/>
        <w:adjustRightInd w:val="0"/>
        <w:spacing w:before="120"/>
        <w:ind w:left="1588"/>
        <w:rPr>
          <w:color w:val="000000"/>
          <w:sz w:val="23"/>
          <w:szCs w:val="23"/>
        </w:rPr>
      </w:pPr>
      <w:r>
        <w:rPr>
          <w:rStyle w:val="CharDefText"/>
          <w:bCs/>
          <w:sz w:val="23"/>
        </w:rPr>
        <w:t>applicable access arrangement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full access arrangement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limited access arrangement decision;</w:t>
      </w:r>
    </w:p>
    <w:p>
      <w:pPr>
        <w:keepLines/>
        <w:autoSpaceDE w:val="0"/>
        <w:autoSpaceDN w:val="0"/>
        <w:adjustRightInd w:val="0"/>
        <w:spacing w:before="120"/>
        <w:ind w:left="1588"/>
        <w:rPr>
          <w:color w:val="000000"/>
          <w:sz w:val="23"/>
          <w:szCs w:val="23"/>
        </w:rPr>
      </w:pPr>
      <w:r>
        <w:rPr>
          <w:rStyle w:val="CharDefText"/>
          <w:bCs/>
          <w:sz w:val="23"/>
        </w:rPr>
        <w:t>approved associate contract</w:t>
      </w:r>
      <w:r>
        <w:rPr>
          <w:bCs/>
          <w:i/>
          <w:iCs/>
          <w:color w:val="000000"/>
          <w:sz w:val="23"/>
          <w:szCs w:val="23"/>
        </w:rPr>
        <w:t xml:space="preserve"> </w:t>
      </w:r>
      <w:r>
        <w:rPr>
          <w:color w:val="000000"/>
          <w:sz w:val="23"/>
          <w:szCs w:val="23"/>
        </w:rPr>
        <w:t>means an associate contract approved by the AER under an associate contract decision;</w:t>
      </w:r>
    </w:p>
    <w:p>
      <w:pPr>
        <w:keepLines/>
        <w:autoSpaceDE w:val="0"/>
        <w:autoSpaceDN w:val="0"/>
        <w:adjustRightInd w:val="0"/>
        <w:spacing w:before="120"/>
        <w:ind w:left="1588"/>
        <w:rPr>
          <w:color w:val="000000"/>
          <w:sz w:val="23"/>
          <w:szCs w:val="23"/>
        </w:rPr>
      </w:pPr>
      <w:r>
        <w:rPr>
          <w:rStyle w:val="CharDefText"/>
          <w:bCs/>
          <w:sz w:val="23"/>
        </w:rPr>
        <w:t>associate</w:t>
      </w:r>
      <w:r>
        <w:rPr>
          <w:color w:val="000000"/>
          <w:sz w:val="23"/>
          <w:szCs w:val="23"/>
        </w:rPr>
        <w:t xml:space="preserve"> in relation to a person has the same meaning it would have under Division 2 of Part 1.2 of the </w:t>
      </w:r>
      <w:r>
        <w:rPr>
          <w:i/>
          <w:iCs/>
          <w:color w:val="000000"/>
          <w:sz w:val="23"/>
          <w:szCs w:val="23"/>
        </w:rPr>
        <w:t>Corporations Act 2001</w:t>
      </w:r>
      <w:r>
        <w:rPr>
          <w:color w:val="000000"/>
          <w:sz w:val="23"/>
          <w:szCs w:val="23"/>
        </w:rPr>
        <w:t xml:space="preserve"> of the Commonwealth if sections 13, 16(2) and 17 did not form part of that Act;</w:t>
      </w:r>
    </w:p>
    <w:p>
      <w:pPr>
        <w:keepNext/>
        <w:keepLines/>
        <w:autoSpaceDE w:val="0"/>
        <w:autoSpaceDN w:val="0"/>
        <w:adjustRightInd w:val="0"/>
        <w:spacing w:before="120"/>
        <w:ind w:left="1588"/>
        <w:rPr>
          <w:color w:val="000000"/>
          <w:sz w:val="23"/>
          <w:szCs w:val="23"/>
        </w:rPr>
      </w:pPr>
      <w:r>
        <w:rPr>
          <w:rStyle w:val="CharDefText"/>
          <w:bCs/>
          <w:sz w:val="23"/>
        </w:rPr>
        <w:t>associate contract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contract, arrangement or understanding between a service provider and an associate of the service provider in connection with the provision of an associate pipeline service;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contract, arrangement or understanding between a service provider and any person in connection with the provision of an associate pipeline service—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that provides a direct or indirect benefit to an associate;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is not at arm’s length;</w:t>
      </w:r>
    </w:p>
    <w:p>
      <w:pPr>
        <w:keepLines/>
        <w:autoSpaceDE w:val="0"/>
        <w:autoSpaceDN w:val="0"/>
        <w:adjustRightInd w:val="0"/>
        <w:spacing w:before="120"/>
        <w:ind w:left="1588"/>
        <w:rPr>
          <w:color w:val="000000"/>
          <w:sz w:val="23"/>
          <w:szCs w:val="23"/>
        </w:rPr>
      </w:pPr>
      <w:r>
        <w:rPr>
          <w:rStyle w:val="CharDefText"/>
          <w:bCs/>
          <w:sz w:val="23"/>
        </w:rPr>
        <w:t>associate contract decision</w:t>
      </w:r>
      <w:r>
        <w:rPr>
          <w:bCs/>
          <w:i/>
          <w:iCs/>
          <w:color w:val="000000"/>
          <w:sz w:val="23"/>
          <w:szCs w:val="23"/>
        </w:rPr>
        <w:t xml:space="preserve"> </w:t>
      </w:r>
      <w:r>
        <w:rPr>
          <w:color w:val="000000"/>
          <w:sz w:val="23"/>
          <w:szCs w:val="23"/>
        </w:rPr>
        <w:t>means a decision of the AER under the Rules that approves or does not approve an associate contract for the purposes of Chapter 4 Part 2 Division 5;</w:t>
      </w:r>
    </w:p>
    <w:p>
      <w:pPr>
        <w:keepLines/>
        <w:autoSpaceDE w:val="0"/>
        <w:autoSpaceDN w:val="0"/>
        <w:adjustRightInd w:val="0"/>
        <w:spacing w:before="120"/>
        <w:ind w:left="1588"/>
        <w:rPr>
          <w:color w:val="000000"/>
          <w:sz w:val="23"/>
          <w:szCs w:val="23"/>
        </w:rPr>
      </w:pPr>
      <w:r>
        <w:rPr>
          <w:rStyle w:val="CharDefText"/>
          <w:bCs/>
          <w:sz w:val="23"/>
        </w:rPr>
        <w:t>associate pipeline service</w:t>
      </w:r>
      <w:r>
        <w:rPr>
          <w:bCs/>
          <w:i/>
          <w:iCs/>
          <w:color w:val="000000"/>
          <w:sz w:val="23"/>
          <w:szCs w:val="23"/>
        </w:rPr>
        <w:t xml:space="preserve"> </w:t>
      </w:r>
      <w:r>
        <w:rPr>
          <w:color w:val="000000"/>
          <w:sz w:val="23"/>
          <w:szCs w:val="23"/>
        </w:rPr>
        <w:t>means a pipeline service provided by means of a pipeline other than a pipeline to which a 15</w:t>
      </w:r>
      <w:r>
        <w:rPr>
          <w:color w:val="000000"/>
          <w:sz w:val="23"/>
          <w:szCs w:val="23"/>
        </w:rPr>
        <w:noBreakHyphen/>
        <w:t>year no coverage determination applies;</w:t>
      </w:r>
    </w:p>
    <w:p>
      <w:pPr>
        <w:keepNext/>
        <w:keepLines/>
        <w:autoSpaceDE w:val="0"/>
        <w:autoSpaceDN w:val="0"/>
        <w:adjustRightInd w:val="0"/>
        <w:spacing w:before="120"/>
        <w:ind w:left="1588"/>
        <w:rPr>
          <w:color w:val="000000"/>
          <w:sz w:val="23"/>
          <w:szCs w:val="23"/>
        </w:rPr>
      </w:pPr>
      <w:r>
        <w:rPr>
          <w:rStyle w:val="CharDefText"/>
          <w:bCs/>
          <w:sz w:val="23"/>
        </w:rPr>
        <w:t>Bulletin Board information</w:t>
      </w:r>
      <w:r>
        <w:rPr>
          <w:bCs/>
          <w:i/>
          <w:iCs/>
          <w:color w:val="000000"/>
          <w:sz w:val="23"/>
          <w:szCs w:val="23"/>
        </w:rPr>
        <w:t xml:space="preserve"> </w:t>
      </w:r>
      <w:r>
        <w:rPr>
          <w:color w:val="000000"/>
          <w:sz w:val="23"/>
          <w:szCs w:val="23"/>
        </w:rPr>
        <w:t>means information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person gives to the Bulletin Board operator to comply with section 223(1);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gives to the Bulletin Board operator in circumstances expressly permitted by the Rules;</w:t>
      </w:r>
    </w:p>
    <w:p>
      <w:pPr>
        <w:keepLines/>
        <w:autoSpaceDE w:val="0"/>
        <w:autoSpaceDN w:val="0"/>
        <w:adjustRightInd w:val="0"/>
        <w:spacing w:before="120"/>
        <w:ind w:left="1588"/>
        <w:rPr>
          <w:color w:val="000000"/>
          <w:sz w:val="23"/>
          <w:szCs w:val="23"/>
        </w:rPr>
      </w:pPr>
      <w:r>
        <w:rPr>
          <w:rStyle w:val="CharDefText"/>
          <w:bCs/>
          <w:sz w:val="23"/>
        </w:rPr>
        <w:t>Bulletin Board operator</w:t>
      </w:r>
      <w:r>
        <w:rPr>
          <w:bCs/>
          <w:i/>
          <w:iCs/>
          <w:color w:val="000000"/>
          <w:sz w:val="23"/>
          <w:szCs w:val="23"/>
        </w:rPr>
        <w:t xml:space="preserve"> </w:t>
      </w:r>
      <w:r>
        <w:rPr>
          <w:color w:val="000000"/>
          <w:sz w:val="23"/>
          <w:szCs w:val="23"/>
        </w:rPr>
        <w:t>means the person prescribed by the Regulations for the purposes of section 217;</w:t>
      </w:r>
    </w:p>
    <w:p>
      <w:pPr>
        <w:keepLines/>
        <w:autoSpaceDE w:val="0"/>
        <w:autoSpaceDN w:val="0"/>
        <w:adjustRightInd w:val="0"/>
        <w:spacing w:before="120"/>
        <w:ind w:left="1588"/>
        <w:rPr>
          <w:color w:val="000000"/>
          <w:sz w:val="23"/>
          <w:szCs w:val="23"/>
        </w:rPr>
      </w:pPr>
      <w:r>
        <w:rPr>
          <w:rStyle w:val="CharDefText"/>
          <w:bCs/>
          <w:sz w:val="23"/>
        </w:rPr>
        <w:t>charge</w:t>
      </w:r>
      <w:r>
        <w:rPr>
          <w:color w:val="000000"/>
          <w:sz w:val="23"/>
          <w:szCs w:val="23"/>
        </w:rPr>
        <w:t>, in relation to a pipeline service, means the amount that is payable by a user to a service provider for the provision of the pipeline service to that user;</w:t>
      </w:r>
    </w:p>
    <w:p>
      <w:pPr>
        <w:keepNext/>
        <w:keepLines/>
        <w:autoSpaceDE w:val="0"/>
        <w:autoSpaceDN w:val="0"/>
        <w:adjustRightInd w:val="0"/>
        <w:spacing w:before="120"/>
        <w:ind w:left="1588"/>
        <w:rPr>
          <w:color w:val="000000"/>
          <w:sz w:val="23"/>
          <w:szCs w:val="23"/>
        </w:rPr>
      </w:pPr>
      <w:r>
        <w:rPr>
          <w:rStyle w:val="CharDefText"/>
          <w:bCs/>
          <w:sz w:val="23"/>
        </w:rPr>
        <w:t>civil penalty</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breach of a civil penalty provision by a natural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amount not exceeding $20 000;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amount not exceeding $2 000 for every day during which the breach continues;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breach of a civil penalty provision by a body corporate—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amount not exceeding $100 000;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amount not exceeding $10 000 for every day during which the breach continues;</w:t>
      </w:r>
    </w:p>
    <w:p>
      <w:pPr>
        <w:keepLines/>
        <w:autoSpaceDE w:val="0"/>
        <w:autoSpaceDN w:val="0"/>
        <w:adjustRightInd w:val="0"/>
        <w:spacing w:before="120"/>
        <w:ind w:left="1588"/>
        <w:rPr>
          <w:color w:val="000000"/>
          <w:sz w:val="23"/>
          <w:szCs w:val="23"/>
        </w:rPr>
      </w:pPr>
      <w:r>
        <w:rPr>
          <w:rStyle w:val="CharDefText"/>
          <w:bCs/>
          <w:sz w:val="23"/>
        </w:rPr>
        <w:t>civil penalty provision</w:t>
      </w:r>
      <w:r>
        <w:rPr>
          <w:bCs/>
          <w:i/>
          <w:iCs/>
          <w:color w:val="000000"/>
          <w:sz w:val="23"/>
          <w:szCs w:val="23"/>
        </w:rPr>
        <w:t xml:space="preserve"> </w:t>
      </w:r>
      <w:r>
        <w:rPr>
          <w:color w:val="000000"/>
          <w:sz w:val="23"/>
          <w:szCs w:val="23"/>
        </w:rPr>
        <w:t>has the meaning given by section 3;</w:t>
      </w:r>
    </w:p>
    <w:p>
      <w:pPr>
        <w:keepNext/>
        <w:keepLines/>
        <w:autoSpaceDE w:val="0"/>
        <w:autoSpaceDN w:val="0"/>
        <w:adjustRightInd w:val="0"/>
        <w:spacing w:before="120"/>
        <w:ind w:left="1588"/>
        <w:rPr>
          <w:color w:val="000000"/>
          <w:sz w:val="23"/>
          <w:szCs w:val="23"/>
        </w:rPr>
      </w:pPr>
      <w:r>
        <w:rPr>
          <w:rStyle w:val="CharDefText"/>
          <w:bCs/>
          <w:sz w:val="23"/>
        </w:rPr>
        <w:t>classification decision under the Rules</w:t>
      </w:r>
      <w:r>
        <w:rPr>
          <w:bCs/>
          <w:i/>
          <w:iCs/>
          <w:color w:val="000000"/>
          <w:sz w:val="23"/>
          <w:szCs w:val="23"/>
        </w:rPr>
        <w:t xml:space="preserve"> </w:t>
      </w:r>
      <w:r>
        <w:rPr>
          <w:color w:val="000000"/>
          <w:sz w:val="23"/>
          <w:szCs w:val="23"/>
        </w:rPr>
        <w:t>means a decision of the NCC under the Rules that classifies either of the following pipelines as a cross boundary transmission pipeline, cross boundary distribution pipeline, transmission pipeline or a distribution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in respect of which a tender approval decision becomes irrevocable by operation of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pipeline—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means of which a service provider intends to provide pipeline services to which a full access arrangement voluntarily submitted to the AER for approval by that provider will apply, if approved;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respect of which the NCC has not previously made an initial classification decision;</w:t>
      </w:r>
    </w:p>
    <w:p>
      <w:pPr>
        <w:keepLines/>
        <w:autoSpaceDE w:val="0"/>
        <w:autoSpaceDN w:val="0"/>
        <w:adjustRightInd w:val="0"/>
        <w:spacing w:before="120"/>
        <w:ind w:left="1588"/>
        <w:rPr>
          <w:color w:val="000000"/>
          <w:sz w:val="23"/>
          <w:szCs w:val="23"/>
        </w:rPr>
      </w:pPr>
      <w:r>
        <w:rPr>
          <w:rStyle w:val="CharDefText"/>
          <w:bCs/>
          <w:sz w:val="23"/>
        </w:rPr>
        <w:t>commission</w:t>
      </w:r>
      <w:r>
        <w:rPr>
          <w:color w:val="000000"/>
          <w:sz w:val="23"/>
          <w:szCs w:val="23"/>
        </w:rPr>
        <w:t>, in relation to a pipeline, has the meaning given by section 12;</w:t>
      </w:r>
    </w:p>
    <w:p>
      <w:pPr>
        <w:keepLines/>
        <w:autoSpaceDE w:val="0"/>
        <w:autoSpaceDN w:val="0"/>
        <w:adjustRightInd w:val="0"/>
        <w:spacing w:before="120"/>
        <w:ind w:left="1588"/>
        <w:rPr>
          <w:color w:val="000000"/>
          <w:sz w:val="23"/>
          <w:szCs w:val="23"/>
        </w:rPr>
      </w:pPr>
      <w:r>
        <w:rPr>
          <w:rStyle w:val="CharDefText"/>
          <w:bCs/>
          <w:sz w:val="23"/>
        </w:rPr>
        <w:t>Commonwealth Minister</w:t>
      </w:r>
      <w:r>
        <w:rPr>
          <w:bCs/>
          <w:i/>
          <w:iCs/>
          <w:color w:val="000000"/>
          <w:sz w:val="23"/>
          <w:szCs w:val="23"/>
        </w:rPr>
        <w:t xml:space="preserve"> </w:t>
      </w:r>
      <w:r>
        <w:rPr>
          <w:color w:val="000000"/>
          <w:sz w:val="23"/>
          <w:szCs w:val="23"/>
        </w:rPr>
        <w:t xml:space="preserve">means the Minister of the Commonwealth administering the </w:t>
      </w:r>
      <w:r>
        <w:rPr>
          <w:i/>
          <w:iCs/>
          <w:color w:val="000000"/>
          <w:sz w:val="23"/>
          <w:szCs w:val="23"/>
        </w:rPr>
        <w:t>Australian Energy Market Act 2004</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conduct provision</w:t>
      </w:r>
      <w:r>
        <w:rPr>
          <w:bCs/>
          <w:i/>
          <w:iCs/>
          <w:color w:val="000000"/>
          <w:sz w:val="23"/>
          <w:szCs w:val="23"/>
        </w:rPr>
        <w:t xml:space="preserve"> </w:t>
      </w:r>
      <w:r>
        <w:rPr>
          <w:color w:val="000000"/>
          <w:sz w:val="23"/>
          <w:szCs w:val="23"/>
        </w:rPr>
        <w:t>has the meaning given by section 4;</w:t>
      </w:r>
    </w:p>
    <w:p>
      <w:pPr>
        <w:keepLines/>
        <w:autoSpaceDE w:val="0"/>
        <w:autoSpaceDN w:val="0"/>
        <w:adjustRightInd w:val="0"/>
        <w:spacing w:before="120"/>
        <w:ind w:left="1588"/>
        <w:rPr>
          <w:color w:val="000000"/>
          <w:szCs w:val="23"/>
        </w:rPr>
      </w:pPr>
      <w:r>
        <w:rPr>
          <w:rStyle w:val="CharDefText"/>
          <w:bCs/>
          <w:sz w:val="23"/>
        </w:rPr>
        <w:t>constituent components</w:t>
      </w:r>
      <w:r>
        <w:rPr>
          <w:color w:val="000000"/>
          <w:szCs w:val="23"/>
        </w:rPr>
        <w:t>, in relation to a designated reviewable regulatory</w:t>
      </w:r>
      <w:r>
        <w:rPr>
          <w:color w:val="000000"/>
          <w:sz w:val="23"/>
          <w:szCs w:val="23"/>
        </w:rPr>
        <w:t xml:space="preserve"> </w:t>
      </w:r>
      <w:r>
        <w:rPr>
          <w:color w:val="000000"/>
          <w:szCs w:val="23"/>
        </w:rPr>
        <w:t>decision, means the matters that constitute the elements or components of the</w:t>
      </w:r>
      <w:r>
        <w:rPr>
          <w:color w:val="000000"/>
          <w:sz w:val="23"/>
          <w:szCs w:val="23"/>
        </w:rPr>
        <w:t xml:space="preserve"> </w:t>
      </w:r>
      <w:r>
        <w:rPr>
          <w:color w:val="000000"/>
          <w:szCs w:val="23"/>
        </w:rPr>
        <w:t>designated reviewable regulatory decision and on which that designated</w:t>
      </w:r>
      <w:r>
        <w:rPr>
          <w:color w:val="000000"/>
          <w:sz w:val="23"/>
          <w:szCs w:val="23"/>
        </w:rPr>
        <w:t xml:space="preserve"> </w:t>
      </w:r>
      <w:r>
        <w:rPr>
          <w:color w:val="000000"/>
          <w:szCs w:val="23"/>
        </w:rPr>
        <w:t>reviewable regulatory</w:t>
      </w:r>
      <w:r>
        <w:rPr>
          <w:color w:val="000000"/>
          <w:sz w:val="23"/>
          <w:szCs w:val="23"/>
        </w:rPr>
        <w:t xml:space="preserve"> decision is based and includes — </w:t>
      </w:r>
    </w:p>
    <w:p>
      <w:pPr>
        <w:keepLines/>
        <w:tabs>
          <w:tab w:val="center" w:pos="1985"/>
          <w:tab w:val="left" w:pos="2382"/>
        </w:tabs>
        <w:autoSpaceDE w:val="0"/>
        <w:autoSpaceDN w:val="0"/>
        <w:adjustRightInd w:val="0"/>
        <w:spacing w:before="120"/>
        <w:ind w:left="2382" w:hanging="794"/>
        <w:rPr>
          <w:color w:val="000000"/>
          <w:szCs w:val="23"/>
        </w:rPr>
      </w:pPr>
      <w:r>
        <w:rPr>
          <w:color w:val="000000"/>
          <w:sz w:val="23"/>
          <w:szCs w:val="23"/>
        </w:rPr>
        <w:tab/>
      </w:r>
      <w:r>
        <w:rPr>
          <w:color w:val="000000"/>
          <w:szCs w:val="23"/>
        </w:rPr>
        <w:t>(a)</w:t>
      </w:r>
      <w:r>
        <w:rPr>
          <w:color w:val="000000"/>
          <w:sz w:val="23"/>
          <w:szCs w:val="23"/>
        </w:rPr>
        <w:tab/>
      </w:r>
      <w:r>
        <w:rPr>
          <w:color w:val="000000"/>
          <w:szCs w:val="23"/>
        </w:rPr>
        <w:t>matters that go to the making of the designated reviewable regulatory</w:t>
      </w:r>
      <w:r>
        <w:rPr>
          <w:color w:val="000000"/>
          <w:sz w:val="23"/>
          <w:szCs w:val="23"/>
        </w:rPr>
        <w:t xml:space="preserve"> </w:t>
      </w:r>
      <w:r>
        <w:rPr>
          <w:color w:val="000000"/>
          <w:szCs w:val="23"/>
        </w:rPr>
        <w:t>decision; and</w:t>
      </w:r>
    </w:p>
    <w:p>
      <w:pPr>
        <w:keepLines/>
        <w:tabs>
          <w:tab w:val="center" w:pos="1985"/>
          <w:tab w:val="left" w:pos="2382"/>
        </w:tabs>
        <w:autoSpaceDE w:val="0"/>
        <w:autoSpaceDN w:val="0"/>
        <w:adjustRightInd w:val="0"/>
        <w:spacing w:before="120"/>
        <w:ind w:left="2382" w:hanging="794"/>
        <w:rPr>
          <w:color w:val="000000"/>
          <w:szCs w:val="23"/>
        </w:rPr>
      </w:pPr>
      <w:r>
        <w:rPr>
          <w:color w:val="000000"/>
          <w:sz w:val="23"/>
          <w:szCs w:val="23"/>
        </w:rPr>
        <w:tab/>
      </w:r>
      <w:r>
        <w:rPr>
          <w:color w:val="000000"/>
          <w:szCs w:val="23"/>
        </w:rPr>
        <w:t>(b)</w:t>
      </w:r>
      <w:r>
        <w:rPr>
          <w:color w:val="000000"/>
          <w:sz w:val="23"/>
          <w:szCs w:val="23"/>
        </w:rPr>
        <w:tab/>
      </w:r>
      <w:r>
        <w:rPr>
          <w:color w:val="000000"/>
          <w:szCs w:val="23"/>
        </w:rPr>
        <w:t>decisions made by the AER for the purposes of the designated</w:t>
      </w:r>
      <w:r>
        <w:rPr>
          <w:color w:val="000000"/>
          <w:sz w:val="23"/>
          <w:szCs w:val="23"/>
        </w:rPr>
        <w:t xml:space="preserve"> </w:t>
      </w:r>
      <w:r>
        <w:rPr>
          <w:color w:val="000000"/>
          <w:szCs w:val="23"/>
        </w:rPr>
        <w:t>reviewable regulatory decision;</w:t>
      </w:r>
    </w:p>
    <w:p>
      <w:pPr>
        <w:keepLines/>
        <w:autoSpaceDE w:val="0"/>
        <w:autoSpaceDN w:val="0"/>
        <w:adjustRightInd w:val="0"/>
        <w:spacing w:before="120"/>
        <w:ind w:left="1588"/>
        <w:rPr>
          <w:color w:val="000000"/>
          <w:sz w:val="23"/>
          <w:szCs w:val="23"/>
        </w:rPr>
      </w:pPr>
      <w:r>
        <w:rPr>
          <w:rStyle w:val="CharDefText"/>
          <w:bCs/>
          <w:sz w:val="23"/>
        </w:rPr>
        <w:t>coverage determination</w:t>
      </w:r>
      <w:r>
        <w:rPr>
          <w:bCs/>
          <w:i/>
          <w:iCs/>
          <w:color w:val="000000"/>
          <w:sz w:val="23"/>
          <w:szCs w:val="23"/>
        </w:rPr>
        <w:t xml:space="preserve"> </w:t>
      </w:r>
      <w:r>
        <w:rPr>
          <w:color w:val="000000"/>
          <w:sz w:val="23"/>
          <w:szCs w:val="23"/>
        </w:rPr>
        <w:t>means a determination of a relevant Minister under Chapter 3 Part 1 Division 1;</w:t>
      </w:r>
    </w:p>
    <w:p>
      <w:pPr>
        <w:keepLines/>
        <w:autoSpaceDE w:val="0"/>
        <w:autoSpaceDN w:val="0"/>
        <w:adjustRightInd w:val="0"/>
        <w:spacing w:before="120"/>
        <w:ind w:left="1588"/>
        <w:rPr>
          <w:color w:val="000000"/>
          <w:sz w:val="23"/>
          <w:szCs w:val="23"/>
        </w:rPr>
      </w:pPr>
      <w:r>
        <w:rPr>
          <w:rStyle w:val="CharDefText"/>
          <w:bCs/>
          <w:sz w:val="23"/>
        </w:rPr>
        <w:t>coverage recommendation</w:t>
      </w:r>
      <w:r>
        <w:rPr>
          <w:bCs/>
          <w:i/>
          <w:iCs/>
          <w:color w:val="000000"/>
          <w:sz w:val="23"/>
          <w:szCs w:val="23"/>
        </w:rPr>
        <w:t xml:space="preserve"> </w:t>
      </w:r>
      <w:r>
        <w:rPr>
          <w:color w:val="000000"/>
          <w:sz w:val="23"/>
          <w:szCs w:val="23"/>
        </w:rPr>
        <w:t>means a recommendation of the NCC under Chapter 3 Part 1 Division 1;</w:t>
      </w:r>
    </w:p>
    <w:p>
      <w:pPr>
        <w:keepLines/>
        <w:autoSpaceDE w:val="0"/>
        <w:autoSpaceDN w:val="0"/>
        <w:adjustRightInd w:val="0"/>
        <w:spacing w:before="120"/>
        <w:ind w:left="1588"/>
        <w:rPr>
          <w:color w:val="000000"/>
          <w:sz w:val="23"/>
          <w:szCs w:val="23"/>
        </w:rPr>
      </w:pPr>
      <w:r>
        <w:rPr>
          <w:rStyle w:val="CharDefText"/>
          <w:bCs/>
          <w:sz w:val="23"/>
        </w:rPr>
        <w:t>coverage revocation determination</w:t>
      </w:r>
      <w:r>
        <w:rPr>
          <w:bCs/>
          <w:i/>
          <w:iCs/>
          <w:color w:val="000000"/>
          <w:sz w:val="23"/>
          <w:szCs w:val="23"/>
        </w:rPr>
        <w:t xml:space="preserve"> </w:t>
      </w:r>
      <w:r>
        <w:rPr>
          <w:color w:val="000000"/>
          <w:sz w:val="23"/>
          <w:szCs w:val="23"/>
        </w:rPr>
        <w:t>means a determination of a relevant Minister under Chapter 3 Part 1 Division 2;</w:t>
      </w:r>
    </w:p>
    <w:p>
      <w:pPr>
        <w:keepLines/>
        <w:autoSpaceDE w:val="0"/>
        <w:autoSpaceDN w:val="0"/>
        <w:adjustRightInd w:val="0"/>
        <w:spacing w:before="120"/>
        <w:ind w:left="1588"/>
        <w:rPr>
          <w:color w:val="000000"/>
          <w:sz w:val="23"/>
          <w:szCs w:val="23"/>
        </w:rPr>
      </w:pPr>
      <w:r>
        <w:rPr>
          <w:rStyle w:val="CharDefText"/>
          <w:bCs/>
          <w:sz w:val="23"/>
        </w:rPr>
        <w:t>coverage revocation recommendation</w:t>
      </w:r>
      <w:r>
        <w:rPr>
          <w:bCs/>
          <w:i/>
          <w:iCs/>
          <w:color w:val="000000"/>
          <w:sz w:val="23"/>
          <w:szCs w:val="23"/>
        </w:rPr>
        <w:t xml:space="preserve"> </w:t>
      </w:r>
      <w:r>
        <w:rPr>
          <w:color w:val="000000"/>
          <w:sz w:val="23"/>
          <w:szCs w:val="23"/>
        </w:rPr>
        <w:t>means a recommendation of the NCC under Chapter 3 Part 1 Division 2;</w:t>
      </w:r>
    </w:p>
    <w:p>
      <w:pPr>
        <w:keepNext/>
        <w:keepLines/>
        <w:autoSpaceDE w:val="0"/>
        <w:autoSpaceDN w:val="0"/>
        <w:adjustRightInd w:val="0"/>
        <w:spacing w:before="120"/>
        <w:ind w:left="1588"/>
        <w:rPr>
          <w:color w:val="000000"/>
          <w:sz w:val="23"/>
          <w:szCs w:val="23"/>
        </w:rPr>
      </w:pPr>
      <w:r>
        <w:rPr>
          <w:rStyle w:val="CharDefText"/>
          <w:bCs/>
          <w:sz w:val="23"/>
        </w:rPr>
        <w:t>covered pipeline</w:t>
      </w:r>
      <w:r>
        <w:rPr>
          <w:bCs/>
          <w:i/>
          <w:iCs/>
          <w:color w:val="000000"/>
          <w:sz w:val="23"/>
          <w:szCs w:val="23"/>
        </w:rPr>
        <w:t xml:space="preserve"> </w:t>
      </w:r>
      <w:r>
        <w:rPr>
          <w:color w:val="000000"/>
          <w:sz w:val="23"/>
          <w:szCs w:val="23"/>
        </w:rPr>
        <w:t>means a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which a coverage determination applies;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deemed to be a covered pipeline by operation of section 126 or 127;</w:t>
      </w:r>
    </w:p>
    <w:p>
      <w:pPr>
        <w:keepLines/>
        <w:autoSpaceDE w:val="0"/>
        <w:autoSpaceDN w:val="0"/>
        <w:adjustRightInd w:val="0"/>
        <w:spacing w:before="120"/>
        <w:ind w:left="1588"/>
        <w:rPr>
          <w:color w:val="000000"/>
          <w:sz w:val="23"/>
          <w:szCs w:val="23"/>
        </w:rPr>
      </w:pPr>
      <w:r>
        <w:rPr>
          <w:rStyle w:val="CharDefText"/>
          <w:bCs/>
          <w:sz w:val="23"/>
        </w:rPr>
        <w:t>covered pipeline service provider</w:t>
      </w:r>
      <w:r>
        <w:rPr>
          <w:bCs/>
          <w:i/>
          <w:iCs/>
          <w:color w:val="000000"/>
          <w:sz w:val="23"/>
          <w:szCs w:val="23"/>
        </w:rPr>
        <w:t xml:space="preserve"> </w:t>
      </w:r>
      <w:r>
        <w:rPr>
          <w:color w:val="000000"/>
          <w:sz w:val="23"/>
          <w:szCs w:val="23"/>
        </w:rPr>
        <w:t>means a service provider that provides or intends to provide pipeline services by means of a covered pipeline;</w:t>
      </w:r>
    </w:p>
    <w:p>
      <w:pPr>
        <w:keepLines/>
        <w:autoSpaceDE w:val="0"/>
        <w:autoSpaceDN w:val="0"/>
        <w:adjustRightInd w:val="0"/>
        <w:spacing w:before="120"/>
        <w:ind w:left="1588"/>
        <w:rPr>
          <w:color w:val="000000"/>
          <w:sz w:val="23"/>
          <w:szCs w:val="23"/>
        </w:rPr>
      </w:pPr>
      <w:r>
        <w:rPr>
          <w:rStyle w:val="CharDefText"/>
          <w:bCs/>
          <w:sz w:val="23"/>
        </w:rPr>
        <w:t>cross boundary distribution pipeline</w:t>
      </w:r>
      <w:r>
        <w:rPr>
          <w:bCs/>
          <w:i/>
          <w:iCs/>
          <w:color w:val="000000"/>
          <w:sz w:val="23"/>
          <w:szCs w:val="23"/>
        </w:rPr>
        <w:t xml:space="preserve"> </w:t>
      </w:r>
      <w:r>
        <w:rPr>
          <w:color w:val="000000"/>
          <w:sz w:val="23"/>
          <w:szCs w:val="23"/>
        </w:rPr>
        <w:t>means a distribution pipeline that is partly situated in the jurisdictional areas of 2 or more participating jurisdictions;</w:t>
      </w:r>
    </w:p>
    <w:p>
      <w:pPr>
        <w:keepLines/>
        <w:autoSpaceDE w:val="0"/>
        <w:autoSpaceDN w:val="0"/>
        <w:adjustRightInd w:val="0"/>
        <w:spacing w:before="120"/>
        <w:ind w:left="1588"/>
        <w:rPr>
          <w:color w:val="000000"/>
          <w:sz w:val="23"/>
          <w:szCs w:val="23"/>
        </w:rPr>
      </w:pPr>
      <w:r>
        <w:rPr>
          <w:rStyle w:val="CharDefText"/>
          <w:bCs/>
          <w:sz w:val="23"/>
        </w:rPr>
        <w:t>cross boundary transmission pipeline</w:t>
      </w:r>
      <w:r>
        <w:rPr>
          <w:bCs/>
          <w:i/>
          <w:iCs/>
          <w:color w:val="000000"/>
          <w:sz w:val="23"/>
          <w:szCs w:val="23"/>
        </w:rPr>
        <w:t xml:space="preserve"> </w:t>
      </w:r>
      <w:r>
        <w:rPr>
          <w:color w:val="000000"/>
          <w:sz w:val="23"/>
          <w:szCs w:val="23"/>
        </w:rPr>
        <w:t>means a transmission pipeline that is partly situated in the jurisdictional areas of 2 or more participating jurisdictions;</w:t>
      </w:r>
    </w:p>
    <w:p>
      <w:pPr>
        <w:keepNext/>
        <w:keepLines/>
        <w:autoSpaceDE w:val="0"/>
        <w:autoSpaceDN w:val="0"/>
        <w:adjustRightInd w:val="0"/>
        <w:spacing w:before="120"/>
        <w:ind w:left="1588"/>
        <w:rPr>
          <w:color w:val="000000"/>
          <w:sz w:val="23"/>
          <w:szCs w:val="23"/>
        </w:rPr>
      </w:pPr>
      <w:r>
        <w:rPr>
          <w:rStyle w:val="CharDefText"/>
          <w:bCs/>
          <w:sz w:val="23"/>
        </w:rPr>
        <w:t>designated pipeline</w:t>
      </w:r>
      <w:r>
        <w:rPr>
          <w:color w:val="000000"/>
          <w:sz w:val="23"/>
          <w:szCs w:val="23"/>
        </w:rPr>
        <w:t xml:space="preserve"> means a pipeline classified by the Regulations, or designated in the application Act of a participating jurisdiction, as a designated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A light regulation determination cannot be made in respect of pipeline services provided by means of a designated pipeline: see sections 109 and 111.</w:t>
      </w:r>
    </w:p>
    <w:p>
      <w:pPr>
        <w:keepNext/>
        <w:keepLines/>
        <w:autoSpaceDE w:val="0"/>
        <w:autoSpaceDN w:val="0"/>
        <w:adjustRightInd w:val="0"/>
        <w:spacing w:before="120"/>
        <w:ind w:left="1588"/>
        <w:rPr>
          <w:color w:val="000000"/>
          <w:sz w:val="23"/>
          <w:szCs w:val="23"/>
        </w:rPr>
      </w:pPr>
      <w:r>
        <w:rPr>
          <w:rStyle w:val="CharDefText"/>
          <w:bCs/>
          <w:sz w:val="23"/>
          <w:szCs w:val="23"/>
        </w:rPr>
        <w:t>designated reviewable regulatory decision</w:t>
      </w:r>
      <w:r>
        <w:rPr>
          <w:color w:val="000000"/>
          <w:sz w:val="23"/>
          <w:szCs w:val="23"/>
        </w:rPr>
        <w:t xml:space="preserve"> means an applicable access arrangement decision (other than a full access arrangement decision that does not approve a full access arrangement);</w:t>
      </w:r>
    </w:p>
    <w:p>
      <w:pPr>
        <w:keepLines/>
        <w:autoSpaceDE w:val="0"/>
        <w:autoSpaceDN w:val="0"/>
        <w:adjustRightInd w:val="0"/>
        <w:spacing w:before="120"/>
        <w:ind w:left="1588"/>
        <w:rPr>
          <w:color w:val="000000"/>
          <w:sz w:val="23"/>
          <w:szCs w:val="23"/>
        </w:rPr>
      </w:pPr>
      <w:r>
        <w:rPr>
          <w:rStyle w:val="CharDefText"/>
          <w:bCs/>
          <w:sz w:val="23"/>
        </w:rPr>
        <w:t>developable capacity</w:t>
      </w:r>
      <w:r>
        <w:rPr>
          <w:bCs/>
          <w:i/>
          <w:iCs/>
          <w:color w:val="000000"/>
          <w:sz w:val="23"/>
          <w:szCs w:val="23"/>
        </w:rPr>
        <w:t xml:space="preserve"> </w:t>
      </w:r>
      <w:r>
        <w:rPr>
          <w:color w:val="000000"/>
          <w:sz w:val="23"/>
          <w:szCs w:val="23"/>
        </w:rPr>
        <w:t>means the difference between the current capacity of a covered pipeline and the capacity of a covered pipeline which would be available if a new facility was constructed, but does not include any new capacity of a covered pipeline resulting from an extension to the geographic range of a covered pipeline;</w:t>
      </w:r>
    </w:p>
    <w:p>
      <w:pPr>
        <w:keepLines/>
        <w:autoSpaceDE w:val="0"/>
        <w:autoSpaceDN w:val="0"/>
        <w:adjustRightInd w:val="0"/>
        <w:spacing w:before="120"/>
        <w:ind w:left="1588"/>
        <w:rPr>
          <w:color w:val="000000"/>
          <w:sz w:val="23"/>
          <w:szCs w:val="23"/>
        </w:rPr>
      </w:pPr>
      <w:r>
        <w:rPr>
          <w:rStyle w:val="CharDefText"/>
          <w:bCs/>
          <w:sz w:val="23"/>
        </w:rPr>
        <w:t>dispute resolution body</w:t>
      </w:r>
      <w:r>
        <w:rPr>
          <w:bCs/>
          <w:i/>
          <w:iCs/>
          <w:color w:val="000000"/>
          <w:sz w:val="23"/>
          <w:szCs w:val="23"/>
        </w:rPr>
        <w:t xml:space="preserve"> </w:t>
      </w:r>
      <w:r>
        <w:rPr>
          <w:sz w:val="23"/>
        </w:rPr>
        <w:t>has the meaning given to that term in</w:t>
      </w:r>
      <w:r>
        <w:rPr>
          <w:iCs/>
          <w:sz w:val="23"/>
        </w:rPr>
        <w:t xml:space="preserve"> section 9(1) of</w:t>
      </w:r>
      <w:r>
        <w:rPr>
          <w:sz w:val="23"/>
        </w:rPr>
        <w:t xml:space="preserve"> the </w:t>
      </w:r>
      <w:r>
        <w:rPr>
          <w:i/>
          <w:sz w:val="23"/>
        </w:rPr>
        <w:t>National Gas Access (WA) Act 2009</w:t>
      </w:r>
      <w:r>
        <w:rPr>
          <w:sz w:val="23"/>
        </w:rPr>
        <w:t>;</w:t>
      </w:r>
    </w:p>
    <w:p>
      <w:pPr>
        <w:keepNext/>
        <w:keepLines/>
        <w:autoSpaceDE w:val="0"/>
        <w:autoSpaceDN w:val="0"/>
        <w:adjustRightInd w:val="0"/>
        <w:spacing w:before="120"/>
        <w:ind w:left="1588"/>
        <w:rPr>
          <w:color w:val="000000"/>
          <w:sz w:val="23"/>
          <w:szCs w:val="23"/>
        </w:rPr>
      </w:pPr>
      <w:r>
        <w:rPr>
          <w:rStyle w:val="CharDefText"/>
          <w:bCs/>
          <w:sz w:val="23"/>
        </w:rPr>
        <w:t>distribution pipeline</w:t>
      </w:r>
      <w:r>
        <w:rPr>
          <w:bCs/>
          <w:i/>
          <w:iCs/>
          <w:color w:val="000000"/>
          <w:sz w:val="23"/>
          <w:szCs w:val="23"/>
        </w:rPr>
        <w:t xml:space="preserve"> </w:t>
      </w:r>
      <w:r>
        <w:rPr>
          <w:color w:val="000000"/>
          <w:sz w:val="23"/>
          <w:szCs w:val="23"/>
        </w:rPr>
        <w:t>means a pipeline that is classified in accordance with this Law or the Rules as a distribution pipeline and includes any extension to, or expansion of the capacity of, such a pipeline when it is a covered pipeline that, by operation of an applicable access arrangement or under this Law, is to be treated as part of the pipeline;</w:t>
      </w:r>
    </w:p>
    <w:p>
      <w:pPr>
        <w:keepNext/>
        <w:keepLines/>
        <w:autoSpaceDE w:val="0"/>
        <w:autoSpaceDN w:val="0"/>
        <w:adjustRightInd w:val="0"/>
        <w:spacing w:before="120"/>
        <w:ind w:left="2382" w:hanging="794"/>
        <w:rPr>
          <w:b/>
          <w:bCs/>
          <w:color w:val="000000"/>
          <w:sz w:val="23"/>
        </w:rPr>
      </w:pPr>
      <w:r>
        <w:rPr>
          <w:b/>
          <w:bCs/>
          <w:color w:val="000000"/>
          <w:sz w:val="23"/>
        </w:rPr>
        <w:t>Note—</w:t>
      </w:r>
    </w:p>
    <w:p>
      <w:pPr>
        <w:keepLines/>
        <w:autoSpaceDE w:val="0"/>
        <w:autoSpaceDN w:val="0"/>
        <w:adjustRightInd w:val="0"/>
        <w:spacing w:before="120"/>
        <w:ind w:left="2382"/>
        <w:rPr>
          <w:color w:val="000000"/>
          <w:sz w:val="23"/>
        </w:rPr>
      </w:pPr>
      <w:r>
        <w:rPr>
          <w:color w:val="000000"/>
          <w:sz w:val="23"/>
        </w:rPr>
        <w:t>See also sections 18 and 19.</w:t>
      </w:r>
    </w:p>
    <w:p>
      <w:pPr>
        <w:keepLines/>
        <w:autoSpaceDE w:val="0"/>
        <w:autoSpaceDN w:val="0"/>
        <w:adjustRightInd w:val="0"/>
        <w:spacing w:before="120"/>
        <w:ind w:left="1588"/>
        <w:rPr>
          <w:color w:val="000000"/>
          <w:sz w:val="23"/>
          <w:szCs w:val="23"/>
        </w:rPr>
      </w:pPr>
      <w:r>
        <w:rPr>
          <w:rStyle w:val="CharDefText"/>
          <w:bCs/>
          <w:sz w:val="23"/>
        </w:rPr>
        <w:t>draft Rule determination</w:t>
      </w:r>
      <w:r>
        <w:rPr>
          <w:bCs/>
          <w:i/>
          <w:iCs/>
          <w:color w:val="000000"/>
          <w:sz w:val="23"/>
          <w:szCs w:val="23"/>
        </w:rPr>
        <w:t xml:space="preserve"> </w:t>
      </w:r>
      <w:r>
        <w:rPr>
          <w:color w:val="000000"/>
          <w:sz w:val="23"/>
          <w:szCs w:val="23"/>
        </w:rPr>
        <w:t>means a determination of the AEMC under section 308;</w:t>
      </w:r>
    </w:p>
    <w:p>
      <w:pPr>
        <w:keepLines/>
        <w:autoSpaceDE w:val="0"/>
        <w:autoSpaceDN w:val="0"/>
        <w:adjustRightInd w:val="0"/>
        <w:spacing w:before="120"/>
        <w:ind w:left="1588"/>
        <w:rPr>
          <w:color w:val="000000"/>
          <w:sz w:val="23"/>
          <w:szCs w:val="23"/>
        </w:rPr>
      </w:pPr>
      <w:r>
        <w:rPr>
          <w:rStyle w:val="CharDefText"/>
          <w:bCs/>
          <w:sz w:val="23"/>
        </w:rPr>
        <w:t>end user</w:t>
      </w:r>
      <w:r>
        <w:rPr>
          <w:bCs/>
          <w:i/>
          <w:iCs/>
          <w:color w:val="000000"/>
          <w:sz w:val="23"/>
          <w:szCs w:val="23"/>
        </w:rPr>
        <w:t xml:space="preserve"> </w:t>
      </w:r>
      <w:r>
        <w:rPr>
          <w:color w:val="000000"/>
          <w:sz w:val="23"/>
          <w:szCs w:val="23"/>
        </w:rPr>
        <w:t>means a person who acquires natural gas or proposes to acquire natural gas for consumption purposes;</w:t>
      </w:r>
    </w:p>
    <w:p>
      <w:pPr>
        <w:keepLines/>
        <w:autoSpaceDE w:val="0"/>
        <w:autoSpaceDN w:val="0"/>
        <w:adjustRightInd w:val="0"/>
        <w:spacing w:before="120"/>
        <w:ind w:left="1588"/>
        <w:rPr>
          <w:color w:val="000000"/>
          <w:sz w:val="23"/>
          <w:szCs w:val="23"/>
        </w:rPr>
      </w:pPr>
      <w:r>
        <w:rPr>
          <w:rStyle w:val="CharDefText"/>
          <w:bCs/>
          <w:sz w:val="23"/>
        </w:rPr>
        <w:t>ERA</w:t>
      </w:r>
      <w:r>
        <w:rPr>
          <w:color w:val="000000"/>
          <w:sz w:val="23"/>
          <w:szCs w:val="23"/>
        </w:rPr>
        <w:t xml:space="preserve"> means the Economic Regulation Authority established by section 4 of the </w:t>
      </w:r>
      <w:r>
        <w:rPr>
          <w:i/>
          <w:iCs/>
          <w:color w:val="000000"/>
          <w:sz w:val="23"/>
          <w:szCs w:val="23"/>
        </w:rPr>
        <w:t>Economic Regulation Authority Act 2003</w:t>
      </w:r>
      <w:r>
        <w:rPr>
          <w:color w:val="000000"/>
          <w:sz w:val="23"/>
          <w:szCs w:val="23"/>
        </w:rPr>
        <w:t xml:space="preserve"> of </w:t>
      </w:r>
      <w:smartTag w:uri="urn:schemas-microsoft-com:office:smarttags" w:element="State">
        <w:smartTag w:uri="urn:schemas-microsoft-com:office:smarttags" w:element="place">
          <w:r>
            <w:rPr>
              <w:color w:val="000000"/>
              <w:sz w:val="23"/>
              <w:szCs w:val="23"/>
            </w:rPr>
            <w:t>Western Australia</w:t>
          </w:r>
        </w:smartTag>
      </w:smartTag>
      <w:r>
        <w:rPr>
          <w:color w:val="000000"/>
          <w:sz w:val="23"/>
          <w:szCs w:val="23"/>
        </w:rPr>
        <w:t>;</w:t>
      </w:r>
    </w:p>
    <w:p>
      <w:pPr>
        <w:keepNext/>
        <w:keepLines/>
        <w:autoSpaceDE w:val="0"/>
        <w:autoSpaceDN w:val="0"/>
        <w:adjustRightInd w:val="0"/>
        <w:spacing w:before="120"/>
        <w:ind w:left="1588"/>
        <w:rPr>
          <w:color w:val="000000"/>
          <w:sz w:val="23"/>
          <w:szCs w:val="23"/>
        </w:rPr>
      </w:pPr>
      <w:r>
        <w:rPr>
          <w:rStyle w:val="CharDefText"/>
          <w:bCs/>
          <w:sz w:val="23"/>
        </w:rPr>
        <w:t>extension and expansion requirements</w:t>
      </w:r>
      <w:r>
        <w:rPr>
          <w:bCs/>
          <w:i/>
          <w:iCs/>
          <w:color w:val="000000"/>
          <w:sz w:val="23"/>
          <w:szCs w:val="23"/>
        </w:rPr>
        <w:t xml:space="preserve"> </w:t>
      </w:r>
      <w:r>
        <w:rPr>
          <w:color w:val="000000"/>
          <w:sz w:val="23"/>
          <w:szCs w:val="23"/>
        </w:rPr>
        <w:t>means—</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requirements contained in an access arrangement that, in accordance with the Rules, specify—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circumstances when an extension to, or expansion of the capacity of, a covered pipeline is to be treated as forming part of the covered pipeline;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whether the pipeline services provided or to be provided by means of, or in connection with, spare capacity arising out of an extension to, or expansion of the capacity of, a covered pipeline will be subject to the applicable access arrangement applying to the pipeline services to which that arrangement applies;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whether an extension to, or expansion of the capacity of, a covered pipeline will affect a reference tariff, and if so, the effect on the reference tariff;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other requirements specified by the Rules as extension and expansion requirements;</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sections 18 and 19.</w:t>
      </w:r>
    </w:p>
    <w:p>
      <w:pPr>
        <w:keepLines/>
        <w:autoSpaceDE w:val="0"/>
        <w:autoSpaceDN w:val="0"/>
        <w:adjustRightInd w:val="0"/>
        <w:spacing w:before="120"/>
        <w:ind w:left="1588"/>
        <w:rPr>
          <w:color w:val="000000"/>
          <w:sz w:val="23"/>
          <w:szCs w:val="23"/>
        </w:rPr>
      </w:pPr>
      <w:r>
        <w:rPr>
          <w:rStyle w:val="CharDefText"/>
          <w:bCs/>
          <w:sz w:val="23"/>
        </w:rPr>
        <w:t>final Rule determination</w:t>
      </w:r>
      <w:r>
        <w:rPr>
          <w:bCs/>
          <w:i/>
          <w:iCs/>
          <w:color w:val="000000"/>
          <w:sz w:val="23"/>
          <w:szCs w:val="23"/>
        </w:rPr>
        <w:t xml:space="preserve"> </w:t>
      </w:r>
      <w:r>
        <w:rPr>
          <w:color w:val="000000"/>
          <w:sz w:val="23"/>
          <w:szCs w:val="23"/>
        </w:rPr>
        <w:t>means a determination of the AEMC under section 311;</w:t>
      </w:r>
    </w:p>
    <w:p>
      <w:pPr>
        <w:keepLines/>
        <w:autoSpaceDE w:val="0"/>
        <w:autoSpaceDN w:val="0"/>
        <w:adjustRightInd w:val="0"/>
        <w:spacing w:before="120"/>
        <w:ind w:left="1588"/>
        <w:rPr>
          <w:color w:val="000000"/>
          <w:sz w:val="23"/>
          <w:szCs w:val="23"/>
        </w:rPr>
      </w:pPr>
      <w:r>
        <w:rPr>
          <w:rStyle w:val="CharDefText"/>
          <w:bCs/>
          <w:sz w:val="23"/>
        </w:rPr>
        <w:t>foreign company</w:t>
      </w:r>
      <w:r>
        <w:rPr>
          <w:bCs/>
          <w:i/>
          <w:iCs/>
          <w:color w:val="000000"/>
          <w:sz w:val="23"/>
          <w:szCs w:val="23"/>
        </w:rPr>
        <w:t xml:space="preserve"> </w:t>
      </w:r>
      <w:r>
        <w:rPr>
          <w:color w:val="000000"/>
          <w:sz w:val="23"/>
          <w:szCs w:val="23"/>
        </w:rPr>
        <w:t xml:space="preserve">has the same meaning as in the </w:t>
      </w:r>
      <w:r>
        <w:rPr>
          <w:i/>
          <w:iCs/>
          <w:color w:val="000000"/>
          <w:sz w:val="23"/>
          <w:szCs w:val="23"/>
        </w:rPr>
        <w:t>Corporations Act 2001</w:t>
      </w:r>
      <w:r>
        <w:rPr>
          <w:color w:val="000000"/>
          <w:sz w:val="23"/>
          <w:szCs w:val="23"/>
        </w:rPr>
        <w:t xml:space="preserve"> of the Commonwealth;</w:t>
      </w:r>
    </w:p>
    <w:p>
      <w:pPr>
        <w:keepNext/>
        <w:keepLines/>
        <w:autoSpaceDE w:val="0"/>
        <w:autoSpaceDN w:val="0"/>
        <w:adjustRightInd w:val="0"/>
        <w:spacing w:before="120"/>
        <w:ind w:left="1588"/>
        <w:rPr>
          <w:color w:val="000000"/>
          <w:sz w:val="23"/>
          <w:szCs w:val="23"/>
        </w:rPr>
      </w:pPr>
      <w:r>
        <w:rPr>
          <w:rStyle w:val="CharDefText"/>
          <w:bCs/>
          <w:sz w:val="23"/>
        </w:rPr>
        <w:t>foreign source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source beyond the outer limits of all of the following: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adjacent area of this jurisdiction;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adjacent area of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a source within the joint petroleum development area (within the meaning of the </w:t>
      </w:r>
      <w:r>
        <w:rPr>
          <w:i/>
          <w:iCs/>
          <w:color w:val="000000"/>
          <w:sz w:val="23"/>
          <w:szCs w:val="23"/>
        </w:rPr>
        <w:t>Petroleum (</w:t>
      </w:r>
      <w:smartTag w:uri="urn:schemas-microsoft-com:office:smarttags" w:element="place">
        <w:r>
          <w:rPr>
            <w:i/>
            <w:iCs/>
            <w:color w:val="000000"/>
            <w:sz w:val="23"/>
            <w:szCs w:val="23"/>
          </w:rPr>
          <w:t>Timor Sea</w:t>
        </w:r>
      </w:smartTag>
      <w:r>
        <w:rPr>
          <w:i/>
          <w:iCs/>
          <w:color w:val="000000"/>
          <w:sz w:val="23"/>
          <w:szCs w:val="23"/>
        </w:rPr>
        <w:t xml:space="preserve"> Treaty) Act 2003</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form of regulation</w:t>
      </w:r>
      <w:r>
        <w:rPr>
          <w:rStyle w:val="CharDefText"/>
          <w:sz w:val="23"/>
        </w:rPr>
        <w:t xml:space="preserve"> </w:t>
      </w:r>
      <w:r>
        <w:rPr>
          <w:rStyle w:val="CharDefText"/>
          <w:bCs/>
          <w:sz w:val="23"/>
        </w:rPr>
        <w:t>factors</w:t>
      </w:r>
      <w:r>
        <w:rPr>
          <w:color w:val="000000"/>
          <w:sz w:val="23"/>
          <w:szCs w:val="23"/>
        </w:rPr>
        <w:t xml:space="preserve"> has the meaning given by section 16;</w:t>
      </w:r>
    </w:p>
    <w:p>
      <w:pPr>
        <w:keepNext/>
        <w:keepLines/>
        <w:autoSpaceDE w:val="0"/>
        <w:autoSpaceDN w:val="0"/>
        <w:adjustRightInd w:val="0"/>
        <w:spacing w:before="120"/>
        <w:ind w:left="1588"/>
        <w:rPr>
          <w:color w:val="000000"/>
          <w:sz w:val="23"/>
          <w:szCs w:val="23"/>
        </w:rPr>
      </w:pPr>
      <w:r>
        <w:rPr>
          <w:rStyle w:val="CharDefText"/>
          <w:bCs/>
          <w:sz w:val="23"/>
        </w:rPr>
        <w:t>full access arrangement</w:t>
      </w:r>
      <w:r>
        <w:rPr>
          <w:bCs/>
          <w:i/>
          <w:iCs/>
          <w:color w:val="000000"/>
          <w:sz w:val="23"/>
          <w:szCs w:val="23"/>
        </w:rPr>
        <w:t xml:space="preserve"> </w:t>
      </w:r>
      <w:r>
        <w:rPr>
          <w:color w:val="000000"/>
          <w:sz w:val="23"/>
          <w:szCs w:val="23"/>
        </w:rPr>
        <w:t>means an access arrangement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provides for price or revenue regulation as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deals with all other matters for which the Rules require provision to be made in an access arrangement;</w:t>
      </w:r>
    </w:p>
    <w:p>
      <w:pPr>
        <w:keepNext/>
        <w:keepLines/>
        <w:autoSpaceDE w:val="0"/>
        <w:autoSpaceDN w:val="0"/>
        <w:adjustRightInd w:val="0"/>
        <w:spacing w:before="120"/>
        <w:ind w:left="1588"/>
        <w:rPr>
          <w:color w:val="000000"/>
          <w:sz w:val="23"/>
          <w:szCs w:val="23"/>
        </w:rPr>
      </w:pPr>
      <w:r>
        <w:rPr>
          <w:rStyle w:val="CharDefText"/>
          <w:bCs/>
          <w:sz w:val="23"/>
        </w:rPr>
        <w:t>full access arrangement decision</w:t>
      </w:r>
      <w:r>
        <w:rPr>
          <w:bCs/>
          <w:i/>
          <w:iCs/>
          <w:color w:val="000000"/>
          <w:sz w:val="23"/>
          <w:szCs w:val="23"/>
        </w:rPr>
        <w:t xml:space="preserve"> </w:t>
      </w:r>
      <w:r>
        <w:rPr>
          <w:color w:val="000000"/>
          <w:sz w:val="23"/>
          <w:szCs w:val="23"/>
        </w:rPr>
        <w:t>means a decision of the AER under the Rules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approves or does not approve a full access arrangement or revisions to an applicable access arrangement submitted to the AER under section 132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makes a full access arrangement—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place of a full access arrangement the AER does not approve in that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because a service provider does not submit a full access arrangement in accordance with section 132 or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makes revisions to an access arrangement—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place of revisions submitted to the AER under section 132 that the AER does not approve in that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because a service provider does not submit revisions to the AER under section 132;</w:t>
      </w:r>
    </w:p>
    <w:p>
      <w:pPr>
        <w:autoSpaceDE w:val="0"/>
        <w:autoSpaceDN w:val="0"/>
        <w:adjustRightInd w:val="0"/>
        <w:spacing w:before="120"/>
        <w:ind w:left="1588"/>
        <w:rPr>
          <w:color w:val="000000"/>
          <w:sz w:val="23"/>
          <w:szCs w:val="23"/>
        </w:rPr>
      </w:pPr>
      <w:r>
        <w:rPr>
          <w:rStyle w:val="CharDefText"/>
          <w:bCs/>
          <w:sz w:val="23"/>
        </w:rPr>
        <w:t>Gas Code</w:t>
      </w:r>
      <w:r>
        <w:rPr>
          <w:bCs/>
          <w:i/>
          <w:iCs/>
          <w:color w:val="000000"/>
          <w:sz w:val="23"/>
          <w:szCs w:val="23"/>
        </w:rPr>
        <w:t xml:space="preserve"> </w:t>
      </w:r>
      <w:r>
        <w:rPr>
          <w:color w:val="000000"/>
          <w:sz w:val="23"/>
          <w:szCs w:val="23"/>
        </w:rPr>
        <w:t xml:space="preserve">means the </w:t>
      </w:r>
      <w:r>
        <w:rPr>
          <w:i/>
          <w:iCs/>
          <w:color w:val="000000"/>
          <w:sz w:val="23"/>
          <w:szCs w:val="23"/>
        </w:rPr>
        <w:t>National Third Party Access Code for Natural Gas Pipeline Systems</w:t>
      </w:r>
      <w:r>
        <w:rPr>
          <w:color w:val="000000"/>
          <w:sz w:val="23"/>
          <w:szCs w:val="23"/>
        </w:rPr>
        <w:t xml:space="preserve"> set out in Schedule 2 to the </w:t>
      </w:r>
      <w:r>
        <w:rPr>
          <w:i/>
          <w:iCs/>
          <w:color w:val="000000"/>
          <w:sz w:val="23"/>
          <w:szCs w:val="23"/>
        </w:rPr>
        <w:t>Gas Pipelines Access (South Australia) Act 1997</w:t>
      </w:r>
      <w:r>
        <w:rPr>
          <w:color w:val="000000"/>
          <w:sz w:val="23"/>
          <w:szCs w:val="23"/>
        </w:rPr>
        <w:t xml:space="preserve"> of South Australia as amended and applying from time to time before the commencement of </w:t>
      </w:r>
      <w:r>
        <w:rPr>
          <w:sz w:val="23"/>
        </w:rPr>
        <w:t xml:space="preserve">section 30 of the </w:t>
      </w:r>
      <w:r>
        <w:rPr>
          <w:i/>
          <w:sz w:val="23"/>
        </w:rPr>
        <w:t>National Gas Access (WA) Act 2009</w:t>
      </w:r>
      <w:r>
        <w:rPr>
          <w:color w:val="000000"/>
          <w:sz w:val="23"/>
          <w:szCs w:val="23"/>
        </w:rPr>
        <w:t xml:space="preserve"> as a law of Western Australia;</w:t>
      </w:r>
    </w:p>
    <w:p>
      <w:pPr>
        <w:keepLines/>
        <w:autoSpaceDE w:val="0"/>
        <w:autoSpaceDN w:val="0"/>
        <w:adjustRightInd w:val="0"/>
        <w:spacing w:before="120"/>
        <w:ind w:left="1588"/>
        <w:rPr>
          <w:color w:val="000000"/>
          <w:sz w:val="23"/>
          <w:szCs w:val="23"/>
        </w:rPr>
      </w:pPr>
      <w:r>
        <w:rPr>
          <w:rStyle w:val="CharDefText"/>
          <w:bCs/>
          <w:sz w:val="23"/>
        </w:rPr>
        <w:t>gas market operator</w:t>
      </w:r>
      <w:r>
        <w:rPr>
          <w:bCs/>
          <w:i/>
          <w:iCs/>
          <w:color w:val="000000"/>
          <w:sz w:val="23"/>
          <w:szCs w:val="23"/>
        </w:rPr>
        <w:t xml:space="preserve"> </w:t>
      </w:r>
      <w:r>
        <w:rPr>
          <w:color w:val="000000"/>
          <w:sz w:val="23"/>
          <w:szCs w:val="23"/>
        </w:rPr>
        <w:t>means VENCorp or any other person or body prescribed by the Regulations to be a gas market operator;</w:t>
      </w:r>
    </w:p>
    <w:p>
      <w:pPr>
        <w:keepLines/>
        <w:autoSpaceDE w:val="0"/>
        <w:autoSpaceDN w:val="0"/>
        <w:adjustRightInd w:val="0"/>
        <w:spacing w:before="120"/>
        <w:ind w:left="1588"/>
        <w:rPr>
          <w:color w:val="000000"/>
          <w:sz w:val="23"/>
          <w:szCs w:val="23"/>
        </w:rPr>
      </w:pPr>
      <w:r>
        <w:rPr>
          <w:rStyle w:val="CharDefText"/>
          <w:bCs/>
          <w:sz w:val="23"/>
        </w:rPr>
        <w:t>general regulatory information order</w:t>
      </w:r>
      <w:r>
        <w:rPr>
          <w:bCs/>
          <w:i/>
          <w:iCs/>
          <w:color w:val="000000"/>
          <w:sz w:val="23"/>
          <w:szCs w:val="23"/>
        </w:rPr>
        <w:t xml:space="preserve"> </w:t>
      </w:r>
      <w:r>
        <w:rPr>
          <w:color w:val="000000"/>
          <w:sz w:val="23"/>
          <w:szCs w:val="23"/>
        </w:rPr>
        <w:t>has the meaning given by section 45;</w:t>
      </w:r>
    </w:p>
    <w:p>
      <w:pPr>
        <w:keepNext/>
        <w:keepLines/>
        <w:autoSpaceDE w:val="0"/>
        <w:autoSpaceDN w:val="0"/>
        <w:adjustRightInd w:val="0"/>
        <w:spacing w:before="120"/>
        <w:ind w:left="1588"/>
        <w:rPr>
          <w:color w:val="000000"/>
          <w:sz w:val="23"/>
          <w:szCs w:val="23"/>
        </w:rPr>
      </w:pPr>
      <w:r>
        <w:rPr>
          <w:rStyle w:val="CharDefText"/>
          <w:bCs/>
          <w:sz w:val="23"/>
        </w:rPr>
        <w:t>greenfields pipeline incentive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15</w:t>
      </w:r>
      <w:r>
        <w:rPr>
          <w:color w:val="000000"/>
          <w:sz w:val="23"/>
          <w:szCs w:val="23"/>
        </w:rPr>
        <w:noBreakHyphen/>
        <w:t>year no</w:t>
      </w:r>
      <w:r>
        <w:rPr>
          <w:color w:val="000000"/>
          <w:sz w:val="23"/>
          <w:szCs w:val="23"/>
        </w:rPr>
        <w:noBreakHyphen/>
        <w:t>coverage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price regulation exemption;</w:t>
      </w:r>
    </w:p>
    <w:p>
      <w:pPr>
        <w:keepLines/>
        <w:autoSpaceDE w:val="0"/>
        <w:autoSpaceDN w:val="0"/>
        <w:adjustRightInd w:val="0"/>
        <w:spacing w:before="120"/>
        <w:ind w:left="1588"/>
        <w:rPr>
          <w:color w:val="000000"/>
          <w:sz w:val="23"/>
          <w:szCs w:val="23"/>
        </w:rPr>
      </w:pPr>
      <w:r>
        <w:rPr>
          <w:rStyle w:val="CharDefText"/>
          <w:bCs/>
          <w:sz w:val="23"/>
        </w:rPr>
        <w:t>haulage</w:t>
      </w:r>
      <w:r>
        <w:rPr>
          <w:color w:val="000000"/>
          <w:sz w:val="23"/>
          <w:szCs w:val="23"/>
        </w:rPr>
        <w:t>, in relation to natural gas, includes conveyance or reticulation of natural gas;</w:t>
      </w:r>
    </w:p>
    <w:p>
      <w:pPr>
        <w:keepLines/>
        <w:autoSpaceDE w:val="0"/>
        <w:autoSpaceDN w:val="0"/>
        <w:adjustRightInd w:val="0"/>
        <w:spacing w:before="120"/>
        <w:ind w:left="1588"/>
        <w:rPr>
          <w:color w:val="000000"/>
          <w:sz w:val="23"/>
          <w:szCs w:val="23"/>
        </w:rPr>
      </w:pPr>
      <w:r>
        <w:rPr>
          <w:rStyle w:val="CharDefText"/>
          <w:bCs/>
          <w:sz w:val="23"/>
        </w:rPr>
        <w:t>initial classification decision</w:t>
      </w:r>
      <w:r>
        <w:rPr>
          <w:bCs/>
          <w:i/>
          <w:iCs/>
          <w:color w:val="000000"/>
          <w:sz w:val="23"/>
          <w:szCs w:val="23"/>
        </w:rPr>
        <w:t xml:space="preserve"> </w:t>
      </w:r>
      <w:r>
        <w:rPr>
          <w:color w:val="000000"/>
          <w:sz w:val="23"/>
          <w:szCs w:val="23"/>
        </w:rPr>
        <w:t>means a decision of the NCC under section 98 or 155;</w:t>
      </w:r>
    </w:p>
    <w:p>
      <w:pPr>
        <w:keepLines/>
        <w:autoSpaceDE w:val="0"/>
        <w:autoSpaceDN w:val="0"/>
        <w:adjustRightInd w:val="0"/>
        <w:spacing w:before="120"/>
        <w:ind w:left="1588" w:right="283"/>
      </w:pPr>
      <w:r>
        <w:rPr>
          <w:rStyle w:val="CharDefText"/>
          <w:sz w:val="23"/>
        </w:rPr>
        <w:t>initial National Gas Rules</w:t>
      </w:r>
      <w:r>
        <w:rPr>
          <w:sz w:val="23"/>
        </w:rPr>
        <w:t xml:space="preserve"> </w:t>
      </w:r>
      <w:r>
        <w:rPr>
          <w:color w:val="000000"/>
          <w:sz w:val="23"/>
          <w:szCs w:val="23"/>
        </w:rPr>
        <w:t>means</w:t>
      </w:r>
      <w:r>
        <w:rPr>
          <w:sz w:val="23"/>
        </w:rPr>
        <w:t xml:space="preserve"> — </w:t>
      </w:r>
    </w:p>
    <w:p>
      <w:pPr>
        <w:keepLines/>
        <w:tabs>
          <w:tab w:val="center" w:pos="1985"/>
          <w:tab w:val="left" w:pos="2382"/>
        </w:tabs>
        <w:autoSpaceDE w:val="0"/>
        <w:autoSpaceDN w:val="0"/>
        <w:adjustRightInd w:val="0"/>
        <w:spacing w:before="120"/>
        <w:ind w:left="2382" w:hanging="794"/>
      </w:pPr>
      <w:r>
        <w:tab/>
        <w:t>(a)</w:t>
      </w:r>
      <w:r>
        <w:tab/>
        <w:t xml:space="preserve">the </w:t>
      </w:r>
      <w:r>
        <w:rPr>
          <w:color w:val="000000"/>
          <w:sz w:val="23"/>
          <w:szCs w:val="23"/>
        </w:rPr>
        <w:t>National</w:t>
      </w:r>
      <w:r>
        <w:t xml:space="preserve"> Gas Rules that, when the </w:t>
      </w:r>
      <w:r>
        <w:rPr>
          <w:i/>
        </w:rPr>
        <w:t>National Gas Access (WA) Act 2009</w:t>
      </w:r>
      <w:r>
        <w:t xml:space="preserve"> section 30 came into operation, applied under section 294; and</w:t>
      </w:r>
    </w:p>
    <w:p>
      <w:pPr>
        <w:keepLines/>
        <w:tabs>
          <w:tab w:val="center" w:pos="1985"/>
          <w:tab w:val="left" w:pos="2382"/>
        </w:tabs>
        <w:autoSpaceDE w:val="0"/>
        <w:autoSpaceDN w:val="0"/>
        <w:adjustRightInd w:val="0"/>
        <w:spacing w:before="120"/>
        <w:ind w:left="2382" w:hanging="794"/>
      </w:pPr>
      <w:r>
        <w:tab/>
        <w:t>(b)</w:t>
      </w:r>
      <w:r>
        <w:tab/>
      </w:r>
      <w:r>
        <w:rPr>
          <w:color w:val="000000"/>
          <w:sz w:val="23"/>
          <w:szCs w:val="23"/>
        </w:rPr>
        <w:t>the</w:t>
      </w:r>
      <w:r>
        <w:t xml:space="preserve"> </w:t>
      </w:r>
      <w:r>
        <w:rPr>
          <w:i/>
        </w:rPr>
        <w:t>National Gas Access (Pipelines-Arbitration Amendment) Rules 2017</w:t>
      </w:r>
      <w:r>
        <w:t xml:space="preserve"> made by the Minister for Mineral Resources and Energy of South Australia under the National Gas (South Australia) Law section 294F (notice of which was published in the </w:t>
      </w:r>
      <w:r>
        <w:rPr>
          <w:i/>
        </w:rPr>
        <w:t>Government Gazette</w:t>
      </w:r>
      <w:r>
        <w:t xml:space="preserve"> of South Australia on 1 August 2017 at p. 2994);</w:t>
      </w:r>
    </w:p>
    <w:p>
      <w:pPr>
        <w:keepLines/>
        <w:autoSpaceDE w:val="0"/>
        <w:autoSpaceDN w:val="0"/>
        <w:adjustRightInd w:val="0"/>
        <w:spacing w:before="120"/>
        <w:ind w:left="1588"/>
        <w:rPr>
          <w:color w:val="000000"/>
          <w:sz w:val="23"/>
          <w:szCs w:val="23"/>
        </w:rPr>
      </w:pPr>
      <w:r>
        <w:rPr>
          <w:rStyle w:val="CharDefText"/>
          <w:bCs/>
          <w:sz w:val="23"/>
        </w:rPr>
        <w:t>international pipeline</w:t>
      </w:r>
      <w:r>
        <w:rPr>
          <w:bCs/>
          <w:i/>
          <w:iCs/>
          <w:color w:val="000000"/>
          <w:sz w:val="23"/>
          <w:szCs w:val="23"/>
        </w:rPr>
        <w:t xml:space="preserve"> </w:t>
      </w:r>
      <w:r>
        <w:rPr>
          <w:color w:val="000000"/>
          <w:sz w:val="23"/>
          <w:szCs w:val="23"/>
        </w:rPr>
        <w:t>means a pipeline for the haulage of gas from a foreign source;</w:t>
      </w:r>
    </w:p>
    <w:p>
      <w:pPr>
        <w:keepLines/>
        <w:autoSpaceDE w:val="0"/>
        <w:autoSpaceDN w:val="0"/>
        <w:adjustRightInd w:val="0"/>
        <w:spacing w:before="120"/>
        <w:ind w:left="1588"/>
        <w:rPr>
          <w:color w:val="000000"/>
          <w:sz w:val="23"/>
          <w:szCs w:val="23"/>
        </w:rPr>
      </w:pPr>
      <w:r>
        <w:rPr>
          <w:rStyle w:val="CharDefText"/>
          <w:bCs/>
          <w:sz w:val="23"/>
        </w:rPr>
        <w:t>jurisdictional determination criteria</w:t>
      </w:r>
      <w:r>
        <w:rPr>
          <w:color w:val="000000"/>
          <w:sz w:val="23"/>
          <w:szCs w:val="23"/>
        </w:rPr>
        <w:t>, in relation to a cross boundary distribution pipeline, has the meaning given by section 14;</w:t>
      </w:r>
    </w:p>
    <w:p>
      <w:pPr>
        <w:keepLines/>
        <w:autoSpaceDE w:val="0"/>
        <w:autoSpaceDN w:val="0"/>
        <w:adjustRightInd w:val="0"/>
        <w:spacing w:before="120"/>
        <w:ind w:left="1588"/>
        <w:rPr>
          <w:color w:val="000000"/>
          <w:sz w:val="23"/>
          <w:szCs w:val="23"/>
        </w:rPr>
      </w:pPr>
      <w:r>
        <w:rPr>
          <w:rStyle w:val="CharDefText"/>
          <w:bCs/>
          <w:sz w:val="23"/>
        </w:rPr>
        <w:t>jurisdictional gas legislation</w:t>
      </w:r>
      <w:r>
        <w:rPr>
          <w:bCs/>
          <w:i/>
          <w:iCs/>
          <w:color w:val="000000"/>
          <w:sz w:val="23"/>
          <w:szCs w:val="23"/>
        </w:rPr>
        <w:t xml:space="preserve"> </w:t>
      </w:r>
      <w:r>
        <w:rPr>
          <w:color w:val="000000"/>
          <w:sz w:val="23"/>
          <w:szCs w:val="23"/>
        </w:rPr>
        <w:t>means an Act of a participating jurisdiction (other than national gas legislation), or any instrument made or issued under or for the purposes of that Act, that regulates the haulage of gas in that jurisdiction;</w:t>
      </w:r>
    </w:p>
    <w:p>
      <w:pPr>
        <w:keepLines/>
        <w:autoSpaceDE w:val="0"/>
        <w:autoSpaceDN w:val="0"/>
        <w:adjustRightInd w:val="0"/>
        <w:spacing w:before="120"/>
        <w:ind w:left="1588"/>
        <w:rPr>
          <w:color w:val="000000"/>
          <w:sz w:val="23"/>
          <w:szCs w:val="23"/>
        </w:rPr>
      </w:pPr>
      <w:r>
        <w:rPr>
          <w:rStyle w:val="CharDefText"/>
          <w:bCs/>
          <w:sz w:val="23"/>
        </w:rPr>
        <w:t>light regulation determination</w:t>
      </w:r>
      <w:r>
        <w:rPr>
          <w:bCs/>
          <w:i/>
          <w:iCs/>
          <w:color w:val="000000"/>
          <w:sz w:val="23"/>
          <w:szCs w:val="23"/>
        </w:rPr>
        <w:t xml:space="preserve"> </w:t>
      </w:r>
      <w:r>
        <w:rPr>
          <w:color w:val="000000"/>
          <w:sz w:val="23"/>
          <w:szCs w:val="23"/>
        </w:rPr>
        <w:t>means a determination of the NCC under Chapter 3 Part 2 Division 1;</w:t>
      </w:r>
    </w:p>
    <w:p>
      <w:pPr>
        <w:keepLines/>
        <w:autoSpaceDE w:val="0"/>
        <w:autoSpaceDN w:val="0"/>
        <w:adjustRightInd w:val="0"/>
        <w:spacing w:before="120"/>
        <w:ind w:left="1588"/>
        <w:rPr>
          <w:color w:val="000000"/>
          <w:sz w:val="23"/>
          <w:szCs w:val="23"/>
        </w:rPr>
      </w:pPr>
      <w:r>
        <w:rPr>
          <w:rStyle w:val="CharDefText"/>
          <w:bCs/>
          <w:sz w:val="23"/>
        </w:rPr>
        <w:t>light regulation services</w:t>
      </w:r>
      <w:r>
        <w:rPr>
          <w:bCs/>
          <w:i/>
          <w:iCs/>
          <w:color w:val="000000"/>
          <w:sz w:val="23"/>
          <w:szCs w:val="23"/>
        </w:rPr>
        <w:t xml:space="preserve"> </w:t>
      </w:r>
      <w:r>
        <w:rPr>
          <w:color w:val="000000"/>
          <w:sz w:val="23"/>
          <w:szCs w:val="23"/>
        </w:rPr>
        <w:t>means pipeline services to which a light regulation determination applies;</w:t>
      </w:r>
    </w:p>
    <w:p>
      <w:pPr>
        <w:autoSpaceDE w:val="0"/>
        <w:autoSpaceDN w:val="0"/>
        <w:adjustRightInd w:val="0"/>
        <w:spacing w:before="120"/>
        <w:ind w:left="1588"/>
        <w:rPr>
          <w:color w:val="000000"/>
          <w:sz w:val="23"/>
          <w:szCs w:val="23"/>
        </w:rPr>
      </w:pPr>
      <w:r>
        <w:rPr>
          <w:rStyle w:val="CharDefText"/>
          <w:bCs/>
          <w:sz w:val="23"/>
        </w:rPr>
        <w:t>limited access arrangement</w:t>
      </w:r>
      <w:r>
        <w:rPr>
          <w:bCs/>
          <w:i/>
          <w:iCs/>
          <w:color w:val="000000"/>
          <w:sz w:val="23"/>
          <w:szCs w:val="23"/>
        </w:rPr>
        <w:t xml:space="preserve"> </w:t>
      </w:r>
      <w:r>
        <w:rPr>
          <w:color w:val="000000"/>
          <w:sz w:val="23"/>
          <w:szCs w:val="23"/>
        </w:rPr>
        <w:t>means an access arrangement that, under this Law and the Rules, is not required to make provision for price or revenue regulation but deals with the matters for which this Law and the Rules require provision to be made in an access arrangement;</w:t>
      </w:r>
    </w:p>
    <w:p>
      <w:pPr>
        <w:keepNext/>
        <w:keepLines/>
        <w:autoSpaceDE w:val="0"/>
        <w:autoSpaceDN w:val="0"/>
        <w:adjustRightInd w:val="0"/>
        <w:spacing w:before="120"/>
        <w:ind w:left="1588"/>
        <w:rPr>
          <w:color w:val="000000"/>
          <w:sz w:val="23"/>
          <w:szCs w:val="23"/>
        </w:rPr>
      </w:pPr>
      <w:r>
        <w:rPr>
          <w:rStyle w:val="CharDefText"/>
          <w:bCs/>
          <w:sz w:val="23"/>
        </w:rPr>
        <w:t>limited access arrangement decision</w:t>
      </w:r>
      <w:r>
        <w:rPr>
          <w:bCs/>
          <w:i/>
          <w:iCs/>
          <w:color w:val="000000"/>
          <w:sz w:val="23"/>
          <w:szCs w:val="23"/>
        </w:rPr>
        <w:t xml:space="preserve"> </w:t>
      </w:r>
      <w:r>
        <w:rPr>
          <w:color w:val="000000"/>
          <w:sz w:val="23"/>
          <w:szCs w:val="23"/>
        </w:rPr>
        <w:t>means a decision of the AER under the Rules that approves or does not approve—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limited access arrangement submitted to the AER under section 116 or 168;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revisions to a limited access arrangement submitted to the AER under section 116(3) or 168(3) or the Rules;</w:t>
      </w:r>
    </w:p>
    <w:p>
      <w:pPr>
        <w:keepLines/>
        <w:autoSpaceDE w:val="0"/>
        <w:autoSpaceDN w:val="0"/>
        <w:adjustRightInd w:val="0"/>
        <w:spacing w:before="120"/>
        <w:ind w:left="1588"/>
        <w:rPr>
          <w:color w:val="000000"/>
          <w:sz w:val="23"/>
          <w:szCs w:val="23"/>
        </w:rPr>
      </w:pPr>
      <w:r>
        <w:rPr>
          <w:rStyle w:val="CharDefText"/>
          <w:bCs/>
          <w:sz w:val="23"/>
        </w:rPr>
        <w:t>MCE</w:t>
      </w:r>
      <w:r>
        <w:rPr>
          <w:color w:val="000000"/>
          <w:sz w:val="23"/>
          <w:szCs w:val="23"/>
        </w:rPr>
        <w:t xml:space="preserve"> means the Ministerial Council on Energy established on 8 June 2001, being the Council of Ministers with primary carriage of energy matters at a national level comprising the Ministers representing the Commonwealth, the States, the Australian Capital Territory and the Northern Territory, acting in accordance with its own procedures;</w:t>
      </w:r>
    </w:p>
    <w:p>
      <w:pPr>
        <w:keepLines/>
        <w:autoSpaceDE w:val="0"/>
        <w:autoSpaceDN w:val="0"/>
        <w:adjustRightInd w:val="0"/>
        <w:spacing w:before="120"/>
        <w:ind w:left="1588"/>
        <w:rPr>
          <w:color w:val="000000"/>
          <w:sz w:val="23"/>
          <w:szCs w:val="23"/>
        </w:rPr>
      </w:pPr>
      <w:r>
        <w:rPr>
          <w:rStyle w:val="CharDefText"/>
          <w:bCs/>
          <w:sz w:val="23"/>
        </w:rPr>
        <w:t>MCE directed review</w:t>
      </w:r>
      <w:r>
        <w:rPr>
          <w:bCs/>
          <w:i/>
          <w:iCs/>
          <w:color w:val="000000"/>
          <w:sz w:val="23"/>
          <w:szCs w:val="23"/>
        </w:rPr>
        <w:t xml:space="preserve"> </w:t>
      </w:r>
      <w:r>
        <w:rPr>
          <w:color w:val="000000"/>
          <w:sz w:val="23"/>
          <w:szCs w:val="23"/>
        </w:rPr>
        <w:t>means a review conducted by the AEMC under Chapter 2 Part 2 Division 4;</w:t>
      </w:r>
    </w:p>
    <w:p>
      <w:pPr>
        <w:keepLines/>
        <w:autoSpaceDE w:val="0"/>
        <w:autoSpaceDN w:val="0"/>
        <w:adjustRightInd w:val="0"/>
        <w:spacing w:before="120"/>
        <w:ind w:left="1588"/>
        <w:rPr>
          <w:color w:val="000000"/>
          <w:sz w:val="23"/>
          <w:szCs w:val="23"/>
        </w:rPr>
      </w:pPr>
      <w:r>
        <w:rPr>
          <w:rStyle w:val="CharDefText"/>
          <w:bCs/>
          <w:sz w:val="23"/>
        </w:rPr>
        <w:t>MCE statement of policy principles</w:t>
      </w:r>
      <w:r>
        <w:rPr>
          <w:bCs/>
          <w:i/>
          <w:iCs/>
          <w:color w:val="000000"/>
          <w:sz w:val="23"/>
          <w:szCs w:val="23"/>
        </w:rPr>
        <w:t xml:space="preserve"> </w:t>
      </w:r>
      <w:r>
        <w:rPr>
          <w:color w:val="000000"/>
          <w:sz w:val="23"/>
          <w:szCs w:val="23"/>
        </w:rPr>
        <w:t>means a statement of policy principles issued by the MCE under section 25;</w:t>
      </w:r>
    </w:p>
    <w:p>
      <w:pPr>
        <w:keepLines/>
        <w:autoSpaceDE w:val="0"/>
        <w:autoSpaceDN w:val="0"/>
        <w:adjustRightInd w:val="0"/>
        <w:spacing w:before="120"/>
        <w:ind w:left="1588"/>
        <w:rPr>
          <w:color w:val="000000"/>
          <w:sz w:val="23"/>
          <w:szCs w:val="23"/>
        </w:rPr>
      </w:pPr>
      <w:r>
        <w:rPr>
          <w:rStyle w:val="CharDefText"/>
          <w:bCs/>
          <w:sz w:val="23"/>
        </w:rPr>
        <w:t>minimum ring fencing requirement</w:t>
      </w:r>
      <w:r>
        <w:rPr>
          <w:bCs/>
          <w:i/>
          <w:iCs/>
          <w:color w:val="000000"/>
          <w:sz w:val="23"/>
          <w:szCs w:val="23"/>
        </w:rPr>
        <w:t xml:space="preserve"> </w:t>
      </w:r>
      <w:r>
        <w:rPr>
          <w:color w:val="000000"/>
          <w:sz w:val="23"/>
          <w:szCs w:val="23"/>
        </w:rPr>
        <w:t>means a requirement under Chapter 4 Part 2 Division 2;</w:t>
      </w:r>
    </w:p>
    <w:p>
      <w:pPr>
        <w:keepLines/>
        <w:autoSpaceDE w:val="0"/>
        <w:autoSpaceDN w:val="0"/>
        <w:adjustRightInd w:val="0"/>
        <w:spacing w:before="120"/>
        <w:ind w:left="1588"/>
        <w:rPr>
          <w:color w:val="000000"/>
          <w:sz w:val="23"/>
          <w:szCs w:val="23"/>
        </w:rPr>
      </w:pPr>
      <w:r>
        <w:rPr>
          <w:rStyle w:val="CharDefText"/>
          <w:bCs/>
          <w:sz w:val="23"/>
        </w:rPr>
        <w:t>Minister of a participating jurisdiction</w:t>
      </w:r>
      <w:r>
        <w:rPr>
          <w:bCs/>
          <w:i/>
          <w:iCs/>
          <w:color w:val="000000"/>
          <w:sz w:val="23"/>
          <w:szCs w:val="23"/>
        </w:rPr>
        <w:t xml:space="preserve"> </w:t>
      </w:r>
      <w:r>
        <w:rPr>
          <w:color w:val="000000"/>
          <w:sz w:val="23"/>
          <w:szCs w:val="23"/>
        </w:rPr>
        <w:t>means a Minister who is a Minister of a participating jurisdiction within the meaning of section 22;</w:t>
      </w:r>
    </w:p>
    <w:p>
      <w:pPr>
        <w:keepNext/>
        <w:keepLines/>
        <w:autoSpaceDE w:val="0"/>
        <w:autoSpaceDN w:val="0"/>
        <w:adjustRightInd w:val="0"/>
        <w:spacing w:before="120"/>
        <w:ind w:left="1588"/>
        <w:rPr>
          <w:color w:val="000000"/>
          <w:sz w:val="23"/>
          <w:szCs w:val="23"/>
        </w:rPr>
      </w:pPr>
      <w:r>
        <w:rPr>
          <w:rStyle w:val="CharDefText"/>
          <w:bCs/>
          <w:sz w:val="23"/>
        </w:rPr>
        <w:t>Ministerial coverage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of a relevant Minister under section 99, 106 or 156;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of the Commonwealth Minister under section 164;</w:t>
      </w:r>
    </w:p>
    <w:p>
      <w:pPr>
        <w:keepNext/>
        <w:keepLines/>
        <w:autoSpaceDE w:val="0"/>
        <w:autoSpaceDN w:val="0"/>
        <w:adjustRightInd w:val="0"/>
        <w:spacing w:before="120"/>
        <w:ind w:left="1588"/>
        <w:rPr>
          <w:color w:val="000000"/>
          <w:sz w:val="23"/>
          <w:szCs w:val="23"/>
        </w:rPr>
      </w:pPr>
      <w:r>
        <w:rPr>
          <w:rStyle w:val="CharDefText"/>
          <w:bCs/>
          <w:sz w:val="23"/>
        </w:rPr>
        <w:t>national gas legislation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the </w:t>
      </w:r>
      <w:r>
        <w:rPr>
          <w:i/>
          <w:iCs/>
          <w:color w:val="000000"/>
          <w:sz w:val="23"/>
          <w:szCs w:val="23"/>
        </w:rPr>
        <w:t>National Gas (</w:t>
      </w:r>
      <w:smartTag w:uri="urn:schemas-microsoft-com:office:smarttags" w:element="State">
        <w:r>
          <w:rPr>
            <w:i/>
            <w:iCs/>
            <w:color w:val="000000"/>
            <w:sz w:val="23"/>
            <w:szCs w:val="23"/>
          </w:rPr>
          <w:t>South Australia</w:t>
        </w:r>
      </w:smartTag>
      <w:r>
        <w:rPr>
          <w:i/>
          <w:iCs/>
          <w:color w:val="000000"/>
          <w:sz w:val="23"/>
          <w:szCs w:val="23"/>
        </w:rPr>
        <w:t>) Act 2008</w:t>
      </w:r>
      <w:r>
        <w:rPr>
          <w:color w:val="000000"/>
          <w:sz w:val="23"/>
          <w:szCs w:val="23"/>
        </w:rPr>
        <w:t xml:space="preserve"> of </w:t>
      </w:r>
      <w:smartTag w:uri="urn:schemas-microsoft-com:office:smarttags" w:element="State">
        <w:smartTag w:uri="urn:schemas-microsoft-com:office:smarttags" w:element="place">
          <w:r>
            <w:rPr>
              <w:color w:val="000000"/>
              <w:sz w:val="23"/>
              <w:szCs w:val="23"/>
            </w:rPr>
            <w:t>South Australia</w:t>
          </w:r>
        </w:smartTag>
      </w:smartTag>
      <w:r>
        <w:rPr>
          <w:color w:val="000000"/>
          <w:sz w:val="23"/>
          <w:szCs w:val="23"/>
        </w:rPr>
        <w:t xml:space="preserve"> and Regulations in force under that Act;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the </w:t>
      </w:r>
      <w:r>
        <w:rPr>
          <w:i/>
          <w:iCs/>
          <w:color w:val="000000"/>
          <w:sz w:val="23"/>
          <w:szCs w:val="23"/>
        </w:rPr>
        <w:t>National Gas (</w:t>
      </w:r>
      <w:smartTag w:uri="urn:schemas-microsoft-com:office:smarttags" w:element="State">
        <w:smartTag w:uri="urn:schemas-microsoft-com:office:smarttags" w:element="place">
          <w:r>
            <w:rPr>
              <w:i/>
              <w:iCs/>
              <w:color w:val="000000"/>
              <w:sz w:val="23"/>
              <w:szCs w:val="23"/>
            </w:rPr>
            <w:t>South Australia</w:t>
          </w:r>
        </w:smartTag>
      </w:smartTag>
      <w:r>
        <w:rPr>
          <w:i/>
          <w:iCs/>
          <w:color w:val="000000"/>
          <w:sz w:val="23"/>
          <w:szCs w:val="23"/>
        </w:rPr>
        <w:t>) Law</w:t>
      </w:r>
      <w:r>
        <w:rPr>
          <w:color w:val="000000"/>
          <w:sz w:val="23"/>
          <w:szCs w:val="23"/>
        </w:rPr>
        <w: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 xml:space="preserve">the </w:t>
      </w:r>
      <w:r>
        <w:rPr>
          <w:i/>
          <w:iCs/>
          <w:color w:val="000000"/>
          <w:sz w:val="23"/>
          <w:szCs w:val="23"/>
        </w:rPr>
        <w:t>National Gas Access (</w:t>
      </w:r>
      <w:smartTag w:uri="urn:schemas-microsoft-com:office:smarttags" w:element="State">
        <w:r>
          <w:rPr>
            <w:i/>
            <w:iCs/>
            <w:color w:val="000000"/>
            <w:sz w:val="23"/>
            <w:szCs w:val="23"/>
          </w:rPr>
          <w:t>Western Australia</w:t>
        </w:r>
      </w:smartTag>
      <w:r>
        <w:rPr>
          <w:i/>
          <w:iCs/>
          <w:color w:val="000000"/>
          <w:sz w:val="23"/>
          <w:szCs w:val="23"/>
        </w:rPr>
        <w:t>) Act 2008</w:t>
      </w:r>
      <w:r>
        <w:rPr>
          <w:color w:val="000000"/>
          <w:sz w:val="23"/>
          <w:szCs w:val="23"/>
        </w:rPr>
        <w:t xml:space="preserve"> of </w:t>
      </w:r>
      <w:smartTag w:uri="urn:schemas-microsoft-com:office:smarttags" w:element="State">
        <w:smartTag w:uri="urn:schemas-microsoft-com:office:smarttags" w:element="place">
          <w:r>
            <w:rPr>
              <w:color w:val="000000"/>
              <w:sz w:val="23"/>
              <w:szCs w:val="23"/>
            </w:rPr>
            <w:t>Western Australia</w:t>
          </w:r>
        </w:smartTag>
      </w:smartTag>
      <w:r>
        <w:rPr>
          <w:color w:val="000000"/>
          <w:sz w:val="23"/>
          <w:szCs w:val="23"/>
        </w:rPr>
        <w: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 xml:space="preserve">the National Gas Access (Western Australia) Law within the meaning given in the </w:t>
      </w:r>
      <w:r>
        <w:rPr>
          <w:i/>
          <w:iCs/>
          <w:color w:val="000000"/>
          <w:sz w:val="23"/>
          <w:szCs w:val="23"/>
        </w:rPr>
        <w:t>National Gas Access (Western Australia) Act 2008</w:t>
      </w:r>
      <w:r>
        <w:rPr>
          <w:color w:val="000000"/>
          <w:sz w:val="23"/>
          <w:szCs w:val="23"/>
        </w:rPr>
        <w:t xml:space="preserve"> of Western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 xml:space="preserve">Regulations made under the </w:t>
      </w:r>
      <w:r>
        <w:rPr>
          <w:i/>
          <w:iCs/>
          <w:color w:val="000000"/>
          <w:sz w:val="23"/>
          <w:szCs w:val="23"/>
        </w:rPr>
        <w:t>National Gas Access (Western Australia) Act 2008</w:t>
      </w:r>
      <w:r>
        <w:rPr>
          <w:color w:val="000000"/>
          <w:sz w:val="23"/>
          <w:szCs w:val="23"/>
        </w:rPr>
        <w:t xml:space="preserve"> of Western Australia for the purposes of the National Gas Access (Western Australia)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 Act of a participating jurisdiction (other than South Australia or Western Australia) that applies, as a law of that jurisdiction, any part of—</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Regulations referred to in paragraph (a);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 xml:space="preserve">the National Gas Law set out in the Schedule to the </w:t>
      </w:r>
      <w:r>
        <w:rPr>
          <w:i/>
          <w:iCs/>
          <w:color w:val="000000"/>
          <w:sz w:val="23"/>
          <w:szCs w:val="23"/>
        </w:rPr>
        <w:t>National Gas (South Australia) Act 2008</w:t>
      </w:r>
      <w:r>
        <w:rPr>
          <w:color w:val="000000"/>
          <w:sz w:val="23"/>
          <w:szCs w:val="23"/>
        </w:rPr>
        <w:t xml:space="preserve"> of South Australia;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 xml:space="preserve">the National Gas Law set out in the Schedule to the </w:t>
      </w:r>
      <w:r>
        <w:rPr>
          <w:i/>
          <w:iCs/>
          <w:color w:val="000000"/>
          <w:sz w:val="23"/>
          <w:szCs w:val="23"/>
        </w:rPr>
        <w:t>National Gas (South Australia) Act 2008</w:t>
      </w:r>
      <w:r>
        <w:rPr>
          <w:color w:val="000000"/>
          <w:sz w:val="23"/>
          <w:szCs w:val="23"/>
        </w:rPr>
        <w:t xml:space="preserve"> of South Australia as applied as a law of a participating jurisdiction (other than South Australia or Western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 xml:space="preserve">the Regulations referred to in paragraph (a) as applied as a law of a participating jurisdiction (other than </w:t>
      </w:r>
      <w:smartTag w:uri="urn:schemas-microsoft-com:office:smarttags" w:element="State">
        <w:r>
          <w:rPr>
            <w:color w:val="000000"/>
            <w:sz w:val="23"/>
            <w:szCs w:val="23"/>
          </w:rPr>
          <w:t>South Australia</w:t>
        </w:r>
      </w:smartTag>
      <w:r>
        <w:rPr>
          <w:color w:val="000000"/>
          <w:sz w:val="23"/>
          <w:szCs w:val="23"/>
        </w:rPr>
        <w:t xml:space="preserve"> or </w:t>
      </w:r>
      <w:smartTag w:uri="urn:schemas-microsoft-com:office:smarttags" w:element="State">
        <w:smartTag w:uri="urn:schemas-microsoft-com:office:smarttags" w:element="place">
          <w:r>
            <w:rPr>
              <w:color w:val="000000"/>
              <w:sz w:val="23"/>
              <w:szCs w:val="23"/>
            </w:rPr>
            <w:t>Western Australia</w:t>
          </w:r>
        </w:smartTag>
      </w:smartTag>
      <w:r>
        <w:rPr>
          <w:color w:val="000000"/>
          <w:sz w:val="23"/>
          <w:szCs w:val="23"/>
        </w:rPr>
        <w:t>);</w:t>
      </w:r>
    </w:p>
    <w:p>
      <w:pPr>
        <w:keepLines/>
        <w:autoSpaceDE w:val="0"/>
        <w:autoSpaceDN w:val="0"/>
        <w:adjustRightInd w:val="0"/>
        <w:spacing w:before="120"/>
        <w:ind w:left="1588"/>
        <w:rPr>
          <w:color w:val="000000"/>
          <w:sz w:val="23"/>
          <w:szCs w:val="23"/>
        </w:rPr>
      </w:pPr>
      <w:r>
        <w:rPr>
          <w:rStyle w:val="CharDefText"/>
          <w:bCs/>
          <w:sz w:val="23"/>
        </w:rPr>
        <w:t>national gas objective</w:t>
      </w:r>
      <w:r>
        <w:rPr>
          <w:bCs/>
          <w:i/>
          <w:iCs/>
          <w:color w:val="000000"/>
          <w:sz w:val="23"/>
          <w:szCs w:val="23"/>
        </w:rPr>
        <w:t xml:space="preserve"> </w:t>
      </w:r>
      <w:r>
        <w:rPr>
          <w:color w:val="000000"/>
          <w:sz w:val="23"/>
          <w:szCs w:val="23"/>
        </w:rPr>
        <w:t>means the objective set out in section 23;</w:t>
      </w:r>
    </w:p>
    <w:p>
      <w:pPr>
        <w:keepNext/>
        <w:keepLines/>
        <w:autoSpaceDE w:val="0"/>
        <w:autoSpaceDN w:val="0"/>
        <w:adjustRightInd w:val="0"/>
        <w:spacing w:before="120"/>
        <w:ind w:left="1588"/>
        <w:rPr>
          <w:color w:val="000000"/>
          <w:sz w:val="23"/>
          <w:szCs w:val="23"/>
        </w:rPr>
      </w:pPr>
      <w:r>
        <w:rPr>
          <w:rStyle w:val="CharDefText"/>
          <w:bCs/>
          <w:sz w:val="23"/>
        </w:rPr>
        <w:t>National Gas Rules</w:t>
      </w:r>
      <w:r>
        <w:rPr>
          <w:bCs/>
          <w:i/>
          <w:iCs/>
          <w:color w:val="000000"/>
          <w:sz w:val="23"/>
          <w:szCs w:val="23"/>
        </w:rPr>
        <w:t xml:space="preserve"> </w:t>
      </w:r>
      <w:r>
        <w:rPr>
          <w:color w:val="000000"/>
          <w:sz w:val="23"/>
          <w:szCs w:val="23"/>
        </w:rPr>
        <w:t xml:space="preserve">or </w:t>
      </w:r>
      <w:r>
        <w:rPr>
          <w:rStyle w:val="CharDefText"/>
          <w:bCs/>
          <w:sz w:val="23"/>
        </w:rPr>
        <w:t>Rules</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initial National Gas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Rules made by the AEMC under this Law, including Rules that amend or revoke—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initial National Gas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Rules made by it;</w:t>
      </w:r>
    </w:p>
    <w:p>
      <w:pPr>
        <w:keepNext/>
        <w:keepLines/>
        <w:autoSpaceDE w:val="0"/>
        <w:autoSpaceDN w:val="0"/>
        <w:adjustRightInd w:val="0"/>
        <w:spacing w:before="120"/>
        <w:ind w:left="1588"/>
        <w:rPr>
          <w:color w:val="000000"/>
          <w:sz w:val="23"/>
          <w:szCs w:val="23"/>
        </w:rPr>
      </w:pPr>
      <w:r>
        <w:rPr>
          <w:rStyle w:val="CharDefText"/>
          <w:bCs/>
          <w:sz w:val="23"/>
        </w:rPr>
        <w:t>natural gas</w:t>
      </w:r>
      <w:r>
        <w:rPr>
          <w:bCs/>
          <w:i/>
          <w:iCs/>
          <w:color w:val="000000"/>
          <w:sz w:val="23"/>
          <w:szCs w:val="23"/>
        </w:rPr>
        <w:t xml:space="preserve"> </w:t>
      </w:r>
      <w:r>
        <w:rPr>
          <w:color w:val="000000"/>
          <w:sz w:val="23"/>
          <w:szCs w:val="23"/>
        </w:rPr>
        <w:t>means a substance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in a gaseous state at standard temperature and pressure;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consists of naturally occurring hydrocarbons, or a naturally occurring mixture of hydrocarbons and non</w:t>
      </w:r>
      <w:r>
        <w:rPr>
          <w:color w:val="000000"/>
          <w:sz w:val="23"/>
          <w:szCs w:val="23"/>
        </w:rPr>
        <w:noBreakHyphen/>
        <w:t>hydrocarbons, the principal constituent of which is methane;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is suitable for consumption;</w:t>
      </w:r>
    </w:p>
    <w:p>
      <w:pPr>
        <w:keepNext/>
        <w:keepLines/>
        <w:autoSpaceDE w:val="0"/>
        <w:autoSpaceDN w:val="0"/>
        <w:adjustRightInd w:val="0"/>
        <w:spacing w:before="120"/>
        <w:ind w:left="1588"/>
        <w:rPr>
          <w:color w:val="000000"/>
          <w:sz w:val="23"/>
          <w:szCs w:val="23"/>
        </w:rPr>
      </w:pPr>
      <w:r>
        <w:rPr>
          <w:rStyle w:val="CharDefText"/>
          <w:bCs/>
          <w:sz w:val="23"/>
        </w:rPr>
        <w:t>natural gas service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service;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supply of natural gas;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service ancillary to the service described in paragraph (b);</w:t>
      </w:r>
    </w:p>
    <w:p>
      <w:pPr>
        <w:keepLines/>
        <w:autoSpaceDE w:val="0"/>
        <w:autoSpaceDN w:val="0"/>
        <w:adjustRightInd w:val="0"/>
        <w:spacing w:before="120"/>
        <w:ind w:left="1588"/>
        <w:rPr>
          <w:color w:val="000000"/>
          <w:sz w:val="23"/>
          <w:szCs w:val="23"/>
        </w:rPr>
      </w:pPr>
      <w:r>
        <w:rPr>
          <w:rStyle w:val="CharDefText"/>
          <w:bCs/>
          <w:sz w:val="23"/>
        </w:rPr>
        <w:t>Natural Gas Services Bulletin Board</w:t>
      </w:r>
      <w:r>
        <w:rPr>
          <w:bCs/>
          <w:i/>
          <w:iCs/>
          <w:color w:val="000000"/>
          <w:sz w:val="23"/>
          <w:szCs w:val="23"/>
        </w:rPr>
        <w:t xml:space="preserve"> </w:t>
      </w:r>
      <w:r>
        <w:rPr>
          <w:color w:val="000000"/>
          <w:sz w:val="23"/>
          <w:szCs w:val="23"/>
        </w:rPr>
        <w:t>means the website maintained by the Bulletin Board operator that contains information of the kind specified in the Rules in relation to natural gas services;</w:t>
      </w:r>
    </w:p>
    <w:p>
      <w:pPr>
        <w:keepLines/>
        <w:autoSpaceDE w:val="0"/>
        <w:autoSpaceDN w:val="0"/>
        <w:adjustRightInd w:val="0"/>
        <w:spacing w:before="120"/>
        <w:ind w:left="1588"/>
        <w:rPr>
          <w:color w:val="000000"/>
          <w:sz w:val="23"/>
          <w:szCs w:val="23"/>
        </w:rPr>
      </w:pPr>
      <w:r>
        <w:rPr>
          <w:rStyle w:val="CharDefText"/>
          <w:bCs/>
          <w:sz w:val="23"/>
        </w:rPr>
        <w:t>NCC</w:t>
      </w:r>
      <w:r>
        <w:rPr>
          <w:color w:val="000000"/>
          <w:sz w:val="23"/>
          <w:szCs w:val="23"/>
        </w:rPr>
        <w:t xml:space="preserve"> means the National Competition Council established by section 29A of the </w:t>
      </w:r>
      <w:r>
        <w:rPr>
          <w:i/>
          <w:iCs/>
          <w:color w:val="000000"/>
          <w:sz w:val="23"/>
          <w:szCs w:val="23"/>
        </w:rPr>
        <w:t>Trade Practices Act 1974</w:t>
      </w:r>
      <w:r>
        <w:rPr>
          <w:color w:val="000000"/>
          <w:sz w:val="23"/>
          <w:szCs w:val="23"/>
        </w:rPr>
        <w:t xml:space="preserve"> of the Commonwealth;</w:t>
      </w:r>
    </w:p>
    <w:p>
      <w:pPr>
        <w:keepNext/>
        <w:keepLines/>
        <w:autoSpaceDE w:val="0"/>
        <w:autoSpaceDN w:val="0"/>
        <w:adjustRightInd w:val="0"/>
        <w:spacing w:before="120"/>
        <w:ind w:left="1588"/>
        <w:rPr>
          <w:color w:val="000000"/>
          <w:sz w:val="23"/>
          <w:szCs w:val="23"/>
        </w:rPr>
      </w:pPr>
      <w:r>
        <w:rPr>
          <w:rStyle w:val="CharDefText"/>
          <w:bCs/>
          <w:sz w:val="23"/>
        </w:rPr>
        <w:t>NCC recommendation or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coverage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coverage revocation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no</w:t>
      </w:r>
      <w:r>
        <w:rPr>
          <w:color w:val="000000"/>
          <w:sz w:val="23"/>
          <w:szCs w:val="23"/>
        </w:rPr>
        <w:noBreakHyphen/>
        <w:t>coverage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price regulation exemption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 reclassification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light regulation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 decision of the NCC under Chapter 3 Part 2 Division 2 to revoke a light regulation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a decision of the NCC not to make a decision referred to in paragraph (f) or (g);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(i)</w:t>
      </w:r>
      <w:r>
        <w:rPr>
          <w:color w:val="000000"/>
          <w:sz w:val="23"/>
          <w:szCs w:val="23"/>
        </w:rPr>
        <w:tab/>
        <w:t>advice under section 172;</w:t>
      </w:r>
    </w:p>
    <w:p>
      <w:pPr>
        <w:keepNext/>
        <w:keepLines/>
        <w:autoSpaceDE w:val="0"/>
        <w:autoSpaceDN w:val="0"/>
        <w:adjustRightInd w:val="0"/>
        <w:spacing w:before="120"/>
        <w:ind w:left="1588"/>
        <w:rPr>
          <w:color w:val="000000"/>
          <w:sz w:val="23"/>
          <w:szCs w:val="23"/>
        </w:rPr>
      </w:pPr>
      <w:r>
        <w:rPr>
          <w:rStyle w:val="CharDefText"/>
          <w:bCs/>
          <w:sz w:val="23"/>
        </w:rPr>
        <w:t>new facility</w:t>
      </w:r>
      <w:r>
        <w:rPr>
          <w:bCs/>
          <w:i/>
          <w:iCs/>
          <w:color w:val="000000"/>
          <w:sz w:val="23"/>
          <w:szCs w:val="23"/>
        </w:rPr>
        <w:t xml:space="preserve"> </w:t>
      </w:r>
      <w:r>
        <w:rPr>
          <w:color w:val="000000"/>
          <w:sz w:val="23"/>
          <w:szCs w:val="23"/>
        </w:rPr>
        <w:t>means an extension to, or expansion of the capacity of, a covered pipeline which is to be treated as part of the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accordance with the extension and expansion requirements contained in an applicable access arrangement applying to the pipeline services provided by means of that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 this Law;</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sections 18 and 19.</w:t>
      </w:r>
    </w:p>
    <w:p>
      <w:pPr>
        <w:keepLines/>
        <w:autoSpaceDE w:val="0"/>
        <w:autoSpaceDN w:val="0"/>
        <w:adjustRightInd w:val="0"/>
        <w:spacing w:before="120"/>
        <w:ind w:left="1588"/>
        <w:rPr>
          <w:color w:val="000000"/>
          <w:sz w:val="23"/>
          <w:szCs w:val="23"/>
        </w:rPr>
      </w:pPr>
      <w:r>
        <w:rPr>
          <w:rStyle w:val="CharDefText"/>
          <w:bCs/>
          <w:sz w:val="23"/>
        </w:rPr>
        <w:t>no</w:t>
      </w:r>
      <w:r>
        <w:rPr>
          <w:rStyle w:val="CharDefText"/>
          <w:bCs/>
          <w:sz w:val="23"/>
        </w:rPr>
        <w:noBreakHyphen/>
        <w:t>coverage recommendation</w:t>
      </w:r>
      <w:r>
        <w:rPr>
          <w:bCs/>
          <w:i/>
          <w:iCs/>
          <w:color w:val="000000"/>
          <w:sz w:val="23"/>
          <w:szCs w:val="23"/>
        </w:rPr>
        <w:t xml:space="preserve"> </w:t>
      </w:r>
      <w:r>
        <w:rPr>
          <w:color w:val="000000"/>
          <w:sz w:val="23"/>
          <w:szCs w:val="23"/>
        </w:rPr>
        <w:t>means a recommendation of the NCC under Chapter 5 Part 2;</w:t>
      </w:r>
    </w:p>
    <w:p>
      <w:pPr>
        <w:keepNext/>
        <w:autoSpaceDE w:val="0"/>
        <w:autoSpaceDN w:val="0"/>
        <w:adjustRightInd w:val="0"/>
        <w:spacing w:before="120"/>
        <w:ind w:left="1588"/>
        <w:rPr>
          <w:color w:val="000000"/>
          <w:sz w:val="23"/>
          <w:szCs w:val="23"/>
        </w:rPr>
      </w:pPr>
      <w:r>
        <w:rPr>
          <w:rStyle w:val="CharDefText"/>
          <w:bCs/>
          <w:sz w:val="23"/>
        </w:rPr>
        <w:t>non scheme pipeline user</w:t>
      </w:r>
      <w:r>
        <w:rPr>
          <w:bCs/>
          <w:i/>
          <w:iCs/>
          <w:color w:val="000000"/>
          <w:sz w:val="23"/>
          <w:szCs w:val="23"/>
        </w:rPr>
        <w:t xml:space="preserve"> </w:t>
      </w:r>
      <w:r>
        <w:rPr>
          <w:color w:val="000000"/>
          <w:sz w:val="23"/>
          <w:szCs w:val="23"/>
        </w:rPr>
        <w:t>means a person who—</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a party to a contract with a service provider under which the service provider provides or intends to provide a pipeline service to that person by means of a pipeline that is not a scheme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has a right under an access determination to be provided with a pipeline service by means of a pipeline that is not a scheme pipeline;</w:t>
      </w:r>
    </w:p>
    <w:p>
      <w:pPr>
        <w:autoSpaceDE w:val="0"/>
        <w:autoSpaceDN w:val="0"/>
        <w:adjustRightInd w:val="0"/>
        <w:spacing w:before="120"/>
        <w:ind w:left="1588"/>
        <w:rPr>
          <w:color w:val="000000"/>
          <w:sz w:val="23"/>
          <w:szCs w:val="23"/>
        </w:rPr>
      </w:pPr>
      <w:r>
        <w:rPr>
          <w:rStyle w:val="CharDefText"/>
          <w:bCs/>
          <w:sz w:val="23"/>
        </w:rPr>
        <w:t>offence provision</w:t>
      </w:r>
      <w:r>
        <w:rPr>
          <w:bCs/>
          <w:i/>
          <w:iCs/>
          <w:color w:val="000000"/>
          <w:sz w:val="23"/>
          <w:szCs w:val="23"/>
        </w:rPr>
        <w:t xml:space="preserve"> </w:t>
      </w:r>
      <w:r>
        <w:rPr>
          <w:color w:val="000000"/>
          <w:sz w:val="23"/>
          <w:szCs w:val="23"/>
        </w:rPr>
        <w:t>means a provision of this Law the breach or contravention of which by a person exposes that person to a finding of guilt by a court;</w:t>
      </w:r>
    </w:p>
    <w:p>
      <w:pPr>
        <w:keepLines/>
        <w:autoSpaceDE w:val="0"/>
        <w:autoSpaceDN w:val="0"/>
        <w:adjustRightInd w:val="0"/>
        <w:spacing w:before="120"/>
        <w:ind w:left="1588"/>
        <w:rPr>
          <w:color w:val="000000"/>
          <w:sz w:val="23"/>
          <w:szCs w:val="23"/>
        </w:rPr>
      </w:pPr>
      <w:r>
        <w:rPr>
          <w:rStyle w:val="CharDefText"/>
          <w:bCs/>
          <w:sz w:val="23"/>
        </w:rPr>
        <w:t>officer</w:t>
      </w:r>
      <w:r>
        <w:rPr>
          <w:color w:val="000000"/>
          <w:sz w:val="23"/>
          <w:szCs w:val="23"/>
        </w:rPr>
        <w:t xml:space="preserve"> has the same meaning as officer has in relation to a corporation under section 9 of the </w:t>
      </w:r>
      <w:r>
        <w:rPr>
          <w:i/>
          <w:iCs/>
          <w:color w:val="000000"/>
          <w:sz w:val="23"/>
          <w:szCs w:val="23"/>
        </w:rPr>
        <w:t>Corporations Act 2001</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old access law</w:t>
      </w:r>
      <w:r>
        <w:rPr>
          <w:bCs/>
          <w:i/>
          <w:iCs/>
          <w:color w:val="000000"/>
          <w:sz w:val="23"/>
          <w:szCs w:val="23"/>
        </w:rPr>
        <w:t xml:space="preserve"> </w:t>
      </w:r>
      <w:r>
        <w:rPr>
          <w:sz w:val="23"/>
        </w:rPr>
        <w:t xml:space="preserve">means Schedule 1 to the </w:t>
      </w:r>
      <w:r>
        <w:rPr>
          <w:i/>
          <w:sz w:val="23"/>
        </w:rPr>
        <w:t>Gas Pipelines Access (</w:t>
      </w:r>
      <w:smartTag w:uri="urn:schemas-microsoft-com:office:smarttags" w:element="State">
        <w:smartTag w:uri="urn:schemas-microsoft-com:office:smarttags" w:element="place">
          <w:r>
            <w:rPr>
              <w:i/>
              <w:sz w:val="23"/>
            </w:rPr>
            <w:t>Western Australia</w:t>
          </w:r>
        </w:smartTag>
      </w:smartTag>
      <w:r>
        <w:rPr>
          <w:i/>
          <w:sz w:val="23"/>
        </w:rPr>
        <w:t>) Act 1998</w:t>
      </w:r>
      <w:r>
        <w:rPr>
          <w:sz w:val="23"/>
        </w:rPr>
        <w:t xml:space="preserve"> as in force from time to time before the commencement of section 30 of the </w:t>
      </w:r>
      <w:r>
        <w:rPr>
          <w:i/>
          <w:sz w:val="23"/>
        </w:rPr>
        <w:t>National Gas Access (WA) Act 2009</w:t>
      </w:r>
      <w:r>
        <w:rPr>
          <w:sz w:val="23"/>
        </w:rPr>
        <w:t>;</w:t>
      </w:r>
    </w:p>
    <w:p>
      <w:pPr>
        <w:keepLines/>
        <w:autoSpaceDE w:val="0"/>
        <w:autoSpaceDN w:val="0"/>
        <w:adjustRightInd w:val="0"/>
        <w:spacing w:before="120"/>
        <w:ind w:left="1588"/>
        <w:rPr>
          <w:color w:val="000000"/>
          <w:sz w:val="23"/>
          <w:szCs w:val="23"/>
        </w:rPr>
      </w:pPr>
      <w:r>
        <w:rPr>
          <w:rStyle w:val="CharDefText"/>
          <w:bCs/>
          <w:sz w:val="23"/>
        </w:rPr>
        <w:t>old</w:t>
      </w:r>
      <w:r>
        <w:rPr>
          <w:rStyle w:val="CharDefText"/>
          <w:b w:val="0"/>
          <w:sz w:val="23"/>
        </w:rPr>
        <w:t xml:space="preserve"> </w:t>
      </w:r>
      <w:r>
        <w:rPr>
          <w:rStyle w:val="CharDefText"/>
          <w:bCs/>
          <w:sz w:val="23"/>
        </w:rPr>
        <w:t>scheme classification or determination</w:t>
      </w:r>
      <w:r>
        <w:rPr>
          <w:bCs/>
          <w:i/>
          <w:iCs/>
          <w:color w:val="000000"/>
          <w:sz w:val="23"/>
          <w:szCs w:val="23"/>
        </w:rPr>
        <w:t xml:space="preserve"> </w:t>
      </w:r>
      <w:r>
        <w:rPr>
          <w:color w:val="000000"/>
          <w:sz w:val="23"/>
          <w:szCs w:val="23"/>
        </w:rPr>
        <w:t>means a classification or determination under section 10 or 11 of the old access law in force at any time before the repeal of the old access law;</w:t>
      </w:r>
    </w:p>
    <w:p>
      <w:pPr>
        <w:keepNext/>
        <w:keepLines/>
        <w:autoSpaceDE w:val="0"/>
        <w:autoSpaceDN w:val="0"/>
        <w:adjustRightInd w:val="0"/>
        <w:spacing w:before="120"/>
        <w:ind w:left="1588"/>
        <w:rPr>
          <w:color w:val="000000"/>
          <w:sz w:val="23"/>
          <w:szCs w:val="23"/>
        </w:rPr>
      </w:pPr>
      <w:r>
        <w:rPr>
          <w:rStyle w:val="CharDefText"/>
          <w:bCs/>
          <w:sz w:val="23"/>
        </w:rPr>
        <w:t>old scheme distribution pipeline</w:t>
      </w:r>
      <w:r>
        <w:rPr>
          <w:bCs/>
          <w:i/>
          <w:iCs/>
          <w:color w:val="000000"/>
          <w:sz w:val="23"/>
          <w:szCs w:val="23"/>
        </w:rPr>
        <w:t xml:space="preserve"> </w:t>
      </w:r>
      <w:r>
        <w:rPr>
          <w:color w:val="000000"/>
          <w:sz w:val="23"/>
          <w:szCs w:val="23"/>
        </w:rPr>
        <w:t>means a pipeline that was, at any time before the repeal of the old access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distribution pipeline as defined in that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covered pipeline as defined in the Gas Code;</w:t>
      </w:r>
    </w:p>
    <w:p>
      <w:pPr>
        <w:keepNext/>
        <w:keepLines/>
        <w:autoSpaceDE w:val="0"/>
        <w:autoSpaceDN w:val="0"/>
        <w:adjustRightInd w:val="0"/>
        <w:spacing w:before="120"/>
        <w:ind w:left="1588"/>
        <w:rPr>
          <w:color w:val="000000"/>
          <w:sz w:val="23"/>
          <w:szCs w:val="23"/>
        </w:rPr>
      </w:pPr>
      <w:r>
        <w:rPr>
          <w:rStyle w:val="CharDefText"/>
          <w:bCs/>
          <w:sz w:val="23"/>
        </w:rPr>
        <w:t xml:space="preserve">old scheme transmission pipeline </w:t>
      </w:r>
      <w:r>
        <w:rPr>
          <w:color w:val="000000"/>
          <w:sz w:val="23"/>
          <w:szCs w:val="23"/>
        </w:rPr>
        <w:t>means a pipeline that was, at any time before the repeal of the old access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transmission pipeline as defined in that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covered pipeline as defined in the Gas Code;</w:t>
      </w:r>
    </w:p>
    <w:p>
      <w:pPr>
        <w:keepLines/>
        <w:autoSpaceDE w:val="0"/>
        <w:autoSpaceDN w:val="0"/>
        <w:adjustRightInd w:val="0"/>
        <w:spacing w:before="120"/>
        <w:ind w:left="1588"/>
        <w:rPr>
          <w:color w:val="000000"/>
          <w:sz w:val="23"/>
          <w:szCs w:val="23"/>
        </w:rPr>
      </w:pPr>
      <w:r>
        <w:rPr>
          <w:rStyle w:val="CharDefText"/>
          <w:bCs/>
          <w:sz w:val="23"/>
        </w:rPr>
        <w:t>participating jurisdiction</w:t>
      </w:r>
      <w:r>
        <w:rPr>
          <w:bCs/>
          <w:i/>
          <w:iCs/>
          <w:color w:val="000000"/>
          <w:sz w:val="23"/>
          <w:szCs w:val="23"/>
        </w:rPr>
        <w:t xml:space="preserve"> </w:t>
      </w:r>
      <w:r>
        <w:rPr>
          <w:color w:val="000000"/>
          <w:sz w:val="23"/>
          <w:szCs w:val="23"/>
        </w:rPr>
        <w:t>means a jurisdiction that is a participating jurisdiction by reason of section 21;</w:t>
      </w:r>
    </w:p>
    <w:p>
      <w:pPr>
        <w:keepNext/>
        <w:autoSpaceDE w:val="0"/>
        <w:autoSpaceDN w:val="0"/>
        <w:adjustRightInd w:val="0"/>
        <w:spacing w:before="120"/>
        <w:ind w:left="1588"/>
        <w:rPr>
          <w:color w:val="000000"/>
          <w:sz w:val="23"/>
          <w:szCs w:val="23"/>
        </w:rPr>
      </w:pPr>
      <w:r>
        <w:rPr>
          <w:rStyle w:val="CharDefText"/>
          <w:bCs/>
          <w:sz w:val="23"/>
        </w:rPr>
        <w:t>pipeline</w:t>
      </w:r>
      <w:r>
        <w:rPr>
          <w:color w:val="000000"/>
          <w:sz w:val="23"/>
          <w:szCs w:val="23"/>
        </w:rPr>
        <w:t xml:space="preserve"> means—</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 or system of pipes for the haulage of natural gas, and any tanks, reservoirs, machinery or equipment directly attached to that pipe or system of pipes;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proposed pipe or system of pipes for the haulage of natural gas, and any proposed tanks, reservoirs, machinery or equipment proposed to be directly attached to the proposed pipe or system of pipes;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part of a pipe or system of pipes or proposed pipe or system of pipes referred to in paragraph (a) or (b),</w:t>
      </w:r>
    </w:p>
    <w:p>
      <w:pPr>
        <w:keepLines/>
        <w:autoSpaceDE w:val="0"/>
        <w:autoSpaceDN w:val="0"/>
        <w:adjustRightInd w:val="0"/>
        <w:spacing w:before="120"/>
        <w:ind w:left="1588"/>
        <w:rPr>
          <w:color w:val="000000"/>
          <w:sz w:val="23"/>
          <w:szCs w:val="23"/>
        </w:rPr>
      </w:pPr>
      <w:r>
        <w:rPr>
          <w:color w:val="000000"/>
          <w:sz w:val="23"/>
          <w:szCs w:val="23"/>
        </w:rPr>
        <w:t>but does not include—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unless paragraph (e) applies, anything upstream of a prescribed exit flange on a pipeline conveying natural gas from a prescribed gas processing plant;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if a connection point upstream of an exit flange on such a pipeline is prescribed, anything upstream of that point;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gathering system operated as part of an upstream producing operation;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any tanks, reservoirs, machinery or equipment used to remove or add components to or change natural gas (other than odourisation facilities) such as a gas processing plant;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anything downstream of a point on a pipeline from which a person takes natural gas for consumption purposes;</w:t>
      </w:r>
    </w:p>
    <w:p>
      <w:pPr>
        <w:keepLines/>
        <w:autoSpaceDE w:val="0"/>
        <w:autoSpaceDN w:val="0"/>
        <w:adjustRightInd w:val="0"/>
        <w:spacing w:before="120"/>
        <w:ind w:left="1588"/>
        <w:rPr>
          <w:color w:val="000000"/>
          <w:sz w:val="23"/>
          <w:szCs w:val="23"/>
        </w:rPr>
      </w:pPr>
      <w:r>
        <w:rPr>
          <w:rStyle w:val="CharDefText"/>
          <w:bCs/>
          <w:sz w:val="23"/>
        </w:rPr>
        <w:t>pipeline classification criterion</w:t>
      </w:r>
      <w:r>
        <w:rPr>
          <w:bCs/>
          <w:i/>
          <w:iCs/>
          <w:color w:val="000000"/>
          <w:sz w:val="23"/>
          <w:szCs w:val="23"/>
        </w:rPr>
        <w:t xml:space="preserve"> </w:t>
      </w:r>
      <w:r>
        <w:rPr>
          <w:color w:val="000000"/>
          <w:sz w:val="23"/>
          <w:szCs w:val="23"/>
        </w:rPr>
        <w:t>has the meaning given by section 13;</w:t>
      </w:r>
    </w:p>
    <w:p>
      <w:pPr>
        <w:keepLines/>
        <w:autoSpaceDE w:val="0"/>
        <w:autoSpaceDN w:val="0"/>
        <w:adjustRightInd w:val="0"/>
        <w:spacing w:before="120"/>
        <w:ind w:left="1588"/>
        <w:rPr>
          <w:color w:val="000000"/>
          <w:sz w:val="23"/>
          <w:szCs w:val="23"/>
        </w:rPr>
      </w:pPr>
      <w:r>
        <w:rPr>
          <w:rStyle w:val="CharDefText"/>
          <w:bCs/>
          <w:sz w:val="23"/>
        </w:rPr>
        <w:t>pipeline coverage criteria</w:t>
      </w:r>
      <w:r>
        <w:rPr>
          <w:bCs/>
          <w:i/>
          <w:iCs/>
          <w:color w:val="000000"/>
          <w:sz w:val="23"/>
          <w:szCs w:val="23"/>
        </w:rPr>
        <w:t xml:space="preserve"> </w:t>
      </w:r>
      <w:r>
        <w:rPr>
          <w:color w:val="000000"/>
          <w:sz w:val="23"/>
          <w:szCs w:val="23"/>
        </w:rPr>
        <w:t>has the meaning given by section 15;</w:t>
      </w:r>
    </w:p>
    <w:p>
      <w:pPr>
        <w:keepLines/>
        <w:autoSpaceDE w:val="0"/>
        <w:autoSpaceDN w:val="0"/>
        <w:adjustRightInd w:val="0"/>
        <w:spacing w:before="120"/>
        <w:ind w:left="1588"/>
        <w:rPr>
          <w:color w:val="000000"/>
          <w:sz w:val="23"/>
          <w:szCs w:val="23"/>
        </w:rPr>
      </w:pPr>
      <w:r>
        <w:rPr>
          <w:rStyle w:val="CharDefText"/>
          <w:bCs/>
          <w:sz w:val="23"/>
        </w:rPr>
        <w:t>pipeline reliability standard</w:t>
      </w:r>
      <w:r>
        <w:rPr>
          <w:bCs/>
          <w:i/>
          <w:iCs/>
          <w:color w:val="000000"/>
          <w:sz w:val="23"/>
          <w:szCs w:val="23"/>
        </w:rPr>
        <w:t xml:space="preserve"> </w:t>
      </w:r>
      <w:r>
        <w:rPr>
          <w:color w:val="000000"/>
          <w:sz w:val="23"/>
          <w:szCs w:val="23"/>
        </w:rPr>
        <w:t>means a standard imposed by or under an Act of a participating jurisdiction, or any instrument made or issued under or for the purposes of that Act, relating to the reliable haulage of natural gas in that jurisdiction;</w:t>
      </w:r>
    </w:p>
    <w:p>
      <w:pPr>
        <w:autoSpaceDE w:val="0"/>
        <w:autoSpaceDN w:val="0"/>
        <w:adjustRightInd w:val="0"/>
        <w:spacing w:before="120"/>
        <w:ind w:left="1588"/>
        <w:rPr>
          <w:color w:val="000000"/>
          <w:sz w:val="23"/>
          <w:szCs w:val="23"/>
        </w:rPr>
      </w:pPr>
      <w:r>
        <w:rPr>
          <w:rStyle w:val="CharDefText"/>
          <w:bCs/>
          <w:sz w:val="23"/>
        </w:rPr>
        <w:t>pipeline safety duty</w:t>
      </w:r>
      <w:r>
        <w:rPr>
          <w:bCs/>
          <w:i/>
          <w:iCs/>
          <w:color w:val="000000"/>
          <w:sz w:val="23"/>
          <w:szCs w:val="23"/>
        </w:rPr>
        <w:t xml:space="preserve"> </w:t>
      </w:r>
      <w:r>
        <w:rPr>
          <w:color w:val="000000"/>
          <w:sz w:val="23"/>
          <w:szCs w:val="23"/>
        </w:rPr>
        <w:t>means a duty or requirement under an Act of a participating jurisdiction, or any instrument made or issued under or for the purposes of that Act, relating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safe haulage of natural gas in that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safe operation of a pipeline in that jurisdiction;</w:t>
      </w:r>
    </w:p>
    <w:p>
      <w:pPr>
        <w:keepNext/>
        <w:keepLines/>
        <w:autoSpaceDE w:val="0"/>
        <w:autoSpaceDN w:val="0"/>
        <w:adjustRightInd w:val="0"/>
        <w:spacing w:before="120"/>
        <w:ind w:left="1588"/>
        <w:rPr>
          <w:color w:val="000000"/>
          <w:sz w:val="23"/>
          <w:szCs w:val="23"/>
        </w:rPr>
      </w:pPr>
      <w:r>
        <w:rPr>
          <w:rStyle w:val="CharDefText"/>
          <w:bCs/>
          <w:sz w:val="23"/>
        </w:rPr>
        <w:t>pipeline service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provided by means of a pipeline, including—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haulage service (such as firm haulage, interruptible haulage, spot haulage and backhaul);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service providing for, or facilitating, the interconnection of pipelines;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service ancillary to the provision of a service referred to in paragraph (a),</w:t>
      </w:r>
    </w:p>
    <w:p>
      <w:pPr>
        <w:keepLines/>
        <w:autoSpaceDE w:val="0"/>
        <w:autoSpaceDN w:val="0"/>
        <w:adjustRightInd w:val="0"/>
        <w:spacing w:before="120"/>
        <w:ind w:left="1588"/>
        <w:rPr>
          <w:color w:val="000000"/>
          <w:sz w:val="23"/>
          <w:szCs w:val="23"/>
        </w:rPr>
      </w:pPr>
      <w:r>
        <w:rPr>
          <w:color w:val="000000"/>
          <w:sz w:val="23"/>
          <w:szCs w:val="23"/>
        </w:rPr>
        <w:t>but does not include the production, sale or purchase of natural gas or processable gas;</w:t>
      </w:r>
    </w:p>
    <w:p>
      <w:pPr>
        <w:keepNext/>
        <w:keepLines/>
        <w:autoSpaceDE w:val="0"/>
        <w:autoSpaceDN w:val="0"/>
        <w:adjustRightInd w:val="0"/>
        <w:spacing w:before="120"/>
        <w:ind w:left="1588"/>
        <w:rPr>
          <w:color w:val="000000"/>
          <w:sz w:val="23"/>
          <w:szCs w:val="23"/>
        </w:rPr>
      </w:pPr>
      <w:r>
        <w:rPr>
          <w:rStyle w:val="CharDefText"/>
          <w:bCs/>
          <w:sz w:val="23"/>
        </w:rPr>
        <w:t>pipeline service standard</w:t>
      </w:r>
      <w:r>
        <w:rPr>
          <w:bCs/>
          <w:i/>
          <w:iCs/>
          <w:color w:val="000000"/>
          <w:sz w:val="23"/>
          <w:szCs w:val="23"/>
        </w:rPr>
        <w:t xml:space="preserve"> </w:t>
      </w:r>
      <w:r>
        <w:rPr>
          <w:color w:val="000000"/>
          <w:sz w:val="23"/>
          <w:szCs w:val="23"/>
        </w:rPr>
        <w:t>means a standard relating to the standard of the pipeline services provided by a service provider by means of a covered pipeline imposed—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or under jurisdictional gas legislation;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under an access arrangement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accordance with the Rules;</w:t>
      </w:r>
    </w:p>
    <w:p>
      <w:pPr>
        <w:keepNext/>
        <w:keepLines/>
        <w:autoSpaceDE w:val="0"/>
        <w:autoSpaceDN w:val="0"/>
        <w:adjustRightInd w:val="0"/>
        <w:spacing w:before="120"/>
        <w:ind w:left="1588"/>
        <w:rPr>
          <w:color w:val="000000"/>
          <w:sz w:val="23"/>
          <w:szCs w:val="23"/>
        </w:rPr>
      </w:pPr>
      <w:r>
        <w:rPr>
          <w:rStyle w:val="CharDefText"/>
          <w:bCs/>
          <w:sz w:val="23"/>
        </w:rPr>
        <w:t>price or revenue regulation</w:t>
      </w:r>
      <w:r>
        <w:rPr>
          <w:bCs/>
          <w:i/>
          <w:iCs/>
          <w:color w:val="000000"/>
          <w:sz w:val="23"/>
          <w:szCs w:val="23"/>
        </w:rPr>
        <w:t xml:space="preserve"> </w:t>
      </w:r>
      <w:r>
        <w:rPr>
          <w:color w:val="000000"/>
          <w:sz w:val="23"/>
          <w:szCs w:val="23"/>
        </w:rPr>
        <w:t>means regulation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prices, charges or tariffs for pipeline services to be, or that are to be, provided;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revenue to be, or that is to be, derived from the provision of pipeline services;</w:t>
      </w:r>
    </w:p>
    <w:p>
      <w:pPr>
        <w:keepLines/>
        <w:autoSpaceDE w:val="0"/>
        <w:autoSpaceDN w:val="0"/>
        <w:adjustRightInd w:val="0"/>
        <w:spacing w:before="120"/>
        <w:ind w:left="1588"/>
        <w:rPr>
          <w:color w:val="000000"/>
          <w:sz w:val="23"/>
          <w:szCs w:val="23"/>
        </w:rPr>
      </w:pPr>
      <w:r>
        <w:rPr>
          <w:rStyle w:val="CharDefText"/>
          <w:bCs/>
          <w:sz w:val="23"/>
        </w:rPr>
        <w:t>price regulation exemption</w:t>
      </w:r>
      <w:r>
        <w:rPr>
          <w:bCs/>
          <w:i/>
          <w:iCs/>
          <w:color w:val="000000"/>
          <w:sz w:val="23"/>
          <w:szCs w:val="23"/>
        </w:rPr>
        <w:t xml:space="preserve"> </w:t>
      </w:r>
      <w:r>
        <w:rPr>
          <w:color w:val="000000"/>
          <w:sz w:val="23"/>
          <w:szCs w:val="23"/>
        </w:rPr>
        <w:t>means an exemption under Chapter 5 Part 3;</w:t>
      </w:r>
    </w:p>
    <w:p>
      <w:pPr>
        <w:keepLines/>
        <w:autoSpaceDE w:val="0"/>
        <w:autoSpaceDN w:val="0"/>
        <w:adjustRightInd w:val="0"/>
        <w:spacing w:before="120"/>
        <w:ind w:left="1588"/>
        <w:rPr>
          <w:color w:val="000000"/>
          <w:sz w:val="23"/>
          <w:szCs w:val="23"/>
        </w:rPr>
      </w:pPr>
      <w:r>
        <w:rPr>
          <w:rStyle w:val="CharDefText"/>
          <w:bCs/>
          <w:sz w:val="23"/>
        </w:rPr>
        <w:t>price regulation exemption recommendation</w:t>
      </w:r>
      <w:r>
        <w:rPr>
          <w:bCs/>
          <w:i/>
          <w:iCs/>
          <w:color w:val="000000"/>
          <w:sz w:val="23"/>
          <w:szCs w:val="23"/>
        </w:rPr>
        <w:t xml:space="preserve"> </w:t>
      </w:r>
      <w:r>
        <w:rPr>
          <w:color w:val="000000"/>
          <w:sz w:val="23"/>
          <w:szCs w:val="23"/>
        </w:rPr>
        <w:t>means a recommendation of the NCC under section 162;</w:t>
      </w:r>
    </w:p>
    <w:p>
      <w:pPr>
        <w:keepNext/>
        <w:keepLines/>
        <w:autoSpaceDE w:val="0"/>
        <w:autoSpaceDN w:val="0"/>
        <w:adjustRightInd w:val="0"/>
        <w:spacing w:before="120"/>
        <w:ind w:left="1588"/>
        <w:rPr>
          <w:color w:val="000000"/>
          <w:sz w:val="23"/>
          <w:szCs w:val="23"/>
        </w:rPr>
      </w:pPr>
      <w:r>
        <w:rPr>
          <w:rStyle w:val="CharDefText"/>
          <w:bCs/>
          <w:sz w:val="23"/>
        </w:rPr>
        <w:t>processable gas</w:t>
      </w:r>
      <w:r>
        <w:rPr>
          <w:i/>
          <w:iCs/>
          <w:color w:val="000000"/>
          <w:sz w:val="23"/>
          <w:szCs w:val="23"/>
        </w:rPr>
        <w:t xml:space="preserve"> </w:t>
      </w:r>
      <w:r>
        <w:rPr>
          <w:color w:val="000000"/>
          <w:sz w:val="23"/>
          <w:szCs w:val="23"/>
        </w:rPr>
        <w:t>means a substance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in a gaseous state at standard temperature and pressure;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consists of naturally occurring hydrocarbons, or a naturally occurring mixture of hydrocarbons and non</w:t>
      </w:r>
      <w:r>
        <w:rPr>
          <w:color w:val="000000"/>
          <w:sz w:val="23"/>
          <w:szCs w:val="23"/>
        </w:rPr>
        <w:noBreakHyphen/>
        <w:t>hydrocarbons, the principal constituent of which is methane;</w:t>
      </w:r>
    </w:p>
    <w:p>
      <w:pPr>
        <w:keepLines/>
        <w:autoSpaceDE w:val="0"/>
        <w:autoSpaceDN w:val="0"/>
        <w:adjustRightInd w:val="0"/>
        <w:spacing w:before="120"/>
        <w:ind w:left="1588"/>
        <w:rPr>
          <w:color w:val="000000"/>
          <w:sz w:val="23"/>
          <w:szCs w:val="23"/>
        </w:rPr>
      </w:pPr>
      <w:r>
        <w:rPr>
          <w:rStyle w:val="CharDefText"/>
          <w:bCs/>
          <w:sz w:val="23"/>
        </w:rPr>
        <w:t>producer</w:t>
      </w:r>
      <w:r>
        <w:rPr>
          <w:color w:val="000000"/>
          <w:sz w:val="23"/>
          <w:szCs w:val="23"/>
        </w:rPr>
        <w:t xml:space="preserve"> means a person who carries on a business of producing natural gas;</w:t>
      </w:r>
    </w:p>
    <w:p>
      <w:pPr>
        <w:keepLines/>
        <w:autoSpaceDE w:val="0"/>
        <w:autoSpaceDN w:val="0"/>
        <w:adjustRightInd w:val="0"/>
        <w:spacing w:before="120"/>
        <w:ind w:left="1588"/>
        <w:rPr>
          <w:color w:val="000000"/>
          <w:sz w:val="23"/>
          <w:szCs w:val="23"/>
        </w:rPr>
      </w:pPr>
      <w:r>
        <w:rPr>
          <w:rStyle w:val="CharDefText"/>
          <w:bCs/>
          <w:sz w:val="23"/>
        </w:rPr>
        <w:t>prospective user</w:t>
      </w:r>
      <w:r>
        <w:rPr>
          <w:bCs/>
          <w:i/>
          <w:iCs/>
          <w:color w:val="000000"/>
          <w:sz w:val="23"/>
          <w:szCs w:val="23"/>
        </w:rPr>
        <w:t xml:space="preserve"> </w:t>
      </w:r>
      <w:r>
        <w:rPr>
          <w:color w:val="000000"/>
          <w:sz w:val="23"/>
          <w:szCs w:val="23"/>
        </w:rPr>
        <w:t>has the meaning given by section 5;</w:t>
      </w:r>
    </w:p>
    <w:p>
      <w:pPr>
        <w:keepLines/>
        <w:autoSpaceDE w:val="0"/>
        <w:autoSpaceDN w:val="0"/>
        <w:adjustRightInd w:val="0"/>
        <w:spacing w:before="120"/>
        <w:ind w:left="1588"/>
        <w:rPr>
          <w:color w:val="000000"/>
          <w:sz w:val="23"/>
          <w:szCs w:val="23"/>
        </w:rPr>
      </w:pPr>
      <w:r>
        <w:rPr>
          <w:rStyle w:val="CharDefText"/>
          <w:bCs/>
          <w:sz w:val="23"/>
        </w:rPr>
        <w:t>queuing requirements</w:t>
      </w:r>
      <w:r>
        <w:rPr>
          <w:bCs/>
          <w:i/>
          <w:iCs/>
          <w:color w:val="000000"/>
          <w:sz w:val="23"/>
          <w:szCs w:val="23"/>
        </w:rPr>
        <w:t xml:space="preserve"> </w:t>
      </w:r>
      <w:r>
        <w:rPr>
          <w:color w:val="000000"/>
          <w:sz w:val="23"/>
          <w:szCs w:val="23"/>
        </w:rPr>
        <w:t>means terms and conditions providing for the priority that a prospective user has, as against any other prospective user, to obtain access to spare capacity and developable capacity;</w:t>
      </w:r>
    </w:p>
    <w:p>
      <w:pPr>
        <w:keepLines/>
        <w:autoSpaceDE w:val="0"/>
        <w:autoSpaceDN w:val="0"/>
        <w:adjustRightInd w:val="0"/>
        <w:spacing w:before="120"/>
        <w:ind w:left="1588"/>
        <w:rPr>
          <w:color w:val="000000"/>
          <w:sz w:val="23"/>
          <w:szCs w:val="23"/>
        </w:rPr>
      </w:pPr>
      <w:r>
        <w:rPr>
          <w:rStyle w:val="CharDefText"/>
          <w:bCs/>
          <w:sz w:val="23"/>
        </w:rPr>
        <w:t>reclassification decision</w:t>
      </w:r>
      <w:r>
        <w:rPr>
          <w:bCs/>
          <w:i/>
          <w:iCs/>
          <w:color w:val="000000"/>
          <w:sz w:val="23"/>
          <w:szCs w:val="23"/>
        </w:rPr>
        <w:t xml:space="preserve"> </w:t>
      </w:r>
      <w:r>
        <w:rPr>
          <w:color w:val="000000"/>
          <w:sz w:val="23"/>
          <w:szCs w:val="23"/>
        </w:rPr>
        <w:t>means a decision of the NCC under Chapter 3 Part 5;</w:t>
      </w:r>
    </w:p>
    <w:p>
      <w:pPr>
        <w:keepLines/>
        <w:autoSpaceDE w:val="0"/>
        <w:autoSpaceDN w:val="0"/>
        <w:adjustRightInd w:val="0"/>
        <w:spacing w:before="120"/>
        <w:ind w:left="1588"/>
        <w:rPr>
          <w:color w:val="000000"/>
          <w:sz w:val="23"/>
          <w:szCs w:val="23"/>
        </w:rPr>
      </w:pPr>
      <w:r>
        <w:rPr>
          <w:rStyle w:val="CharDefText"/>
          <w:bCs/>
          <w:sz w:val="23"/>
        </w:rPr>
        <w:t>reference service</w:t>
      </w:r>
      <w:r>
        <w:rPr>
          <w:bCs/>
          <w:i/>
          <w:iCs/>
          <w:color w:val="000000"/>
          <w:sz w:val="23"/>
          <w:szCs w:val="23"/>
        </w:rPr>
        <w:t xml:space="preserve"> </w:t>
      </w:r>
      <w:r>
        <w:rPr>
          <w:color w:val="000000"/>
          <w:sz w:val="23"/>
          <w:szCs w:val="23"/>
        </w:rPr>
        <w:t>means a pipeline service specified by, or determined or approved by the AER under, the Rules as a reference service;</w:t>
      </w:r>
    </w:p>
    <w:p>
      <w:pPr>
        <w:keepNext/>
        <w:autoSpaceDE w:val="0"/>
        <w:autoSpaceDN w:val="0"/>
        <w:adjustRightInd w:val="0"/>
        <w:spacing w:before="120"/>
        <w:ind w:left="1588"/>
        <w:rPr>
          <w:color w:val="000000"/>
          <w:sz w:val="23"/>
          <w:szCs w:val="23"/>
        </w:rPr>
      </w:pPr>
      <w:r>
        <w:rPr>
          <w:rStyle w:val="CharDefText"/>
          <w:bCs/>
          <w:sz w:val="23"/>
        </w:rPr>
        <w:t>reference tariff</w:t>
      </w:r>
      <w:r>
        <w:rPr>
          <w:bCs/>
          <w:i/>
          <w:iCs/>
          <w:color w:val="000000"/>
          <w:sz w:val="23"/>
          <w:szCs w:val="23"/>
        </w:rPr>
        <w:t xml:space="preserve"> </w:t>
      </w:r>
      <w:r>
        <w:rPr>
          <w:color w:val="000000"/>
          <w:sz w:val="23"/>
          <w:szCs w:val="23"/>
        </w:rPr>
        <w:t>means a tariff or charge for a reference service—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specified in an applicable access arrangement approved or made under a full access arrangement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determined by applying the formula or methodology contained in an applicable access arrangement approved or made under a full access arrangement decision;</w:t>
      </w:r>
    </w:p>
    <w:p>
      <w:pPr>
        <w:keepLines/>
        <w:autoSpaceDE w:val="0"/>
        <w:autoSpaceDN w:val="0"/>
        <w:adjustRightInd w:val="0"/>
        <w:spacing w:before="120"/>
        <w:ind w:left="1588"/>
        <w:rPr>
          <w:color w:val="000000"/>
          <w:sz w:val="23"/>
          <w:szCs w:val="23"/>
        </w:rPr>
      </w:pPr>
      <w:r>
        <w:rPr>
          <w:rStyle w:val="CharDefText"/>
          <w:bCs/>
          <w:sz w:val="23"/>
        </w:rPr>
        <w:t>Regulations</w:t>
      </w:r>
      <w:r>
        <w:rPr>
          <w:color w:val="000000"/>
          <w:sz w:val="23"/>
          <w:szCs w:val="23"/>
        </w:rPr>
        <w:t xml:space="preserve"> </w:t>
      </w:r>
      <w:r>
        <w:rPr>
          <w:sz w:val="23"/>
        </w:rPr>
        <w:t xml:space="preserve">means the regulations made under Part 3 of the </w:t>
      </w:r>
      <w:r>
        <w:rPr>
          <w:i/>
          <w:sz w:val="23"/>
        </w:rPr>
        <w:t>National Gas Access (WA) Act 2009</w:t>
      </w:r>
      <w:r>
        <w:rPr>
          <w:sz w:val="23"/>
        </w:rPr>
        <w:t xml:space="preserve"> that apply as a law of this jurisdiction;</w:t>
      </w:r>
    </w:p>
    <w:p>
      <w:pPr>
        <w:keepLines/>
        <w:autoSpaceDE w:val="0"/>
        <w:autoSpaceDN w:val="0"/>
        <w:adjustRightInd w:val="0"/>
        <w:spacing w:before="120"/>
        <w:ind w:left="1588"/>
        <w:rPr>
          <w:color w:val="000000"/>
          <w:sz w:val="23"/>
          <w:szCs w:val="23"/>
        </w:rPr>
      </w:pPr>
      <w:r>
        <w:rPr>
          <w:rStyle w:val="CharDefText"/>
          <w:bCs/>
          <w:sz w:val="23"/>
        </w:rPr>
        <w:t>regulator</w:t>
      </w:r>
      <w:r>
        <w:rPr>
          <w:sz w:val="23"/>
        </w:rPr>
        <w:t xml:space="preserve"> has the meaning given to that term in </w:t>
      </w:r>
      <w:r>
        <w:rPr>
          <w:iCs/>
          <w:sz w:val="23"/>
        </w:rPr>
        <w:t xml:space="preserve">section 9(1) of </w:t>
      </w:r>
      <w:r>
        <w:rPr>
          <w:sz w:val="23"/>
        </w:rPr>
        <w:t xml:space="preserve">the </w:t>
      </w:r>
      <w:r>
        <w:rPr>
          <w:i/>
          <w:sz w:val="23"/>
        </w:rPr>
        <w:t>National Gas Access (WA) Act 2009;</w:t>
      </w:r>
    </w:p>
    <w:p>
      <w:pPr>
        <w:keepNext/>
        <w:keepLines/>
        <w:autoSpaceDE w:val="0"/>
        <w:autoSpaceDN w:val="0"/>
        <w:adjustRightInd w:val="0"/>
        <w:spacing w:before="120"/>
        <w:ind w:left="1588"/>
        <w:rPr>
          <w:color w:val="000000"/>
          <w:sz w:val="23"/>
          <w:szCs w:val="23"/>
        </w:rPr>
      </w:pPr>
      <w:r>
        <w:rPr>
          <w:rStyle w:val="CharDefText"/>
          <w:bCs/>
          <w:sz w:val="23"/>
        </w:rPr>
        <w:t>regulatory information instrument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general regulatory information order;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regulatory information notice;</w:t>
      </w:r>
    </w:p>
    <w:p>
      <w:pPr>
        <w:keepLines/>
        <w:autoSpaceDE w:val="0"/>
        <w:autoSpaceDN w:val="0"/>
        <w:adjustRightInd w:val="0"/>
        <w:spacing w:before="120"/>
        <w:ind w:left="1588"/>
        <w:rPr>
          <w:color w:val="000000"/>
          <w:sz w:val="23"/>
          <w:szCs w:val="23"/>
        </w:rPr>
      </w:pPr>
      <w:r>
        <w:rPr>
          <w:rStyle w:val="CharDefText"/>
          <w:bCs/>
          <w:sz w:val="23"/>
        </w:rPr>
        <w:t xml:space="preserve">regulatory information notice </w:t>
      </w:r>
      <w:r>
        <w:rPr>
          <w:color w:val="000000"/>
          <w:sz w:val="23"/>
          <w:szCs w:val="23"/>
        </w:rPr>
        <w:t>has the meaning given by section 46;</w:t>
      </w:r>
    </w:p>
    <w:p>
      <w:pPr>
        <w:keepLines/>
        <w:autoSpaceDE w:val="0"/>
        <w:autoSpaceDN w:val="0"/>
        <w:adjustRightInd w:val="0"/>
        <w:spacing w:before="120"/>
        <w:ind w:left="1588"/>
        <w:rPr>
          <w:color w:val="000000"/>
          <w:sz w:val="23"/>
          <w:szCs w:val="23"/>
        </w:rPr>
      </w:pPr>
      <w:r>
        <w:rPr>
          <w:rStyle w:val="CharDefText"/>
          <w:bCs/>
          <w:sz w:val="23"/>
        </w:rPr>
        <w:t>regulatory obligation or requirement</w:t>
      </w:r>
      <w:r>
        <w:rPr>
          <w:bCs/>
          <w:i/>
          <w:iCs/>
          <w:color w:val="000000"/>
          <w:sz w:val="23"/>
          <w:szCs w:val="23"/>
        </w:rPr>
        <w:t xml:space="preserve"> </w:t>
      </w:r>
      <w:r>
        <w:rPr>
          <w:color w:val="000000"/>
          <w:sz w:val="23"/>
          <w:szCs w:val="23"/>
        </w:rPr>
        <w:t>has the meaning given by section 6;</w:t>
      </w:r>
    </w:p>
    <w:p>
      <w:pPr>
        <w:keepLines/>
        <w:autoSpaceDE w:val="0"/>
        <w:autoSpaceDN w:val="0"/>
        <w:adjustRightInd w:val="0"/>
        <w:spacing w:before="120"/>
        <w:ind w:left="1588"/>
        <w:rPr>
          <w:color w:val="000000"/>
          <w:sz w:val="23"/>
          <w:szCs w:val="23"/>
        </w:rPr>
      </w:pPr>
      <w:r>
        <w:rPr>
          <w:rStyle w:val="CharDefText"/>
          <w:sz w:val="23"/>
        </w:rPr>
        <w:t>regulatory</w:t>
      </w:r>
      <w:r>
        <w:rPr>
          <w:rStyle w:val="CharDefText"/>
          <w:bCs/>
          <w:sz w:val="23"/>
        </w:rPr>
        <w:t xml:space="preserve"> payment </w:t>
      </w:r>
      <w:r>
        <w:rPr>
          <w:color w:val="000000"/>
          <w:sz w:val="23"/>
          <w:szCs w:val="23"/>
        </w:rPr>
        <w:t>has the meaning given by section 7;</w:t>
      </w:r>
    </w:p>
    <w:p>
      <w:pPr>
        <w:keepNext/>
        <w:keepLines/>
        <w:autoSpaceDE w:val="0"/>
        <w:autoSpaceDN w:val="0"/>
        <w:adjustRightInd w:val="0"/>
        <w:spacing w:before="120"/>
        <w:ind w:left="1588"/>
        <w:rPr>
          <w:color w:val="000000"/>
          <w:sz w:val="23"/>
          <w:szCs w:val="23"/>
        </w:rPr>
      </w:pPr>
      <w:r>
        <w:rPr>
          <w:rStyle w:val="CharDefText"/>
          <w:bCs/>
          <w:sz w:val="23"/>
        </w:rPr>
        <w:t>relevant Minister</w:t>
      </w:r>
      <w:r>
        <w:rPr>
          <w:bCs/>
          <w:i/>
          <w:iCs/>
          <w:color w:val="000000"/>
          <w:sz w:val="23"/>
          <w:szCs w:val="23"/>
        </w:rPr>
        <w:t xml:space="preserve"> </w:t>
      </w:r>
      <w:r>
        <w:rPr>
          <w:color w:val="000000"/>
          <w:sz w:val="23"/>
          <w:szCs w:val="23"/>
        </w:rPr>
        <w:t>means if, in a coverage recommendation, no</w:t>
      </w:r>
      <w:r>
        <w:rPr>
          <w:color w:val="000000"/>
          <w:sz w:val="23"/>
          <w:szCs w:val="23"/>
        </w:rPr>
        <w:noBreakHyphen/>
        <w:t>coverage recommendation, classification decision under the Rules or reclassification decision, the NCC determines the pipeline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cross boundary transmission pipeline—the Commonwealth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transmission pipeline situated wholly within a participating jurisdiction—the designated Minister;</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The term designated Minister is defined in the Act of this jurisdiction that applies this Law as a law of this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distribution pipeline situated wholly within a participating jurisdiction—the Minister of the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cross boundary distribution pipeline—the Minister of the participating jurisdiction determined by the NCC in the recommendation as being the participating jurisdiction with which the cross boundary distribution pipeline is most closely connected;</w:t>
      </w:r>
    </w:p>
    <w:p>
      <w:pPr>
        <w:keepLines/>
        <w:autoSpaceDE w:val="0"/>
        <w:autoSpaceDN w:val="0"/>
        <w:adjustRightInd w:val="0"/>
        <w:spacing w:before="120"/>
        <w:ind w:left="1588"/>
        <w:rPr>
          <w:color w:val="000000"/>
          <w:sz w:val="23"/>
          <w:szCs w:val="23"/>
        </w:rPr>
      </w:pPr>
      <w:r>
        <w:rPr>
          <w:rStyle w:val="CharDefText"/>
          <w:bCs/>
          <w:sz w:val="23"/>
        </w:rPr>
        <w:t>relevant Regulator</w:t>
      </w:r>
      <w:r>
        <w:rPr>
          <w:bCs/>
          <w:i/>
          <w:iCs/>
          <w:color w:val="000000"/>
          <w:sz w:val="23"/>
          <w:szCs w:val="23"/>
        </w:rPr>
        <w:t xml:space="preserve"> </w:t>
      </w:r>
      <w:r>
        <w:rPr>
          <w:color w:val="000000"/>
          <w:sz w:val="23"/>
          <w:szCs w:val="23"/>
        </w:rPr>
        <w:t>has the same meaning as in section 2 of the old access law;</w:t>
      </w:r>
    </w:p>
    <w:p>
      <w:pPr>
        <w:keepLines/>
        <w:autoSpaceDE w:val="0"/>
        <w:autoSpaceDN w:val="0"/>
        <w:adjustRightInd w:val="0"/>
        <w:spacing w:before="120"/>
        <w:ind w:left="1588"/>
        <w:rPr>
          <w:color w:val="000000"/>
          <w:sz w:val="23"/>
          <w:szCs w:val="23"/>
        </w:rPr>
      </w:pPr>
      <w:r>
        <w:rPr>
          <w:rStyle w:val="CharDefText"/>
          <w:bCs/>
          <w:sz w:val="23"/>
        </w:rPr>
        <w:t>revenue and pricing principles</w:t>
      </w:r>
      <w:r>
        <w:rPr>
          <w:bCs/>
          <w:i/>
          <w:iCs/>
          <w:color w:val="000000"/>
          <w:sz w:val="23"/>
          <w:szCs w:val="23"/>
        </w:rPr>
        <w:t xml:space="preserve"> </w:t>
      </w:r>
      <w:r>
        <w:rPr>
          <w:color w:val="000000"/>
          <w:sz w:val="23"/>
          <w:szCs w:val="23"/>
        </w:rPr>
        <w:t>means the principles set out in section 24;</w:t>
      </w:r>
    </w:p>
    <w:p>
      <w:pPr>
        <w:keepNext/>
        <w:keepLines/>
        <w:autoSpaceDE w:val="0"/>
        <w:autoSpaceDN w:val="0"/>
        <w:adjustRightInd w:val="0"/>
        <w:spacing w:before="120"/>
        <w:ind w:left="1588"/>
        <w:rPr>
          <w:color w:val="000000"/>
          <w:sz w:val="23"/>
          <w:szCs w:val="23"/>
        </w:rPr>
      </w:pPr>
      <w:r>
        <w:rPr>
          <w:rStyle w:val="CharDefText"/>
          <w:bCs/>
          <w:sz w:val="23"/>
          <w:szCs w:val="23"/>
        </w:rPr>
        <w:t>reviewable regulatory decision</w:t>
      </w:r>
      <w:r>
        <w:rPr>
          <w:color w:val="000000"/>
          <w:sz w:val="23"/>
          <w:szCs w:val="23"/>
        </w:rPr>
        <w:t xml:space="preserve"> has the meaning given by section 244;</w:t>
      </w:r>
    </w:p>
    <w:p>
      <w:pPr>
        <w:keepNext/>
        <w:keepLines/>
        <w:autoSpaceDE w:val="0"/>
        <w:autoSpaceDN w:val="0"/>
        <w:adjustRightInd w:val="0"/>
        <w:spacing w:before="120"/>
        <w:ind w:left="1588"/>
        <w:rPr>
          <w:color w:val="000000"/>
          <w:sz w:val="23"/>
          <w:szCs w:val="23"/>
        </w:rPr>
      </w:pPr>
      <w:r>
        <w:rPr>
          <w:rStyle w:val="CharDefText"/>
          <w:bCs/>
          <w:sz w:val="23"/>
        </w:rPr>
        <w:t>ring fencing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AER ring fencing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under section 146 granting or not granting an exemption under that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associate contract decision;</w:t>
      </w:r>
    </w:p>
    <w:p>
      <w:pPr>
        <w:keepNext/>
        <w:keepLines/>
        <w:autoSpaceDE w:val="0"/>
        <w:autoSpaceDN w:val="0"/>
        <w:adjustRightInd w:val="0"/>
        <w:spacing w:before="120"/>
        <w:ind w:left="1588"/>
        <w:rPr>
          <w:color w:val="000000"/>
          <w:sz w:val="23"/>
          <w:szCs w:val="23"/>
        </w:rPr>
      </w:pPr>
      <w:r>
        <w:rPr>
          <w:rStyle w:val="CharDefText"/>
          <w:bCs/>
          <w:sz w:val="23"/>
        </w:rPr>
        <w:t>scheme pipeline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international pipeline to which a price regulation exemption applies;</w:t>
      </w:r>
    </w:p>
    <w:p>
      <w:pPr>
        <w:keepLines/>
        <w:autoSpaceDE w:val="0"/>
        <w:autoSpaceDN w:val="0"/>
        <w:adjustRightInd w:val="0"/>
        <w:spacing w:before="120"/>
        <w:ind w:left="1588"/>
        <w:rPr>
          <w:color w:val="000000"/>
          <w:sz w:val="23"/>
          <w:szCs w:val="23"/>
        </w:rPr>
      </w:pPr>
      <w:r>
        <w:rPr>
          <w:rStyle w:val="CharDefText"/>
          <w:bCs/>
          <w:sz w:val="23"/>
        </w:rPr>
        <w:t>service provider</w:t>
      </w:r>
      <w:r>
        <w:rPr>
          <w:bCs/>
          <w:i/>
          <w:iCs/>
          <w:color w:val="000000"/>
          <w:sz w:val="23"/>
          <w:szCs w:val="23"/>
        </w:rPr>
        <w:t xml:space="preserve"> </w:t>
      </w:r>
      <w:r>
        <w:rPr>
          <w:color w:val="000000"/>
          <w:sz w:val="23"/>
          <w:szCs w:val="23"/>
        </w:rPr>
        <w:t>has the meaning given by section 8;</w:t>
      </w:r>
    </w:p>
    <w:p>
      <w:pPr>
        <w:keepLines/>
        <w:autoSpaceDE w:val="0"/>
        <w:autoSpaceDN w:val="0"/>
        <w:adjustRightInd w:val="0"/>
        <w:spacing w:before="120"/>
        <w:ind w:left="1588"/>
        <w:rPr>
          <w:color w:val="000000"/>
          <w:sz w:val="23"/>
          <w:szCs w:val="23"/>
        </w:rPr>
      </w:pPr>
      <w:r>
        <w:rPr>
          <w:rStyle w:val="CharDefText"/>
          <w:bCs/>
          <w:sz w:val="23"/>
        </w:rPr>
        <w:t>service provider performance report</w:t>
      </w:r>
      <w:r>
        <w:rPr>
          <w:bCs/>
          <w:i/>
          <w:iCs/>
          <w:color w:val="000000"/>
          <w:sz w:val="23"/>
          <w:szCs w:val="23"/>
        </w:rPr>
        <w:t xml:space="preserve"> </w:t>
      </w:r>
      <w:r>
        <w:rPr>
          <w:color w:val="000000"/>
          <w:sz w:val="23"/>
          <w:szCs w:val="23"/>
        </w:rPr>
        <w:t>means a report prepared by the AER under section 64;</w:t>
      </w:r>
    </w:p>
    <w:p>
      <w:pPr>
        <w:keepLines/>
        <w:autoSpaceDE w:val="0"/>
        <w:autoSpaceDN w:val="0"/>
        <w:adjustRightInd w:val="0"/>
        <w:spacing w:before="120"/>
        <w:ind w:left="1588"/>
        <w:rPr>
          <w:color w:val="000000"/>
          <w:sz w:val="23"/>
          <w:szCs w:val="23"/>
        </w:rPr>
      </w:pPr>
      <w:r>
        <w:rPr>
          <w:rStyle w:val="CharDefText"/>
          <w:bCs/>
          <w:sz w:val="23"/>
        </w:rPr>
        <w:t xml:space="preserve">spare capacity </w:t>
      </w:r>
      <w:r>
        <w:rPr>
          <w:color w:val="000000"/>
          <w:sz w:val="23"/>
          <w:szCs w:val="23"/>
        </w:rPr>
        <w:t>means unutilised capacity of a pipeline;</w:t>
      </w:r>
    </w:p>
    <w:p>
      <w:pPr>
        <w:keepLines/>
        <w:autoSpaceDE w:val="0"/>
        <w:autoSpaceDN w:val="0"/>
        <w:adjustRightInd w:val="0"/>
        <w:spacing w:before="120"/>
        <w:ind w:left="1588"/>
        <w:rPr>
          <w:color w:val="000000"/>
          <w:sz w:val="23"/>
          <w:szCs w:val="23"/>
        </w:rPr>
      </w:pPr>
      <w:r>
        <w:rPr>
          <w:rStyle w:val="CharDefText"/>
          <w:bCs/>
          <w:sz w:val="23"/>
        </w:rPr>
        <w:t>storage provider</w:t>
      </w:r>
      <w:r>
        <w:rPr>
          <w:bCs/>
          <w:i/>
          <w:iCs/>
          <w:color w:val="000000"/>
          <w:sz w:val="23"/>
          <w:szCs w:val="23"/>
        </w:rPr>
        <w:t xml:space="preserve"> </w:t>
      </w:r>
      <w:r>
        <w:rPr>
          <w:color w:val="000000"/>
          <w:sz w:val="23"/>
          <w:szCs w:val="23"/>
        </w:rPr>
        <w:t>means any person who owns, operates or controls a facility for storing natural gas or processable gas for injection into a pipeline;</w:t>
      </w:r>
    </w:p>
    <w:p>
      <w:pPr>
        <w:keepNext/>
        <w:keepLines/>
        <w:autoSpaceDE w:val="0"/>
        <w:autoSpaceDN w:val="0"/>
        <w:adjustRightInd w:val="0"/>
        <w:spacing w:before="120"/>
        <w:ind w:left="1588"/>
        <w:rPr>
          <w:color w:val="000000"/>
          <w:sz w:val="23"/>
          <w:szCs w:val="23"/>
        </w:rPr>
      </w:pPr>
      <w:r>
        <w:rPr>
          <w:rStyle w:val="CharDefText"/>
          <w:sz w:val="23"/>
        </w:rPr>
        <w:t>supply</w:t>
      </w:r>
      <w:r>
        <w:rPr>
          <w:color w:val="000000"/>
          <w:sz w:val="23"/>
          <w:szCs w:val="23"/>
        </w:rPr>
        <w:t xml:space="preserve"> 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goods—supply (including re</w:t>
      </w:r>
      <w:r>
        <w:rPr>
          <w:color w:val="000000"/>
          <w:sz w:val="23"/>
          <w:szCs w:val="23"/>
        </w:rPr>
        <w:noBreakHyphen/>
        <w:t>supply) by way of sale, exchange, lease, hire or hire purchase;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relation to services—provide, grant or confer;</w:t>
      </w:r>
    </w:p>
    <w:p>
      <w:pPr>
        <w:keepLines/>
        <w:autoSpaceDE w:val="0"/>
        <w:autoSpaceDN w:val="0"/>
        <w:adjustRightInd w:val="0"/>
        <w:spacing w:before="120"/>
        <w:ind w:left="1588"/>
        <w:rPr>
          <w:color w:val="000000"/>
          <w:sz w:val="23"/>
          <w:szCs w:val="23"/>
        </w:rPr>
      </w:pPr>
      <w:r>
        <w:rPr>
          <w:rStyle w:val="CharDefText"/>
          <w:bCs/>
          <w:sz w:val="23"/>
        </w:rPr>
        <w:t>tariff</w:t>
      </w:r>
      <w:r>
        <w:rPr>
          <w:color w:val="000000"/>
          <w:sz w:val="23"/>
          <w:szCs w:val="23"/>
        </w:rPr>
        <w:t xml:space="preserve"> means a rate by which a charge for a pipeline service is calculated;</w:t>
      </w:r>
    </w:p>
    <w:p>
      <w:pPr>
        <w:keepLines/>
        <w:autoSpaceDE w:val="0"/>
        <w:autoSpaceDN w:val="0"/>
        <w:adjustRightInd w:val="0"/>
        <w:spacing w:before="120"/>
        <w:ind w:left="1588"/>
        <w:rPr>
          <w:color w:val="000000"/>
          <w:sz w:val="23"/>
          <w:szCs w:val="23"/>
        </w:rPr>
      </w:pPr>
      <w:r>
        <w:rPr>
          <w:rStyle w:val="CharDefText"/>
          <w:bCs/>
          <w:sz w:val="23"/>
        </w:rPr>
        <w:t>tender approval decision</w:t>
      </w:r>
      <w:r>
        <w:rPr>
          <w:bCs/>
          <w:i/>
          <w:iCs/>
          <w:color w:val="000000"/>
          <w:sz w:val="23"/>
          <w:szCs w:val="23"/>
        </w:rPr>
        <w:t xml:space="preserve"> </w:t>
      </w:r>
      <w:r>
        <w:rPr>
          <w:color w:val="000000"/>
          <w:sz w:val="23"/>
          <w:szCs w:val="23"/>
        </w:rPr>
        <w:t>means a decision of the AER under the Rules under which the AER approves a tender process for the construction and operation of a pipeline as a competitive tender process;</w:t>
      </w:r>
    </w:p>
    <w:p>
      <w:pPr>
        <w:keepLines/>
        <w:autoSpaceDE w:val="0"/>
        <w:autoSpaceDN w:val="0"/>
        <w:adjustRightInd w:val="0"/>
        <w:spacing w:before="120"/>
        <w:ind w:left="1588"/>
        <w:rPr>
          <w:color w:val="000000"/>
          <w:sz w:val="23"/>
          <w:szCs w:val="23"/>
        </w:rPr>
      </w:pPr>
      <w:r>
        <w:rPr>
          <w:rStyle w:val="CharDefText"/>
          <w:bCs/>
          <w:sz w:val="23"/>
        </w:rPr>
        <w:t>Territory</w:t>
      </w:r>
      <w:r>
        <w:rPr>
          <w:color w:val="000000"/>
          <w:sz w:val="23"/>
          <w:szCs w:val="23"/>
        </w:rPr>
        <w:t xml:space="preserve"> means the </w:t>
      </w:r>
      <w:smartTag w:uri="urn:schemas-microsoft-com:office:smarttags" w:element="State">
        <w:r>
          <w:rPr>
            <w:color w:val="000000"/>
            <w:sz w:val="23"/>
            <w:szCs w:val="23"/>
          </w:rPr>
          <w:t>Australian Capital Territory</w:t>
        </w:r>
      </w:smartTag>
      <w:r>
        <w:rPr>
          <w:color w:val="000000"/>
          <w:sz w:val="23"/>
          <w:szCs w:val="23"/>
        </w:rPr>
        <w:t xml:space="preserve"> or the </w:t>
      </w:r>
      <w:smartTag w:uri="urn:schemas-microsoft-com:office:smarttags" w:element="State">
        <w:smartTag w:uri="urn:schemas-microsoft-com:office:smarttags" w:element="place">
          <w:r>
            <w:rPr>
              <w:color w:val="000000"/>
              <w:sz w:val="23"/>
              <w:szCs w:val="23"/>
            </w:rPr>
            <w:t>Northern Territory</w:t>
          </w:r>
        </w:smartTag>
      </w:smartTag>
      <w:r>
        <w:rPr>
          <w:color w:val="000000"/>
          <w:sz w:val="23"/>
          <w:szCs w:val="23"/>
        </w:rPr>
        <w:t>;</w:t>
      </w:r>
    </w:p>
    <w:p>
      <w:pPr>
        <w:keepNext/>
        <w:keepLines/>
        <w:autoSpaceDE w:val="0"/>
        <w:autoSpaceDN w:val="0"/>
        <w:adjustRightInd w:val="0"/>
        <w:spacing w:before="120"/>
        <w:ind w:left="1588"/>
        <w:rPr>
          <w:color w:val="000000"/>
          <w:sz w:val="23"/>
          <w:szCs w:val="23"/>
        </w:rPr>
      </w:pPr>
      <w:r>
        <w:rPr>
          <w:rStyle w:val="CharDefText"/>
          <w:bCs/>
          <w:sz w:val="23"/>
        </w:rPr>
        <w:t>transmission pipeline</w:t>
      </w:r>
      <w:r>
        <w:rPr>
          <w:bCs/>
          <w:i/>
          <w:iCs/>
          <w:color w:val="000000"/>
          <w:sz w:val="23"/>
          <w:szCs w:val="23"/>
        </w:rPr>
        <w:t xml:space="preserve"> </w:t>
      </w:r>
      <w:r>
        <w:rPr>
          <w:color w:val="000000"/>
          <w:sz w:val="23"/>
          <w:szCs w:val="23"/>
        </w:rPr>
        <w:t>means a pipeline that is classified in accordance with this Law or the Rules as a transmission pipeline and includes any extension to, or expansion of the capacity of, such a pipeline when it is a covered pipeline that, by operation of an applicable access arrangement or under this Law, is to be treated as part of the pipeline;</w:t>
      </w:r>
    </w:p>
    <w:p>
      <w:pPr>
        <w:keepNext/>
        <w:keepLines/>
        <w:autoSpaceDE w:val="0"/>
        <w:autoSpaceDN w:val="0"/>
        <w:adjustRightInd w:val="0"/>
        <w:spacing w:before="120"/>
        <w:ind w:left="2382" w:hanging="794"/>
        <w:rPr>
          <w:b/>
          <w:bCs/>
          <w:color w:val="000000"/>
          <w:sz w:val="23"/>
        </w:rPr>
      </w:pPr>
      <w:r>
        <w:rPr>
          <w:b/>
          <w:bCs/>
          <w:color w:val="000000"/>
          <w:sz w:val="23"/>
        </w:rPr>
        <w:t>Note—</w:t>
      </w:r>
    </w:p>
    <w:p>
      <w:pPr>
        <w:keepLines/>
        <w:autoSpaceDE w:val="0"/>
        <w:autoSpaceDN w:val="0"/>
        <w:adjustRightInd w:val="0"/>
        <w:spacing w:before="120"/>
        <w:ind w:left="2382"/>
        <w:rPr>
          <w:color w:val="000000"/>
          <w:sz w:val="23"/>
        </w:rPr>
      </w:pPr>
      <w:r>
        <w:rPr>
          <w:color w:val="000000"/>
          <w:sz w:val="23"/>
        </w:rPr>
        <w:t>See also sections 18 and 19.</w:t>
      </w:r>
    </w:p>
    <w:p>
      <w:pPr>
        <w:keepLines/>
        <w:autoSpaceDE w:val="0"/>
        <w:autoSpaceDN w:val="0"/>
        <w:adjustRightInd w:val="0"/>
        <w:spacing w:before="120"/>
        <w:ind w:left="1588"/>
        <w:rPr>
          <w:color w:val="000000"/>
          <w:sz w:val="23"/>
          <w:szCs w:val="23"/>
        </w:rPr>
      </w:pPr>
      <w:r>
        <w:rPr>
          <w:rStyle w:val="CharDefText"/>
          <w:bCs/>
          <w:sz w:val="23"/>
        </w:rPr>
        <w:t>Tribunal</w:t>
      </w:r>
      <w:r>
        <w:rPr>
          <w:color w:val="000000"/>
          <w:sz w:val="23"/>
          <w:szCs w:val="23"/>
        </w:rPr>
        <w:t xml:space="preserve"> means the Australian Competition Tribunal referred to in the </w:t>
      </w:r>
      <w:r>
        <w:rPr>
          <w:i/>
          <w:iCs/>
          <w:color w:val="000000"/>
          <w:sz w:val="23"/>
          <w:szCs w:val="23"/>
        </w:rPr>
        <w:t>Trade Practices Act 1974</w:t>
      </w:r>
      <w:r>
        <w:rPr>
          <w:color w:val="000000"/>
          <w:sz w:val="23"/>
          <w:szCs w:val="23"/>
        </w:rPr>
        <w:t xml:space="preserve"> of the Commonwealth and includes a member of the Tribunal or a Division of the Tribunal performing functions of the Tribunal;</w:t>
      </w:r>
    </w:p>
    <w:p>
      <w:pPr>
        <w:keepNext/>
        <w:keepLines/>
        <w:autoSpaceDE w:val="0"/>
        <w:autoSpaceDN w:val="0"/>
        <w:adjustRightInd w:val="0"/>
        <w:spacing w:before="120"/>
        <w:ind w:left="1588"/>
        <w:rPr>
          <w:color w:val="000000"/>
          <w:sz w:val="23"/>
          <w:szCs w:val="23"/>
        </w:rPr>
      </w:pPr>
      <w:r>
        <w:rPr>
          <w:rStyle w:val="CharDefText"/>
          <w:bCs/>
          <w:sz w:val="23"/>
        </w:rPr>
        <w:t>user</w:t>
      </w:r>
      <w:r>
        <w:rPr>
          <w:color w:val="000000"/>
          <w:sz w:val="23"/>
          <w:szCs w:val="23"/>
        </w:rPr>
        <w:t xml:space="preserve"> means a person who—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a party to a contract with a service provider under which the service provider provides or intends to provide a pipeline service to that person by means of a scheme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has a right under an access determination to be provided with a pipeline service by means of a scheme pipeline;</w:t>
      </w:r>
    </w:p>
    <w:p>
      <w:pPr>
        <w:keepLines/>
        <w:autoSpaceDE w:val="0"/>
        <w:autoSpaceDN w:val="0"/>
        <w:adjustRightInd w:val="0"/>
        <w:spacing w:before="120"/>
        <w:ind w:left="1588"/>
        <w:rPr>
          <w:color w:val="000000"/>
          <w:sz w:val="23"/>
          <w:szCs w:val="23"/>
        </w:rPr>
      </w:pPr>
      <w:r>
        <w:rPr>
          <w:rStyle w:val="CharDefText"/>
          <w:bCs/>
          <w:sz w:val="23"/>
          <w:szCs w:val="23"/>
        </w:rPr>
        <w:t>user or consumer association</w:t>
      </w:r>
      <w:r>
        <w:rPr>
          <w:color w:val="000000"/>
          <w:sz w:val="23"/>
          <w:szCs w:val="23"/>
        </w:rPr>
        <w:t xml:space="preserve"> has the meaning given by section 244;</w:t>
      </w:r>
    </w:p>
    <w:p>
      <w:pPr>
        <w:keepLines/>
        <w:autoSpaceDE w:val="0"/>
        <w:autoSpaceDN w:val="0"/>
        <w:adjustRightInd w:val="0"/>
        <w:spacing w:before="120"/>
        <w:ind w:left="1588"/>
        <w:rPr>
          <w:color w:val="000000"/>
          <w:sz w:val="23"/>
          <w:szCs w:val="23"/>
        </w:rPr>
      </w:pPr>
      <w:r>
        <w:rPr>
          <w:rStyle w:val="CharDefText"/>
          <w:bCs/>
          <w:sz w:val="23"/>
          <w:szCs w:val="23"/>
        </w:rPr>
        <w:t>user or consumer interest group</w:t>
      </w:r>
      <w:r>
        <w:rPr>
          <w:color w:val="000000"/>
          <w:sz w:val="23"/>
          <w:szCs w:val="23"/>
        </w:rPr>
        <w:t xml:space="preserve"> has the meaning given by section 244;</w:t>
      </w:r>
    </w:p>
    <w:p>
      <w:pPr>
        <w:keepLines/>
        <w:autoSpaceDE w:val="0"/>
        <w:autoSpaceDN w:val="0"/>
        <w:adjustRightInd w:val="0"/>
        <w:spacing w:before="120"/>
        <w:ind w:left="1588"/>
        <w:rPr>
          <w:color w:val="000000"/>
          <w:sz w:val="23"/>
          <w:szCs w:val="23"/>
        </w:rPr>
      </w:pPr>
      <w:r>
        <w:rPr>
          <w:rStyle w:val="CharDefText"/>
          <w:bCs/>
          <w:sz w:val="23"/>
        </w:rPr>
        <w:t>VENCorp</w:t>
      </w:r>
      <w:r>
        <w:rPr>
          <w:color w:val="000000"/>
          <w:sz w:val="23"/>
          <w:szCs w:val="23"/>
        </w:rPr>
        <w:t xml:space="preserve"> means the Victorian Energy Networks Corporation continued under Part 8 of the </w:t>
      </w:r>
      <w:r>
        <w:rPr>
          <w:i/>
          <w:iCs/>
          <w:color w:val="000000"/>
          <w:sz w:val="23"/>
          <w:szCs w:val="23"/>
        </w:rPr>
        <w:t>Gas Industry Act 2001</w:t>
      </w:r>
      <w:r>
        <w:rPr>
          <w:color w:val="000000"/>
          <w:sz w:val="23"/>
          <w:szCs w:val="23"/>
        </w:rPr>
        <w:t xml:space="preserve"> of </w:t>
      </w:r>
      <w:smartTag w:uri="urn:schemas-microsoft-com:office:smarttags" w:element="State">
        <w:smartTag w:uri="urn:schemas-microsoft-com:office:smarttags" w:element="place">
          <w:r>
            <w:rPr>
              <w:color w:val="000000"/>
              <w:sz w:val="23"/>
              <w:szCs w:val="23"/>
            </w:rPr>
            <w:t>Victoria</w:t>
          </w:r>
        </w:smartTag>
      </w:smartTag>
      <w:r>
        <w:rPr>
          <w:color w:val="000000"/>
          <w:sz w:val="23"/>
          <w:szCs w:val="23"/>
        </w:rPr>
        <w:t>;</w:t>
      </w:r>
    </w:p>
    <w:p>
      <w:pPr>
        <w:keepLines/>
        <w:autoSpaceDE w:val="0"/>
        <w:autoSpaceDN w:val="0"/>
        <w:adjustRightInd w:val="0"/>
        <w:spacing w:before="120"/>
        <w:ind w:left="1588"/>
        <w:rPr>
          <w:sz w:val="23"/>
        </w:rPr>
      </w:pPr>
      <w:r>
        <w:rPr>
          <w:rStyle w:val="CharDefText"/>
          <w:bCs/>
          <w:sz w:val="23"/>
        </w:rPr>
        <w:t>WA arbitrator</w:t>
      </w:r>
      <w:r>
        <w:rPr>
          <w:bCs/>
          <w:i/>
          <w:iCs/>
          <w:color w:val="000000"/>
          <w:sz w:val="23"/>
          <w:szCs w:val="23"/>
        </w:rPr>
        <w:t xml:space="preserve"> </w:t>
      </w:r>
      <w:r>
        <w:rPr>
          <w:sz w:val="23"/>
        </w:rPr>
        <w:t>has the meaning given to that term in</w:t>
      </w:r>
      <w:r>
        <w:rPr>
          <w:iCs/>
          <w:sz w:val="23"/>
        </w:rPr>
        <w:t xml:space="preserve"> section 9(1) of</w:t>
      </w:r>
      <w:r>
        <w:rPr>
          <w:sz w:val="23"/>
        </w:rPr>
        <w:t xml:space="preserve"> the </w:t>
      </w:r>
      <w:r>
        <w:rPr>
          <w:i/>
          <w:sz w:val="23"/>
        </w:rPr>
        <w:t>National Gas Access (WA) Act 2009</w:t>
      </w:r>
      <w:r>
        <w:rPr>
          <w:sz w:val="23"/>
        </w:rPr>
        <w:t>.</w:t>
      </w:r>
    </w:p>
    <w:p>
      <w:pPr>
        <w:pStyle w:val="Footnotesection"/>
        <w:rPr>
          <w:szCs w:val="23"/>
        </w:rPr>
      </w:pPr>
      <w:r>
        <w:tab/>
        <w:t>[Section 2 modified: WA Act Sch. 1 cl. 3; amended, see SA Act No. 30 of 2009 s. 6 and WA Gazette 18 Dec 2009 p. 5167; SA Act No. 79 of 2013 s. 19 and WA Gazette 14 Mar 2014 p. 632.]</w:t>
      </w:r>
    </w:p>
    <w:p>
      <w:pPr>
        <w:pStyle w:val="Heading5"/>
        <w:keepNext w:val="0"/>
        <w:keepLines w:val="0"/>
      </w:pPr>
      <w:bookmarkStart w:id="184" w:name="_Toc536781921"/>
      <w:r>
        <w:rPr>
          <w:rStyle w:val="CharSectno"/>
        </w:rPr>
        <w:t>2A</w:t>
      </w:r>
      <w:r>
        <w:t>.</w:t>
      </w:r>
      <w:r>
        <w:tab/>
        <w:t>Meaning of AER modified</w:t>
      </w:r>
      <w:bookmarkEnd w:id="184"/>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In this Law, other than in the definition of </w:t>
      </w:r>
      <w:r>
        <w:rPr>
          <w:b/>
          <w:bCs/>
          <w:i/>
          <w:iCs/>
          <w:color w:val="000000"/>
          <w:sz w:val="23"/>
          <w:szCs w:val="23"/>
        </w:rPr>
        <w:t>AER</w:t>
      </w:r>
      <w:r>
        <w:rPr>
          <w:color w:val="000000"/>
          <w:sz w:val="23"/>
          <w:szCs w:val="23"/>
        </w:rPr>
        <w:t xml:space="preserve"> in section 2, a reference to the AER is to be read as a reference to the regulator (whether the ERA or the AER) except to the extent that subsection (2) gives a different meaning.</w:t>
      </w:r>
    </w:p>
    <w:p>
      <w:pPr>
        <w:keepNext/>
        <w:keepLines/>
        <w:tabs>
          <w:tab w:val="center" w:pos="1191"/>
          <w:tab w:val="left" w:pos="1588"/>
        </w:tabs>
        <w:autoSpaceDE w:val="0"/>
        <w:autoSpaceDN w:val="0"/>
        <w:adjustRightInd w:val="0"/>
        <w:spacing w:before="120"/>
        <w:ind w:left="1588" w:hanging="794"/>
        <w:rPr>
          <w:sz w:val="23"/>
        </w:rPr>
      </w:pPr>
      <w:r>
        <w:rPr>
          <w:sz w:val="23"/>
        </w:rPr>
        <w:tab/>
        <w:t>(2)</w:t>
      </w:r>
      <w:r>
        <w:rPr>
          <w:sz w:val="23"/>
        </w:rPr>
        <w:tab/>
        <w:t xml:space="preserve">To the extent to which a reference to the AER is capable of being read as a reference to the Australian Energy Regulator established by section 44AE of the </w:t>
      </w:r>
      <w:r>
        <w:rPr>
          <w:i/>
          <w:iCs/>
          <w:sz w:val="23"/>
        </w:rPr>
        <w:t>Trade Practices Act 1974</w:t>
      </w:r>
      <w:r>
        <w:rPr>
          <w:sz w:val="23"/>
        </w:rPr>
        <w:t xml:space="preserve"> of the Commonwealth acting as the disputes resolution body, the term is to be read as having or including that meaning.</w:t>
      </w:r>
    </w:p>
    <w:p>
      <w:pPr>
        <w:pStyle w:val="Footnotesection"/>
      </w:pPr>
      <w:r>
        <w:tab/>
        <w:t>[Section 2A inserted: WA Act Sch. 1 cl. 4.]</w:t>
      </w:r>
    </w:p>
    <w:p>
      <w:pPr>
        <w:pStyle w:val="Heading5"/>
        <w:keepNext w:val="0"/>
        <w:keepLines w:val="0"/>
      </w:pPr>
      <w:bookmarkStart w:id="185" w:name="_Toc536781922"/>
      <w:r>
        <w:t>2B.</w:t>
      </w:r>
      <w:r>
        <w:rPr>
          <w:b w:val="0"/>
        </w:rPr>
        <w:tab/>
      </w:r>
      <w:r>
        <w:t>References to WA application Act</w:t>
      </w:r>
      <w:bookmarkEnd w:id="185"/>
    </w:p>
    <w:p>
      <w:pPr>
        <w:tabs>
          <w:tab w:val="center" w:pos="1191"/>
          <w:tab w:val="left" w:pos="1588"/>
        </w:tabs>
        <w:autoSpaceDE w:val="0"/>
        <w:autoSpaceDN w:val="0"/>
        <w:adjustRightInd w:val="0"/>
        <w:spacing w:before="120"/>
        <w:ind w:left="1588" w:hanging="794"/>
        <w:rPr>
          <w:sz w:val="23"/>
        </w:rPr>
      </w:pPr>
      <w:r>
        <w:rPr>
          <w:sz w:val="23"/>
        </w:rPr>
        <w:tab/>
      </w:r>
      <w:r>
        <w:rPr>
          <w:sz w:val="23"/>
        </w:rPr>
        <w:tab/>
        <w:t xml:space="preserve">In this Law, a reference to </w:t>
      </w:r>
      <w:r>
        <w:rPr>
          <w:color w:val="000000"/>
          <w:sz w:val="23"/>
          <w:szCs w:val="23"/>
        </w:rPr>
        <w:t xml:space="preserve">the </w:t>
      </w:r>
      <w:r>
        <w:rPr>
          <w:i/>
          <w:iCs/>
          <w:color w:val="000000"/>
          <w:sz w:val="23"/>
          <w:szCs w:val="23"/>
        </w:rPr>
        <w:t>National Gas Access (</w:t>
      </w:r>
      <w:smartTag w:uri="urn:schemas-microsoft-com:office:smarttags" w:element="State">
        <w:smartTag w:uri="urn:schemas-microsoft-com:office:smarttags" w:element="place">
          <w:r>
            <w:rPr>
              <w:i/>
              <w:iCs/>
              <w:color w:val="000000"/>
              <w:sz w:val="23"/>
              <w:szCs w:val="23"/>
            </w:rPr>
            <w:t>Western Australia</w:t>
          </w:r>
        </w:smartTag>
      </w:smartTag>
      <w:r>
        <w:rPr>
          <w:i/>
          <w:iCs/>
          <w:color w:val="000000"/>
          <w:sz w:val="23"/>
          <w:szCs w:val="23"/>
        </w:rPr>
        <w:t>) Act 2008</w:t>
      </w:r>
      <w:r>
        <w:rPr>
          <w:sz w:val="23"/>
        </w:rPr>
        <w:t xml:space="preserve">, if any, is to be read as a reference to </w:t>
      </w:r>
      <w:r>
        <w:rPr>
          <w:snapToGrid w:val="0"/>
          <w:sz w:val="22"/>
        </w:rPr>
        <w:t>the</w:t>
      </w:r>
      <w:r>
        <w:rPr>
          <w:i/>
          <w:snapToGrid w:val="0"/>
          <w:sz w:val="22"/>
        </w:rPr>
        <w:t xml:space="preserve"> National Gas Access (WA) Act 2009</w:t>
      </w:r>
      <w:r>
        <w:rPr>
          <w:sz w:val="23"/>
        </w:rPr>
        <w:t>.</w:t>
      </w:r>
    </w:p>
    <w:p>
      <w:pPr>
        <w:pStyle w:val="Footnotesection"/>
      </w:pPr>
      <w:r>
        <w:tab/>
        <w:t>[Section 2B inserted: WA Act Sch. 1 cl. 4.]</w:t>
      </w:r>
    </w:p>
    <w:p>
      <w:pPr>
        <w:pStyle w:val="Heading5"/>
      </w:pPr>
      <w:bookmarkStart w:id="186" w:name="_Toc536781923"/>
      <w:r>
        <w:rPr>
          <w:rStyle w:val="CharSectno"/>
        </w:rPr>
        <w:t>3</w:t>
      </w:r>
      <w:r>
        <w:t>.</w:t>
      </w:r>
      <w:r>
        <w:tab/>
        <w:t>Meaning of civil penalty provision</w:t>
      </w:r>
      <w:bookmarkEnd w:id="186"/>
    </w:p>
    <w:p>
      <w:pPr>
        <w:keepNext/>
        <w:keepLines/>
        <w:autoSpaceDE w:val="0"/>
        <w:autoSpaceDN w:val="0"/>
        <w:adjustRightInd w:val="0"/>
        <w:spacing w:before="120"/>
        <w:ind w:left="1588"/>
        <w:rPr>
          <w:color w:val="000000"/>
          <w:sz w:val="23"/>
          <w:szCs w:val="23"/>
        </w:rPr>
      </w:pPr>
      <w:r>
        <w:rPr>
          <w:color w:val="000000"/>
          <w:sz w:val="23"/>
          <w:szCs w:val="23"/>
        </w:rPr>
        <w:t>A civil penalty provision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provision of this Law specified in an item in the Table at the foot of this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provision of this Law (other than an offence provision) or the Rules that is prescribed by the Regulations to be a civil penalty provision.</w:t>
      </w:r>
    </w:p>
    <w:p>
      <w:pPr>
        <w:keepNext/>
        <w:keepLines/>
        <w:autoSpaceDE w:val="0"/>
        <w:autoSpaceDN w:val="0"/>
        <w:adjustRightInd w:val="0"/>
        <w:spacing w:before="120"/>
        <w:ind w:left="1588"/>
        <w:rPr>
          <w:color w:val="000000"/>
          <w:sz w:val="2"/>
          <w:szCs w:val="2"/>
        </w:rPr>
      </w:pPr>
    </w:p>
    <w:p>
      <w:pPr>
        <w:keepNext/>
        <w:keepLines/>
        <w:autoSpaceDE w:val="0"/>
        <w:autoSpaceDN w:val="0"/>
        <w:adjustRightInd w:val="0"/>
        <w:spacing w:before="120" w:after="40"/>
        <w:jc w:val="center"/>
        <w:rPr>
          <w:color w:val="000000"/>
          <w:sz w:val="23"/>
          <w:szCs w:val="23"/>
        </w:rPr>
      </w:pPr>
      <w:r>
        <w:rPr>
          <w:b/>
          <w:bCs/>
          <w:color w:val="000000"/>
          <w:sz w:val="23"/>
          <w:szCs w:val="23"/>
        </w:rPr>
        <w:t>Table</w:t>
      </w:r>
    </w:p>
    <w:tbl>
      <w:tblPr>
        <w:tblW w:w="3692" w:type="dxa"/>
        <w:tblInd w:w="1648" w:type="dxa"/>
        <w:tblLayout w:type="fixed"/>
        <w:tblCellMar>
          <w:left w:w="60" w:type="dxa"/>
          <w:right w:w="60" w:type="dxa"/>
        </w:tblCellMar>
        <w:tblLook w:val="0000" w:firstRow="0" w:lastRow="0" w:firstColumn="0" w:lastColumn="0" w:noHBand="0" w:noVBand="0"/>
      </w:tblPr>
      <w:tblGrid>
        <w:gridCol w:w="2252"/>
        <w:gridCol w:w="1440"/>
      </w:tblGrid>
      <w:tr>
        <w:trPr>
          <w:cantSplit/>
          <w:tblHeader/>
        </w:trPr>
        <w:tc>
          <w:tcPr>
            <w:tcW w:w="2252" w:type="dxa"/>
            <w:tcBorders>
              <w:bottom w:val="single" w:sz="4" w:space="0" w:color="auto"/>
            </w:tcBorders>
            <w:vAlign w:val="center"/>
          </w:tcPr>
          <w:p>
            <w:pPr>
              <w:keepNext/>
              <w:keepLines/>
              <w:autoSpaceDE w:val="0"/>
              <w:autoSpaceDN w:val="0"/>
              <w:adjustRightInd w:val="0"/>
              <w:spacing w:before="120"/>
              <w:rPr>
                <w:b/>
                <w:bCs/>
                <w:color w:val="000000"/>
                <w:sz w:val="20"/>
              </w:rPr>
            </w:pPr>
            <w:r>
              <w:rPr>
                <w:b/>
                <w:bCs/>
                <w:color w:val="000000"/>
                <w:sz w:val="20"/>
              </w:rPr>
              <w:t>Item</w:t>
            </w:r>
          </w:p>
        </w:tc>
        <w:tc>
          <w:tcPr>
            <w:tcW w:w="1440" w:type="dxa"/>
            <w:tcBorders>
              <w:bottom w:val="single" w:sz="4" w:space="0" w:color="auto"/>
            </w:tcBorders>
            <w:vAlign w:val="center"/>
          </w:tcPr>
          <w:p>
            <w:pPr>
              <w:keepNext/>
              <w:keepLines/>
              <w:autoSpaceDE w:val="0"/>
              <w:autoSpaceDN w:val="0"/>
              <w:adjustRightInd w:val="0"/>
              <w:spacing w:before="120"/>
              <w:rPr>
                <w:b/>
                <w:bCs/>
                <w:color w:val="000000"/>
                <w:sz w:val="20"/>
              </w:rPr>
            </w:pPr>
            <w:r>
              <w:rPr>
                <w:b/>
                <w:bCs/>
                <w:color w:val="000000"/>
                <w:sz w:val="20"/>
              </w:rPr>
              <w:t>Provision</w:t>
            </w:r>
          </w:p>
        </w:tc>
      </w:tr>
      <w:tr>
        <w:tc>
          <w:tcPr>
            <w:tcW w:w="2252" w:type="dxa"/>
            <w:tcBorders>
              <w:top w:val="single" w:sz="4" w:space="0" w:color="auto"/>
            </w:tcBorders>
            <w:vAlign w:val="center"/>
          </w:tcPr>
          <w:p>
            <w:pPr>
              <w:keepLines/>
              <w:autoSpaceDE w:val="0"/>
              <w:autoSpaceDN w:val="0"/>
              <w:adjustRightInd w:val="0"/>
              <w:spacing w:before="80"/>
              <w:rPr>
                <w:color w:val="000000"/>
                <w:sz w:val="20"/>
              </w:rPr>
            </w:pPr>
            <w:r>
              <w:rPr>
                <w:color w:val="000000"/>
                <w:sz w:val="20"/>
              </w:rPr>
              <w:t>1</w:t>
            </w:r>
          </w:p>
        </w:tc>
        <w:tc>
          <w:tcPr>
            <w:tcW w:w="1440" w:type="dxa"/>
            <w:tcBorders>
              <w:top w:val="single" w:sz="4" w:space="0" w:color="auto"/>
            </w:tcBorders>
            <w:vAlign w:val="center"/>
          </w:tcPr>
          <w:p>
            <w:pPr>
              <w:keepLines/>
              <w:autoSpaceDE w:val="0"/>
              <w:autoSpaceDN w:val="0"/>
              <w:adjustRightInd w:val="0"/>
              <w:spacing w:before="80"/>
              <w:rPr>
                <w:color w:val="000000"/>
                <w:sz w:val="20"/>
              </w:rPr>
            </w:pPr>
            <w:r>
              <w:rPr>
                <w:color w:val="000000"/>
                <w:sz w:val="20"/>
              </w:rPr>
              <w:t>Section 56</w:t>
            </w:r>
          </w:p>
        </w:tc>
      </w:tr>
      <w:tr>
        <w:tc>
          <w:tcPr>
            <w:tcW w:w="2252" w:type="dxa"/>
            <w:vAlign w:val="center"/>
          </w:tcPr>
          <w:p>
            <w:pPr>
              <w:keepLines/>
              <w:autoSpaceDE w:val="0"/>
              <w:autoSpaceDN w:val="0"/>
              <w:adjustRightInd w:val="0"/>
              <w:spacing w:before="80"/>
              <w:rPr>
                <w:color w:val="000000"/>
                <w:sz w:val="20"/>
              </w:rPr>
            </w:pPr>
            <w:r>
              <w:rPr>
                <w:color w:val="000000"/>
                <w:sz w:val="20"/>
              </w:rPr>
              <w:t>2</w:t>
            </w:r>
          </w:p>
        </w:tc>
        <w:tc>
          <w:tcPr>
            <w:tcW w:w="1440" w:type="dxa"/>
            <w:vAlign w:val="center"/>
          </w:tcPr>
          <w:p>
            <w:pPr>
              <w:keepLines/>
              <w:autoSpaceDE w:val="0"/>
              <w:autoSpaceDN w:val="0"/>
              <w:adjustRightInd w:val="0"/>
              <w:spacing w:before="80"/>
              <w:rPr>
                <w:color w:val="000000"/>
                <w:sz w:val="20"/>
              </w:rPr>
            </w:pPr>
            <w:r>
              <w:rPr>
                <w:color w:val="000000"/>
                <w:sz w:val="20"/>
              </w:rPr>
              <w:t>Section 57</w:t>
            </w:r>
          </w:p>
        </w:tc>
      </w:tr>
      <w:tr>
        <w:tc>
          <w:tcPr>
            <w:tcW w:w="2252" w:type="dxa"/>
            <w:vAlign w:val="center"/>
          </w:tcPr>
          <w:p>
            <w:pPr>
              <w:keepLines/>
              <w:autoSpaceDE w:val="0"/>
              <w:autoSpaceDN w:val="0"/>
              <w:adjustRightInd w:val="0"/>
              <w:spacing w:before="80"/>
              <w:rPr>
                <w:color w:val="000000"/>
                <w:sz w:val="20"/>
              </w:rPr>
            </w:pPr>
            <w:r>
              <w:rPr>
                <w:color w:val="000000"/>
                <w:sz w:val="20"/>
              </w:rPr>
              <w:t>3</w:t>
            </w:r>
          </w:p>
        </w:tc>
        <w:tc>
          <w:tcPr>
            <w:tcW w:w="1440" w:type="dxa"/>
            <w:vAlign w:val="center"/>
          </w:tcPr>
          <w:p>
            <w:pPr>
              <w:keepLines/>
              <w:autoSpaceDE w:val="0"/>
              <w:autoSpaceDN w:val="0"/>
              <w:adjustRightInd w:val="0"/>
              <w:spacing w:before="80"/>
              <w:rPr>
                <w:color w:val="000000"/>
                <w:sz w:val="20"/>
              </w:rPr>
            </w:pPr>
            <w:r>
              <w:rPr>
                <w:color w:val="000000"/>
                <w:sz w:val="20"/>
              </w:rPr>
              <w:t>Section 131</w:t>
            </w:r>
          </w:p>
        </w:tc>
      </w:tr>
      <w:tr>
        <w:tc>
          <w:tcPr>
            <w:tcW w:w="2252" w:type="dxa"/>
            <w:vAlign w:val="center"/>
          </w:tcPr>
          <w:p>
            <w:pPr>
              <w:keepLines/>
              <w:autoSpaceDE w:val="0"/>
              <w:autoSpaceDN w:val="0"/>
              <w:adjustRightInd w:val="0"/>
              <w:spacing w:before="80"/>
              <w:rPr>
                <w:color w:val="000000"/>
                <w:sz w:val="20"/>
              </w:rPr>
            </w:pPr>
            <w:r>
              <w:rPr>
                <w:color w:val="000000"/>
                <w:sz w:val="20"/>
              </w:rPr>
              <w:t>4</w:t>
            </w:r>
          </w:p>
        </w:tc>
        <w:tc>
          <w:tcPr>
            <w:tcW w:w="1440" w:type="dxa"/>
            <w:vAlign w:val="center"/>
          </w:tcPr>
          <w:p>
            <w:pPr>
              <w:keepLines/>
              <w:autoSpaceDE w:val="0"/>
              <w:autoSpaceDN w:val="0"/>
              <w:adjustRightInd w:val="0"/>
              <w:spacing w:before="80"/>
              <w:rPr>
                <w:color w:val="000000"/>
                <w:sz w:val="20"/>
              </w:rPr>
            </w:pPr>
            <w:r>
              <w:rPr>
                <w:color w:val="000000"/>
                <w:sz w:val="20"/>
              </w:rPr>
              <w:t>Section 133</w:t>
            </w:r>
          </w:p>
        </w:tc>
      </w:tr>
      <w:tr>
        <w:tc>
          <w:tcPr>
            <w:tcW w:w="2252" w:type="dxa"/>
            <w:vAlign w:val="center"/>
          </w:tcPr>
          <w:p>
            <w:pPr>
              <w:keepLines/>
              <w:autoSpaceDE w:val="0"/>
              <w:autoSpaceDN w:val="0"/>
              <w:adjustRightInd w:val="0"/>
              <w:spacing w:before="80"/>
              <w:rPr>
                <w:color w:val="000000"/>
                <w:sz w:val="20"/>
              </w:rPr>
            </w:pPr>
            <w:r>
              <w:rPr>
                <w:color w:val="000000"/>
                <w:sz w:val="20"/>
              </w:rPr>
              <w:t>5</w:t>
            </w:r>
          </w:p>
        </w:tc>
        <w:tc>
          <w:tcPr>
            <w:tcW w:w="1440" w:type="dxa"/>
            <w:vAlign w:val="center"/>
          </w:tcPr>
          <w:p>
            <w:pPr>
              <w:keepLines/>
              <w:autoSpaceDE w:val="0"/>
              <w:autoSpaceDN w:val="0"/>
              <w:adjustRightInd w:val="0"/>
              <w:spacing w:before="80"/>
              <w:rPr>
                <w:color w:val="000000"/>
                <w:sz w:val="20"/>
              </w:rPr>
            </w:pPr>
            <w:r>
              <w:rPr>
                <w:color w:val="000000"/>
                <w:sz w:val="20"/>
              </w:rPr>
              <w:t>Section 134</w:t>
            </w:r>
          </w:p>
        </w:tc>
      </w:tr>
      <w:tr>
        <w:tc>
          <w:tcPr>
            <w:tcW w:w="2252" w:type="dxa"/>
            <w:vAlign w:val="center"/>
          </w:tcPr>
          <w:p>
            <w:pPr>
              <w:keepLines/>
              <w:autoSpaceDE w:val="0"/>
              <w:autoSpaceDN w:val="0"/>
              <w:adjustRightInd w:val="0"/>
              <w:spacing w:before="80"/>
              <w:rPr>
                <w:color w:val="000000"/>
                <w:sz w:val="20"/>
              </w:rPr>
            </w:pPr>
            <w:r>
              <w:rPr>
                <w:color w:val="000000"/>
                <w:sz w:val="20"/>
              </w:rPr>
              <w:t>6</w:t>
            </w:r>
          </w:p>
        </w:tc>
        <w:tc>
          <w:tcPr>
            <w:tcW w:w="1440" w:type="dxa"/>
            <w:vAlign w:val="center"/>
          </w:tcPr>
          <w:p>
            <w:pPr>
              <w:keepLines/>
              <w:autoSpaceDE w:val="0"/>
              <w:autoSpaceDN w:val="0"/>
              <w:adjustRightInd w:val="0"/>
              <w:spacing w:before="80"/>
              <w:rPr>
                <w:color w:val="000000"/>
                <w:sz w:val="20"/>
              </w:rPr>
            </w:pPr>
            <w:r>
              <w:rPr>
                <w:color w:val="000000"/>
                <w:sz w:val="20"/>
              </w:rPr>
              <w:t>Section 135</w:t>
            </w:r>
          </w:p>
        </w:tc>
      </w:tr>
      <w:tr>
        <w:tc>
          <w:tcPr>
            <w:tcW w:w="2252" w:type="dxa"/>
            <w:vAlign w:val="center"/>
          </w:tcPr>
          <w:p>
            <w:pPr>
              <w:keepLines/>
              <w:autoSpaceDE w:val="0"/>
              <w:autoSpaceDN w:val="0"/>
              <w:adjustRightInd w:val="0"/>
              <w:spacing w:before="80"/>
              <w:rPr>
                <w:color w:val="000000"/>
                <w:sz w:val="20"/>
              </w:rPr>
            </w:pPr>
            <w:r>
              <w:rPr>
                <w:color w:val="000000"/>
                <w:sz w:val="20"/>
              </w:rPr>
              <w:t>7</w:t>
            </w:r>
          </w:p>
        </w:tc>
        <w:tc>
          <w:tcPr>
            <w:tcW w:w="1440" w:type="dxa"/>
            <w:vAlign w:val="center"/>
          </w:tcPr>
          <w:p>
            <w:pPr>
              <w:keepLines/>
              <w:autoSpaceDE w:val="0"/>
              <w:autoSpaceDN w:val="0"/>
              <w:adjustRightInd w:val="0"/>
              <w:spacing w:before="80"/>
              <w:rPr>
                <w:color w:val="000000"/>
                <w:sz w:val="20"/>
              </w:rPr>
            </w:pPr>
            <w:r>
              <w:rPr>
                <w:color w:val="000000"/>
                <w:sz w:val="20"/>
              </w:rPr>
              <w:t>Section 136</w:t>
            </w:r>
          </w:p>
        </w:tc>
      </w:tr>
      <w:tr>
        <w:tc>
          <w:tcPr>
            <w:tcW w:w="2252" w:type="dxa"/>
            <w:vAlign w:val="center"/>
          </w:tcPr>
          <w:p>
            <w:pPr>
              <w:keepLines/>
              <w:autoSpaceDE w:val="0"/>
              <w:autoSpaceDN w:val="0"/>
              <w:adjustRightInd w:val="0"/>
              <w:spacing w:before="80"/>
              <w:rPr>
                <w:color w:val="000000"/>
                <w:sz w:val="20"/>
              </w:rPr>
            </w:pPr>
            <w:r>
              <w:rPr>
                <w:color w:val="000000"/>
                <w:sz w:val="20"/>
              </w:rPr>
              <w:t>8</w:t>
            </w:r>
          </w:p>
        </w:tc>
        <w:tc>
          <w:tcPr>
            <w:tcW w:w="1440" w:type="dxa"/>
            <w:vAlign w:val="center"/>
          </w:tcPr>
          <w:p>
            <w:pPr>
              <w:keepLines/>
              <w:autoSpaceDE w:val="0"/>
              <w:autoSpaceDN w:val="0"/>
              <w:adjustRightInd w:val="0"/>
              <w:spacing w:before="80"/>
              <w:rPr>
                <w:color w:val="000000"/>
                <w:sz w:val="20"/>
              </w:rPr>
            </w:pPr>
            <w:r>
              <w:rPr>
                <w:color w:val="000000"/>
                <w:sz w:val="20"/>
              </w:rPr>
              <w:t>Section 139</w:t>
            </w:r>
          </w:p>
        </w:tc>
      </w:tr>
      <w:tr>
        <w:tc>
          <w:tcPr>
            <w:tcW w:w="2252" w:type="dxa"/>
            <w:vAlign w:val="center"/>
          </w:tcPr>
          <w:p>
            <w:pPr>
              <w:keepLines/>
              <w:autoSpaceDE w:val="0"/>
              <w:autoSpaceDN w:val="0"/>
              <w:adjustRightInd w:val="0"/>
              <w:spacing w:before="80"/>
              <w:rPr>
                <w:color w:val="000000"/>
                <w:sz w:val="20"/>
              </w:rPr>
            </w:pPr>
            <w:r>
              <w:rPr>
                <w:color w:val="000000"/>
                <w:sz w:val="20"/>
              </w:rPr>
              <w:t>9</w:t>
            </w:r>
          </w:p>
        </w:tc>
        <w:tc>
          <w:tcPr>
            <w:tcW w:w="1440" w:type="dxa"/>
            <w:vAlign w:val="center"/>
          </w:tcPr>
          <w:p>
            <w:pPr>
              <w:keepLines/>
              <w:autoSpaceDE w:val="0"/>
              <w:autoSpaceDN w:val="0"/>
              <w:adjustRightInd w:val="0"/>
              <w:spacing w:before="80"/>
              <w:rPr>
                <w:color w:val="000000"/>
                <w:sz w:val="20"/>
              </w:rPr>
            </w:pPr>
            <w:r>
              <w:rPr>
                <w:color w:val="000000"/>
                <w:sz w:val="20"/>
              </w:rPr>
              <w:t>Section 140</w:t>
            </w:r>
          </w:p>
        </w:tc>
      </w:tr>
      <w:tr>
        <w:tc>
          <w:tcPr>
            <w:tcW w:w="2252" w:type="dxa"/>
            <w:vAlign w:val="center"/>
          </w:tcPr>
          <w:p>
            <w:pPr>
              <w:keepLines/>
              <w:autoSpaceDE w:val="0"/>
              <w:autoSpaceDN w:val="0"/>
              <w:adjustRightInd w:val="0"/>
              <w:spacing w:before="80"/>
              <w:rPr>
                <w:color w:val="000000"/>
                <w:sz w:val="20"/>
              </w:rPr>
            </w:pPr>
            <w:r>
              <w:rPr>
                <w:color w:val="000000"/>
                <w:sz w:val="20"/>
              </w:rPr>
              <w:t>10</w:t>
            </w:r>
          </w:p>
        </w:tc>
        <w:tc>
          <w:tcPr>
            <w:tcW w:w="1440" w:type="dxa"/>
            <w:vAlign w:val="center"/>
          </w:tcPr>
          <w:p>
            <w:pPr>
              <w:keepLines/>
              <w:autoSpaceDE w:val="0"/>
              <w:autoSpaceDN w:val="0"/>
              <w:adjustRightInd w:val="0"/>
              <w:spacing w:before="80"/>
              <w:rPr>
                <w:color w:val="000000"/>
                <w:sz w:val="20"/>
              </w:rPr>
            </w:pPr>
            <w:r>
              <w:rPr>
                <w:color w:val="000000"/>
                <w:sz w:val="20"/>
              </w:rPr>
              <w:t>Section 141</w:t>
            </w:r>
          </w:p>
        </w:tc>
      </w:tr>
      <w:tr>
        <w:tc>
          <w:tcPr>
            <w:tcW w:w="2252" w:type="dxa"/>
            <w:vAlign w:val="center"/>
          </w:tcPr>
          <w:p>
            <w:pPr>
              <w:keepLines/>
              <w:autoSpaceDE w:val="0"/>
              <w:autoSpaceDN w:val="0"/>
              <w:adjustRightInd w:val="0"/>
              <w:spacing w:before="80"/>
              <w:rPr>
                <w:color w:val="000000"/>
                <w:sz w:val="20"/>
              </w:rPr>
            </w:pPr>
            <w:r>
              <w:rPr>
                <w:color w:val="000000"/>
                <w:sz w:val="20"/>
              </w:rPr>
              <w:t>11</w:t>
            </w:r>
          </w:p>
        </w:tc>
        <w:tc>
          <w:tcPr>
            <w:tcW w:w="1440" w:type="dxa"/>
            <w:vAlign w:val="center"/>
          </w:tcPr>
          <w:p>
            <w:pPr>
              <w:keepLines/>
              <w:autoSpaceDE w:val="0"/>
              <w:autoSpaceDN w:val="0"/>
              <w:adjustRightInd w:val="0"/>
              <w:spacing w:before="80"/>
              <w:rPr>
                <w:color w:val="000000"/>
                <w:sz w:val="20"/>
              </w:rPr>
            </w:pPr>
            <w:r>
              <w:rPr>
                <w:color w:val="000000"/>
                <w:sz w:val="20"/>
              </w:rPr>
              <w:t>Section 143(6)</w:t>
            </w:r>
          </w:p>
        </w:tc>
      </w:tr>
      <w:tr>
        <w:tc>
          <w:tcPr>
            <w:tcW w:w="2252" w:type="dxa"/>
            <w:vAlign w:val="center"/>
          </w:tcPr>
          <w:p>
            <w:pPr>
              <w:keepLines/>
              <w:autoSpaceDE w:val="0"/>
              <w:autoSpaceDN w:val="0"/>
              <w:adjustRightInd w:val="0"/>
              <w:spacing w:before="80"/>
              <w:rPr>
                <w:color w:val="000000"/>
                <w:sz w:val="20"/>
              </w:rPr>
            </w:pPr>
            <w:r>
              <w:rPr>
                <w:color w:val="000000"/>
                <w:sz w:val="20"/>
              </w:rPr>
              <w:t>12</w:t>
            </w:r>
          </w:p>
        </w:tc>
        <w:tc>
          <w:tcPr>
            <w:tcW w:w="1440" w:type="dxa"/>
            <w:vAlign w:val="center"/>
          </w:tcPr>
          <w:p>
            <w:pPr>
              <w:keepLines/>
              <w:autoSpaceDE w:val="0"/>
              <w:autoSpaceDN w:val="0"/>
              <w:adjustRightInd w:val="0"/>
              <w:spacing w:before="80"/>
              <w:rPr>
                <w:color w:val="000000"/>
                <w:sz w:val="20"/>
              </w:rPr>
            </w:pPr>
            <w:r>
              <w:rPr>
                <w:color w:val="000000"/>
                <w:sz w:val="20"/>
              </w:rPr>
              <w:t>Section 147</w:t>
            </w:r>
          </w:p>
        </w:tc>
      </w:tr>
      <w:tr>
        <w:tc>
          <w:tcPr>
            <w:tcW w:w="2252" w:type="dxa"/>
            <w:vAlign w:val="center"/>
          </w:tcPr>
          <w:p>
            <w:pPr>
              <w:keepLines/>
              <w:autoSpaceDE w:val="0"/>
              <w:autoSpaceDN w:val="0"/>
              <w:adjustRightInd w:val="0"/>
              <w:spacing w:before="80"/>
              <w:rPr>
                <w:color w:val="000000"/>
                <w:sz w:val="20"/>
              </w:rPr>
            </w:pPr>
            <w:r>
              <w:rPr>
                <w:color w:val="000000"/>
                <w:sz w:val="20"/>
              </w:rPr>
              <w:t>13</w:t>
            </w:r>
          </w:p>
        </w:tc>
        <w:tc>
          <w:tcPr>
            <w:tcW w:w="1440" w:type="dxa"/>
            <w:vAlign w:val="center"/>
          </w:tcPr>
          <w:p>
            <w:pPr>
              <w:keepLines/>
              <w:autoSpaceDE w:val="0"/>
              <w:autoSpaceDN w:val="0"/>
              <w:adjustRightInd w:val="0"/>
              <w:spacing w:before="80"/>
              <w:rPr>
                <w:color w:val="000000"/>
                <w:sz w:val="20"/>
              </w:rPr>
            </w:pPr>
            <w:r>
              <w:rPr>
                <w:color w:val="000000"/>
                <w:sz w:val="20"/>
              </w:rPr>
              <w:t>Section 148</w:t>
            </w:r>
          </w:p>
        </w:tc>
      </w:tr>
      <w:tr>
        <w:tc>
          <w:tcPr>
            <w:tcW w:w="2252" w:type="dxa"/>
            <w:vAlign w:val="center"/>
          </w:tcPr>
          <w:p>
            <w:pPr>
              <w:keepLines/>
              <w:autoSpaceDE w:val="0"/>
              <w:autoSpaceDN w:val="0"/>
              <w:adjustRightInd w:val="0"/>
              <w:spacing w:before="80"/>
              <w:rPr>
                <w:color w:val="000000"/>
                <w:sz w:val="20"/>
              </w:rPr>
            </w:pPr>
            <w:r>
              <w:rPr>
                <w:color w:val="000000"/>
                <w:sz w:val="20"/>
              </w:rPr>
              <w:t>14</w:t>
            </w:r>
          </w:p>
        </w:tc>
        <w:tc>
          <w:tcPr>
            <w:tcW w:w="1440" w:type="dxa"/>
            <w:vAlign w:val="center"/>
          </w:tcPr>
          <w:p>
            <w:pPr>
              <w:keepLines/>
              <w:autoSpaceDE w:val="0"/>
              <w:autoSpaceDN w:val="0"/>
              <w:adjustRightInd w:val="0"/>
              <w:spacing w:before="80"/>
              <w:rPr>
                <w:color w:val="000000"/>
                <w:sz w:val="20"/>
              </w:rPr>
            </w:pPr>
            <w:r>
              <w:rPr>
                <w:color w:val="000000"/>
                <w:sz w:val="20"/>
              </w:rPr>
              <w:t>Section 168</w:t>
            </w:r>
          </w:p>
        </w:tc>
      </w:tr>
      <w:tr>
        <w:tc>
          <w:tcPr>
            <w:tcW w:w="2252" w:type="dxa"/>
            <w:vAlign w:val="center"/>
          </w:tcPr>
          <w:p>
            <w:pPr>
              <w:keepLines/>
              <w:autoSpaceDE w:val="0"/>
              <w:autoSpaceDN w:val="0"/>
              <w:adjustRightInd w:val="0"/>
              <w:spacing w:before="80"/>
              <w:rPr>
                <w:color w:val="000000"/>
                <w:sz w:val="20"/>
              </w:rPr>
            </w:pPr>
            <w:r>
              <w:rPr>
                <w:color w:val="000000"/>
                <w:sz w:val="20"/>
              </w:rPr>
              <w:t>15</w:t>
            </w:r>
          </w:p>
        </w:tc>
        <w:tc>
          <w:tcPr>
            <w:tcW w:w="1440" w:type="dxa"/>
            <w:vAlign w:val="center"/>
          </w:tcPr>
          <w:p>
            <w:pPr>
              <w:keepLines/>
              <w:autoSpaceDE w:val="0"/>
              <w:autoSpaceDN w:val="0"/>
              <w:adjustRightInd w:val="0"/>
              <w:spacing w:before="80"/>
              <w:rPr>
                <w:color w:val="000000"/>
                <w:sz w:val="20"/>
              </w:rPr>
            </w:pPr>
            <w:r>
              <w:rPr>
                <w:color w:val="000000"/>
                <w:sz w:val="20"/>
              </w:rPr>
              <w:t>Section 169(3)</w:t>
            </w:r>
          </w:p>
        </w:tc>
      </w:tr>
      <w:tr>
        <w:tc>
          <w:tcPr>
            <w:tcW w:w="2252" w:type="dxa"/>
            <w:vAlign w:val="center"/>
          </w:tcPr>
          <w:p>
            <w:pPr>
              <w:keepLines/>
              <w:autoSpaceDE w:val="0"/>
              <w:autoSpaceDN w:val="0"/>
              <w:adjustRightInd w:val="0"/>
              <w:spacing w:before="80"/>
              <w:rPr>
                <w:color w:val="000000"/>
                <w:sz w:val="20"/>
              </w:rPr>
            </w:pPr>
            <w:r>
              <w:rPr>
                <w:color w:val="000000"/>
                <w:sz w:val="20"/>
              </w:rPr>
              <w:t>16</w:t>
            </w:r>
          </w:p>
        </w:tc>
        <w:tc>
          <w:tcPr>
            <w:tcW w:w="1440" w:type="dxa"/>
            <w:vAlign w:val="center"/>
          </w:tcPr>
          <w:p>
            <w:pPr>
              <w:keepLines/>
              <w:autoSpaceDE w:val="0"/>
              <w:autoSpaceDN w:val="0"/>
              <w:adjustRightInd w:val="0"/>
              <w:spacing w:before="80"/>
              <w:rPr>
                <w:color w:val="000000"/>
                <w:sz w:val="20"/>
              </w:rPr>
            </w:pPr>
            <w:r>
              <w:rPr>
                <w:color w:val="000000"/>
                <w:sz w:val="20"/>
              </w:rPr>
              <w:t>Section 170</w:t>
            </w:r>
          </w:p>
        </w:tc>
      </w:tr>
      <w:tr>
        <w:tc>
          <w:tcPr>
            <w:tcW w:w="2252" w:type="dxa"/>
            <w:vAlign w:val="center"/>
          </w:tcPr>
          <w:p>
            <w:pPr>
              <w:keepLines/>
              <w:autoSpaceDE w:val="0"/>
              <w:autoSpaceDN w:val="0"/>
              <w:adjustRightInd w:val="0"/>
              <w:spacing w:before="80"/>
              <w:rPr>
                <w:color w:val="000000"/>
                <w:sz w:val="20"/>
              </w:rPr>
            </w:pPr>
            <w:r>
              <w:rPr>
                <w:color w:val="000000"/>
                <w:sz w:val="20"/>
              </w:rPr>
              <w:t>17</w:t>
            </w:r>
          </w:p>
        </w:tc>
        <w:tc>
          <w:tcPr>
            <w:tcW w:w="1440" w:type="dxa"/>
            <w:vAlign w:val="center"/>
          </w:tcPr>
          <w:p>
            <w:pPr>
              <w:keepLines/>
              <w:autoSpaceDE w:val="0"/>
              <w:autoSpaceDN w:val="0"/>
              <w:adjustRightInd w:val="0"/>
              <w:spacing w:before="80"/>
              <w:rPr>
                <w:color w:val="000000"/>
                <w:sz w:val="20"/>
              </w:rPr>
            </w:pPr>
            <w:r>
              <w:rPr>
                <w:color w:val="000000"/>
                <w:sz w:val="20"/>
              </w:rPr>
              <w:t>Section 195</w:t>
            </w:r>
          </w:p>
        </w:tc>
      </w:tr>
      <w:tr>
        <w:tc>
          <w:tcPr>
            <w:tcW w:w="2252" w:type="dxa"/>
            <w:vAlign w:val="center"/>
          </w:tcPr>
          <w:p>
            <w:pPr>
              <w:keepLines/>
              <w:autoSpaceDE w:val="0"/>
              <w:autoSpaceDN w:val="0"/>
              <w:adjustRightInd w:val="0"/>
              <w:spacing w:before="80"/>
              <w:rPr>
                <w:color w:val="000000"/>
                <w:sz w:val="20"/>
              </w:rPr>
            </w:pPr>
            <w:r>
              <w:rPr>
                <w:color w:val="000000"/>
                <w:sz w:val="20"/>
              </w:rPr>
              <w:t>18</w:t>
            </w:r>
          </w:p>
        </w:tc>
        <w:tc>
          <w:tcPr>
            <w:tcW w:w="1440" w:type="dxa"/>
            <w:vAlign w:val="center"/>
          </w:tcPr>
          <w:p>
            <w:pPr>
              <w:keepLines/>
              <w:autoSpaceDE w:val="0"/>
              <w:autoSpaceDN w:val="0"/>
              <w:adjustRightInd w:val="0"/>
              <w:spacing w:before="80"/>
              <w:rPr>
                <w:color w:val="000000"/>
                <w:sz w:val="20"/>
              </w:rPr>
            </w:pPr>
            <w:r>
              <w:rPr>
                <w:color w:val="000000"/>
                <w:sz w:val="20"/>
              </w:rPr>
              <w:t>Section 223</w:t>
            </w:r>
          </w:p>
        </w:tc>
      </w:tr>
      <w:tr>
        <w:tc>
          <w:tcPr>
            <w:tcW w:w="2252" w:type="dxa"/>
            <w:vAlign w:val="center"/>
          </w:tcPr>
          <w:p>
            <w:pPr>
              <w:keepLines/>
              <w:autoSpaceDE w:val="0"/>
              <w:autoSpaceDN w:val="0"/>
              <w:adjustRightInd w:val="0"/>
              <w:spacing w:before="80"/>
              <w:rPr>
                <w:color w:val="000000"/>
                <w:sz w:val="20"/>
              </w:rPr>
            </w:pPr>
            <w:r>
              <w:rPr>
                <w:color w:val="000000"/>
                <w:sz w:val="20"/>
              </w:rPr>
              <w:t>19</w:t>
            </w:r>
          </w:p>
        </w:tc>
        <w:tc>
          <w:tcPr>
            <w:tcW w:w="1440" w:type="dxa"/>
            <w:vAlign w:val="center"/>
          </w:tcPr>
          <w:p>
            <w:pPr>
              <w:keepLines/>
              <w:autoSpaceDE w:val="0"/>
              <w:autoSpaceDN w:val="0"/>
              <w:adjustRightInd w:val="0"/>
              <w:spacing w:before="80"/>
              <w:rPr>
                <w:color w:val="000000"/>
                <w:sz w:val="20"/>
              </w:rPr>
            </w:pPr>
            <w:r>
              <w:rPr>
                <w:color w:val="000000"/>
                <w:sz w:val="20"/>
              </w:rPr>
              <w:t>Section 225</w:t>
            </w:r>
          </w:p>
        </w:tc>
      </w:tr>
      <w:tr>
        <w:tc>
          <w:tcPr>
            <w:tcW w:w="2252" w:type="dxa"/>
            <w:vAlign w:val="center"/>
          </w:tcPr>
          <w:p>
            <w:pPr>
              <w:keepLines/>
              <w:autoSpaceDE w:val="0"/>
              <w:autoSpaceDN w:val="0"/>
              <w:adjustRightInd w:val="0"/>
              <w:spacing w:before="80"/>
              <w:rPr>
                <w:color w:val="000000"/>
                <w:sz w:val="20"/>
              </w:rPr>
            </w:pPr>
            <w:r>
              <w:rPr>
                <w:color w:val="000000"/>
                <w:sz w:val="20"/>
              </w:rPr>
              <w:t>20</w:t>
            </w:r>
          </w:p>
        </w:tc>
        <w:tc>
          <w:tcPr>
            <w:tcW w:w="1440" w:type="dxa"/>
            <w:vAlign w:val="center"/>
          </w:tcPr>
          <w:p>
            <w:pPr>
              <w:keepLines/>
              <w:autoSpaceDE w:val="0"/>
              <w:autoSpaceDN w:val="0"/>
              <w:adjustRightInd w:val="0"/>
              <w:spacing w:before="80"/>
              <w:rPr>
                <w:color w:val="000000"/>
                <w:sz w:val="20"/>
              </w:rPr>
            </w:pPr>
            <w:r>
              <w:rPr>
                <w:color w:val="000000"/>
                <w:sz w:val="20"/>
              </w:rPr>
              <w:t>Section 227</w:t>
            </w:r>
          </w:p>
        </w:tc>
      </w:tr>
      <w:tr>
        <w:tc>
          <w:tcPr>
            <w:tcW w:w="2252" w:type="dxa"/>
            <w:vAlign w:val="center"/>
          </w:tcPr>
          <w:p>
            <w:pPr>
              <w:keepLines/>
              <w:autoSpaceDE w:val="0"/>
              <w:autoSpaceDN w:val="0"/>
              <w:adjustRightInd w:val="0"/>
              <w:spacing w:before="80"/>
              <w:rPr>
                <w:color w:val="000000"/>
                <w:sz w:val="20"/>
              </w:rPr>
            </w:pPr>
            <w:r>
              <w:rPr>
                <w:color w:val="000000"/>
                <w:sz w:val="20"/>
              </w:rPr>
              <w:t>21</w:t>
            </w:r>
          </w:p>
        </w:tc>
        <w:tc>
          <w:tcPr>
            <w:tcW w:w="1440" w:type="dxa"/>
            <w:vAlign w:val="center"/>
          </w:tcPr>
          <w:p>
            <w:pPr>
              <w:keepLines/>
              <w:autoSpaceDE w:val="0"/>
              <w:autoSpaceDN w:val="0"/>
              <w:adjustRightInd w:val="0"/>
              <w:spacing w:before="80"/>
              <w:rPr>
                <w:color w:val="000000"/>
                <w:sz w:val="20"/>
              </w:rPr>
            </w:pPr>
            <w:r>
              <w:rPr>
                <w:color w:val="000000"/>
                <w:sz w:val="20"/>
              </w:rPr>
              <w:t>Section 228</w:t>
            </w:r>
          </w:p>
        </w:tc>
      </w:tr>
    </w:tbl>
    <w:p>
      <w:pPr>
        <w:pStyle w:val="Heading5"/>
      </w:pPr>
      <w:bookmarkStart w:id="187" w:name="_Toc536781924"/>
      <w:r>
        <w:rPr>
          <w:rStyle w:val="CharSectno"/>
        </w:rPr>
        <w:t>4</w:t>
      </w:r>
      <w:r>
        <w:t>.</w:t>
      </w:r>
      <w:r>
        <w:tab/>
        <w:t>Meaning of conduct provision</w:t>
      </w:r>
      <w:bookmarkEnd w:id="187"/>
    </w:p>
    <w:p>
      <w:pPr>
        <w:keepNext/>
        <w:keepLines/>
        <w:autoSpaceDE w:val="0"/>
        <w:autoSpaceDN w:val="0"/>
        <w:adjustRightInd w:val="0"/>
        <w:spacing w:before="120"/>
        <w:ind w:left="1588"/>
        <w:rPr>
          <w:color w:val="000000"/>
          <w:sz w:val="23"/>
          <w:szCs w:val="23"/>
        </w:rPr>
      </w:pPr>
      <w:r>
        <w:rPr>
          <w:color w:val="000000"/>
          <w:sz w:val="23"/>
          <w:szCs w:val="23"/>
        </w:rPr>
        <w:t>A conduct provision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provision of this Law specified in an item in the Table at the foot of this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provision of this Law (other than an offence provision) or the Rules that is prescribed by the Regulations to be a conduct provision.</w:t>
      </w:r>
    </w:p>
    <w:p>
      <w:pPr>
        <w:keepNext/>
        <w:keepLines/>
        <w:autoSpaceDE w:val="0"/>
        <w:autoSpaceDN w:val="0"/>
        <w:adjustRightInd w:val="0"/>
        <w:spacing w:before="120"/>
        <w:ind w:left="1588"/>
        <w:rPr>
          <w:color w:val="000000"/>
          <w:sz w:val="2"/>
          <w:szCs w:val="2"/>
        </w:rPr>
      </w:pPr>
    </w:p>
    <w:p>
      <w:pPr>
        <w:keepNext/>
        <w:keepLines/>
        <w:autoSpaceDE w:val="0"/>
        <w:autoSpaceDN w:val="0"/>
        <w:adjustRightInd w:val="0"/>
        <w:spacing w:before="120" w:after="40"/>
        <w:jc w:val="center"/>
        <w:rPr>
          <w:color w:val="000000"/>
          <w:sz w:val="23"/>
          <w:szCs w:val="23"/>
        </w:rPr>
      </w:pPr>
      <w:r>
        <w:rPr>
          <w:b/>
          <w:bCs/>
          <w:color w:val="000000"/>
          <w:sz w:val="23"/>
          <w:szCs w:val="23"/>
        </w:rPr>
        <w:t>Table</w:t>
      </w:r>
    </w:p>
    <w:tbl>
      <w:tblPr>
        <w:tblW w:w="3692" w:type="dxa"/>
        <w:tblInd w:w="1648" w:type="dxa"/>
        <w:tblLayout w:type="fixed"/>
        <w:tblCellMar>
          <w:left w:w="60" w:type="dxa"/>
          <w:right w:w="60" w:type="dxa"/>
        </w:tblCellMar>
        <w:tblLook w:val="0000" w:firstRow="0" w:lastRow="0" w:firstColumn="0" w:lastColumn="0" w:noHBand="0" w:noVBand="0"/>
      </w:tblPr>
      <w:tblGrid>
        <w:gridCol w:w="2252"/>
        <w:gridCol w:w="1440"/>
      </w:tblGrid>
      <w:tr>
        <w:trPr>
          <w:cantSplit/>
          <w:tblHeader/>
        </w:trPr>
        <w:tc>
          <w:tcPr>
            <w:tcW w:w="2252" w:type="dxa"/>
            <w:tcBorders>
              <w:bottom w:val="single" w:sz="4" w:space="0" w:color="auto"/>
            </w:tcBorders>
            <w:vAlign w:val="center"/>
          </w:tcPr>
          <w:p>
            <w:pPr>
              <w:keepNext/>
              <w:keepLines/>
              <w:autoSpaceDE w:val="0"/>
              <w:autoSpaceDN w:val="0"/>
              <w:adjustRightInd w:val="0"/>
              <w:spacing w:before="120"/>
              <w:rPr>
                <w:b/>
                <w:bCs/>
                <w:color w:val="000000"/>
                <w:sz w:val="20"/>
              </w:rPr>
            </w:pPr>
            <w:r>
              <w:rPr>
                <w:b/>
                <w:bCs/>
                <w:color w:val="000000"/>
                <w:sz w:val="20"/>
              </w:rPr>
              <w:t>Item</w:t>
            </w:r>
          </w:p>
        </w:tc>
        <w:tc>
          <w:tcPr>
            <w:tcW w:w="1440" w:type="dxa"/>
            <w:tcBorders>
              <w:bottom w:val="single" w:sz="4" w:space="0" w:color="auto"/>
            </w:tcBorders>
            <w:vAlign w:val="center"/>
          </w:tcPr>
          <w:p>
            <w:pPr>
              <w:keepNext/>
              <w:keepLines/>
              <w:autoSpaceDE w:val="0"/>
              <w:autoSpaceDN w:val="0"/>
              <w:adjustRightInd w:val="0"/>
              <w:spacing w:before="120"/>
              <w:rPr>
                <w:b/>
                <w:bCs/>
                <w:color w:val="000000"/>
                <w:sz w:val="20"/>
              </w:rPr>
            </w:pPr>
            <w:r>
              <w:rPr>
                <w:b/>
                <w:bCs/>
                <w:color w:val="000000"/>
                <w:sz w:val="20"/>
              </w:rPr>
              <w:t>Provision</w:t>
            </w:r>
          </w:p>
        </w:tc>
      </w:tr>
      <w:tr>
        <w:tc>
          <w:tcPr>
            <w:tcW w:w="2252" w:type="dxa"/>
            <w:tcBorders>
              <w:top w:val="single" w:sz="4" w:space="0" w:color="auto"/>
            </w:tcBorders>
            <w:vAlign w:val="center"/>
          </w:tcPr>
          <w:p>
            <w:pPr>
              <w:keepLines/>
              <w:autoSpaceDE w:val="0"/>
              <w:autoSpaceDN w:val="0"/>
              <w:adjustRightInd w:val="0"/>
              <w:spacing w:before="120"/>
              <w:rPr>
                <w:color w:val="000000"/>
                <w:sz w:val="20"/>
              </w:rPr>
            </w:pPr>
            <w:r>
              <w:rPr>
                <w:color w:val="000000"/>
                <w:sz w:val="20"/>
              </w:rPr>
              <w:t>1</w:t>
            </w:r>
          </w:p>
        </w:tc>
        <w:tc>
          <w:tcPr>
            <w:tcW w:w="1440" w:type="dxa"/>
            <w:tcBorders>
              <w:top w:val="single" w:sz="4" w:space="0" w:color="auto"/>
            </w:tcBorders>
            <w:vAlign w:val="center"/>
          </w:tcPr>
          <w:p>
            <w:pPr>
              <w:keepLines/>
              <w:autoSpaceDE w:val="0"/>
              <w:autoSpaceDN w:val="0"/>
              <w:adjustRightInd w:val="0"/>
              <w:spacing w:before="120"/>
              <w:rPr>
                <w:color w:val="000000"/>
                <w:sz w:val="20"/>
              </w:rPr>
            </w:pPr>
            <w:r>
              <w:rPr>
                <w:color w:val="000000"/>
                <w:sz w:val="20"/>
              </w:rPr>
              <w:t>Section 133</w:t>
            </w:r>
          </w:p>
        </w:tc>
      </w:tr>
      <w:tr>
        <w:tc>
          <w:tcPr>
            <w:tcW w:w="2252" w:type="dxa"/>
            <w:vAlign w:val="center"/>
          </w:tcPr>
          <w:p>
            <w:pPr>
              <w:keepLines/>
              <w:autoSpaceDE w:val="0"/>
              <w:autoSpaceDN w:val="0"/>
              <w:adjustRightInd w:val="0"/>
              <w:spacing w:before="120"/>
              <w:rPr>
                <w:color w:val="000000"/>
                <w:sz w:val="20"/>
              </w:rPr>
            </w:pPr>
            <w:r>
              <w:rPr>
                <w:color w:val="000000"/>
                <w:sz w:val="20"/>
              </w:rPr>
              <w:t>2</w:t>
            </w:r>
          </w:p>
        </w:tc>
        <w:tc>
          <w:tcPr>
            <w:tcW w:w="1440" w:type="dxa"/>
            <w:vAlign w:val="center"/>
          </w:tcPr>
          <w:p>
            <w:pPr>
              <w:keepLines/>
              <w:autoSpaceDE w:val="0"/>
              <w:autoSpaceDN w:val="0"/>
              <w:adjustRightInd w:val="0"/>
              <w:spacing w:before="120"/>
              <w:rPr>
                <w:color w:val="000000"/>
                <w:sz w:val="20"/>
              </w:rPr>
            </w:pPr>
            <w:r>
              <w:rPr>
                <w:color w:val="000000"/>
                <w:sz w:val="20"/>
              </w:rPr>
              <w:t>Section 134</w:t>
            </w:r>
          </w:p>
        </w:tc>
      </w:tr>
      <w:tr>
        <w:tc>
          <w:tcPr>
            <w:tcW w:w="2252" w:type="dxa"/>
            <w:vAlign w:val="center"/>
          </w:tcPr>
          <w:p>
            <w:pPr>
              <w:keepLines/>
              <w:autoSpaceDE w:val="0"/>
              <w:autoSpaceDN w:val="0"/>
              <w:adjustRightInd w:val="0"/>
              <w:spacing w:before="120"/>
              <w:rPr>
                <w:color w:val="000000"/>
                <w:sz w:val="20"/>
              </w:rPr>
            </w:pPr>
            <w:r>
              <w:rPr>
                <w:color w:val="000000"/>
                <w:sz w:val="20"/>
              </w:rPr>
              <w:t>3</w:t>
            </w:r>
          </w:p>
        </w:tc>
        <w:tc>
          <w:tcPr>
            <w:tcW w:w="1440" w:type="dxa"/>
            <w:vAlign w:val="center"/>
          </w:tcPr>
          <w:p>
            <w:pPr>
              <w:keepLines/>
              <w:autoSpaceDE w:val="0"/>
              <w:autoSpaceDN w:val="0"/>
              <w:adjustRightInd w:val="0"/>
              <w:spacing w:before="120"/>
              <w:rPr>
                <w:color w:val="000000"/>
                <w:sz w:val="20"/>
              </w:rPr>
            </w:pPr>
            <w:r>
              <w:rPr>
                <w:color w:val="000000"/>
                <w:sz w:val="20"/>
              </w:rPr>
              <w:t>Section 135</w:t>
            </w:r>
          </w:p>
        </w:tc>
      </w:tr>
      <w:tr>
        <w:tc>
          <w:tcPr>
            <w:tcW w:w="2252" w:type="dxa"/>
            <w:vAlign w:val="center"/>
          </w:tcPr>
          <w:p>
            <w:pPr>
              <w:keepLines/>
              <w:autoSpaceDE w:val="0"/>
              <w:autoSpaceDN w:val="0"/>
              <w:adjustRightInd w:val="0"/>
              <w:spacing w:before="120"/>
              <w:rPr>
                <w:color w:val="000000"/>
                <w:sz w:val="20"/>
              </w:rPr>
            </w:pPr>
            <w:r>
              <w:rPr>
                <w:color w:val="000000"/>
                <w:sz w:val="20"/>
              </w:rPr>
              <w:t>4</w:t>
            </w:r>
          </w:p>
        </w:tc>
        <w:tc>
          <w:tcPr>
            <w:tcW w:w="1440" w:type="dxa"/>
            <w:vAlign w:val="center"/>
          </w:tcPr>
          <w:p>
            <w:pPr>
              <w:keepLines/>
              <w:autoSpaceDE w:val="0"/>
              <w:autoSpaceDN w:val="0"/>
              <w:adjustRightInd w:val="0"/>
              <w:spacing w:before="120"/>
              <w:rPr>
                <w:color w:val="000000"/>
                <w:sz w:val="20"/>
              </w:rPr>
            </w:pPr>
            <w:r>
              <w:rPr>
                <w:color w:val="000000"/>
                <w:sz w:val="20"/>
              </w:rPr>
              <w:t>Section 136</w:t>
            </w:r>
          </w:p>
        </w:tc>
      </w:tr>
      <w:tr>
        <w:tc>
          <w:tcPr>
            <w:tcW w:w="2252" w:type="dxa"/>
            <w:vAlign w:val="center"/>
          </w:tcPr>
          <w:p>
            <w:pPr>
              <w:keepLines/>
              <w:autoSpaceDE w:val="0"/>
              <w:autoSpaceDN w:val="0"/>
              <w:adjustRightInd w:val="0"/>
              <w:spacing w:before="120"/>
              <w:rPr>
                <w:color w:val="000000"/>
                <w:sz w:val="20"/>
              </w:rPr>
            </w:pPr>
            <w:r>
              <w:rPr>
                <w:color w:val="000000"/>
                <w:sz w:val="20"/>
              </w:rPr>
              <w:t>5</w:t>
            </w:r>
          </w:p>
        </w:tc>
        <w:tc>
          <w:tcPr>
            <w:tcW w:w="1440" w:type="dxa"/>
            <w:vAlign w:val="center"/>
          </w:tcPr>
          <w:p>
            <w:pPr>
              <w:keepLines/>
              <w:autoSpaceDE w:val="0"/>
              <w:autoSpaceDN w:val="0"/>
              <w:adjustRightInd w:val="0"/>
              <w:spacing w:before="120"/>
              <w:rPr>
                <w:color w:val="000000"/>
                <w:sz w:val="20"/>
              </w:rPr>
            </w:pPr>
            <w:r>
              <w:rPr>
                <w:color w:val="000000"/>
                <w:sz w:val="20"/>
              </w:rPr>
              <w:t>Section 147</w:t>
            </w:r>
          </w:p>
        </w:tc>
      </w:tr>
      <w:tr>
        <w:tc>
          <w:tcPr>
            <w:tcW w:w="2252" w:type="dxa"/>
            <w:vAlign w:val="center"/>
          </w:tcPr>
          <w:p>
            <w:pPr>
              <w:keepLines/>
              <w:autoSpaceDE w:val="0"/>
              <w:autoSpaceDN w:val="0"/>
              <w:adjustRightInd w:val="0"/>
              <w:spacing w:before="120"/>
              <w:rPr>
                <w:color w:val="000000"/>
                <w:sz w:val="20"/>
              </w:rPr>
            </w:pPr>
            <w:r>
              <w:rPr>
                <w:color w:val="000000"/>
                <w:sz w:val="20"/>
              </w:rPr>
              <w:t>6</w:t>
            </w:r>
          </w:p>
        </w:tc>
        <w:tc>
          <w:tcPr>
            <w:tcW w:w="1440" w:type="dxa"/>
            <w:vAlign w:val="center"/>
          </w:tcPr>
          <w:p>
            <w:pPr>
              <w:keepLines/>
              <w:autoSpaceDE w:val="0"/>
              <w:autoSpaceDN w:val="0"/>
              <w:adjustRightInd w:val="0"/>
              <w:spacing w:before="120"/>
              <w:rPr>
                <w:color w:val="000000"/>
                <w:sz w:val="20"/>
              </w:rPr>
            </w:pPr>
            <w:r>
              <w:rPr>
                <w:color w:val="000000"/>
                <w:sz w:val="20"/>
              </w:rPr>
              <w:t>Section 148</w:t>
            </w:r>
          </w:p>
        </w:tc>
      </w:tr>
      <w:tr>
        <w:tc>
          <w:tcPr>
            <w:tcW w:w="2252" w:type="dxa"/>
            <w:vAlign w:val="center"/>
          </w:tcPr>
          <w:p>
            <w:pPr>
              <w:keepLines/>
              <w:autoSpaceDE w:val="0"/>
              <w:autoSpaceDN w:val="0"/>
              <w:adjustRightInd w:val="0"/>
              <w:spacing w:before="120"/>
              <w:rPr>
                <w:color w:val="000000"/>
                <w:sz w:val="20"/>
              </w:rPr>
            </w:pPr>
            <w:r>
              <w:rPr>
                <w:color w:val="000000"/>
                <w:sz w:val="20"/>
              </w:rPr>
              <w:t>7</w:t>
            </w:r>
          </w:p>
        </w:tc>
        <w:tc>
          <w:tcPr>
            <w:tcW w:w="1440" w:type="dxa"/>
            <w:vAlign w:val="center"/>
          </w:tcPr>
          <w:p>
            <w:pPr>
              <w:keepLines/>
              <w:autoSpaceDE w:val="0"/>
              <w:autoSpaceDN w:val="0"/>
              <w:adjustRightInd w:val="0"/>
              <w:spacing w:before="120"/>
              <w:rPr>
                <w:color w:val="000000"/>
                <w:sz w:val="20"/>
              </w:rPr>
            </w:pPr>
            <w:r>
              <w:rPr>
                <w:color w:val="000000"/>
                <w:sz w:val="20"/>
              </w:rPr>
              <w:t>Section 170</w:t>
            </w:r>
          </w:p>
        </w:tc>
      </w:tr>
    </w:tbl>
    <w:p>
      <w:pPr>
        <w:pStyle w:val="Heading5"/>
      </w:pPr>
      <w:bookmarkStart w:id="188" w:name="_Toc536781925"/>
      <w:r>
        <w:rPr>
          <w:rStyle w:val="CharSectno"/>
        </w:rPr>
        <w:t>5</w:t>
      </w:r>
      <w:r>
        <w:t>.</w:t>
      </w:r>
      <w:r>
        <w:tab/>
        <w:t>Meaning of prospective user</w:t>
      </w:r>
      <w:bookmarkEnd w:id="18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prospective user is a person who seeks or wishes to be provided with a pipeline service by means of a scheme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To avoid doubt, a user is also a prospective user if the user seeks or wishes to be provided with a pipeline service by means of a scheme pipeline other than a pipeline service already provided to them under—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access determination.</w:t>
      </w:r>
    </w:p>
    <w:p>
      <w:pPr>
        <w:pStyle w:val="Heading5"/>
      </w:pPr>
      <w:bookmarkStart w:id="189" w:name="_Toc536781926"/>
      <w:r>
        <w:rPr>
          <w:rStyle w:val="CharSectno"/>
        </w:rPr>
        <w:t>6</w:t>
      </w:r>
      <w:r>
        <w:t>.</w:t>
      </w:r>
      <w:r>
        <w:tab/>
        <w:t>Meaning of regulatory obligation or requirement</w:t>
      </w:r>
      <w:bookmarkEnd w:id="18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regulatory obligation or requirement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the provision of a pipeline service by a service provider—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pipeline safety duty;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pipeline reliability standard;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pipeline service standard;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obligation or requirement under—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this Law or the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Act of a participating jurisdiction, or any instrument made or issued under or for the purposes of that Act, that levies or imposes a tax or other levy that is payable by a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an Act of a participating jurisdiction, or any instrument made or issued under or for the purposes of that Act, that regulates the use of land in a participating jurisdiction by a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an Act of a participating jurisdiction or any instrument made or issued under or for the purposes of that Act that relates to the protection of the environment; or</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an Act of a participating jurisdiction, or any instrument made or issued under or for the purposes of that Act (other than national gas legislation or an Act of a participating jurisdiction or an Act or instrument referred to in subparagraphs (ii) to (iv)), that materially affects the provision, by a service provider, of pipeline services to which an applicable access arrangement applies.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regulatory obligation or requirement does not include an obligation or requirement to pay a fine, penalty or compensation—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for a breach of—</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pipeline safety duty;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pipeline reliability standard;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pipeline service standard;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 this Law or the Rules or an Act or an instrument referred to in subsection (1)(b)(ii) to (v).</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section 24(2)(b).</w:t>
      </w:r>
    </w:p>
    <w:p>
      <w:pPr>
        <w:pStyle w:val="Heading5"/>
      </w:pPr>
      <w:bookmarkStart w:id="190" w:name="_Toc536781927"/>
      <w:r>
        <w:rPr>
          <w:rStyle w:val="CharSectno"/>
        </w:rPr>
        <w:t>7</w:t>
      </w:r>
      <w:r>
        <w:t>.</w:t>
      </w:r>
      <w:r>
        <w:tab/>
        <w:t>Meaning of regulatory payment</w:t>
      </w:r>
      <w:bookmarkEnd w:id="190"/>
    </w:p>
    <w:p>
      <w:pPr>
        <w:keepNext/>
        <w:keepLines/>
        <w:autoSpaceDE w:val="0"/>
        <w:autoSpaceDN w:val="0"/>
        <w:adjustRightInd w:val="0"/>
        <w:spacing w:before="120"/>
        <w:ind w:left="1588"/>
        <w:rPr>
          <w:color w:val="000000"/>
          <w:sz w:val="23"/>
          <w:szCs w:val="23"/>
        </w:rPr>
      </w:pPr>
      <w:r>
        <w:rPr>
          <w:color w:val="000000"/>
          <w:sz w:val="23"/>
          <w:szCs w:val="23"/>
        </w:rPr>
        <w:t>A regulatory payment is a sum that a service provider had been required or allowed to pay to a user or an end user for a breach of, as the case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reliability standard;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pipeline service standard,</w:t>
      </w:r>
    </w:p>
    <w:p>
      <w:pPr>
        <w:keepLines/>
        <w:autoSpaceDE w:val="0"/>
        <w:autoSpaceDN w:val="0"/>
        <w:adjustRightInd w:val="0"/>
        <w:spacing w:before="120"/>
        <w:ind w:left="1588"/>
        <w:rPr>
          <w:color w:val="000000"/>
          <w:sz w:val="23"/>
          <w:szCs w:val="23"/>
        </w:rPr>
      </w:pPr>
      <w:r>
        <w:rPr>
          <w:color w:val="000000"/>
          <w:sz w:val="23"/>
          <w:szCs w:val="23"/>
        </w:rPr>
        <w:t>because it was efficient for the service provider (in terms of the service provider’s overall business) to pay that sum.</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section 24(2)(b).</w:t>
      </w:r>
    </w:p>
    <w:p>
      <w:pPr>
        <w:pStyle w:val="Heading5"/>
      </w:pPr>
      <w:bookmarkStart w:id="191" w:name="_Toc536781928"/>
      <w:r>
        <w:rPr>
          <w:rStyle w:val="CharSectno"/>
        </w:rPr>
        <w:t>8</w:t>
      </w:r>
      <w:r>
        <w:t>.</w:t>
      </w:r>
      <w:r>
        <w:tab/>
        <w:t>Meaning of service provider</w:t>
      </w:r>
      <w:bookmarkEnd w:id="19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is a person who—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owns, controls or operates;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intends to own, control or operate,</w:t>
      </w:r>
    </w:p>
    <w:p>
      <w:pPr>
        <w:keepLines/>
        <w:autoSpaceDE w:val="0"/>
        <w:autoSpaceDN w:val="0"/>
        <w:adjustRightInd w:val="0"/>
        <w:spacing w:before="120"/>
        <w:ind w:left="1588"/>
        <w:rPr>
          <w:color w:val="000000"/>
          <w:sz w:val="23"/>
          <w:szCs w:val="23"/>
        </w:rPr>
      </w:pPr>
      <w:r>
        <w:rPr>
          <w:color w:val="000000"/>
          <w:sz w:val="23"/>
          <w:szCs w:val="23"/>
        </w:rPr>
        <w:t>a pipeline or scheme pipeline, or any part of a pipeline or scheme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A service provider must not provide pipeline services by means of a scheme pipeline unless the service provider is a legal entity of a specified kind: See section 131, and section 169 where the scheme pipeline is an international pipeline to which a price regulation exemption applies.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gas market operator that controls or operates (without at the same time owning)—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or scheme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part of a pipeline or scheme pipeline,</w:t>
      </w:r>
    </w:p>
    <w:p>
      <w:pPr>
        <w:keepLines/>
        <w:autoSpaceDE w:val="0"/>
        <w:autoSpaceDN w:val="0"/>
        <w:adjustRightInd w:val="0"/>
        <w:spacing w:before="120"/>
        <w:ind w:left="1588"/>
        <w:rPr>
          <w:color w:val="000000"/>
          <w:sz w:val="23"/>
          <w:szCs w:val="23"/>
        </w:rPr>
      </w:pPr>
      <w:r>
        <w:rPr>
          <w:color w:val="000000"/>
          <w:sz w:val="23"/>
          <w:szCs w:val="23"/>
        </w:rPr>
        <w:t>is not to be taken to be a service provider for the purposes of this Law.</w:t>
      </w:r>
    </w:p>
    <w:p>
      <w:pPr>
        <w:pStyle w:val="Heading5"/>
      </w:pPr>
      <w:bookmarkStart w:id="192" w:name="_Toc536781929"/>
      <w:r>
        <w:rPr>
          <w:rStyle w:val="CharSectno"/>
        </w:rPr>
        <w:t>9</w:t>
      </w:r>
      <w:r>
        <w:t>.</w:t>
      </w:r>
      <w:r>
        <w:tab/>
        <w:t>Passive owners of scheme pipelines deemed to provide or intend to provide pipeline services</w:t>
      </w:r>
      <w:bookmarkEnd w:id="19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to a person who owns a scheme pipeline but does not provide or intend to provide pipeline services by means of that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person is, for the purposes of this Law, deemed to provide or intend to provide pipeline services by means of that pipeline even if the person does not, in fact, do so.</w:t>
      </w:r>
    </w:p>
    <w:p>
      <w:pPr>
        <w:pStyle w:val="Heading5"/>
      </w:pPr>
      <w:bookmarkStart w:id="193" w:name="_Toc536781930"/>
      <w:r>
        <w:rPr>
          <w:rStyle w:val="CharSectno"/>
        </w:rPr>
        <w:t>10</w:t>
      </w:r>
      <w:r>
        <w:t>.</w:t>
      </w:r>
      <w:r>
        <w:tab/>
        <w:t>Things done by 1 service provider to be treated as being done by all of service provider group</w:t>
      </w:r>
      <w:bookmarkEnd w:id="19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more than 1 service provider (a </w:t>
      </w:r>
      <w:r>
        <w:rPr>
          <w:rStyle w:val="CharDefText"/>
          <w:bCs/>
          <w:sz w:val="23"/>
        </w:rPr>
        <w:t>service provider group</w:t>
      </w:r>
      <w:r>
        <w:rPr>
          <w:color w:val="000000"/>
          <w:sz w:val="23"/>
          <w:szCs w:val="23"/>
        </w:rPr>
        <w:t>) carries out a controlling pipeline activity in respect of a pipeline (or a part of a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 this Law or the Rules a service provider is required or allowed to do a thing.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A service provider of the service provider group (the </w:t>
      </w:r>
      <w:r>
        <w:rPr>
          <w:rStyle w:val="CharDefText"/>
          <w:bCs/>
          <w:sz w:val="23"/>
        </w:rPr>
        <w:t>complying service provider</w:t>
      </w:r>
      <w:r>
        <w:rPr>
          <w:color w:val="000000"/>
          <w:sz w:val="23"/>
          <w:szCs w:val="23"/>
        </w:rPr>
        <w:t>) may do that thing on behalf of the other service providers of the service provider group if the complying service provider has the written permission of all of the service providers of that group to do that thing on behalf of the service provider group.</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(3)</w:t>
      </w:r>
      <w:r>
        <w:rPr>
          <w:color w:val="000000"/>
          <w:sz w:val="23"/>
          <w:szCs w:val="23"/>
        </w:rPr>
        <w:tab/>
        <w:t>Unless this Law or the Rules otherwise provide, on the doing of a thing referred to in subsection (2) by a complying service provider, the service providers of the service provider group on whose behalf the complying service provider does that thing, must, for the purposes of this Law and the Rules, each be taken to have done the thing done by the complying service provider.</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(4)</w:t>
      </w:r>
      <w:r>
        <w:rPr>
          <w:color w:val="000000"/>
          <w:sz w:val="23"/>
          <w:szCs w:val="23"/>
        </w:rPr>
        <w:tab/>
        <w:t>This section does not apply to a thing required or allowed to be done under section 131 or Chapter 4 Part 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controlling pipeline activity</w:t>
      </w:r>
      <w:r>
        <w:rPr>
          <w:bCs/>
          <w:i/>
          <w:iCs/>
          <w:color w:val="000000"/>
          <w:sz w:val="23"/>
          <w:szCs w:val="23"/>
        </w:rPr>
        <w:t xml:space="preserve"> </w:t>
      </w:r>
      <w:r>
        <w:rPr>
          <w:color w:val="000000"/>
          <w:sz w:val="23"/>
          <w:szCs w:val="23"/>
        </w:rPr>
        <w:t>means own, control or operate.</w:t>
      </w:r>
    </w:p>
    <w:p>
      <w:pPr>
        <w:pStyle w:val="Heading5"/>
      </w:pPr>
      <w:bookmarkStart w:id="194" w:name="_Toc536781931"/>
      <w:r>
        <w:rPr>
          <w:rStyle w:val="CharSectno"/>
        </w:rPr>
        <w:t>11</w:t>
      </w:r>
      <w:r>
        <w:t>.</w:t>
      </w:r>
      <w:r>
        <w:tab/>
        <w:t>Local agents of foreign service providers</w:t>
      </w:r>
      <w:bookmarkEnd w:id="194"/>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is a foreign company;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the service provider has, under the </w:t>
      </w:r>
      <w:r>
        <w:rPr>
          <w:i/>
          <w:iCs/>
          <w:color w:val="000000"/>
          <w:sz w:val="23"/>
          <w:szCs w:val="23"/>
        </w:rPr>
        <w:t>Corporations Act 2001</w:t>
      </w:r>
      <w:r>
        <w:rPr>
          <w:color w:val="000000"/>
          <w:sz w:val="23"/>
          <w:szCs w:val="23"/>
        </w:rPr>
        <w:t xml:space="preserve"> of the Commonwealth, appointed a local agent within the meaning of that Act.</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(2)</w:t>
      </w:r>
      <w:r>
        <w:rPr>
          <w:color w:val="000000"/>
          <w:sz w:val="23"/>
          <w:szCs w:val="23"/>
        </w:rPr>
        <w:tab/>
        <w:t>The local agent—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answerable for the doing of all acts, matters and things the service provider is required by or under this Law to do;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personally liable to a penalty imposed on the service provider for a breach of a provision of this Law or the Rules if a court hearing the matter is satisfied that the local agent should be so liable.</w:t>
      </w:r>
    </w:p>
    <w:p>
      <w:pPr>
        <w:pStyle w:val="Heading5"/>
      </w:pPr>
      <w:bookmarkStart w:id="195" w:name="_Toc536781932"/>
      <w:r>
        <w:rPr>
          <w:rStyle w:val="CharSectno"/>
        </w:rPr>
        <w:t>12</w:t>
      </w:r>
      <w:r>
        <w:rPr>
          <w:bCs/>
        </w:rPr>
        <w:t>.</w:t>
      </w:r>
      <w:r>
        <w:rPr>
          <w:bCs/>
        </w:rPr>
        <w:tab/>
      </w:r>
      <w:r>
        <w:t>Commissioning of a pipeline</w:t>
      </w:r>
      <w:bookmarkEnd w:id="195"/>
    </w:p>
    <w:p>
      <w:pPr>
        <w:keepLines/>
        <w:autoSpaceDE w:val="0"/>
        <w:autoSpaceDN w:val="0"/>
        <w:adjustRightInd w:val="0"/>
        <w:spacing w:before="120"/>
        <w:ind w:left="1588"/>
        <w:rPr>
          <w:color w:val="000000"/>
          <w:sz w:val="23"/>
          <w:szCs w:val="23"/>
        </w:rPr>
      </w:pPr>
      <w:r>
        <w:rPr>
          <w:color w:val="000000"/>
          <w:sz w:val="23"/>
          <w:szCs w:val="23"/>
        </w:rPr>
        <w:t>A pipeline is commissioned when the pipeline is first used for the haulage of natural gas, on a commercial basis.</w:t>
      </w:r>
    </w:p>
    <w:p>
      <w:pPr>
        <w:pStyle w:val="Heading5"/>
      </w:pPr>
      <w:bookmarkStart w:id="196" w:name="_Toc536781933"/>
      <w:r>
        <w:rPr>
          <w:rStyle w:val="CharSectno"/>
        </w:rPr>
        <w:t>13</w:t>
      </w:r>
      <w:r>
        <w:rPr>
          <w:rStyle w:val="CharSectno"/>
          <w:bCs/>
        </w:rPr>
        <w:t>.</w:t>
      </w:r>
      <w:r>
        <w:rPr>
          <w:rStyle w:val="CharSectno"/>
          <w:bCs/>
        </w:rPr>
        <w:tab/>
      </w:r>
      <w:r>
        <w:t>Pipeline classification criterion</w:t>
      </w:r>
      <w:bookmarkEnd w:id="19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pipeline classification criterion is whether the primary function of the pipeline is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reticulate gas within a market (which is the primary function of a distribution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convey gas to a market (which is the primary function of a transmission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subsection (1), in determining the primary function of the pipeline, regard must also be had to whether the characteristics of the pipeline are those of a transmission pipeline or distribution pipeline having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characteristics and classification of, as the case requires, an old scheme transmission pipeline or an old scheme distribution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characteristics of, as the case requires, a transmission pipeline or a distribution pipeline classified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characteristics and classification of pipelines specified in the Rules (if any);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diameter of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pressure at which the pipeline is or will be designed to operate;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number of points at which gas can or will be injected into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the extent of the area served or to be served by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the pipeline’s linear or dendritic configuration.</w:t>
      </w:r>
    </w:p>
    <w:p>
      <w:pPr>
        <w:pStyle w:val="Heading5"/>
      </w:pPr>
      <w:bookmarkStart w:id="197" w:name="_Toc536781934"/>
      <w:r>
        <w:rPr>
          <w:rStyle w:val="CharSectno"/>
        </w:rPr>
        <w:t>14</w:t>
      </w:r>
      <w:r>
        <w:t>.</w:t>
      </w:r>
      <w:r>
        <w:rPr>
          <w:rStyle w:val="CharSectno"/>
          <w:bCs/>
        </w:rPr>
        <w:tab/>
      </w:r>
      <w:r>
        <w:t>Jurisdictional determination criteria—cross boundary distribution pipelines</w:t>
      </w:r>
      <w:bookmarkEnd w:id="197"/>
    </w:p>
    <w:p>
      <w:pPr>
        <w:keepNext/>
        <w:keepLines/>
        <w:autoSpaceDE w:val="0"/>
        <w:autoSpaceDN w:val="0"/>
        <w:adjustRightInd w:val="0"/>
        <w:spacing w:before="120"/>
        <w:ind w:left="1588"/>
        <w:rPr>
          <w:color w:val="000000"/>
          <w:sz w:val="23"/>
          <w:szCs w:val="23"/>
        </w:rPr>
      </w:pPr>
      <w:r>
        <w:rPr>
          <w:color w:val="000000"/>
          <w:sz w:val="23"/>
          <w:szCs w:val="23"/>
        </w:rPr>
        <w:t>The pipeline jurisdictional determination criteria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whether more gas is to be delivered by a cross boundary distribution pipeline in the jurisdictional area of 1 participating jurisdiction than in the jurisdictional area of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whether more customers to be served by a cross boundary distribution pipeline are resident in the jurisdictional area of 1 participating jurisdiction than in the jurisdictional area of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whether more of the network for a cross boundary distribution pipeline is in the jurisdictional area of 1 participating jurisdiction than in the jurisdictional area of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whether 1 participating jurisdiction has greater prospects for growth in the gas market served or to be served by a cross boundary distribution pipeline than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whether the regional economic benefits from competition are likely to be greater for 1 participating jurisdiction than for any other participating jurisdiction.</w:t>
      </w:r>
    </w:p>
    <w:p>
      <w:pPr>
        <w:pStyle w:val="Heading5"/>
      </w:pPr>
      <w:bookmarkStart w:id="198" w:name="_Toc536781935"/>
      <w:r>
        <w:rPr>
          <w:rStyle w:val="CharSectno"/>
        </w:rPr>
        <w:t>15</w:t>
      </w:r>
      <w:r>
        <w:t>.</w:t>
      </w:r>
      <w:r>
        <w:tab/>
        <w:t>Pipeline coverage criteria</w:t>
      </w:r>
      <w:bookmarkEnd w:id="198"/>
    </w:p>
    <w:p>
      <w:pPr>
        <w:keepNext/>
        <w:keepLines/>
        <w:autoSpaceDE w:val="0"/>
        <w:autoSpaceDN w:val="0"/>
        <w:adjustRightInd w:val="0"/>
        <w:spacing w:before="120"/>
        <w:ind w:left="1588"/>
        <w:rPr>
          <w:color w:val="000000"/>
          <w:sz w:val="23"/>
          <w:szCs w:val="23"/>
        </w:rPr>
      </w:pPr>
      <w:r>
        <w:rPr>
          <w:color w:val="000000"/>
          <w:sz w:val="23"/>
          <w:szCs w:val="23"/>
        </w:rPr>
        <w:t>The pipeline coverage criteria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that access (or increased access) to pipeline services provided by means of the pipeline would promote a material increase in competition in at least 1 market (whether or not in </w:t>
      </w:r>
      <w:smartTag w:uri="urn:schemas-microsoft-com:office:smarttags" w:element="country-region">
        <w:r>
          <w:rPr>
            <w:color w:val="000000"/>
            <w:sz w:val="23"/>
            <w:szCs w:val="23"/>
          </w:rPr>
          <w:t>Australia</w:t>
        </w:r>
      </w:smartTag>
      <w:r>
        <w:rPr>
          <w:color w:val="000000"/>
          <w:sz w:val="23"/>
          <w:szCs w:val="23"/>
        </w:rPr>
        <w:t>), other than the market for the pipeline services provided by means of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it would be uneconomic for anyone to develop another pipeline to provide the pipeline services provided by means of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that access (or increased access) to the pipeline services provided by means of the pipeline can be provided without undue risk to human health or safety;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that access (or increased access) to the pipeline services provided by means of the pipeline would not be contrary to the public interest.</w:t>
      </w:r>
    </w:p>
    <w:p>
      <w:pPr>
        <w:pStyle w:val="Heading5"/>
      </w:pPr>
      <w:bookmarkStart w:id="199" w:name="_Toc536781936"/>
      <w:r>
        <w:rPr>
          <w:rStyle w:val="CharSectno"/>
        </w:rPr>
        <w:t>16</w:t>
      </w:r>
      <w:r>
        <w:t>.</w:t>
      </w:r>
      <w:r>
        <w:tab/>
        <w:t>Form of regulation factors</w:t>
      </w:r>
      <w:bookmarkEnd w:id="199"/>
    </w:p>
    <w:p>
      <w:pPr>
        <w:keepNext/>
        <w:keepLines/>
        <w:autoSpaceDE w:val="0"/>
        <w:autoSpaceDN w:val="0"/>
        <w:adjustRightInd w:val="0"/>
        <w:spacing w:before="120"/>
        <w:ind w:left="1588"/>
        <w:rPr>
          <w:color w:val="000000"/>
          <w:sz w:val="23"/>
          <w:szCs w:val="23"/>
        </w:rPr>
      </w:pPr>
      <w:r>
        <w:rPr>
          <w:color w:val="000000"/>
          <w:sz w:val="23"/>
          <w:szCs w:val="23"/>
        </w:rPr>
        <w:t>The form of regulation factors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presence and extent of any barriers to entry in a market for pipeline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presence and extent of any network externalities (that is, interdependencies) between a natural gas service provided by a service provider and any other natural gas service provided by the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presence and extent of any network externalities (that is, interdependencies) between a natural gas service provided by a service provider and any other service provided by the service provider in any other market;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extent to which any market power possessed by a service provider is, or is likely to be, mitigated by any countervailing market power possessed by a user or prospective user;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presence and extent of any substitute, and the elasticity of demand, in a market for a pipeline service in which a service provider provides that service;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presence and extent of any substitute for, and the elasticity of demand in a market for, electricity or gas (as the case may be);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the extent to which there is information available to a prospective user or user, and whether that information is adequate, to enable the prospective user or user to negotiate on an informed basis with a service provider for the provision of a pipeline service to them by the service provider.</w:t>
      </w:r>
    </w:p>
    <w:p>
      <w:pPr>
        <w:pStyle w:val="Heading5"/>
      </w:pPr>
      <w:bookmarkStart w:id="200" w:name="_Toc536781937"/>
      <w:r>
        <w:rPr>
          <w:rStyle w:val="CharSectno"/>
        </w:rPr>
        <w:t>17</w:t>
      </w:r>
      <w:r>
        <w:rPr>
          <w:bCs/>
        </w:rPr>
        <w:t>.</w:t>
      </w:r>
      <w:r>
        <w:rPr>
          <w:bCs/>
        </w:rPr>
        <w:tab/>
      </w:r>
      <w:r>
        <w:t>Effect of separate and consolidated access arrangements in certain cases</w:t>
      </w:r>
      <w:bookmarkEnd w:id="20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despite anything to the contrary in this Law.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under this Law and the Rules, separate access arrangements are approved in an applicable access arrangement decision for pipeline services provided, or to be provided, by means of different parts of a covered pipeline, each part of the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which pipeline services are provided;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which each separate applicable access arrangement applies,</w:t>
      </w:r>
    </w:p>
    <w:p>
      <w:pPr>
        <w:keepLines/>
        <w:autoSpaceDE w:val="0"/>
        <w:autoSpaceDN w:val="0"/>
        <w:adjustRightInd w:val="0"/>
        <w:spacing w:before="120"/>
        <w:ind w:left="1588"/>
        <w:rPr>
          <w:color w:val="000000"/>
          <w:sz w:val="23"/>
          <w:szCs w:val="23"/>
        </w:rPr>
      </w:pPr>
      <w:r>
        <w:rPr>
          <w:color w:val="000000"/>
          <w:sz w:val="23"/>
          <w:szCs w:val="23"/>
        </w:rPr>
        <w:t>must to be taken to be a separate covered pipeline for the purposes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under this Law and the Rules, a single access arrangement is approved in an applicable access arrangement decision for pipeline services provided, or to be provided, by means of 2 or more covered pipelines, those pipelines must be taken to be a single covered pipeline for the purposes of this Law.</w:t>
      </w:r>
    </w:p>
    <w:p>
      <w:pPr>
        <w:pStyle w:val="Heading5"/>
      </w:pPr>
      <w:bookmarkStart w:id="201" w:name="_Toc536781938"/>
      <w:r>
        <w:rPr>
          <w:rStyle w:val="CharSectno"/>
        </w:rPr>
        <w:t>18</w:t>
      </w:r>
      <w:r>
        <w:t>.</w:t>
      </w:r>
      <w:r>
        <w:tab/>
        <w:t>Certain extensions to, or expansion of the capacity of, pipelines to be taken to be part of a covered pipeline</w:t>
      </w:r>
      <w:bookmarkEnd w:id="201"/>
    </w:p>
    <w:p>
      <w:pPr>
        <w:keepNext/>
        <w:keepLines/>
        <w:autoSpaceDE w:val="0"/>
        <w:autoSpaceDN w:val="0"/>
        <w:adjustRightInd w:val="0"/>
        <w:spacing w:before="120"/>
        <w:ind w:left="1588"/>
        <w:rPr>
          <w:color w:val="000000"/>
          <w:sz w:val="23"/>
          <w:szCs w:val="23"/>
        </w:rPr>
      </w:pPr>
      <w:r>
        <w:rPr>
          <w:color w:val="000000"/>
          <w:sz w:val="23"/>
          <w:szCs w:val="23"/>
        </w:rPr>
        <w:t>For the purposes of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extension to, or expansion of the capacity of, a covered pipeline must be taken to be part of the covered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as extended or expanded must be taken to be a covered pipeline,</w:t>
      </w:r>
    </w:p>
    <w:p>
      <w:pPr>
        <w:keepLines/>
        <w:autoSpaceDE w:val="0"/>
        <w:autoSpaceDN w:val="0"/>
        <w:adjustRightInd w:val="0"/>
        <w:spacing w:before="120"/>
        <w:ind w:left="1588"/>
        <w:rPr>
          <w:color w:val="000000"/>
          <w:sz w:val="23"/>
          <w:szCs w:val="23"/>
        </w:rPr>
      </w:pPr>
      <w:r>
        <w:rPr>
          <w:color w:val="000000"/>
          <w:sz w:val="23"/>
          <w:szCs w:val="23"/>
        </w:rPr>
        <w:t>if, by operation of the extension and expansion requirements under an applicable access arrangement, the applicable access arrangement will apply to pipeline services provided by means of the covered pipeline as extended or expanded.</w:t>
      </w:r>
    </w:p>
    <w:p>
      <w:pPr>
        <w:pStyle w:val="Heading5"/>
      </w:pPr>
      <w:bookmarkStart w:id="202" w:name="_Toc536781939"/>
      <w:r>
        <w:rPr>
          <w:rStyle w:val="CharSectno"/>
        </w:rPr>
        <w:t>19</w:t>
      </w:r>
      <w:r>
        <w:rPr>
          <w:bCs/>
        </w:rPr>
        <w:t>.</w:t>
      </w:r>
      <w:r>
        <w:rPr>
          <w:bCs/>
        </w:rPr>
        <w:tab/>
      </w:r>
      <w:r>
        <w:t>Expansions of and extensions to covered pipeline by which light regulation services are provided</w:t>
      </w:r>
      <w:bookmarkEnd w:id="202"/>
    </w:p>
    <w:p>
      <w:pPr>
        <w:keepLines/>
        <w:autoSpaceDE w:val="0"/>
        <w:autoSpaceDN w:val="0"/>
        <w:adjustRightInd w:val="0"/>
        <w:spacing w:before="120"/>
        <w:ind w:left="1588"/>
        <w:rPr>
          <w:color w:val="000000"/>
          <w:sz w:val="23"/>
          <w:szCs w:val="23"/>
        </w:rPr>
      </w:pPr>
      <w:r>
        <w:rPr>
          <w:color w:val="000000"/>
          <w:sz w:val="23"/>
          <w:szCs w:val="23"/>
        </w:rPr>
        <w:t>For the purposes of this Law, an extension to, or expansion of the capacity of, a covered pipeline by means of which light regulation services (and in respect of which there is no limited access arrangement) are provided, must be taken to be part of the covered pipeline unless the AER determines otherwise in writing.</w:t>
      </w:r>
    </w:p>
    <w:p>
      <w:pPr>
        <w:pStyle w:val="Heading5"/>
      </w:pPr>
      <w:bookmarkStart w:id="203" w:name="_Toc536781940"/>
      <w:r>
        <w:rPr>
          <w:rStyle w:val="CharSectno"/>
        </w:rPr>
        <w:t>20</w:t>
      </w:r>
      <w:r>
        <w:t>.</w:t>
      </w:r>
      <w:r>
        <w:tab/>
        <w:t>Interpretation generally</w:t>
      </w:r>
      <w:bookmarkEnd w:id="203"/>
    </w:p>
    <w:p>
      <w:pPr>
        <w:keepLines/>
        <w:autoSpaceDE w:val="0"/>
        <w:autoSpaceDN w:val="0"/>
        <w:adjustRightInd w:val="0"/>
        <w:spacing w:before="120"/>
        <w:ind w:left="1588"/>
        <w:rPr>
          <w:color w:val="000000"/>
          <w:sz w:val="23"/>
          <w:szCs w:val="23"/>
        </w:rPr>
      </w:pPr>
      <w:r>
        <w:rPr>
          <w:color w:val="000000"/>
          <w:sz w:val="23"/>
          <w:szCs w:val="23"/>
        </w:rPr>
        <w:t>Schedule 2 to this Law applies to this Law, the Regulations and the Rules and any other statutory instrument made under this Law.</w:t>
      </w:r>
    </w:p>
    <w:p>
      <w:pPr>
        <w:pStyle w:val="Heading3"/>
      </w:pPr>
      <w:bookmarkStart w:id="204" w:name="_Toc501633851"/>
      <w:bookmarkStart w:id="205" w:name="_Toc501712747"/>
      <w:bookmarkStart w:id="206" w:name="_Toc536781941"/>
      <w:r>
        <w:rPr>
          <w:rStyle w:val="CharDivNo"/>
        </w:rPr>
        <w:t>Part 1A</w:t>
      </w:r>
      <w:r>
        <w:rPr>
          <w:color w:val="000000"/>
          <w:szCs w:val="32"/>
        </w:rPr>
        <w:t xml:space="preserve"> </w:t>
      </w:r>
      <w:r>
        <w:t>—</w:t>
      </w:r>
      <w:r>
        <w:rPr>
          <w:color w:val="000000"/>
          <w:szCs w:val="32"/>
        </w:rPr>
        <w:t xml:space="preserve"> </w:t>
      </w:r>
      <w:r>
        <w:rPr>
          <w:rStyle w:val="CharDivText"/>
        </w:rPr>
        <w:t>Postponement of Natural Gas Services Bulletin Board provisions</w:t>
      </w:r>
      <w:bookmarkEnd w:id="204"/>
      <w:bookmarkEnd w:id="205"/>
      <w:bookmarkEnd w:id="206"/>
    </w:p>
    <w:p>
      <w:pPr>
        <w:pStyle w:val="Footnotesection"/>
      </w:pPr>
      <w:r>
        <w:tab/>
        <w:t>[Heading inserted: WA Act Sch. 1 cl. 5.]</w:t>
      </w:r>
    </w:p>
    <w:p>
      <w:pPr>
        <w:pStyle w:val="Heading5"/>
      </w:pPr>
      <w:bookmarkStart w:id="207" w:name="_Toc536781942"/>
      <w:r>
        <w:rPr>
          <w:rStyle w:val="CharSectno"/>
        </w:rPr>
        <w:t>20A</w:t>
      </w:r>
      <w:r>
        <w:rPr>
          <w:bCs/>
        </w:rPr>
        <w:t>.</w:t>
      </w:r>
      <w:r>
        <w:rPr>
          <w:bCs/>
        </w:rPr>
        <w:tab/>
      </w:r>
      <w:r>
        <w:t>Minister may fix day on which provisions apply</w:t>
      </w:r>
      <w:bookmarkEnd w:id="207"/>
    </w:p>
    <w:p>
      <w:pPr>
        <w:keepLines/>
        <w:autoSpaceDE w:val="0"/>
        <w:autoSpaceDN w:val="0"/>
        <w:adjustRightInd w:val="0"/>
        <w:spacing w:before="120"/>
        <w:ind w:left="1588"/>
        <w:rPr>
          <w:color w:val="000000"/>
          <w:sz w:val="23"/>
          <w:szCs w:val="23"/>
        </w:rPr>
      </w:pPr>
      <w:r>
        <w:rPr>
          <w:color w:val="000000"/>
          <w:sz w:val="23"/>
          <w:szCs w:val="23"/>
        </w:rPr>
        <w:t xml:space="preserve">To the extent that a provision of this Law relates to the Natural Gas Services Bulletin Board, the provision does not apply before a day is fixed by the Minister, by an order notice of which is published in the </w:t>
      </w:r>
      <w:r>
        <w:rPr>
          <w:i/>
          <w:iCs/>
          <w:color w:val="000000"/>
          <w:sz w:val="23"/>
          <w:szCs w:val="23"/>
        </w:rPr>
        <w:t>Government Gazette</w:t>
      </w:r>
      <w:r>
        <w:rPr>
          <w:color w:val="000000"/>
          <w:sz w:val="23"/>
          <w:szCs w:val="23"/>
        </w:rPr>
        <w:t>, as the day on and after which provisions of this Law relating to the Natural Gas Services Bulletin Board apply.</w:t>
      </w:r>
    </w:p>
    <w:p>
      <w:pPr>
        <w:pStyle w:val="Footnotesection"/>
      </w:pPr>
      <w:r>
        <w:tab/>
        <w:t>[Section 20A inserted: WA Act Sch. 1 cl. 5.]</w:t>
      </w:r>
    </w:p>
    <w:p>
      <w:pPr>
        <w:pStyle w:val="Heading3"/>
        <w:rPr>
          <w:color w:val="000000"/>
          <w:sz w:val="32"/>
          <w:szCs w:val="32"/>
        </w:rPr>
      </w:pPr>
      <w:bookmarkStart w:id="208" w:name="_Toc501633853"/>
      <w:bookmarkStart w:id="209" w:name="_Toc501712749"/>
      <w:bookmarkStart w:id="210" w:name="_Toc536781943"/>
      <w:r>
        <w:rPr>
          <w:rStyle w:val="CharDivNo"/>
        </w:rPr>
        <w:t>Part 2</w:t>
      </w:r>
      <w:r>
        <w:rPr>
          <w:color w:val="000000"/>
          <w:sz w:val="32"/>
          <w:szCs w:val="32"/>
        </w:rPr>
        <w:t xml:space="preserve"> — </w:t>
      </w:r>
      <w:r>
        <w:rPr>
          <w:rStyle w:val="CharDivText"/>
        </w:rPr>
        <w:t>Participating jurisdictions</w:t>
      </w:r>
      <w:bookmarkEnd w:id="208"/>
      <w:bookmarkEnd w:id="209"/>
      <w:bookmarkEnd w:id="210"/>
    </w:p>
    <w:p>
      <w:pPr>
        <w:pStyle w:val="Heading5"/>
      </w:pPr>
      <w:bookmarkStart w:id="211" w:name="_Toc536781944"/>
      <w:r>
        <w:rPr>
          <w:rStyle w:val="CharSectno"/>
        </w:rPr>
        <w:t>21</w:t>
      </w:r>
      <w:r>
        <w:t>.</w:t>
      </w:r>
      <w:r>
        <w:tab/>
        <w:t>Participating jurisdictions</w:t>
      </w:r>
      <w:bookmarkEnd w:id="211"/>
    </w:p>
    <w:p>
      <w:pPr>
        <w:keepLines/>
        <w:autoSpaceDE w:val="0"/>
        <w:autoSpaceDN w:val="0"/>
        <w:adjustRightInd w:val="0"/>
        <w:spacing w:before="120"/>
        <w:ind w:left="1588"/>
        <w:rPr>
          <w:color w:val="000000"/>
          <w:sz w:val="23"/>
          <w:szCs w:val="23"/>
        </w:rPr>
      </w:pPr>
      <w:r>
        <w:rPr>
          <w:color w:val="000000"/>
          <w:sz w:val="23"/>
          <w:szCs w:val="23"/>
        </w:rPr>
        <w:t xml:space="preserve">The State of </w:t>
      </w:r>
      <w:smartTag w:uri="urn:schemas-microsoft-com:office:smarttags" w:element="State">
        <w:r>
          <w:rPr>
            <w:color w:val="000000"/>
            <w:sz w:val="23"/>
            <w:szCs w:val="23"/>
          </w:rPr>
          <w:t>South Australia</w:t>
        </w:r>
      </w:smartTag>
      <w:r>
        <w:rPr>
          <w:color w:val="000000"/>
          <w:sz w:val="23"/>
          <w:szCs w:val="23"/>
        </w:rPr>
        <w:t xml:space="preserve">, the Commonwealth, each of the States of New South Wales, </w:t>
      </w:r>
      <w:smartTag w:uri="urn:schemas-microsoft-com:office:smarttags" w:element="City">
        <w:r>
          <w:rPr>
            <w:color w:val="000000"/>
            <w:sz w:val="23"/>
            <w:szCs w:val="23"/>
          </w:rPr>
          <w:t>Victoria</w:t>
        </w:r>
      </w:smartTag>
      <w:r>
        <w:rPr>
          <w:color w:val="000000"/>
          <w:sz w:val="23"/>
          <w:szCs w:val="23"/>
        </w:rPr>
        <w:t xml:space="preserve">, </w:t>
      </w:r>
      <w:smartTag w:uri="urn:schemas-microsoft-com:office:smarttags" w:element="State">
        <w:r>
          <w:rPr>
            <w:color w:val="000000"/>
            <w:sz w:val="23"/>
            <w:szCs w:val="23"/>
          </w:rPr>
          <w:t>Queensland</w:t>
        </w:r>
      </w:smartTag>
      <w:r>
        <w:rPr>
          <w:color w:val="000000"/>
          <w:sz w:val="23"/>
          <w:szCs w:val="23"/>
        </w:rPr>
        <w:t xml:space="preserve">, </w:t>
      </w:r>
      <w:smartTag w:uri="urn:schemas-microsoft-com:office:smarttags" w:element="State">
        <w:r>
          <w:rPr>
            <w:color w:val="000000"/>
            <w:sz w:val="23"/>
            <w:szCs w:val="23"/>
          </w:rPr>
          <w:t>Western Australia</w:t>
        </w:r>
      </w:smartTag>
      <w:r>
        <w:rPr>
          <w:color w:val="000000"/>
          <w:sz w:val="23"/>
          <w:szCs w:val="23"/>
        </w:rPr>
        <w:t xml:space="preserve"> and </w:t>
      </w:r>
      <w:smartTag w:uri="urn:schemas-microsoft-com:office:smarttags" w:element="State">
        <w:r>
          <w:rPr>
            <w:color w:val="000000"/>
            <w:sz w:val="23"/>
            <w:szCs w:val="23"/>
          </w:rPr>
          <w:t>Tasmania</w:t>
        </w:r>
      </w:smartTag>
      <w:r>
        <w:rPr>
          <w:color w:val="000000"/>
          <w:sz w:val="23"/>
          <w:szCs w:val="23"/>
        </w:rPr>
        <w:t xml:space="preserve">, and the </w:t>
      </w:r>
      <w:smartTag w:uri="urn:schemas-microsoft-com:office:smarttags" w:element="State">
        <w:r>
          <w:rPr>
            <w:color w:val="000000"/>
            <w:sz w:val="23"/>
            <w:szCs w:val="23"/>
          </w:rPr>
          <w:t>Australian Capital Territory</w:t>
        </w:r>
      </w:smartTag>
      <w:r>
        <w:rPr>
          <w:color w:val="000000"/>
          <w:sz w:val="23"/>
          <w:szCs w:val="23"/>
        </w:rPr>
        <w:t xml:space="preserve"> and the </w:t>
      </w:r>
      <w:smartTag w:uri="urn:schemas-microsoft-com:office:smarttags" w:element="State">
        <w:smartTag w:uri="urn:schemas-microsoft-com:office:smarttags" w:element="place">
          <w:r>
            <w:rPr>
              <w:color w:val="000000"/>
              <w:sz w:val="23"/>
              <w:szCs w:val="23"/>
            </w:rPr>
            <w:t>Northern Territory</w:t>
          </w:r>
        </w:smartTag>
      </w:smartTag>
      <w:r>
        <w:rPr>
          <w:color w:val="000000"/>
          <w:sz w:val="23"/>
          <w:szCs w:val="23"/>
        </w:rPr>
        <w:t xml:space="preserve"> are participating jurisdictions for the purposes of this Law.</w:t>
      </w:r>
    </w:p>
    <w:p>
      <w:pPr>
        <w:pStyle w:val="Heading5"/>
      </w:pPr>
      <w:bookmarkStart w:id="212" w:name="_Toc536781945"/>
      <w:r>
        <w:rPr>
          <w:rStyle w:val="CharSectno"/>
        </w:rPr>
        <w:t>22</w:t>
      </w:r>
      <w:r>
        <w:rPr>
          <w:bCs/>
        </w:rPr>
        <w:t>.</w:t>
      </w:r>
      <w:r>
        <w:rPr>
          <w:bCs/>
        </w:rPr>
        <w:tab/>
      </w:r>
      <w:r>
        <w:t>Ministers of participating jurisdictions</w:t>
      </w:r>
      <w:bookmarkEnd w:id="212"/>
    </w:p>
    <w:p>
      <w:pPr>
        <w:keepNext/>
        <w:keepLines/>
        <w:autoSpaceDE w:val="0"/>
        <w:autoSpaceDN w:val="0"/>
        <w:adjustRightInd w:val="0"/>
        <w:spacing w:before="120"/>
        <w:ind w:left="1588"/>
        <w:rPr>
          <w:color w:val="000000"/>
          <w:sz w:val="23"/>
          <w:szCs w:val="23"/>
        </w:rPr>
      </w:pPr>
      <w:r>
        <w:rPr>
          <w:color w:val="000000"/>
          <w:sz w:val="23"/>
          <w:szCs w:val="23"/>
        </w:rPr>
        <w:t>The Ministers of the participating jurisdictions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the Minister of the Crown in right of South Australia administering Part 2 of the </w:t>
      </w:r>
      <w:r>
        <w:rPr>
          <w:i/>
          <w:iCs/>
          <w:color w:val="000000"/>
          <w:sz w:val="23"/>
          <w:szCs w:val="23"/>
        </w:rPr>
        <w:t>National Gas (South Australia) Act 2008</w:t>
      </w:r>
      <w:r>
        <w:rPr>
          <w:color w:val="000000"/>
          <w:sz w:val="23"/>
          <w:szCs w:val="23"/>
        </w:rPr>
        <w:t xml:space="preserve"> of South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the Minister of the Crown in right of Western Australia administering the </w:t>
      </w:r>
      <w:r>
        <w:rPr>
          <w:i/>
          <w:iCs/>
          <w:color w:val="000000"/>
          <w:sz w:val="23"/>
          <w:szCs w:val="23"/>
        </w:rPr>
        <w:t>National Gas Access (Western Australia) Act 2008</w:t>
      </w:r>
      <w:r>
        <w:rPr>
          <w:color w:val="000000"/>
          <w:sz w:val="23"/>
          <w:szCs w:val="23"/>
        </w:rPr>
        <w:t xml:space="preserve"> of Western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 xml:space="preserve">the Minister of the Crown in right of the Commonwealth administering the </w:t>
      </w:r>
      <w:r>
        <w:rPr>
          <w:i/>
          <w:iCs/>
          <w:color w:val="000000"/>
          <w:sz w:val="23"/>
          <w:szCs w:val="23"/>
        </w:rPr>
        <w:t>Australian Energy Market Act 2004</w:t>
      </w:r>
      <w:r>
        <w:rPr>
          <w:color w:val="000000"/>
          <w:sz w:val="23"/>
          <w:szCs w:val="23"/>
        </w:rPr>
        <w:t xml:space="preserve"> of the Commonwealth;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 xml:space="preserve">the Ministers of the Crown in right of the other participating jurisdictions administering the laws of those jurisdictions that substantially correspond to Part 2 of the </w:t>
      </w:r>
      <w:r>
        <w:rPr>
          <w:i/>
          <w:iCs/>
          <w:color w:val="000000"/>
          <w:sz w:val="23"/>
          <w:szCs w:val="23"/>
        </w:rPr>
        <w:t>National Gas (</w:t>
      </w:r>
      <w:smartTag w:uri="urn:schemas-microsoft-com:office:smarttags" w:element="State">
        <w:r>
          <w:rPr>
            <w:i/>
            <w:iCs/>
            <w:color w:val="000000"/>
            <w:sz w:val="23"/>
            <w:szCs w:val="23"/>
          </w:rPr>
          <w:t>South Australia</w:t>
        </w:r>
      </w:smartTag>
      <w:r>
        <w:rPr>
          <w:i/>
          <w:iCs/>
          <w:color w:val="000000"/>
          <w:sz w:val="23"/>
          <w:szCs w:val="23"/>
        </w:rPr>
        <w:t>) Act 2008</w:t>
      </w:r>
      <w:r>
        <w:rPr>
          <w:color w:val="000000"/>
          <w:sz w:val="23"/>
          <w:szCs w:val="23"/>
        </w:rPr>
        <w:t xml:space="preserve"> of </w:t>
      </w:r>
      <w:smartTag w:uri="urn:schemas-microsoft-com:office:smarttags" w:element="State">
        <w:smartTag w:uri="urn:schemas-microsoft-com:office:smarttags" w:element="place">
          <w:r>
            <w:rPr>
              <w:color w:val="000000"/>
              <w:sz w:val="23"/>
              <w:szCs w:val="23"/>
            </w:rPr>
            <w:t>South Australia</w:t>
          </w:r>
        </w:smartTag>
      </w:smartTag>
      <w:r>
        <w:rPr>
          <w:color w:val="000000"/>
          <w:sz w:val="23"/>
          <w:szCs w:val="23"/>
        </w:rPr>
        <w:t>.</w:t>
      </w:r>
    </w:p>
    <w:p>
      <w:pPr>
        <w:pStyle w:val="Heading3"/>
        <w:rPr>
          <w:color w:val="000000"/>
          <w:sz w:val="32"/>
          <w:szCs w:val="32"/>
        </w:rPr>
      </w:pPr>
      <w:bookmarkStart w:id="213" w:name="_Toc501633856"/>
      <w:bookmarkStart w:id="214" w:name="_Toc501712752"/>
      <w:bookmarkStart w:id="215" w:name="_Toc536781946"/>
      <w:r>
        <w:rPr>
          <w:rStyle w:val="CharDivNo"/>
        </w:rPr>
        <w:t>Part 3</w:t>
      </w:r>
      <w:r>
        <w:rPr>
          <w:color w:val="000000"/>
          <w:sz w:val="32"/>
          <w:szCs w:val="32"/>
        </w:rPr>
        <w:t xml:space="preserve"> — </w:t>
      </w:r>
      <w:r>
        <w:rPr>
          <w:rStyle w:val="CharDivText"/>
        </w:rPr>
        <w:t>National gas objective and principles</w:t>
      </w:r>
      <w:bookmarkEnd w:id="213"/>
      <w:bookmarkEnd w:id="214"/>
      <w:bookmarkEnd w:id="215"/>
    </w:p>
    <w:p>
      <w:pPr>
        <w:pStyle w:val="Heading4"/>
      </w:pPr>
      <w:bookmarkStart w:id="216" w:name="_Toc501633857"/>
      <w:bookmarkStart w:id="217" w:name="_Toc501712753"/>
      <w:bookmarkStart w:id="218" w:name="_Toc536781947"/>
      <w:r>
        <w:t>Division 1 — National gas objective</w:t>
      </w:r>
      <w:bookmarkEnd w:id="216"/>
      <w:bookmarkEnd w:id="217"/>
      <w:bookmarkEnd w:id="218"/>
    </w:p>
    <w:p>
      <w:pPr>
        <w:pStyle w:val="Heading5"/>
      </w:pPr>
      <w:bookmarkStart w:id="219" w:name="_Toc536781948"/>
      <w:r>
        <w:rPr>
          <w:rStyle w:val="CharSectno"/>
        </w:rPr>
        <w:t>23</w:t>
      </w:r>
      <w:r>
        <w:t>.</w:t>
      </w:r>
      <w:r>
        <w:tab/>
        <w:t>National gas objective</w:t>
      </w:r>
      <w:bookmarkEnd w:id="219"/>
    </w:p>
    <w:p>
      <w:pPr>
        <w:keepLines/>
        <w:autoSpaceDE w:val="0"/>
        <w:autoSpaceDN w:val="0"/>
        <w:adjustRightInd w:val="0"/>
        <w:spacing w:before="120"/>
        <w:ind w:left="1588"/>
        <w:rPr>
          <w:color w:val="000000"/>
          <w:sz w:val="23"/>
          <w:szCs w:val="23"/>
        </w:rPr>
      </w:pPr>
      <w:r>
        <w:rPr>
          <w:color w:val="000000"/>
          <w:sz w:val="23"/>
          <w:szCs w:val="23"/>
        </w:rPr>
        <w:t>The objective of this Law is to promote efficient investment in, and efficient operation and use of, natural gas services for the long term interests of consumers of natural gas with respect to price, quality, safety, reliability and security of supply of natural gas.</w:t>
      </w:r>
    </w:p>
    <w:p>
      <w:pPr>
        <w:pStyle w:val="Heading4"/>
      </w:pPr>
      <w:bookmarkStart w:id="220" w:name="_Toc501633859"/>
      <w:bookmarkStart w:id="221" w:name="_Toc501712755"/>
      <w:bookmarkStart w:id="222" w:name="_Toc536781949"/>
      <w:r>
        <w:t>Division 2 — Revenue and pricing principles</w:t>
      </w:r>
      <w:bookmarkEnd w:id="220"/>
      <w:bookmarkEnd w:id="221"/>
      <w:bookmarkEnd w:id="222"/>
    </w:p>
    <w:p>
      <w:pPr>
        <w:pStyle w:val="Heading5"/>
      </w:pPr>
      <w:bookmarkStart w:id="223" w:name="_Toc536781950"/>
      <w:r>
        <w:rPr>
          <w:rStyle w:val="CharSectno"/>
        </w:rPr>
        <w:t>24</w:t>
      </w:r>
      <w:r>
        <w:rPr>
          <w:bCs/>
        </w:rPr>
        <w:t>.</w:t>
      </w:r>
      <w:r>
        <w:rPr>
          <w:bCs/>
        </w:rPr>
        <w:tab/>
      </w:r>
      <w:r>
        <w:t>Revenue and pricing principles</w:t>
      </w:r>
      <w:bookmarkEnd w:id="22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revenue and pricing principles are the principles set out in subsections (2) to (7).</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service provider should be provided with a reasonable opportunity to recover at least the efficient costs the service provider incurs 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providing reference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complying with a regulatory obligation or requirement or making a regulatory payment.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should be provided with effective incentives in order to promote economic efficiency with respect to reference services the service provider provides. The economic efficiency that should be promoted 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efficient investment in, or in connection with, a pipeline with which the service provider provides reference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efficient provision of pipeline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efficient use of the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Regard should be had to the capital base with respect to a pipeline adopted—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any previous—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full access arrangement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decision of a relevant Regulator under section 2 of the Gas Code;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reference tariff should allow for a return commensurate with the regulatory and commercial risks involved in providing the reference service to which that tariff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Regard should be had to the economic costs and risks of the potential for under and over investment by a service provider in a pipeline with which the service provider provides pipeline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Regard should be had to the economic costs and risks of the potential for under and over utilisation of a pipeline with which a service provider provides pipeline services.</w:t>
      </w:r>
    </w:p>
    <w:p>
      <w:pPr>
        <w:pStyle w:val="Heading4"/>
      </w:pPr>
      <w:bookmarkStart w:id="224" w:name="_Toc501633861"/>
      <w:bookmarkStart w:id="225" w:name="_Toc501712757"/>
      <w:bookmarkStart w:id="226" w:name="_Toc536781951"/>
      <w:r>
        <w:t>Division 3 — MCE policy principles</w:t>
      </w:r>
      <w:bookmarkEnd w:id="224"/>
      <w:bookmarkEnd w:id="225"/>
      <w:bookmarkEnd w:id="226"/>
    </w:p>
    <w:p>
      <w:pPr>
        <w:pStyle w:val="Heading5"/>
      </w:pPr>
      <w:bookmarkStart w:id="227" w:name="_Toc536781952"/>
      <w:r>
        <w:rPr>
          <w:rStyle w:val="CharSectno"/>
        </w:rPr>
        <w:t>25</w:t>
      </w:r>
      <w:r>
        <w:rPr>
          <w:bCs/>
        </w:rPr>
        <w:t>.</w:t>
      </w:r>
      <w:r>
        <w:rPr>
          <w:bCs/>
        </w:rPr>
        <w:tab/>
      </w:r>
      <w:r>
        <w:t>MCE statements of policy principles</w:t>
      </w:r>
      <w:bookmarkEnd w:id="22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the MCE may issue a statement of policy principles in relation to any matters that are relevant to the exercise and performance by the AEMC of its functions and powers 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making a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conducting a review under section 83.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Before issuing a statement of policy principles, the MCE must be satisfied that the statement is consistent with the national gas objective.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As soon as practicable after issuing a statement of policy principles, the MCE must give a copy of the statement to the AEMC.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AEMC must publish the statement in the South Australian Government Gazette and on its website as soon as practicable after it is given a copy of the statement.</w:t>
      </w:r>
    </w:p>
    <w:p>
      <w:pPr>
        <w:pStyle w:val="Heading3"/>
      </w:pPr>
      <w:bookmarkStart w:id="228" w:name="_Toc501633863"/>
      <w:bookmarkStart w:id="229" w:name="_Toc501712759"/>
      <w:bookmarkStart w:id="230" w:name="_Toc536781953"/>
      <w:r>
        <w:rPr>
          <w:rStyle w:val="CharDivNo"/>
        </w:rPr>
        <w:t>Part 4</w:t>
      </w:r>
      <w:r>
        <w:t xml:space="preserve"> — </w:t>
      </w:r>
      <w:r>
        <w:rPr>
          <w:rStyle w:val="CharDivText"/>
        </w:rPr>
        <w:t>Operation and effect of National Gas Rules</w:t>
      </w:r>
      <w:bookmarkEnd w:id="228"/>
      <w:bookmarkEnd w:id="229"/>
      <w:bookmarkEnd w:id="230"/>
    </w:p>
    <w:p>
      <w:pPr>
        <w:pStyle w:val="Heading5"/>
      </w:pPr>
      <w:bookmarkStart w:id="231" w:name="_Toc536781954"/>
      <w:r>
        <w:rPr>
          <w:rStyle w:val="CharSectno"/>
        </w:rPr>
        <w:t>26</w:t>
      </w:r>
      <w:r>
        <w:t>.</w:t>
      </w:r>
      <w:r>
        <w:rPr>
          <w:rStyle w:val="CharSectno"/>
        </w:rPr>
        <w:tab/>
      </w:r>
      <w:r>
        <w:t>National Gas Rules to have force of law</w:t>
      </w:r>
      <w:bookmarkEnd w:id="231"/>
    </w:p>
    <w:p>
      <w:pPr>
        <w:keepLines/>
        <w:autoSpaceDE w:val="0"/>
        <w:autoSpaceDN w:val="0"/>
        <w:adjustRightInd w:val="0"/>
        <w:spacing w:before="120"/>
        <w:ind w:left="1588"/>
        <w:rPr>
          <w:color w:val="000000"/>
          <w:sz w:val="23"/>
          <w:szCs w:val="23"/>
        </w:rPr>
      </w:pPr>
      <w:r>
        <w:rPr>
          <w:color w:val="000000"/>
          <w:sz w:val="23"/>
          <w:szCs w:val="23"/>
        </w:rPr>
        <w:t>The National Gas Rules have the force of law in this jurisdiction.</w:t>
      </w:r>
    </w:p>
    <w:p>
      <w:pPr>
        <w:pStyle w:val="Heading2"/>
      </w:pPr>
      <w:bookmarkStart w:id="232" w:name="_Toc501633865"/>
      <w:bookmarkStart w:id="233" w:name="_Toc501712761"/>
      <w:bookmarkStart w:id="234" w:name="_Toc536781955"/>
      <w:r>
        <w:rPr>
          <w:rStyle w:val="CharPartNo"/>
        </w:rPr>
        <w:t>Chapter 2</w:t>
      </w:r>
      <w:r>
        <w:t xml:space="preserve"> — </w:t>
      </w:r>
      <w:r>
        <w:rPr>
          <w:rStyle w:val="CharPartText"/>
        </w:rPr>
        <w:t>Functions and powers of gas market regulatory entities</w:t>
      </w:r>
      <w:bookmarkEnd w:id="232"/>
      <w:bookmarkEnd w:id="233"/>
      <w:bookmarkEnd w:id="234"/>
    </w:p>
    <w:p>
      <w:pPr>
        <w:pStyle w:val="Heading3"/>
      </w:pPr>
      <w:bookmarkStart w:id="235" w:name="_Toc501633866"/>
      <w:bookmarkStart w:id="236" w:name="_Toc501712762"/>
      <w:bookmarkStart w:id="237" w:name="_Toc536781956"/>
      <w:r>
        <w:rPr>
          <w:rStyle w:val="CharDivNo"/>
        </w:rPr>
        <w:t>Part 1</w:t>
      </w:r>
      <w:r>
        <w:t xml:space="preserve"> — </w:t>
      </w:r>
      <w:r>
        <w:rPr>
          <w:rStyle w:val="CharDivText"/>
        </w:rPr>
        <w:t>Functions and powers of the Australian Energy Regulator</w:t>
      </w:r>
      <w:bookmarkEnd w:id="235"/>
      <w:bookmarkEnd w:id="236"/>
      <w:bookmarkEnd w:id="237"/>
    </w:p>
    <w:p>
      <w:pPr>
        <w:pStyle w:val="Heading4"/>
        <w:rPr>
          <w:szCs w:val="28"/>
        </w:rPr>
      </w:pPr>
      <w:bookmarkStart w:id="238" w:name="_Toc501633867"/>
      <w:bookmarkStart w:id="239" w:name="_Toc501712763"/>
      <w:bookmarkStart w:id="240" w:name="_Toc536781957"/>
      <w:r>
        <w:rPr>
          <w:szCs w:val="28"/>
        </w:rPr>
        <w:t>Division 1</w:t>
      </w:r>
      <w:r>
        <w:rPr>
          <w:rStyle w:val="CharSDivNo"/>
        </w:rPr>
        <w:t xml:space="preserve"> </w:t>
      </w:r>
      <w:r>
        <w:rPr>
          <w:szCs w:val="28"/>
        </w:rPr>
        <w:t>—</w:t>
      </w:r>
      <w:r>
        <w:t xml:space="preserve"> </w:t>
      </w:r>
      <w:r>
        <w:rPr>
          <w:szCs w:val="28"/>
        </w:rPr>
        <w:t>General</w:t>
      </w:r>
      <w:bookmarkEnd w:id="238"/>
      <w:bookmarkEnd w:id="239"/>
      <w:bookmarkEnd w:id="240"/>
    </w:p>
    <w:p>
      <w:pPr>
        <w:pStyle w:val="Heading5"/>
      </w:pPr>
      <w:bookmarkStart w:id="241" w:name="_Toc536781958"/>
      <w:r>
        <w:rPr>
          <w:rStyle w:val="CharSectno"/>
        </w:rPr>
        <w:t>27</w:t>
      </w:r>
      <w:r>
        <w:t>.</w:t>
      </w:r>
      <w:r>
        <w:rPr>
          <w:bCs/>
        </w:rPr>
        <w:tab/>
      </w:r>
      <w:r>
        <w:t>Functions and powers of the AER</w:t>
      </w:r>
      <w:bookmarkEnd w:id="24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has the following functions and powers: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monitor compliance by persons with this Law, the Regulations and the Rules, including compliance with an applicable access arrangement, an access determination and a ring fencing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investigate breaches or possible breaches of provisions of this Law, the Regulations or the Rules, including offences against this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institute and conduct proceedings in relation to breaches of provisions of this Law, the Regulations or the Rules, including offences against this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to institute and conduct appeals from decisions in proceedings referred to in paragraph (c);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AER economic regulatory functions or powers;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to prepare and publish reports on the financial and operational performance of service providers in providing pipeline services by means of covered pipelines;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to approve compliance programs of service providers relating to compliance by service providers with this Law or the Rules;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any other functions and powers conferred on it under this Law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has the power to do all things necessary or convenient to be done for or in connection with the performance of its functions.</w:t>
      </w:r>
    </w:p>
    <w:p>
      <w:pPr>
        <w:pStyle w:val="Heading5"/>
      </w:pPr>
      <w:bookmarkStart w:id="242" w:name="_Toc536781959"/>
      <w:r>
        <w:rPr>
          <w:rStyle w:val="CharSectno"/>
        </w:rPr>
        <w:t>28</w:t>
      </w:r>
      <w:r>
        <w:t>.</w:t>
      </w:r>
      <w:r>
        <w:tab/>
        <w:t>Manner in which AER must perform or exercise AER economic regulatory functions or powers</w:t>
      </w:r>
      <w:bookmarkEnd w:id="24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must, in performing or exercising an AER economic regulatory function or power—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perform or exercise that function or power in a manner that will or is likely to contribute to the achievement of the national gas objective;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if the AER is making a designated reviewable regulatory decision — </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 xml:space="preserve">ensure that — </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(A)</w:t>
      </w:r>
      <w:r>
        <w:rPr>
          <w:color w:val="000000"/>
          <w:sz w:val="23"/>
          <w:szCs w:val="23"/>
        </w:rPr>
        <w:tab/>
        <w:t>the covered pipeline service provider that provides the pipeline services to which the applicable access arrangement decision will apply; and</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(B)</w:t>
      </w:r>
      <w:r>
        <w:rPr>
          <w:color w:val="000000"/>
          <w:sz w:val="23"/>
          <w:szCs w:val="23"/>
        </w:rPr>
        <w:tab/>
        <w:t>users or prospective users of the pipeline services that the AER considers have an interest in the matter; and</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(C)</w:t>
      </w:r>
      <w:r>
        <w:rPr>
          <w:color w:val="000000"/>
          <w:sz w:val="23"/>
          <w:szCs w:val="23"/>
        </w:rPr>
        <w:tab/>
        <w:t>any user or consumer associations or user or consumer interest groups that the AER considers have an interest in the matter,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r>
      <w:r>
        <w:rPr>
          <w:color w:val="000000"/>
          <w:sz w:val="23"/>
          <w:szCs w:val="23"/>
        </w:rPr>
        <w:tab/>
        <w:t xml:space="preserve">are, in accordance with the Rules — </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(D)</w:t>
      </w:r>
      <w:r>
        <w:rPr>
          <w:color w:val="000000"/>
          <w:sz w:val="23"/>
          <w:szCs w:val="23"/>
        </w:rPr>
        <w:tab/>
        <w:t>informed of the material issues under consideration by the AER; and</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(E)</w:t>
      </w:r>
      <w:r>
        <w:rPr>
          <w:color w:val="000000"/>
          <w:sz w:val="23"/>
          <w:szCs w:val="23"/>
        </w:rPr>
        <w:tab/>
        <w:t>given a reasonable opportunity to make submissions in respect of the decision before it is made;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 xml:space="preserve">specify — </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(A)</w:t>
      </w:r>
      <w:r>
        <w:rPr>
          <w:color w:val="000000"/>
          <w:sz w:val="23"/>
          <w:szCs w:val="23"/>
        </w:rPr>
        <w:tab/>
        <w:t>the manner in which the constituent components of the decision relate to each other; and</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(B)</w:t>
      </w:r>
      <w:r>
        <w:rPr>
          <w:color w:val="000000"/>
          <w:sz w:val="23"/>
          <w:szCs w:val="23"/>
        </w:rPr>
        <w:tab/>
        <w:t>the manner in which that interrelationship has been taken into account in the making of the decision;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 xml:space="preserve">if there are 2 or more possible designated reviewable regulatory decisions that will or are likely to contribute to the achievement of the national gas objective — </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(A)</w:t>
      </w:r>
      <w:r>
        <w:rPr>
          <w:color w:val="000000"/>
          <w:sz w:val="23"/>
          <w:szCs w:val="23"/>
        </w:rPr>
        <w:tab/>
        <w:t>make the decision that the AER is satisfied will or is likely to contribute to the achievement of the national gas objective to the greatest degree (the preferable designated reviewable regulatory decision); and</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(B)</w:t>
      </w:r>
      <w:r>
        <w:rPr>
          <w:color w:val="000000"/>
          <w:sz w:val="23"/>
          <w:szCs w:val="23"/>
        </w:rPr>
        <w:tab/>
        <w:t>specify reasons as to the basis on which the AER is satisfied that the decision is the preferable designated reviewable regulatory decision.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take into account the revenue and pricing principles—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when exercising a discretion in approving or making those parts of an access arrangement relating to a reference tariff;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when making an access determination relating to a rate or charge for a pipeline service;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take into account the revenue and pricing principles when performing or exercising any other AER economic regulatory function or power, if the AER considers it appropriate to do so.</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purposes of subsection (2)(a)(ii), a reference to a “reference service” in the revenue and pricing principles must be read as a reference to a “pipeline service”.</w:t>
      </w:r>
    </w:p>
    <w:p>
      <w:pPr>
        <w:pStyle w:val="Footnotesection"/>
        <w:rPr>
          <w:szCs w:val="23"/>
        </w:rPr>
      </w:pPr>
      <w:r>
        <w:tab/>
        <w:t>[Section 28 amended see SA Act No. 79 of 2013 s. 20 and WA Gazette 14 Mar 2014 p. 632.]</w:t>
      </w:r>
    </w:p>
    <w:p>
      <w:pPr>
        <w:pStyle w:val="Heading5"/>
        <w:keepLines w:val="0"/>
      </w:pPr>
      <w:bookmarkStart w:id="243" w:name="_Toc536781960"/>
      <w:r>
        <w:rPr>
          <w:rStyle w:val="CharSectno"/>
        </w:rPr>
        <w:t>29</w:t>
      </w:r>
      <w:r>
        <w:t>.</w:t>
      </w:r>
      <w:r>
        <w:tab/>
        <w:t>Delegations</w:t>
      </w:r>
      <w:bookmarkEnd w:id="243"/>
    </w:p>
    <w:p>
      <w:pPr>
        <w:autoSpaceDE w:val="0"/>
        <w:autoSpaceDN w:val="0"/>
        <w:adjustRightInd w:val="0"/>
        <w:spacing w:before="120"/>
        <w:ind w:left="1588"/>
        <w:rPr>
          <w:color w:val="000000"/>
          <w:sz w:val="23"/>
          <w:szCs w:val="23"/>
        </w:rPr>
      </w:pPr>
      <w:r>
        <w:rPr>
          <w:color w:val="000000"/>
          <w:sz w:val="23"/>
          <w:szCs w:val="23"/>
        </w:rPr>
        <w:t xml:space="preserve">Any delegation by the AER under section 44AAH of the </w:t>
      </w:r>
      <w:r>
        <w:rPr>
          <w:i/>
          <w:iCs/>
          <w:color w:val="000000"/>
          <w:sz w:val="23"/>
          <w:szCs w:val="23"/>
        </w:rPr>
        <w:t>Trade Practices Act 1974</w:t>
      </w:r>
      <w:r>
        <w:rPr>
          <w:color w:val="000000"/>
          <w:sz w:val="23"/>
          <w:szCs w:val="23"/>
        </w:rPr>
        <w:t xml:space="preserve"> of the Commonwealth</w:t>
      </w:r>
      <w:r>
        <w:rPr>
          <w:sz w:val="23"/>
        </w:rPr>
        <w:t xml:space="preserve"> or by the ERA under section 29 of the </w:t>
      </w:r>
      <w:r>
        <w:rPr>
          <w:i/>
          <w:sz w:val="23"/>
        </w:rPr>
        <w:t>Economic Regulation Authority Act 2003</w:t>
      </w:r>
      <w:r>
        <w:rPr>
          <w:color w:val="000000"/>
          <w:sz w:val="23"/>
          <w:szCs w:val="23"/>
        </w:rPr>
        <w:t xml:space="preserve"> extends to, and has effect for the purposes of, this Law, the Regulations and the Rules.</w:t>
      </w:r>
    </w:p>
    <w:p>
      <w:pPr>
        <w:pStyle w:val="Footnotesection"/>
      </w:pPr>
      <w:r>
        <w:tab/>
        <w:t>[Section 29 modified: WA Act Sch. 1 cl. 6.]</w:t>
      </w:r>
    </w:p>
    <w:p>
      <w:pPr>
        <w:pStyle w:val="Heading5"/>
      </w:pPr>
      <w:bookmarkStart w:id="244" w:name="_Toc536781961"/>
      <w:r>
        <w:rPr>
          <w:rStyle w:val="CharSectno"/>
        </w:rPr>
        <w:t>30</w:t>
      </w:r>
      <w:r>
        <w:t>.</w:t>
      </w:r>
      <w:r>
        <w:tab/>
        <w:t>Confidentiality</w:t>
      </w:r>
      <w:bookmarkEnd w:id="24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Section 44AAF of the </w:t>
      </w:r>
      <w:r>
        <w:rPr>
          <w:i/>
          <w:iCs/>
          <w:color w:val="000000"/>
          <w:sz w:val="23"/>
          <w:szCs w:val="23"/>
        </w:rPr>
        <w:t>Trade Practices Act 1974</w:t>
      </w:r>
      <w:r>
        <w:rPr>
          <w:color w:val="000000"/>
          <w:sz w:val="23"/>
          <w:szCs w:val="23"/>
        </w:rPr>
        <w:t xml:space="preserve"> of the Commonwealth has effect for the purposes of this Law, the Regulations and the Rules as if it formed part of this Law.</w:t>
      </w:r>
    </w:p>
    <w:p>
      <w:pPr>
        <w:keepLines/>
        <w:tabs>
          <w:tab w:val="center" w:pos="1191"/>
          <w:tab w:val="left" w:pos="1588"/>
        </w:tabs>
        <w:autoSpaceDE w:val="0"/>
        <w:autoSpaceDN w:val="0"/>
        <w:adjustRightInd w:val="0"/>
        <w:spacing w:before="120"/>
        <w:ind w:left="1588" w:hanging="794"/>
        <w:rPr>
          <w:sz w:val="23"/>
        </w:rPr>
      </w:pPr>
      <w:r>
        <w:rPr>
          <w:sz w:val="23"/>
        </w:rPr>
        <w:tab/>
        <w:t>(2)</w:t>
      </w:r>
      <w:r>
        <w:rPr>
          <w:sz w:val="23"/>
        </w:rPr>
        <w:tab/>
        <w:t>Without limiting section 2A, that section also applies to section 44AAF as adopted by subsection (1) and, when the adopted section is read as if a reference in it to the AER were a reference to the ERA, it is further modified as follows:</w:t>
      </w:r>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delete subsection (3)(c) of the adopted section and insert:</w:t>
      </w:r>
    </w:p>
    <w:p>
      <w:pPr>
        <w:pStyle w:val="BlankOpen"/>
      </w:pPr>
    </w:p>
    <w:p>
      <w:pPr>
        <w:keepLines/>
        <w:tabs>
          <w:tab w:val="center" w:pos="1985"/>
          <w:tab w:val="left" w:pos="2382"/>
        </w:tabs>
        <w:autoSpaceDE w:val="0"/>
        <w:autoSpaceDN w:val="0"/>
        <w:adjustRightInd w:val="0"/>
        <w:spacing w:before="120"/>
        <w:ind w:left="2382" w:hanging="794"/>
        <w:rPr>
          <w:sz w:val="23"/>
        </w:rPr>
      </w:pPr>
      <w:r>
        <w:rPr>
          <w:sz w:val="23"/>
        </w:rPr>
        <w:tab/>
        <w:t>(c)</w:t>
      </w:r>
      <w:r>
        <w:rPr>
          <w:sz w:val="23"/>
        </w:rPr>
        <w:tab/>
        <w:t xml:space="preserve">the Australian Energy Regulator established by section 44AE of the </w:t>
      </w:r>
      <w:r>
        <w:rPr>
          <w:i/>
          <w:iCs/>
          <w:sz w:val="23"/>
        </w:rPr>
        <w:t>Trade Practices Act 1974</w:t>
      </w:r>
      <w:r>
        <w:rPr>
          <w:sz w:val="23"/>
        </w:rPr>
        <w:t xml:space="preserve"> of the Commonwealth;</w:t>
      </w:r>
    </w:p>
    <w:p>
      <w:pPr>
        <w:pStyle w:val="BlankClose"/>
      </w:pP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delete subsection (6)(a)(i) of the adopted section and insert:</w:t>
      </w:r>
    </w:p>
    <w:p>
      <w:pPr>
        <w:pStyle w:val="BlankOpen"/>
      </w:pPr>
    </w:p>
    <w:p>
      <w:pPr>
        <w:keepLines/>
        <w:tabs>
          <w:tab w:val="center" w:pos="2779"/>
          <w:tab w:val="left" w:pos="3176"/>
        </w:tabs>
        <w:autoSpaceDE w:val="0"/>
        <w:autoSpaceDN w:val="0"/>
        <w:adjustRightInd w:val="0"/>
        <w:spacing w:before="120"/>
        <w:ind w:left="3176" w:hanging="794"/>
        <w:rPr>
          <w:sz w:val="23"/>
        </w:rPr>
      </w:pPr>
      <w:r>
        <w:rPr>
          <w:sz w:val="23"/>
        </w:rPr>
        <w:tab/>
        <w:t>(i)</w:t>
      </w:r>
      <w:r>
        <w:rPr>
          <w:sz w:val="23"/>
        </w:rPr>
        <w:tab/>
        <w:t>an ERA member, a person assisting the ERA in the performance of its functions or a delegate of the ERA;</w:t>
      </w:r>
    </w:p>
    <w:p>
      <w:pPr>
        <w:pStyle w:val="BlankClose"/>
      </w:pP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Chapter 10 Part 2 Division 1.</w:t>
      </w:r>
    </w:p>
    <w:p>
      <w:pPr>
        <w:pStyle w:val="Footnotesection"/>
      </w:pPr>
      <w:r>
        <w:tab/>
        <w:t>[Section 30 modified: WA Act Sch. 1 cl. 7.]</w:t>
      </w:r>
    </w:p>
    <w:p>
      <w:pPr>
        <w:pStyle w:val="Heading4"/>
        <w:rPr>
          <w:szCs w:val="28"/>
        </w:rPr>
      </w:pPr>
      <w:bookmarkStart w:id="245" w:name="_Toc501633872"/>
      <w:bookmarkStart w:id="246" w:name="_Toc501712768"/>
      <w:bookmarkStart w:id="247" w:name="_Toc536781962"/>
      <w:r>
        <w:rPr>
          <w:szCs w:val="28"/>
        </w:rPr>
        <w:t>Division 2 — Search warrants</w:t>
      </w:r>
      <w:bookmarkEnd w:id="245"/>
      <w:bookmarkEnd w:id="246"/>
      <w:bookmarkEnd w:id="247"/>
    </w:p>
    <w:p>
      <w:pPr>
        <w:pStyle w:val="Heading5"/>
      </w:pPr>
      <w:bookmarkStart w:id="248" w:name="_Toc536781963"/>
      <w:r>
        <w:rPr>
          <w:rStyle w:val="CharSectno"/>
        </w:rPr>
        <w:t>31</w:t>
      </w:r>
      <w:r>
        <w:t>.</w:t>
      </w:r>
      <w:r>
        <w:tab/>
        <w:t>Definitions</w:t>
      </w:r>
      <w:bookmarkEnd w:id="248"/>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Lines/>
        <w:autoSpaceDE w:val="0"/>
        <w:autoSpaceDN w:val="0"/>
        <w:adjustRightInd w:val="0"/>
        <w:spacing w:before="120"/>
        <w:ind w:left="1588"/>
        <w:rPr>
          <w:color w:val="000000"/>
          <w:sz w:val="23"/>
          <w:szCs w:val="23"/>
        </w:rPr>
      </w:pPr>
      <w:r>
        <w:rPr>
          <w:rStyle w:val="CharDefText"/>
          <w:bCs/>
          <w:sz w:val="23"/>
        </w:rPr>
        <w:t>authorised person</w:t>
      </w:r>
      <w:r>
        <w:rPr>
          <w:bCs/>
          <w:i/>
          <w:iCs/>
          <w:color w:val="000000"/>
          <w:sz w:val="23"/>
          <w:szCs w:val="23"/>
        </w:rPr>
        <w:t xml:space="preserve"> </w:t>
      </w:r>
      <w:r>
        <w:rPr>
          <w:color w:val="000000"/>
          <w:sz w:val="23"/>
          <w:szCs w:val="23"/>
        </w:rPr>
        <w:t>means a person authorised under section 32;</w:t>
      </w:r>
    </w:p>
    <w:p>
      <w:pPr>
        <w:keepLines/>
        <w:autoSpaceDE w:val="0"/>
        <w:autoSpaceDN w:val="0"/>
        <w:adjustRightInd w:val="0"/>
        <w:spacing w:before="120"/>
        <w:ind w:left="1588"/>
        <w:rPr>
          <w:color w:val="000000"/>
          <w:sz w:val="23"/>
          <w:szCs w:val="23"/>
        </w:rPr>
      </w:pPr>
      <w:r>
        <w:rPr>
          <w:rStyle w:val="CharDefText"/>
          <w:bCs/>
          <w:sz w:val="23"/>
        </w:rPr>
        <w:t>relevant provision</w:t>
      </w:r>
      <w:r>
        <w:rPr>
          <w:bCs/>
          <w:i/>
          <w:iCs/>
          <w:color w:val="000000"/>
          <w:sz w:val="23"/>
          <w:szCs w:val="23"/>
        </w:rPr>
        <w:t xml:space="preserve"> </w:t>
      </w:r>
      <w:r>
        <w:rPr>
          <w:color w:val="000000"/>
          <w:sz w:val="23"/>
          <w:szCs w:val="23"/>
        </w:rPr>
        <w:t>means a provision of this Law, the Regulations or the Rules.</w:t>
      </w:r>
    </w:p>
    <w:p>
      <w:pPr>
        <w:pStyle w:val="Heading5"/>
      </w:pPr>
      <w:bookmarkStart w:id="249" w:name="_Toc536781964"/>
      <w:r>
        <w:rPr>
          <w:rStyle w:val="CharSectno"/>
        </w:rPr>
        <w:t>32</w:t>
      </w:r>
      <w:r>
        <w:t>.</w:t>
      </w:r>
      <w:r>
        <w:tab/>
        <w:t>Authorised person</w:t>
      </w:r>
      <w:bookmarkEnd w:id="24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in writing, authorise a person that the AER considers is suitably qualified or trained to be an authorised person for the purposes of this Division.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authorised person must comply with any direction of the AER in exercising powers or functions as an authorised person.</w:t>
      </w:r>
    </w:p>
    <w:p>
      <w:pPr>
        <w:pStyle w:val="Heading5"/>
      </w:pPr>
      <w:bookmarkStart w:id="250" w:name="_Toc536781965"/>
      <w:r>
        <w:rPr>
          <w:rStyle w:val="CharSectno"/>
        </w:rPr>
        <w:t>33</w:t>
      </w:r>
      <w:r>
        <w:t>.</w:t>
      </w:r>
      <w:r>
        <w:tab/>
        <w:t>Identity cards</w:t>
      </w:r>
      <w:bookmarkEnd w:id="25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must issue an identity card to an authorised person.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identity card must contain the name, a recent photograph and the signature of the authorised person.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authorised person must carry the identity card at all times when exercising powers or performing functions as an authorised person.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authorised person must produce his or her identity card for inspection—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before exercising a power as an authorised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at any time during the exercise of a power as an authorised person, if asked to do so.</w:t>
      </w:r>
    </w:p>
    <w:p>
      <w:pPr>
        <w:pStyle w:val="Heading5"/>
      </w:pPr>
      <w:bookmarkStart w:id="251" w:name="_Toc536781966"/>
      <w:r>
        <w:rPr>
          <w:rStyle w:val="CharSectno"/>
        </w:rPr>
        <w:t>34</w:t>
      </w:r>
      <w:r>
        <w:t>.</w:t>
      </w:r>
      <w:r>
        <w:tab/>
        <w:t>Return of identity cards</w:t>
      </w:r>
      <w:bookmarkEnd w:id="251"/>
    </w:p>
    <w:p>
      <w:pPr>
        <w:keepNext/>
        <w:keepLines/>
        <w:autoSpaceDE w:val="0"/>
        <w:autoSpaceDN w:val="0"/>
        <w:adjustRightInd w:val="0"/>
        <w:spacing w:before="120"/>
        <w:ind w:left="1588"/>
        <w:rPr>
          <w:color w:val="000000"/>
          <w:sz w:val="23"/>
          <w:szCs w:val="23"/>
        </w:rPr>
      </w:pPr>
      <w:r>
        <w:rPr>
          <w:color w:val="000000"/>
          <w:sz w:val="23"/>
          <w:szCs w:val="23"/>
        </w:rPr>
        <w:t>If a person to whom an identity card has been issued ceases to be an authorised person, the person must return the identity card to the AER as soon as practicable.</w:t>
      </w:r>
    </w:p>
    <w:p>
      <w:pPr>
        <w:keepLines/>
        <w:autoSpaceDE w:val="0"/>
        <w:autoSpaceDN w:val="0"/>
        <w:adjustRightInd w:val="0"/>
        <w:spacing w:before="80"/>
        <w:ind w:left="1588"/>
        <w:rPr>
          <w:color w:val="000000"/>
          <w:sz w:val="23"/>
          <w:szCs w:val="23"/>
        </w:rPr>
      </w:pPr>
      <w:r>
        <w:rPr>
          <w:color w:val="000000"/>
          <w:sz w:val="23"/>
          <w:szCs w:val="23"/>
        </w:rPr>
        <w:t>Maximum penalty: $500</w:t>
      </w:r>
    </w:p>
    <w:p>
      <w:pPr>
        <w:pStyle w:val="Heading5"/>
      </w:pPr>
      <w:bookmarkStart w:id="252" w:name="_Toc536781967"/>
      <w:r>
        <w:rPr>
          <w:rStyle w:val="CharSectno"/>
        </w:rPr>
        <w:t>35</w:t>
      </w:r>
      <w:r>
        <w:t>.</w:t>
      </w:r>
      <w:r>
        <w:tab/>
        <w:t>Search warrant</w:t>
      </w:r>
      <w:bookmarkEnd w:id="25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authorised person may apply to a magistrate for the issue of a search warrant in relation to a particular place if the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believes on reasonable grounds that—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there is or has been or will be a breach of a relevant provision;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there is or may be a thing or things of a particular kind connected with that breach on or in that place;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reasonably suspects that—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there may have been a breach of a relevant provision;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there is or may be a thing or things of a particular kind connected with that breach on or in that place.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magistrate is satisfied by the evidence, on oath or by affidavit, of an authorised person that there are reasonable grounds for suspecting that there is, or may be within the next 7 days, a thing or things of a particular kind connected with a breach or possible breach of a relevant provision on or in a place, the magistrate may issue a search warrant authorising an authorised person named in the warrant—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enter the place specified in the warrant, with such assistance and by the use of such force as is necessary and reasonable;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search the place or any part of the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search for and seize a thing named or described in the warrant and which the person believes on reasonable grounds to be connected with the breach or possible breach of the relevant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to inspect, examine or record an image of anything in the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to take extracts from, and make copies of, any documents in the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to take into the place such equipment and materials as the person requires for exercising the powers.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search warrant issued under this section must state—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purpose for which the search is required and the nature of the suspected breach of the relevant provision;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conditions to which the warrant is subject;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whether entry is authorised to be made at any time of the day or night or during stated hours of the day or night;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day, not later than 7 days after the issue of the warrant, on which the warrant ceases to have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Except as provided by this Law, the rules to be observed with respect to search warrants mentioned in any relevant laws of this jurisdiction extend and apply to warrants under this section.</w:t>
      </w:r>
    </w:p>
    <w:p>
      <w:pPr>
        <w:pStyle w:val="Heading5"/>
      </w:pPr>
      <w:bookmarkStart w:id="253" w:name="_Toc536781968"/>
      <w:r>
        <w:rPr>
          <w:rStyle w:val="CharSectno"/>
        </w:rPr>
        <w:t>36</w:t>
      </w:r>
      <w:r>
        <w:t>.</w:t>
      </w:r>
      <w:r>
        <w:tab/>
        <w:t>Announcement of entry and details of warrant to be given to occupier or other person at premises</w:t>
      </w:r>
      <w:bookmarkEnd w:id="25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occupier or another person who apparently represents the occupier is present at premises when a search warrant is being executed.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authorised person executing the warrant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identify himself or herself to that person;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announce that he or she is authorised by the warrant to enter the place;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before using force to enter, give the person an opportunity to allow entry;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give the person a copy of the warrant.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authorised person executing the warrant is not entitled to exercise any powers under the warrant in relation to premises if the authorised person does not comply with subsection (2).</w:t>
      </w:r>
    </w:p>
    <w:p>
      <w:pPr>
        <w:pStyle w:val="Heading5"/>
      </w:pPr>
      <w:bookmarkStart w:id="254" w:name="_Toc536781969"/>
      <w:r>
        <w:rPr>
          <w:rStyle w:val="CharSectno"/>
        </w:rPr>
        <w:t>37</w:t>
      </w:r>
      <w:r>
        <w:t>.</w:t>
      </w:r>
      <w:r>
        <w:tab/>
        <w:t>Immediate entry permitted in certain cases</w:t>
      </w:r>
      <w:bookmarkEnd w:id="254"/>
    </w:p>
    <w:p>
      <w:pPr>
        <w:keepNext/>
        <w:keepLines/>
        <w:autoSpaceDE w:val="0"/>
        <w:autoSpaceDN w:val="0"/>
        <w:adjustRightInd w:val="0"/>
        <w:spacing w:before="120"/>
        <w:ind w:left="1588"/>
        <w:rPr>
          <w:color w:val="000000"/>
          <w:sz w:val="23"/>
          <w:szCs w:val="23"/>
        </w:rPr>
      </w:pPr>
      <w:r>
        <w:rPr>
          <w:color w:val="000000"/>
          <w:sz w:val="23"/>
          <w:szCs w:val="23"/>
        </w:rPr>
        <w:t>An authorised person executing a warrant need not comply with section 36 if he or she believes on reasonable grounds that immediate entry to premises is required to ensure—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safety of any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the effective execution of the search warrant is not frustrated.</w:t>
      </w:r>
    </w:p>
    <w:p>
      <w:pPr>
        <w:pStyle w:val="Heading5"/>
      </w:pPr>
      <w:bookmarkStart w:id="255" w:name="_Toc536781970"/>
      <w:r>
        <w:rPr>
          <w:rStyle w:val="CharSectno"/>
        </w:rPr>
        <w:t>38</w:t>
      </w:r>
      <w:r>
        <w:t>.</w:t>
      </w:r>
      <w:r>
        <w:tab/>
        <w:t>Copies of seized documents</w:t>
      </w:r>
      <w:bookmarkEnd w:id="25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an authorised person executing a warrant retains possession of a document seized from a person in accordance with the warrant, the authorised person must give that other person, within 21 days of the seizure, a copy of the document certified as correct by the authorised person executing the warrant.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copy of a document certified under subsection (1) shall be received in all courts and all tribunals as evidence of equal validity to the original.</w:t>
      </w:r>
    </w:p>
    <w:p>
      <w:pPr>
        <w:pStyle w:val="Heading5"/>
        <w:keepLines w:val="0"/>
      </w:pPr>
      <w:bookmarkStart w:id="256" w:name="_Toc536781971"/>
      <w:r>
        <w:rPr>
          <w:rStyle w:val="CharSectno"/>
        </w:rPr>
        <w:t>39</w:t>
      </w:r>
      <w:r>
        <w:t>.</w:t>
      </w:r>
      <w:r>
        <w:tab/>
        <w:t>Retention and return of seized documents or things</w:t>
      </w:r>
      <w:bookmarkEnd w:id="256"/>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an authorised person executing a warrant seizes a document or other thing in accordance with the warrant, the authorised person must if he or she is not a person employed by the AER, give the document or other thing seized to the AER.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must take reasonable steps to return the document or thing to the person from whom it was seized if the reason for its seizure no longer exists.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document or thing seized has not been returned within 3 months after it was seized, the AER must take reasonable steps to return it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proceedings for the purpose for which the document or thing was retained have commenced within that 3 month period and those proceedings (including any appeal) have not been completed;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magistrate makes an order under section 40 extending the period during which the document or thing may be retained.</w:t>
      </w:r>
    </w:p>
    <w:p>
      <w:pPr>
        <w:pStyle w:val="Heading5"/>
      </w:pPr>
      <w:bookmarkStart w:id="257" w:name="_Toc536781972"/>
      <w:r>
        <w:rPr>
          <w:rStyle w:val="CharSectno"/>
        </w:rPr>
        <w:t>40</w:t>
      </w:r>
      <w:r>
        <w:t>.</w:t>
      </w:r>
      <w:r>
        <w:tab/>
        <w:t>Extension of period of retention of documents or things seized</w:t>
      </w:r>
      <w:bookmarkEnd w:id="25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apply to a magistrate—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within 3 months after a document or other thing was seized in accordance with a warrant;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an extension has been granted under this section, before the end of the period of the extension,</w:t>
      </w:r>
    </w:p>
    <w:p>
      <w:pPr>
        <w:keepLines/>
        <w:autoSpaceDE w:val="0"/>
        <w:autoSpaceDN w:val="0"/>
        <w:adjustRightInd w:val="0"/>
        <w:spacing w:before="120"/>
        <w:ind w:left="1588"/>
        <w:rPr>
          <w:color w:val="000000"/>
          <w:sz w:val="23"/>
          <w:szCs w:val="23"/>
        </w:rPr>
      </w:pPr>
      <w:r>
        <w:rPr>
          <w:color w:val="000000"/>
          <w:sz w:val="23"/>
          <w:szCs w:val="23"/>
        </w:rPr>
        <w:t>for an extension of the period for which the AER may retain the document or thing but so that the total period of retention does not exceed 12 months.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must be made before proceedings for the purpose for which the document or thing was retained have been commenced.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magistrate may order such an extension if he or she is satisfied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is in the interests of justice;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total period of retention does not exceed 12 months;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retention of the document or other thing is necessary—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for the purposes of an investigation into whether a breach of a relevant provision has occurred;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to enable evidence of a breach of a relevant provision to be obtained for the purposes of a proceeding under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proceedings are commenced for the purpose for which the document or thing was retained at any time before the expiry of the period specified in an order under this section, the document or thing may be retained until those proceedings (including any appeal) have been completed despite those proceedings being completed after the period specified in the order.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At least 7 days prior to the hearing of an application under this section by a magistrate, notice of the application must be sent to the owner of the document or thing described in the application.</w:t>
      </w:r>
    </w:p>
    <w:p>
      <w:pPr>
        <w:pStyle w:val="Heading5"/>
      </w:pPr>
      <w:bookmarkStart w:id="258" w:name="_Toc536781973"/>
      <w:r>
        <w:rPr>
          <w:rStyle w:val="CharSectno"/>
        </w:rPr>
        <w:t>41</w:t>
      </w:r>
      <w:r>
        <w:t>.</w:t>
      </w:r>
      <w:r>
        <w:tab/>
        <w:t>Obstruction of persons authorised to enter</w:t>
      </w:r>
      <w:bookmarkEnd w:id="258"/>
    </w:p>
    <w:p>
      <w:pPr>
        <w:keepNext/>
        <w:keepLines/>
        <w:autoSpaceDE w:val="0"/>
        <w:autoSpaceDN w:val="0"/>
        <w:adjustRightInd w:val="0"/>
        <w:spacing w:before="120"/>
        <w:ind w:left="1588"/>
        <w:rPr>
          <w:color w:val="000000"/>
          <w:sz w:val="23"/>
          <w:szCs w:val="23"/>
        </w:rPr>
      </w:pPr>
      <w:r>
        <w:rPr>
          <w:color w:val="000000"/>
          <w:sz w:val="23"/>
          <w:szCs w:val="23"/>
        </w:rPr>
        <w:t>A person must not, without reasonable excuse, obstruct or hinder an authorised person in the exercise of a power under a search warrant under this Division.</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pStyle w:val="Heading4"/>
      </w:pPr>
      <w:bookmarkStart w:id="259" w:name="_Toc501633884"/>
      <w:bookmarkStart w:id="260" w:name="_Toc501712780"/>
      <w:bookmarkStart w:id="261" w:name="_Toc536781974"/>
      <w:r>
        <w:t>Division 3 — General information gathering powers</w:t>
      </w:r>
      <w:bookmarkEnd w:id="259"/>
      <w:bookmarkEnd w:id="260"/>
      <w:bookmarkEnd w:id="261"/>
    </w:p>
    <w:p>
      <w:pPr>
        <w:pStyle w:val="Heading5"/>
      </w:pPr>
      <w:bookmarkStart w:id="262" w:name="_Toc536781975"/>
      <w:r>
        <w:rPr>
          <w:rStyle w:val="CharSectno"/>
        </w:rPr>
        <w:t>42</w:t>
      </w:r>
      <w:r>
        <w:t>.</w:t>
      </w:r>
      <w:r>
        <w:tab/>
        <w:t>Power to obtain information and documents in relation to performance and exercise of functions and powers</w:t>
      </w:r>
      <w:bookmarkEnd w:id="26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If the AER has reason to believe that a person is capable of providing information or producing a document that the AER requires for the performance or exercise of a function or power conferred on it under this Law or the Rules, the AER may, by notice in writing, serve on that person a notice (a </w:t>
      </w:r>
      <w:r>
        <w:rPr>
          <w:rStyle w:val="CharDefText"/>
          <w:bCs/>
          <w:sz w:val="23"/>
        </w:rPr>
        <w:t>relevant notice</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relevant notice may require the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to the AER, by writing signed by that person or, in the case of a body corporate, by a competent officer of the body corporate, within the time and in the manner specified in the notice, any information of the kind referred to in subsection (1);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to the AER, or to a person specified in the notice acting on its behalf, in accordance with the notice, any documents of the kind referred to in subsection (1).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person on whom a relevant notice is served must comply with the relevant notice unless the person has a reasonable excuse.</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person must not, in purported compliance with a relevant notice, provide information that the person knows is false or misleading in a material particular.</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It is a reasonable excuse for the purposes of subsection (3) if the person served the relevant notice is not capable of complying with that notice.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It is a reasonable excuse for a natural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fail to provide information of the kind referred to in subsection (1) to the AER;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fail to produce a document of the kind referred to in subsection (1) to the AER, or to a person specified in a relevant notice acting on behalf of the AER,</w:t>
      </w:r>
    </w:p>
    <w:p>
      <w:pPr>
        <w:keepLines/>
        <w:autoSpaceDE w:val="0"/>
        <w:autoSpaceDN w:val="0"/>
        <w:adjustRightInd w:val="0"/>
        <w:spacing w:before="120"/>
        <w:ind w:left="1588"/>
        <w:rPr>
          <w:color w:val="000000"/>
          <w:sz w:val="23"/>
          <w:szCs w:val="23"/>
        </w:rPr>
      </w:pPr>
      <w:r>
        <w:rPr>
          <w:color w:val="000000"/>
          <w:sz w:val="23"/>
          <w:szCs w:val="23"/>
        </w:rPr>
        <w:t>if to do so might tend to incriminate the person, or make the person liable to a criminal penalty, under a law of this jurisdiction or a law of another participating jurisdiction.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It is not a reasonable excuse for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fail to provide information of the kind referred to in subsection (1) to the AER;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fail to produce a document of the kind referred to in subsection (1) to the AER, or to a person specified in a relevant notice acting on behalf of the AER,</w:t>
      </w:r>
    </w:p>
    <w:p>
      <w:pPr>
        <w:keepLines/>
        <w:autoSpaceDE w:val="0"/>
        <w:autoSpaceDN w:val="0"/>
        <w:adjustRightInd w:val="0"/>
        <w:spacing w:before="120"/>
        <w:ind w:left="1588"/>
        <w:rPr>
          <w:color w:val="000000"/>
          <w:sz w:val="23"/>
          <w:szCs w:val="23"/>
        </w:rPr>
      </w:pPr>
      <w:r>
        <w:rPr>
          <w:color w:val="000000"/>
          <w:sz w:val="23"/>
          <w:szCs w:val="23"/>
        </w:rPr>
        <w:t>on the ground of any duty of confidence.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This section does not require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information that is the subject of legal professional privilege;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a document the production of which would disclose information that is the subject of legal professional privilege.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This section does not require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information that would disclose the contents of a document prepared for the purposes of a meeting of the Cabinet or a committee of the Cabinet of the Commonwealth or of a State or a Territory;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a document prepared for the purposes of a meeting of the Cabinet or a committee of the Cabinet of the Commonwealth or of a State or a Territory;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provide information, or produce a document, that would disclose the deliberations of the Cabinet or a committee of the Cabinet of the Commonwealth or of a State or a Territory.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(10)</w:t>
      </w:r>
      <w:r>
        <w:rPr>
          <w:color w:val="000000"/>
          <w:sz w:val="23"/>
          <w:szCs w:val="23"/>
        </w:rPr>
        <w:tab/>
        <w:t>A person incurs, by complying with a relevant notice, no liability for breach of contract, breach of confidence or any other civil wrong.</w:t>
      </w:r>
    </w:p>
    <w:p>
      <w:pPr>
        <w:pStyle w:val="Heading4"/>
      </w:pPr>
      <w:bookmarkStart w:id="263" w:name="_Toc501633886"/>
      <w:bookmarkStart w:id="264" w:name="_Toc501712782"/>
      <w:bookmarkStart w:id="265" w:name="_Toc536781976"/>
      <w:r>
        <w:t>Division 4 — Regulatory information notices and general regulatory information orders</w:t>
      </w:r>
      <w:bookmarkEnd w:id="263"/>
      <w:bookmarkEnd w:id="264"/>
      <w:bookmarkEnd w:id="265"/>
    </w:p>
    <w:p>
      <w:pPr>
        <w:pStyle w:val="Heading4"/>
      </w:pPr>
      <w:bookmarkStart w:id="266" w:name="_Toc501633887"/>
      <w:bookmarkStart w:id="267" w:name="_Toc501712783"/>
      <w:bookmarkStart w:id="268" w:name="_Toc536781977"/>
      <w:r>
        <w:t>Subdivision 1 — Interpretation</w:t>
      </w:r>
      <w:bookmarkEnd w:id="266"/>
      <w:bookmarkEnd w:id="267"/>
      <w:bookmarkEnd w:id="268"/>
    </w:p>
    <w:p>
      <w:pPr>
        <w:pStyle w:val="Heading5"/>
      </w:pPr>
      <w:bookmarkStart w:id="269" w:name="_Toc536781978"/>
      <w:r>
        <w:rPr>
          <w:rStyle w:val="CharSectno"/>
        </w:rPr>
        <w:t>43</w:t>
      </w:r>
      <w:r>
        <w:t>.</w:t>
      </w:r>
      <w:r>
        <w:tab/>
        <w:t>Definitions</w:t>
      </w:r>
      <w:bookmarkEnd w:id="269"/>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Lines/>
        <w:autoSpaceDE w:val="0"/>
        <w:autoSpaceDN w:val="0"/>
        <w:adjustRightInd w:val="0"/>
        <w:spacing w:before="120"/>
        <w:ind w:left="1588"/>
        <w:rPr>
          <w:color w:val="000000"/>
          <w:sz w:val="23"/>
          <w:szCs w:val="23"/>
        </w:rPr>
      </w:pPr>
      <w:r>
        <w:rPr>
          <w:rStyle w:val="CharDefText"/>
          <w:bCs/>
          <w:sz w:val="23"/>
        </w:rPr>
        <w:t>contributing service</w:t>
      </w:r>
      <w:r>
        <w:rPr>
          <w:bCs/>
          <w:i/>
          <w:iCs/>
          <w:color w:val="000000"/>
          <w:sz w:val="23"/>
          <w:szCs w:val="23"/>
        </w:rPr>
        <w:t xml:space="preserve"> </w:t>
      </w:r>
      <w:r>
        <w:rPr>
          <w:color w:val="000000"/>
          <w:sz w:val="23"/>
          <w:szCs w:val="23"/>
        </w:rPr>
        <w:t>has the meaning given by section 44;</w:t>
      </w:r>
    </w:p>
    <w:p>
      <w:pPr>
        <w:keepNext/>
        <w:keepLines/>
        <w:autoSpaceDE w:val="0"/>
        <w:autoSpaceDN w:val="0"/>
        <w:adjustRightInd w:val="0"/>
        <w:spacing w:before="120"/>
        <w:ind w:left="1588"/>
        <w:rPr>
          <w:color w:val="000000"/>
          <w:sz w:val="23"/>
          <w:szCs w:val="23"/>
        </w:rPr>
      </w:pPr>
      <w:r>
        <w:rPr>
          <w:rStyle w:val="CharDefText"/>
          <w:bCs/>
          <w:sz w:val="23"/>
        </w:rPr>
        <w:t>scheme pipeline service provider</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service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service provider who provides or intends to provide pipeline services by means of an international pipeline to which a price regulation exemption applies;</w:t>
      </w:r>
    </w:p>
    <w:p>
      <w:pPr>
        <w:keepLines/>
        <w:autoSpaceDE w:val="0"/>
        <w:autoSpaceDN w:val="0"/>
        <w:adjustRightInd w:val="0"/>
        <w:spacing w:before="120"/>
        <w:ind w:left="1588"/>
        <w:rPr>
          <w:color w:val="000000"/>
          <w:sz w:val="23"/>
          <w:szCs w:val="23"/>
        </w:rPr>
      </w:pPr>
      <w:r>
        <w:rPr>
          <w:rStyle w:val="CharDefText"/>
          <w:bCs/>
          <w:sz w:val="23"/>
        </w:rPr>
        <w:t>related provider</w:t>
      </w:r>
      <w:r>
        <w:rPr>
          <w:bCs/>
          <w:i/>
          <w:iCs/>
          <w:color w:val="000000"/>
          <w:sz w:val="23"/>
          <w:szCs w:val="23"/>
        </w:rPr>
        <w:t xml:space="preserve"> </w:t>
      </w:r>
      <w:r>
        <w:rPr>
          <w:color w:val="000000"/>
          <w:sz w:val="23"/>
          <w:szCs w:val="23"/>
        </w:rPr>
        <w:t>means a person who supplies a contributing service to a scheme pipeline service provider.</w:t>
      </w:r>
    </w:p>
    <w:p>
      <w:pPr>
        <w:pStyle w:val="Heading5"/>
      </w:pPr>
      <w:bookmarkStart w:id="270" w:name="_Toc536781979"/>
      <w:r>
        <w:rPr>
          <w:rStyle w:val="CharSectno"/>
        </w:rPr>
        <w:t>44</w:t>
      </w:r>
      <w:r>
        <w:t>.</w:t>
      </w:r>
      <w:r>
        <w:tab/>
        <w:t>Meaning of contributing service</w:t>
      </w:r>
      <w:bookmarkEnd w:id="27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contributing service is a service that the AER, in accordance with this section, decides is a service that contributes in a material way to the provision of a pipeline service by a scheme pipeline service provider.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deciding whether a service is a service that contributes in a material way to the provision of a pipeline service by a scheme pipeline service provider, the AER must have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nature and kind of the service;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when the service was first supplied;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nature and extent of the contribution of the service relative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pipeline service;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all other services supplied by the scheme pipeline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whether the service was previously supplied—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the scheme pipeline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directly or indirectly by an associate of the scheme pipeline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whether the service, together with other services, contributes in a material way to the provision of pipeline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any other matter specified under the Rules.</w:t>
      </w:r>
    </w:p>
    <w:p>
      <w:pPr>
        <w:pStyle w:val="Heading5"/>
      </w:pPr>
      <w:bookmarkStart w:id="271" w:name="_Toc536781980"/>
      <w:r>
        <w:rPr>
          <w:rStyle w:val="CharSectno"/>
        </w:rPr>
        <w:t>45</w:t>
      </w:r>
      <w:r>
        <w:t>.</w:t>
      </w:r>
      <w:r>
        <w:tab/>
        <w:t>Meaning of general regulatory information order</w:t>
      </w:r>
      <w:bookmarkEnd w:id="271"/>
    </w:p>
    <w:p>
      <w:pPr>
        <w:keepNext/>
        <w:keepLines/>
        <w:autoSpaceDE w:val="0"/>
        <w:autoSpaceDN w:val="0"/>
        <w:adjustRightInd w:val="0"/>
        <w:spacing w:before="120"/>
        <w:ind w:left="1588"/>
        <w:rPr>
          <w:color w:val="000000"/>
          <w:sz w:val="23"/>
          <w:szCs w:val="23"/>
        </w:rPr>
      </w:pPr>
      <w:r>
        <w:rPr>
          <w:color w:val="000000"/>
          <w:sz w:val="23"/>
          <w:szCs w:val="23"/>
        </w:rPr>
        <w:t>A general regulatory information order is an order made by the AER in accordance with this Division that requires each scheme pipeline service provider of a specified class, or each related provider of a specified class, to do either or both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to the AER the information specified in the order;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prepare, maintain or keep information specified in the notice in a manner and form specified in the order.</w:t>
      </w:r>
    </w:p>
    <w:p>
      <w:pPr>
        <w:pStyle w:val="Heading5"/>
      </w:pPr>
      <w:bookmarkStart w:id="272" w:name="_Toc536781981"/>
      <w:r>
        <w:rPr>
          <w:rStyle w:val="CharSectno"/>
        </w:rPr>
        <w:t>46</w:t>
      </w:r>
      <w:r>
        <w:t>.</w:t>
      </w:r>
      <w:r>
        <w:tab/>
        <w:t>Meaning of regulatory information notice</w:t>
      </w:r>
      <w:bookmarkEnd w:id="272"/>
    </w:p>
    <w:p>
      <w:pPr>
        <w:keepNext/>
        <w:keepLines/>
        <w:autoSpaceDE w:val="0"/>
        <w:autoSpaceDN w:val="0"/>
        <w:adjustRightInd w:val="0"/>
        <w:spacing w:before="120"/>
        <w:ind w:left="1588"/>
        <w:rPr>
          <w:color w:val="000000"/>
          <w:sz w:val="23"/>
          <w:szCs w:val="23"/>
        </w:rPr>
      </w:pPr>
      <w:r>
        <w:rPr>
          <w:color w:val="000000"/>
          <w:sz w:val="23"/>
          <w:szCs w:val="23"/>
        </w:rPr>
        <w:t>A regulatory information notice is a notice prepared and served by the AER in accordance with this Division that requires the scheme pipeline service provider, or a related provider, named in the notice to do either or both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to the AER the information specified in the notice;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prepare, maintain or keep information specified in the notice in a manner and form specified in the notice.</w:t>
      </w:r>
    </w:p>
    <w:p>
      <w:pPr>
        <w:pStyle w:val="Heading5"/>
      </w:pPr>
      <w:bookmarkStart w:id="273" w:name="_Toc536781982"/>
      <w:r>
        <w:rPr>
          <w:rStyle w:val="CharSectno"/>
        </w:rPr>
        <w:t>47</w:t>
      </w:r>
      <w:r>
        <w:t>.</w:t>
      </w:r>
      <w:r>
        <w:tab/>
        <w:t>Division does not limit operation of information gathering powers under Division 3</w:t>
      </w:r>
      <w:bookmarkEnd w:id="273"/>
    </w:p>
    <w:p>
      <w:pPr>
        <w:keepLines/>
        <w:autoSpaceDE w:val="0"/>
        <w:autoSpaceDN w:val="0"/>
        <w:adjustRightInd w:val="0"/>
        <w:spacing w:before="120"/>
        <w:ind w:left="1588"/>
        <w:rPr>
          <w:color w:val="000000"/>
          <w:sz w:val="23"/>
          <w:szCs w:val="23"/>
        </w:rPr>
      </w:pPr>
      <w:r>
        <w:rPr>
          <w:color w:val="000000"/>
          <w:sz w:val="23"/>
          <w:szCs w:val="23"/>
        </w:rPr>
        <w:t>This Division does not limit the operation of Division 3.</w:t>
      </w:r>
    </w:p>
    <w:p>
      <w:pPr>
        <w:pStyle w:val="Heading4"/>
      </w:pPr>
      <w:bookmarkStart w:id="274" w:name="_Toc501633893"/>
      <w:bookmarkStart w:id="275" w:name="_Toc501712789"/>
      <w:bookmarkStart w:id="276" w:name="_Toc536781983"/>
      <w:r>
        <w:t>Subdivision 2 — Serving and making of regulatory information instruments</w:t>
      </w:r>
      <w:bookmarkEnd w:id="274"/>
      <w:bookmarkEnd w:id="275"/>
      <w:bookmarkEnd w:id="276"/>
    </w:p>
    <w:p>
      <w:pPr>
        <w:pStyle w:val="Heading5"/>
      </w:pPr>
      <w:bookmarkStart w:id="277" w:name="_Toc536781984"/>
      <w:r>
        <w:rPr>
          <w:rStyle w:val="CharSectno"/>
        </w:rPr>
        <w:t>48</w:t>
      </w:r>
      <w:r>
        <w:t>.</w:t>
      </w:r>
      <w:r>
        <w:tab/>
        <w:t>Service and making of regulatory information instrument</w:t>
      </w:r>
      <w:bookmarkEnd w:id="27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Division, the AER, if it considers it reasonably necessary for the performance or exercise of its functions or powers under this Law or the Rules,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serve a regulatory information notice on a scheme pipeline service provider or a related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a general regulatory information order.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considering whether it is reasonably necessary to serve a regulatory information notice, or make a general regulatory information order, the AER must have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matter to be addressed by—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service of the regulatory information notice;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making of the general regulatory information order;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likely costs that may be incurred by an efficient scheme pipeline service provider or efficient related provider in complying with the notice or order.</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The AER must also exercise its powers under this section in a manner that will or is likely to contribute to the achievement of the national gas objective: see section 28.</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regulatory information notice must not be served, or a general regulatory information order must not be made, solely for the purpose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investigating breaches or possible breaches of provisions of this Law, the Regulations or the Rules, including offences against this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instituting and conducting proceedings in relation to breaches of provisions of this Law, the Regulations or the Rules, including offences against this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instituting and conducting appeals from decisions in proceedings referred to in paragraph (b);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collecting information for the preparation of a service provider performance report;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application for review of a decision of the AER under Chapter 8 Part 5.</w:t>
      </w:r>
    </w:p>
    <w:p>
      <w:pPr>
        <w:pStyle w:val="Heading5"/>
      </w:pPr>
      <w:bookmarkStart w:id="278" w:name="_Toc536781985"/>
      <w:r>
        <w:rPr>
          <w:rStyle w:val="CharSectno"/>
        </w:rPr>
        <w:t>49</w:t>
      </w:r>
      <w:r>
        <w:t>.</w:t>
      </w:r>
      <w:r>
        <w:tab/>
        <w:t>Additional matters to be considered for related provider regulatory information instruments</w:t>
      </w:r>
      <w:bookmarkEnd w:id="27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AER is intending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serve a regulatory information notice on a related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a general regulatory information order that will apply to a class of related providers.</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to the matters set out in section 48(2), the AER, in considering whether it is reasonably necessary to serve the regulatory information notice, or make the general regulatory information order, must have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whether the scheme pipeline service provider being supplied a contributing service by the related provider or related providers to which the intended regulatory information instrument will apply can—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provide the information to be specified in that instrument;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prepare, maintain or keep the information to be specified in the particular manner and form to be specified in that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extent to which the related provider or related providers to which the intended regulatory information instrument will apply is, or are, supplying a contributing service on a genuinely competitive basis;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nature of any ownership or control between—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scheme pipeline service provider being supplied a contributing service by a related provider to which the intended regulatory information instrument will apply;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related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nature of any ownership or control as between different related providers supplying the contributing service to the scheme pipeline service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other matter the AER considers relevant.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purposes of subsection (2)(b), in considering whether a contributing service is being supplied on a genuinely competitive basis, the AER may take into account—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whether there is effective competition in the market for the supply of the contributing service;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whether the related provider supplies the contributing service to a scheme pipeline service provider under a contract, arrangement or understanding entered into with that scheme pipeline service provider following a competitive process for the awarding of the right to enter into that contract, arrangement or understanding involving persons who were not associates of the scheme pipeline service provider.</w:t>
      </w:r>
    </w:p>
    <w:p>
      <w:pPr>
        <w:pStyle w:val="Heading5"/>
      </w:pPr>
      <w:bookmarkStart w:id="279" w:name="_Toc536781986"/>
      <w:r>
        <w:rPr>
          <w:rStyle w:val="CharSectno"/>
        </w:rPr>
        <w:t>50</w:t>
      </w:r>
      <w:r>
        <w:t>.</w:t>
      </w:r>
      <w:r>
        <w:tab/>
        <w:t>AER must consult before publishing a general regulatory information order</w:t>
      </w:r>
      <w:bookmarkEnd w:id="279"/>
    </w:p>
    <w:p>
      <w:pPr>
        <w:keepLines/>
        <w:autoSpaceDE w:val="0"/>
        <w:autoSpaceDN w:val="0"/>
        <w:adjustRightInd w:val="0"/>
        <w:spacing w:before="120"/>
        <w:ind w:left="1588"/>
        <w:rPr>
          <w:color w:val="000000"/>
          <w:sz w:val="23"/>
          <w:szCs w:val="23"/>
        </w:rPr>
      </w:pPr>
      <w:r>
        <w:rPr>
          <w:color w:val="000000"/>
          <w:sz w:val="23"/>
          <w:szCs w:val="23"/>
        </w:rPr>
        <w:t>The AER must, in accordance with the Rules, consult with the public on the general regulatory information order it intends to make before it makes that order.</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section 65 about what the AER must and may do after receiving submissions.</w:t>
      </w:r>
    </w:p>
    <w:p>
      <w:pPr>
        <w:pStyle w:val="Heading5"/>
      </w:pPr>
      <w:bookmarkStart w:id="280" w:name="_Toc536781987"/>
      <w:r>
        <w:rPr>
          <w:rStyle w:val="CharSectno"/>
        </w:rPr>
        <w:t>51</w:t>
      </w:r>
      <w:r>
        <w:t>.</w:t>
      </w:r>
      <w:r>
        <w:tab/>
        <w:t>Publication requirements for general regulatory information orders</w:t>
      </w:r>
      <w:bookmarkEnd w:id="28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general regulatory information order made under section 48(1)(b) must be published on the AER’s website as soon as practicable after it is made.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Notice of the making of a general regulatory information order must be published in a newspaper circulating generally throughout </w:t>
      </w:r>
      <w:smartTag w:uri="urn:schemas-microsoft-com:office:smarttags" w:element="country-region">
        <w:r>
          <w:rPr>
            <w:color w:val="000000"/>
            <w:sz w:val="23"/>
            <w:szCs w:val="23"/>
          </w:rPr>
          <w:t>Australia</w:t>
        </w:r>
      </w:smartTag>
      <w:r>
        <w:rPr>
          <w:color w:val="000000"/>
          <w:sz w:val="23"/>
          <w:szCs w:val="23"/>
        </w:rPr>
        <w:t xml:space="preserve"> as soon as practicable after it is made.</w:t>
      </w:r>
    </w:p>
    <w:p>
      <w:pPr>
        <w:pStyle w:val="Heading5"/>
      </w:pPr>
      <w:bookmarkStart w:id="281" w:name="_Toc536781988"/>
      <w:r>
        <w:rPr>
          <w:rStyle w:val="CharSectno"/>
        </w:rPr>
        <w:t>52</w:t>
      </w:r>
      <w:r>
        <w:t>.</w:t>
      </w:r>
      <w:r>
        <w:tab/>
      </w:r>
      <w:smartTag w:uri="urn:schemas-microsoft-com:office:smarttags" w:element="place">
        <w:r>
          <w:t>Opportunity</w:t>
        </w:r>
      </w:smartTag>
      <w:r>
        <w:t xml:space="preserve"> to be heard before regulatory information notice is served</w:t>
      </w:r>
      <w:bookmarkEnd w:id="28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before serving a regulatory information notice,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notify, in writing, the scheme pipeline service provider, or the related provider, on whom the AER intends to serve the regulatory information notice of its intention to do so;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 the scheme pipeline service provider, or the related provider, a draft of the regulatory information notice it intends to serve.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regulatory information notice to be served is an urgent notice, the AER must, in a notice under subsection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identify the regulatory information notice to be served as an urgent notice;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 its reasons, in writing, why the regulatory information notice to be served is an urgent notice.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regulatory information notice is an urgent notice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the notice the AER will require the scheme pipeline service provider or related provider to provide information to the AER;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requirement has arisen because the AER considers it must deal with or address a particular matter or thing in order for it to make an AER economic regulatory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AER considers that, having regard to the time within which it must make that AER economic regulatory decision, the time within which the AER requires the information is of the essence.</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notice under subsection (1) must—</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invite the scheme pipeline service provider, or the related provider, to make written representations to the AER as to whether the AER should serve the regulatory information notice on them;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the period within which the scheme pipeline service provider, or the related provider, may make the representations.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period that must be specified in accordance with subsection (4) must be—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an urgent notice to be served—a period of not less than 5 business days and not more than 10 business days calculated from the date of the notice under subsection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all other cases—a period of at least 20 business days calculated from the date of the notice under subsection (1).</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The AER must consider the written representations made in accordance with a notice under subsection (1) before making its decision in accordance with this Division to serve the regulatory information notice.</w:t>
      </w:r>
    </w:p>
    <w:p>
      <w:pPr>
        <w:pStyle w:val="Heading4"/>
      </w:pPr>
      <w:bookmarkStart w:id="282" w:name="_Toc501633899"/>
      <w:bookmarkStart w:id="283" w:name="_Toc501712795"/>
      <w:bookmarkStart w:id="284" w:name="_Toc536781989"/>
      <w:r>
        <w:t>Subdivision 3 — Form and content of regulatory information instruments</w:t>
      </w:r>
      <w:bookmarkEnd w:id="282"/>
      <w:bookmarkEnd w:id="283"/>
      <w:bookmarkEnd w:id="284"/>
    </w:p>
    <w:p>
      <w:pPr>
        <w:pStyle w:val="Heading5"/>
      </w:pPr>
      <w:bookmarkStart w:id="285" w:name="_Toc536781990"/>
      <w:r>
        <w:rPr>
          <w:rStyle w:val="CharSectno"/>
        </w:rPr>
        <w:t>53</w:t>
      </w:r>
      <w:r>
        <w:t>.</w:t>
      </w:r>
      <w:r>
        <w:tab/>
        <w:t>Form and content of regulatory information instrument</w:t>
      </w:r>
      <w:bookmarkEnd w:id="28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regulatory information instrument—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specify the information required to be—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provided to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prepared, maintained or kept in the particular manner and form specified in the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specify the manner and form in which the information described in the instrument is required to be—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provided to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prepared, maintained or kept;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state the reasons of the AER for requiring the information described in the instrument to be—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provided to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prepared, maintained or kept in the particular manner and form specified in the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 the case of an instrument requiring information to be provided to the AER, must specify when the information must be provided.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the case of a regulatory information notice, the notice must name the scheme pipeline service provider or the related provider to whom it applies.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the case of a general regulatory information order, the order must specify the class of scheme pipeline service provider, or related provider, to whom the order applies.</w:t>
      </w:r>
    </w:p>
    <w:p>
      <w:pPr>
        <w:pStyle w:val="Heading5"/>
      </w:pPr>
      <w:bookmarkStart w:id="286" w:name="_Toc536781991"/>
      <w:r>
        <w:rPr>
          <w:rStyle w:val="CharSectno"/>
        </w:rPr>
        <w:t>54</w:t>
      </w:r>
      <w:r>
        <w:t>.</w:t>
      </w:r>
      <w:r>
        <w:tab/>
        <w:t>Further provision about the information that may be described in a regulatory information instrument</w:t>
      </w:r>
      <w:bookmarkEnd w:id="286"/>
    </w:p>
    <w:p>
      <w:pPr>
        <w:keepNext/>
        <w:keepLines/>
        <w:autoSpaceDE w:val="0"/>
        <w:autoSpaceDN w:val="0"/>
        <w:adjustRightInd w:val="0"/>
        <w:spacing w:before="120"/>
        <w:ind w:left="1588"/>
        <w:rPr>
          <w:color w:val="000000"/>
          <w:sz w:val="23"/>
          <w:szCs w:val="23"/>
        </w:rPr>
      </w:pPr>
      <w:r>
        <w:rPr>
          <w:color w:val="000000"/>
          <w:sz w:val="23"/>
          <w:szCs w:val="23"/>
        </w:rPr>
        <w:t>Without limiting section 53(1)(a), the information that may be required to be provided to the AER, or to be prepared, maintained or kept, may include—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historic, current and forecast information (including financial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information that is or may be derived from other information in the possession or control of the scheme pipeline service provider or the related provider to whom the instrument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information to enable the AER to verify whether the scheme pipeline service provider to whom the instrument applies is or has been complying with Chapter 4;</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information to enable the AER to verify compliance with any requirements for the allocation of costs between natural gas services under—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applicable access arrangement.</w:t>
      </w:r>
    </w:p>
    <w:p>
      <w:pPr>
        <w:pStyle w:val="Heading5"/>
      </w:pPr>
      <w:bookmarkStart w:id="287" w:name="_Toc536781992"/>
      <w:r>
        <w:rPr>
          <w:rStyle w:val="CharSectno"/>
        </w:rPr>
        <w:t>55</w:t>
      </w:r>
      <w:r>
        <w:t>.</w:t>
      </w:r>
      <w:r>
        <w:tab/>
        <w:t>Further provision about manner in which information must be provided to AER or kept</w:t>
      </w:r>
      <w:bookmarkEnd w:id="287"/>
    </w:p>
    <w:p>
      <w:pPr>
        <w:keepNext/>
        <w:keepLines/>
        <w:autoSpaceDE w:val="0"/>
        <w:autoSpaceDN w:val="0"/>
        <w:adjustRightInd w:val="0"/>
        <w:spacing w:before="120"/>
        <w:ind w:left="1588"/>
        <w:rPr>
          <w:color w:val="000000"/>
          <w:sz w:val="23"/>
          <w:szCs w:val="23"/>
        </w:rPr>
      </w:pPr>
      <w:r>
        <w:rPr>
          <w:color w:val="000000"/>
          <w:sz w:val="23"/>
          <w:szCs w:val="23"/>
        </w:rPr>
        <w:t>Without limiting section 53(1)(b), a regulatory information instrument may specify the information specified in the instrument—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provided to the AER, or prepared, maintained or kept, on an annual basis or some other basis, including on the occurrence of a specified event or state of affairs;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provided to the AER, or prepared, maintained or kept, in accordance with specified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provided to the AER, or prepared, maintained or kept, in accordance with any document, code, standard, rule, specification or method formulated, issued, prescribed or published by the AER or any person, authority or body whether—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wholly or partially or as amended by the instrument;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as formulated, issued, prescribed or published at the time the instrument is served or published or at any time before the instrument is served or published;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as amended from time to time;</w:t>
      </w:r>
    </w:p>
    <w:p>
      <w:pPr>
        <w:keepNext/>
        <w:keepLines/>
        <w:autoSpaceDE w:val="0"/>
        <w:autoSpaceDN w:val="0"/>
        <w:adjustRightInd w:val="0"/>
        <w:spacing w:before="120"/>
        <w:ind w:left="3970" w:hanging="794"/>
        <w:rPr>
          <w:b/>
          <w:bCs/>
          <w:color w:val="000000"/>
          <w:sz w:val="20"/>
        </w:rPr>
      </w:pPr>
      <w:r>
        <w:rPr>
          <w:b/>
          <w:bCs/>
          <w:color w:val="000000"/>
          <w:sz w:val="20"/>
        </w:rPr>
        <w:t>Example—</w:t>
      </w:r>
    </w:p>
    <w:p>
      <w:pPr>
        <w:keepLines/>
        <w:autoSpaceDE w:val="0"/>
        <w:autoSpaceDN w:val="0"/>
        <w:adjustRightInd w:val="0"/>
        <w:spacing w:before="120"/>
        <w:ind w:left="3970"/>
        <w:rPr>
          <w:color w:val="000000"/>
          <w:sz w:val="20"/>
        </w:rPr>
      </w:pPr>
      <w:r>
        <w:rPr>
          <w:color w:val="000000"/>
          <w:sz w:val="20"/>
        </w:rPr>
        <w:t>The AER may require a scheme pipeline service provider to provide information in a form and manner that complies with relevant accounting standards.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verified by way of statutory declaration by an officer of the scheme pipeline service provider, or of a related provider, to whom the instrument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audited—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a class of person specified in the instrument before it is provided to the AER;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at the expense of the scheme pipeline service provider or related provider to whom the instrument applies.</w:t>
      </w:r>
    </w:p>
    <w:p>
      <w:pPr>
        <w:pStyle w:val="Heading4"/>
      </w:pPr>
      <w:bookmarkStart w:id="288" w:name="_Toc501633903"/>
      <w:bookmarkStart w:id="289" w:name="_Toc501712799"/>
      <w:bookmarkStart w:id="290" w:name="_Toc536781993"/>
      <w:r>
        <w:t>Subdivision 4 — Compliance with regulatory information instruments</w:t>
      </w:r>
      <w:bookmarkEnd w:id="288"/>
      <w:bookmarkEnd w:id="289"/>
      <w:bookmarkEnd w:id="290"/>
    </w:p>
    <w:p>
      <w:pPr>
        <w:pStyle w:val="Heading5"/>
      </w:pPr>
      <w:bookmarkStart w:id="291" w:name="_Toc536781994"/>
      <w:r>
        <w:rPr>
          <w:rStyle w:val="CharSectno"/>
        </w:rPr>
        <w:t>56</w:t>
      </w:r>
      <w:r>
        <w:t>.</w:t>
      </w:r>
      <w:r>
        <w:tab/>
        <w:t>Compliance with regulatory information notice that is served</w:t>
      </w:r>
      <w:bookmarkEnd w:id="291"/>
    </w:p>
    <w:p>
      <w:pPr>
        <w:keepLines/>
        <w:autoSpaceDE w:val="0"/>
        <w:autoSpaceDN w:val="0"/>
        <w:adjustRightInd w:val="0"/>
        <w:spacing w:before="120"/>
        <w:ind w:left="1588"/>
        <w:rPr>
          <w:color w:val="000000"/>
          <w:sz w:val="23"/>
          <w:szCs w:val="23"/>
        </w:rPr>
      </w:pPr>
      <w:r>
        <w:rPr>
          <w:color w:val="000000"/>
          <w:sz w:val="23"/>
          <w:szCs w:val="23"/>
        </w:rPr>
        <w:t>On being served a regulatory information notice, a person named in the notice must comply with the notice.</w:t>
      </w:r>
    </w:p>
    <w:p>
      <w:pPr>
        <w:pStyle w:val="Heading5"/>
      </w:pPr>
      <w:bookmarkStart w:id="292" w:name="_Toc536781995"/>
      <w:r>
        <w:rPr>
          <w:rStyle w:val="CharSectno"/>
        </w:rPr>
        <w:t>57</w:t>
      </w:r>
      <w:r>
        <w:t>.</w:t>
      </w:r>
      <w:r>
        <w:tab/>
        <w:t>Compliance with general regulatory information order</w:t>
      </w:r>
      <w:bookmarkEnd w:id="29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publication of a general regulatory information order in accordance with section 51(1), a person who is a member of the class of person to which a general regulatory information order applies must comply with the order.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apply to a person who has been given an exemption under section 58.</w:t>
      </w:r>
    </w:p>
    <w:p>
      <w:pPr>
        <w:pStyle w:val="Heading5"/>
      </w:pPr>
      <w:bookmarkStart w:id="293" w:name="_Toc536781996"/>
      <w:r>
        <w:rPr>
          <w:rStyle w:val="CharSectno"/>
        </w:rPr>
        <w:t>58</w:t>
      </w:r>
      <w:r>
        <w:t>.</w:t>
      </w:r>
      <w:r>
        <w:tab/>
        <w:t>Exemptions from compliance with general regulatory information order</w:t>
      </w:r>
      <w:bookmarkEnd w:id="29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exempt a person, or a class of person, from complying with section 57—</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unconditionally or on specified conditions;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wholly or to the extent as is specified in the exemption.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exemption under this section must be in writing.</w:t>
      </w:r>
    </w:p>
    <w:p>
      <w:pPr>
        <w:pStyle w:val="Heading5"/>
      </w:pPr>
      <w:bookmarkStart w:id="294" w:name="_Toc536781997"/>
      <w:r>
        <w:rPr>
          <w:rStyle w:val="CharSectno"/>
        </w:rPr>
        <w:t>59</w:t>
      </w:r>
      <w:r>
        <w:t>.</w:t>
      </w:r>
      <w:r>
        <w:tab/>
        <w:t>Assumptions where there is non</w:t>
      </w:r>
      <w:r>
        <w:noBreakHyphen/>
        <w:t>compliance with regulatory information instrument</w:t>
      </w:r>
      <w:bookmarkEnd w:id="29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a regulatory information instrument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requires a scheme pipeline service provider to provide information to the AER for the purpose of enabling the AER to make an AER economic regulatory decision relating to the scheme pipeline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requires a related provider to provide information to the AER that is relevant to the making of an AER economic regulatory decision relating to a scheme pipeline service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scheme pipeline service provider or related provider—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does not provide the information to the AER in accordance with the applicable regulatory information instrument;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provides information that is insufficient (when compared to what was requested under the applicable regulatory information instrument).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sections 56 and 57 and despite anything to the contrary in this Law or the Rules, 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make the AER economic regulatory decision on the basis of the information the AER has at the time it makes that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making that decision, may make reasonable assumptions (including assumptions adverse to the interests of the scheme pipeline service provider) in respect of the matters the information required under the regulatory information instrument would have addressed had that information been provided as required.</w:t>
      </w:r>
    </w:p>
    <w:p>
      <w:pPr>
        <w:pStyle w:val="Heading4"/>
      </w:pPr>
      <w:bookmarkStart w:id="295" w:name="_Toc501633908"/>
      <w:bookmarkStart w:id="296" w:name="_Toc501712804"/>
      <w:bookmarkStart w:id="297" w:name="_Toc536781998"/>
      <w:r>
        <w:t>Subdivision 5 — General</w:t>
      </w:r>
      <w:bookmarkEnd w:id="295"/>
      <w:bookmarkEnd w:id="296"/>
      <w:bookmarkEnd w:id="297"/>
    </w:p>
    <w:p>
      <w:pPr>
        <w:pStyle w:val="Heading5"/>
      </w:pPr>
      <w:bookmarkStart w:id="298" w:name="_Toc536781999"/>
      <w:r>
        <w:rPr>
          <w:rStyle w:val="CharSectno"/>
        </w:rPr>
        <w:t>60</w:t>
      </w:r>
      <w:r>
        <w:t>.</w:t>
      </w:r>
      <w:r>
        <w:tab/>
        <w:t>Providing to AER false and misleading information</w:t>
      </w:r>
      <w:bookmarkEnd w:id="298"/>
    </w:p>
    <w:p>
      <w:pPr>
        <w:keepNext/>
        <w:keepLines/>
        <w:autoSpaceDE w:val="0"/>
        <w:autoSpaceDN w:val="0"/>
        <w:adjustRightInd w:val="0"/>
        <w:spacing w:before="120"/>
        <w:ind w:left="1588"/>
        <w:rPr>
          <w:color w:val="000000"/>
          <w:sz w:val="23"/>
          <w:szCs w:val="23"/>
        </w:rPr>
      </w:pPr>
      <w:r>
        <w:rPr>
          <w:color w:val="000000"/>
          <w:sz w:val="23"/>
          <w:szCs w:val="23"/>
        </w:rPr>
        <w:t>A person must not, in purported compliance with a regulatory information instrument requiring the person to provide information to the AER, provide information to the AER that the person knows is false or misleading in a material particular.</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pStyle w:val="Heading5"/>
      </w:pPr>
      <w:bookmarkStart w:id="299" w:name="_Toc536782000"/>
      <w:r>
        <w:rPr>
          <w:rStyle w:val="CharSectno"/>
        </w:rPr>
        <w:t>61</w:t>
      </w:r>
      <w:r>
        <w:t>.</w:t>
      </w:r>
      <w:r>
        <w:tab/>
        <w:t>Person cannot rely on duty of confidence to avoid compliance with regulatory information instrument</w:t>
      </w:r>
      <w:bookmarkEnd w:id="29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must not refuse to comply with a regulatory information instrument on the ground of any duty of confidence.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incurs, by complying with a regulatory information instrument, no liability for breach of contract, breach of confidence or any other civil wrong.</w:t>
      </w:r>
    </w:p>
    <w:p>
      <w:pPr>
        <w:pStyle w:val="Heading5"/>
      </w:pPr>
      <w:bookmarkStart w:id="300" w:name="_Toc536782001"/>
      <w:r>
        <w:rPr>
          <w:rStyle w:val="CharSectno"/>
        </w:rPr>
        <w:t>62</w:t>
      </w:r>
      <w:r>
        <w:t>.</w:t>
      </w:r>
      <w:r>
        <w:tab/>
        <w:t>Legal professional privilege not affected</w:t>
      </w:r>
      <w:bookmarkEnd w:id="300"/>
    </w:p>
    <w:p>
      <w:pPr>
        <w:keepNext/>
        <w:keepLines/>
        <w:autoSpaceDE w:val="0"/>
        <w:autoSpaceDN w:val="0"/>
        <w:adjustRightInd w:val="0"/>
        <w:spacing w:before="120"/>
        <w:ind w:left="1588"/>
        <w:rPr>
          <w:color w:val="000000"/>
          <w:sz w:val="23"/>
          <w:szCs w:val="23"/>
        </w:rPr>
      </w:pPr>
      <w:r>
        <w:rPr>
          <w:color w:val="000000"/>
          <w:sz w:val="23"/>
          <w:szCs w:val="23"/>
        </w:rPr>
        <w:t>A regulatory information instrument, and sections 56 and 57, are not to be taken as requiring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to the AER information that is the subject of legal professional privilege;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a document to the AER the production of which would disclose information that is the subject of legal professional privilege.</w:t>
      </w:r>
    </w:p>
    <w:p>
      <w:pPr>
        <w:pStyle w:val="Heading5"/>
      </w:pPr>
      <w:bookmarkStart w:id="301" w:name="_Toc536782002"/>
      <w:r>
        <w:rPr>
          <w:rStyle w:val="CharSectno"/>
        </w:rPr>
        <w:t>63</w:t>
      </w:r>
      <w:r>
        <w:t>.</w:t>
      </w:r>
      <w:r>
        <w:tab/>
        <w:t>Protection against self</w:t>
      </w:r>
      <w:r>
        <w:noBreakHyphen/>
        <w:t>incrimination</w:t>
      </w:r>
      <w:bookmarkEnd w:id="30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It is a reasonable excuse for a natural person to whom section 56 applies not to comply with a regulatory information notice served on the person requiring the person to provide information to the AER if to do so might tend to incriminate the person, or make the person liable to a criminal penalty, under a law of this jurisdiction or another participating jurisdiction.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It is a reasonable excuse for a natural person to whom section 57 applies not to comply with a general regulatory information order made requiring the person to provide information to the AER if to do so might tend to incriminate the person, or make the person liable to a criminal penalty, under a law of this jurisdiction or another participating jurisdiction.</w:t>
      </w:r>
    </w:p>
    <w:p>
      <w:pPr>
        <w:pStyle w:val="Heading4"/>
      </w:pPr>
      <w:bookmarkStart w:id="302" w:name="_Toc501633913"/>
      <w:bookmarkStart w:id="303" w:name="_Toc501712809"/>
      <w:bookmarkStart w:id="304" w:name="_Toc536782003"/>
      <w:r>
        <w:t>Division 5 — Service provider performance reports</w:t>
      </w:r>
      <w:bookmarkEnd w:id="302"/>
      <w:bookmarkEnd w:id="303"/>
      <w:bookmarkEnd w:id="304"/>
    </w:p>
    <w:p>
      <w:pPr>
        <w:pStyle w:val="Heading5"/>
      </w:pPr>
      <w:bookmarkStart w:id="305" w:name="_Toc536782004"/>
      <w:r>
        <w:rPr>
          <w:rStyle w:val="CharSectno"/>
        </w:rPr>
        <w:t>64</w:t>
      </w:r>
      <w:r>
        <w:t>.</w:t>
      </w:r>
      <w:r>
        <w:tab/>
        <w:t>Preparation of service provider performance reports</w:t>
      </w:r>
      <w:bookmarkEnd w:id="30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the AER may prepare a report on the financial performance or operational performance of 1 or more scheme pipeline service providers in providing pipeline services by means of a scheme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The AER may only prepare a report under subsection (1) if the preparation of the report will or is likely to contribute to the achievement of the national gas objective: see section 28.</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report prepared under this section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deal with the financial or operational performance of the scheme pipeline service provider in relation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complying with pipeline service standards;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standards relating to the provision of pipeline services to users or end users;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the profitability of scheme pipeline service providers in providing pipeline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AER considers it appropriate, deal with the performance of the scheme pipeline service provider in relation to other matters or things if that performance is directly related to the performance or exercise by the AER of an AER economic regulatory function or power.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report prepared under this section may include—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information provided to the AER by a person in compliance with a regulatory information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report dealing with the financial performance of 1 or more scheme pipeline service providers, a comparison of the profitability of the scheme pipeline service providers to which the report relates from the provision of pipeline services by them.</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Before preparing a report under this section, the AER must, in accordance with the Rules, consult with the persons or bodies specified by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AER may publish a report prepared under this section on its website.</w:t>
      </w:r>
    </w:p>
    <w:p>
      <w:pPr>
        <w:pStyle w:val="Heading4"/>
      </w:pPr>
      <w:bookmarkStart w:id="306" w:name="_Toc501633915"/>
      <w:bookmarkStart w:id="307" w:name="_Toc501712811"/>
      <w:bookmarkStart w:id="308" w:name="_Toc536782005"/>
      <w:r>
        <w:t>Division 6 — Miscellaneous matters</w:t>
      </w:r>
      <w:bookmarkEnd w:id="306"/>
      <w:bookmarkEnd w:id="307"/>
      <w:bookmarkEnd w:id="308"/>
    </w:p>
    <w:p>
      <w:pPr>
        <w:pStyle w:val="Heading5"/>
      </w:pPr>
      <w:bookmarkStart w:id="309" w:name="_Toc536782006"/>
      <w:r>
        <w:rPr>
          <w:rStyle w:val="CharSectno"/>
        </w:rPr>
        <w:t>65</w:t>
      </w:r>
      <w:r>
        <w:t>.</w:t>
      </w:r>
      <w:r>
        <w:tab/>
        <w:t>Consideration by the AER of submissions or comments made to it under this Law or the Rules</w:t>
      </w:r>
      <w:bookmarkEnd w:id="309"/>
    </w:p>
    <w:p>
      <w:pPr>
        <w:keepNext/>
        <w:keepLines/>
        <w:autoSpaceDE w:val="0"/>
        <w:autoSpaceDN w:val="0"/>
        <w:adjustRightInd w:val="0"/>
        <w:spacing w:before="120"/>
        <w:ind w:left="1588"/>
        <w:rPr>
          <w:color w:val="000000"/>
          <w:sz w:val="23"/>
          <w:szCs w:val="23"/>
        </w:rPr>
      </w:pPr>
      <w:r>
        <w:rPr>
          <w:color w:val="000000"/>
          <w:sz w:val="23"/>
          <w:szCs w:val="23"/>
        </w:rPr>
        <w:t>If, under this Law or the Rules, the AER publishes a notice inviting submissions in relation to the making of an AER economic regulatory decision, the AER, in making the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consider every submission it receives within the period specified in the notice;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but need not, consider a submission it receives after the period specified in the notice expires.</w:t>
      </w:r>
    </w:p>
    <w:p>
      <w:pPr>
        <w:pStyle w:val="Heading5"/>
      </w:pPr>
      <w:bookmarkStart w:id="310" w:name="_Toc536782007"/>
      <w:r>
        <w:rPr>
          <w:rStyle w:val="CharSectno"/>
        </w:rPr>
        <w:t>66</w:t>
      </w:r>
      <w:r>
        <w:t>.</w:t>
      </w:r>
      <w:r>
        <w:tab/>
        <w:t>Use of information provided under a notice under Division 3 or a regulatory information instrument</w:t>
      </w:r>
      <w:bookmarkEnd w:id="310"/>
    </w:p>
    <w:p>
      <w:pPr>
        <w:keepLines/>
        <w:autoSpaceDE w:val="0"/>
        <w:autoSpaceDN w:val="0"/>
        <w:adjustRightInd w:val="0"/>
        <w:spacing w:before="120"/>
        <w:ind w:left="1588"/>
        <w:rPr>
          <w:color w:val="000000"/>
          <w:sz w:val="23"/>
          <w:szCs w:val="23"/>
        </w:rPr>
      </w:pPr>
      <w:r>
        <w:rPr>
          <w:color w:val="000000"/>
          <w:sz w:val="23"/>
          <w:szCs w:val="23"/>
        </w:rPr>
        <w:t>The AER may use information provided to it by a person in compliance with a notice under section 42 or a regulatory information instrument for any purpose connected with the performance or exercise of a function or power of the AER under this Law or the Rules.</w:t>
      </w:r>
    </w:p>
    <w:p>
      <w:pPr>
        <w:pStyle w:val="Heading5"/>
      </w:pPr>
      <w:bookmarkStart w:id="311" w:name="_Toc536782008"/>
      <w:r>
        <w:rPr>
          <w:rStyle w:val="CharSectno"/>
        </w:rPr>
        <w:t>67</w:t>
      </w:r>
      <w:r>
        <w:t>.</w:t>
      </w:r>
      <w:r>
        <w:tab/>
        <w:t>AER to inform certain persons of decisions not to investigate breaches, institute proceedings or serve infringement notices</w:t>
      </w:r>
      <w:bookmarkEnd w:id="31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AER is given information by any person in relation to a breach or a possible breach of this Law, the Regulations or the Rules by a person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decides not to investigate that breach or possible breach;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following an investigation, decides not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institute any proceedings under Chapter 8 in respect of that breach or possible breach;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serve an infringement notice in accordance with Chapter 8 Part 7 in respect of that breach or possible breach,</w:t>
      </w:r>
    </w:p>
    <w:p>
      <w:pPr>
        <w:keepLines/>
        <w:autoSpaceDE w:val="0"/>
        <w:autoSpaceDN w:val="0"/>
        <w:adjustRightInd w:val="0"/>
        <w:spacing w:before="120"/>
        <w:ind w:left="2382"/>
        <w:rPr>
          <w:color w:val="000000"/>
          <w:sz w:val="23"/>
          <w:szCs w:val="23"/>
        </w:rPr>
      </w:pPr>
      <w:r>
        <w:rPr>
          <w:color w:val="000000"/>
          <w:sz w:val="23"/>
          <w:szCs w:val="23"/>
        </w:rPr>
        <w:t>the AER must notify that person of that decision in writing.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This section does not apply if the person gave the information to the AER anonymously.</w:t>
      </w:r>
    </w:p>
    <w:p>
      <w:pPr>
        <w:pStyle w:val="Heading5"/>
      </w:pPr>
      <w:bookmarkStart w:id="312" w:name="_Toc536782009"/>
      <w:r>
        <w:rPr>
          <w:rStyle w:val="CharSectno"/>
        </w:rPr>
        <w:t>68</w:t>
      </w:r>
      <w:r>
        <w:t>.</w:t>
      </w:r>
      <w:r>
        <w:tab/>
        <w:t>AER enforcement guidelines</w:t>
      </w:r>
      <w:bookmarkEnd w:id="31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prepare guidelines about the matters it will have regard to before—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making an application under section 231;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serving an infringement notice under section 277.</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must publish guidelines prepared under subsection (1) on its website.</w:t>
      </w:r>
    </w:p>
    <w:p>
      <w:pPr>
        <w:pStyle w:val="Heading5"/>
      </w:pPr>
      <w:bookmarkStart w:id="313" w:name="_Toc536782010"/>
      <w:r>
        <w:rPr>
          <w:rStyle w:val="CharSectno"/>
        </w:rPr>
        <w:t>68C</w:t>
      </w:r>
      <w:r>
        <w:t>.</w:t>
      </w:r>
      <w:r>
        <w:tab/>
        <w:t>Record of designated reviewable regulatory decisions</w:t>
      </w:r>
      <w:bookmarkEnd w:id="31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must, in making a designated reviewable regulatory decision, keep a written record of decision related matter.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In this section — </w:t>
      </w:r>
    </w:p>
    <w:p>
      <w:pPr>
        <w:keepLines/>
        <w:autoSpaceDE w:val="0"/>
        <w:autoSpaceDN w:val="0"/>
        <w:adjustRightInd w:val="0"/>
        <w:spacing w:before="120"/>
        <w:ind w:left="1588"/>
        <w:rPr>
          <w:color w:val="000000"/>
          <w:sz w:val="23"/>
          <w:szCs w:val="23"/>
        </w:rPr>
      </w:pPr>
      <w:r>
        <w:rPr>
          <w:rStyle w:val="CharDefText"/>
          <w:sz w:val="23"/>
          <w:szCs w:val="23"/>
        </w:rPr>
        <w:t>decision related matter</w:t>
      </w:r>
      <w:r>
        <w:rPr>
          <w:color w:val="000000"/>
          <w:sz w:val="23"/>
          <w:szCs w:val="23"/>
        </w:rPr>
        <w:t xml:space="preserve">, in relation to a designated reviewable regulatory decision, means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decision and the written record of it and any written reasons for it (including (if relevant) the reasons of the AER for a decision of the AER not to approve the access arrangement or proposed revisions to the applicable access arrangement (as the case may be));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document, proposal or information required or allowed under the Rules to be submitted as part of the process for the making of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written submissions made to the AER after the proposed access arrangement or proposed revisions to the applicable access arrangement (as the case may be) to which the decision relates were submitted to the AER and before the decision was made;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reports and materials (including (but not limited to) consultant reports, data sets, models or other documents) considered by the AER in making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draft of the decision that has been released for public consultation (including (if relevant) a draft of the reasons of the AER for a decision of the AER not to approve the access arrangement or proposed revisions to the applicable access arrangement (as the case may be));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any submissions on the draft of the decision or the decision itself (including (if relevant) submissions on the draft of the reasons of the AER for a decision of the AER not to approve the access arrangement or proposed revisions to the applicable access arrangement (as the case may be)) considered by the AER;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the transcript of any hearing (if any) conducted by the AER for the purpose of making the decision.</w:t>
      </w:r>
    </w:p>
    <w:p>
      <w:pPr>
        <w:pStyle w:val="Footnotesection"/>
        <w:rPr>
          <w:szCs w:val="23"/>
        </w:rPr>
      </w:pPr>
      <w:r>
        <w:tab/>
        <w:t>[Section 68C inserted see SA Act No. 79 of 2013 s. 21 and WA Gazette 14 Mar 2014 p. 632.]</w:t>
      </w:r>
    </w:p>
    <w:p>
      <w:pPr>
        <w:pStyle w:val="Heading3"/>
        <w:keepLines/>
      </w:pPr>
      <w:bookmarkStart w:id="314" w:name="_Toc501633921"/>
      <w:bookmarkStart w:id="315" w:name="_Toc501712817"/>
      <w:bookmarkStart w:id="316" w:name="_Toc536782011"/>
      <w:r>
        <w:rPr>
          <w:rStyle w:val="CharDivNo"/>
        </w:rPr>
        <w:t>Part 1A</w:t>
      </w:r>
      <w:r>
        <w:t xml:space="preserve"> — </w:t>
      </w:r>
      <w:r>
        <w:rPr>
          <w:rStyle w:val="CharDivText"/>
        </w:rPr>
        <w:t>Functions and powers of WA arbitrator</w:t>
      </w:r>
      <w:bookmarkEnd w:id="314"/>
      <w:bookmarkEnd w:id="315"/>
      <w:bookmarkEnd w:id="316"/>
    </w:p>
    <w:p>
      <w:pPr>
        <w:pStyle w:val="Footnotesection"/>
        <w:keepNext/>
      </w:pPr>
      <w:r>
        <w:tab/>
        <w:t>[Heading inserted: WA Act Sch. 1 cl. 8.]</w:t>
      </w:r>
    </w:p>
    <w:p>
      <w:pPr>
        <w:pStyle w:val="Heading5"/>
      </w:pPr>
      <w:bookmarkStart w:id="317" w:name="_Toc536782012"/>
      <w:r>
        <w:rPr>
          <w:rStyle w:val="CharSectno"/>
        </w:rPr>
        <w:t>68A</w:t>
      </w:r>
      <w:r>
        <w:t>.</w:t>
      </w:r>
      <w:r>
        <w:tab/>
        <w:t>Manner in which WA arbitrator must perform or exercise certain functions or powers</w:t>
      </w:r>
      <w:bookmarkEnd w:id="31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WA arbitrator must, in performing or exercising a function or power that relates to an access determination, perform or exercise that function or power in a manner that will or is likely to contribute to the achievement of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the WA arbitrator—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take into account the revenue and pricing principles when making an access determination relating to a rate or charge for a pipeline service;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take into account the revenue and pricing principles when performing or exercising any other function or power that relates to an access determination, if the WA arbitrator considers it appropriate to do so.</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purposes of subsection (2)(a), a reference to a reference service in the revenue and pricing principles must be read as a reference to a pipeline service.</w:t>
      </w:r>
    </w:p>
    <w:p>
      <w:pPr>
        <w:pStyle w:val="Footnotesection"/>
      </w:pPr>
      <w:r>
        <w:tab/>
        <w:t>[Section 68A inserted: WA Act Sch. 1 cl. 8.]</w:t>
      </w:r>
    </w:p>
    <w:p>
      <w:pPr>
        <w:pStyle w:val="Heading3"/>
      </w:pPr>
      <w:bookmarkStart w:id="318" w:name="_Toc501633923"/>
      <w:bookmarkStart w:id="319" w:name="_Toc501712819"/>
      <w:bookmarkStart w:id="320" w:name="_Toc536782013"/>
      <w:r>
        <w:rPr>
          <w:rStyle w:val="CharDivNo"/>
        </w:rPr>
        <w:t>Part 2</w:t>
      </w:r>
      <w:r>
        <w:t xml:space="preserve"> — </w:t>
      </w:r>
      <w:r>
        <w:rPr>
          <w:rStyle w:val="CharDivText"/>
        </w:rPr>
        <w:t>Functions and powers of the Australian Energy Market Commission</w:t>
      </w:r>
      <w:bookmarkEnd w:id="318"/>
      <w:bookmarkEnd w:id="319"/>
      <w:bookmarkEnd w:id="320"/>
    </w:p>
    <w:p>
      <w:pPr>
        <w:pStyle w:val="Heading4"/>
      </w:pPr>
      <w:bookmarkStart w:id="321" w:name="_Toc501633924"/>
      <w:bookmarkStart w:id="322" w:name="_Toc501712820"/>
      <w:bookmarkStart w:id="323" w:name="_Toc536782014"/>
      <w:r>
        <w:t>Division 1 — General</w:t>
      </w:r>
      <w:bookmarkEnd w:id="321"/>
      <w:bookmarkEnd w:id="322"/>
      <w:bookmarkEnd w:id="323"/>
    </w:p>
    <w:p>
      <w:pPr>
        <w:pStyle w:val="Heading5"/>
      </w:pPr>
      <w:bookmarkStart w:id="324" w:name="_Toc536782015"/>
      <w:r>
        <w:rPr>
          <w:rStyle w:val="CharSectno"/>
        </w:rPr>
        <w:t>69</w:t>
      </w:r>
      <w:r>
        <w:t>.</w:t>
      </w:r>
      <w:r>
        <w:tab/>
        <w:t>Functions and powers of the AEMC</w:t>
      </w:r>
      <w:bookmarkEnd w:id="32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has the following functions and powers: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Rule making functions and powers conferred on it under this Law and the Regulations;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market development functions conferred on it under this Law and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functions and powers conferred on it under this Law and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has power to do all things necessary or convenient to be done for or in connection with the performance of its functions.</w:t>
      </w:r>
    </w:p>
    <w:p>
      <w:pPr>
        <w:pStyle w:val="Heading5"/>
      </w:pPr>
      <w:bookmarkStart w:id="325" w:name="_Toc536782016"/>
      <w:r>
        <w:rPr>
          <w:rStyle w:val="CharSectno"/>
        </w:rPr>
        <w:t>70</w:t>
      </w:r>
      <w:r>
        <w:t>.</w:t>
      </w:r>
      <w:r>
        <w:tab/>
        <w:t>Delegations</w:t>
      </w:r>
      <w:bookmarkEnd w:id="325"/>
    </w:p>
    <w:p>
      <w:pPr>
        <w:keepLines/>
        <w:autoSpaceDE w:val="0"/>
        <w:autoSpaceDN w:val="0"/>
        <w:adjustRightInd w:val="0"/>
        <w:spacing w:before="120"/>
        <w:ind w:left="1588"/>
        <w:rPr>
          <w:color w:val="000000"/>
          <w:sz w:val="23"/>
          <w:szCs w:val="23"/>
        </w:rPr>
      </w:pPr>
      <w:r>
        <w:rPr>
          <w:color w:val="000000"/>
          <w:sz w:val="23"/>
          <w:szCs w:val="23"/>
        </w:rPr>
        <w:t xml:space="preserve">Any delegation by the AEMC under section 20 of the </w:t>
      </w:r>
      <w:r>
        <w:rPr>
          <w:i/>
          <w:iCs/>
          <w:color w:val="000000"/>
          <w:sz w:val="23"/>
          <w:szCs w:val="23"/>
        </w:rPr>
        <w:t>Australian Energy Market Commission Establishment Act 2004</w:t>
      </w:r>
      <w:r>
        <w:rPr>
          <w:color w:val="000000"/>
          <w:sz w:val="23"/>
          <w:szCs w:val="23"/>
        </w:rPr>
        <w:t xml:space="preserve"> of </w:t>
      </w:r>
      <w:smartTag w:uri="urn:schemas-microsoft-com:office:smarttags" w:element="State">
        <w:smartTag w:uri="urn:schemas-microsoft-com:office:smarttags" w:element="place">
          <w:r>
            <w:rPr>
              <w:color w:val="000000"/>
              <w:sz w:val="23"/>
              <w:szCs w:val="23"/>
            </w:rPr>
            <w:t>South Australia</w:t>
          </w:r>
        </w:smartTag>
      </w:smartTag>
      <w:r>
        <w:rPr>
          <w:color w:val="000000"/>
          <w:sz w:val="23"/>
          <w:szCs w:val="23"/>
        </w:rPr>
        <w:t xml:space="preserve"> extends to, and has effect for the purposes of, this Law, the Regulations and the Rules.</w:t>
      </w:r>
    </w:p>
    <w:p>
      <w:pPr>
        <w:pStyle w:val="Heading5"/>
      </w:pPr>
      <w:bookmarkStart w:id="326" w:name="_Toc536782017"/>
      <w:r>
        <w:rPr>
          <w:rStyle w:val="CharSectno"/>
        </w:rPr>
        <w:t>71</w:t>
      </w:r>
      <w:r>
        <w:t>.</w:t>
      </w:r>
      <w:r>
        <w:tab/>
        <w:t>Confidentiality</w:t>
      </w:r>
      <w:bookmarkEnd w:id="326"/>
    </w:p>
    <w:p>
      <w:pPr>
        <w:keepLines/>
        <w:autoSpaceDE w:val="0"/>
        <w:autoSpaceDN w:val="0"/>
        <w:adjustRightInd w:val="0"/>
        <w:spacing w:before="120"/>
        <w:ind w:left="1588"/>
        <w:rPr>
          <w:color w:val="000000"/>
          <w:sz w:val="23"/>
          <w:szCs w:val="23"/>
        </w:rPr>
      </w:pPr>
      <w:r>
        <w:rPr>
          <w:color w:val="000000"/>
          <w:sz w:val="23"/>
          <w:szCs w:val="23"/>
        </w:rPr>
        <w:t xml:space="preserve">Section 24 of the </w:t>
      </w:r>
      <w:r>
        <w:rPr>
          <w:i/>
          <w:iCs/>
          <w:color w:val="000000"/>
          <w:sz w:val="23"/>
          <w:szCs w:val="23"/>
        </w:rPr>
        <w:t>Australian Energy Market Commission Establishment Act 2004</w:t>
      </w:r>
      <w:r>
        <w:rPr>
          <w:color w:val="000000"/>
          <w:sz w:val="23"/>
          <w:szCs w:val="23"/>
        </w:rPr>
        <w:t xml:space="preserve"> of </w:t>
      </w:r>
      <w:smartTag w:uri="urn:schemas-microsoft-com:office:smarttags" w:element="State">
        <w:smartTag w:uri="urn:schemas-microsoft-com:office:smarttags" w:element="place">
          <w:r>
            <w:rPr>
              <w:color w:val="000000"/>
              <w:sz w:val="23"/>
              <w:szCs w:val="23"/>
            </w:rPr>
            <w:t>South Australia</w:t>
          </w:r>
        </w:smartTag>
      </w:smartTag>
      <w:r>
        <w:rPr>
          <w:color w:val="000000"/>
          <w:sz w:val="23"/>
          <w:szCs w:val="23"/>
        </w:rPr>
        <w:t xml:space="preserve"> has effect for the purposes of this Law, the Regulations and the Rules as if it formed part of this Law.</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Chapter 10 Part 2 Division 2.</w:t>
      </w:r>
    </w:p>
    <w:p>
      <w:pPr>
        <w:pStyle w:val="Heading5"/>
      </w:pPr>
      <w:bookmarkStart w:id="327" w:name="_Toc536782018"/>
      <w:r>
        <w:rPr>
          <w:rStyle w:val="CharSectno"/>
        </w:rPr>
        <w:t>72</w:t>
      </w:r>
      <w:r>
        <w:t>.</w:t>
      </w:r>
      <w:r>
        <w:tab/>
        <w:t>AEMC must have regard to national gas objective</w:t>
      </w:r>
      <w:bookmarkEnd w:id="327"/>
    </w:p>
    <w:p>
      <w:pPr>
        <w:keepLines/>
        <w:autoSpaceDE w:val="0"/>
        <w:autoSpaceDN w:val="0"/>
        <w:adjustRightInd w:val="0"/>
        <w:spacing w:before="120"/>
        <w:ind w:left="1588"/>
        <w:rPr>
          <w:color w:val="000000"/>
          <w:sz w:val="23"/>
          <w:szCs w:val="23"/>
        </w:rPr>
      </w:pPr>
      <w:r>
        <w:rPr>
          <w:color w:val="000000"/>
          <w:sz w:val="23"/>
          <w:szCs w:val="23"/>
        </w:rPr>
        <w:t>In performing or exercising any function or power under this Law, the Regulations or the Rules, the AEMC must have regard to the national gas objective.</w:t>
      </w:r>
    </w:p>
    <w:p>
      <w:pPr>
        <w:pStyle w:val="Heading5"/>
      </w:pPr>
      <w:bookmarkStart w:id="328" w:name="_Toc536782019"/>
      <w:r>
        <w:rPr>
          <w:rStyle w:val="CharSectno"/>
        </w:rPr>
        <w:t>73</w:t>
      </w:r>
      <w:r>
        <w:t>.</w:t>
      </w:r>
      <w:r>
        <w:tab/>
        <w:t>AEMC must have regard to MCE statements of policy principles in relation to Rule making and reviews</w:t>
      </w:r>
      <w:bookmarkEnd w:id="328"/>
    </w:p>
    <w:p>
      <w:pPr>
        <w:keepNext/>
        <w:keepLines/>
        <w:autoSpaceDE w:val="0"/>
        <w:autoSpaceDN w:val="0"/>
        <w:adjustRightInd w:val="0"/>
        <w:spacing w:before="120"/>
        <w:ind w:left="1588"/>
        <w:rPr>
          <w:color w:val="000000"/>
          <w:sz w:val="23"/>
          <w:szCs w:val="23"/>
        </w:rPr>
      </w:pPr>
      <w:r>
        <w:rPr>
          <w:color w:val="000000"/>
          <w:sz w:val="23"/>
          <w:szCs w:val="23"/>
        </w:rPr>
        <w:t>The AEMC must have regard to any relevant MCE statement of policy principles—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making a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conducting a review under section 83.</w:t>
      </w:r>
    </w:p>
    <w:p>
      <w:pPr>
        <w:pStyle w:val="Heading4"/>
      </w:pPr>
      <w:bookmarkStart w:id="329" w:name="_Toc501633930"/>
      <w:bookmarkStart w:id="330" w:name="_Toc501712826"/>
      <w:bookmarkStart w:id="331" w:name="_Toc536782020"/>
      <w:r>
        <w:t>Division 2 — Rule making functions and powers of the AEMC</w:t>
      </w:r>
      <w:bookmarkEnd w:id="329"/>
      <w:bookmarkEnd w:id="330"/>
      <w:bookmarkEnd w:id="331"/>
    </w:p>
    <w:p>
      <w:pPr>
        <w:pStyle w:val="Heading5"/>
      </w:pPr>
      <w:bookmarkStart w:id="332" w:name="_Toc536782021"/>
      <w:r>
        <w:rPr>
          <w:rStyle w:val="CharSectno"/>
        </w:rPr>
        <w:t>74</w:t>
      </w:r>
      <w:r>
        <w:t>.</w:t>
      </w:r>
      <w:r>
        <w:tab/>
        <w:t>Subject matter for National Gas Rules</w:t>
      </w:r>
      <w:bookmarkEnd w:id="33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Division, the AEMC, in accordance with this Law and the Regulations, may make Rules, to be known, collectively, as the “National Gas Rules”, for or with respect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regulating—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access to pipeline services;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provision of pipeline services;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the collection, use, disclosure, copying, recording, management and publication of information in relation to natural gas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matter or thing contemplated by this Law, or is necessary or expedient for the purposes of this Law.</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The procedure for the making of a Rule by the AEMC is set out in Chapter 9 Part 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subsection (1), the AEMC, in accordance with this Law and the Regulations, may make Rules for or with respect to any matter or thing specified in Schedule 1 to this Law.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Rules made by the AEMC in accordance with this Law and the Regulations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of general or limited application;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according to the persons, times, places or circumstances to which they are expressed to apply;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confer functions or powers on, or leave any matter or thing to be decided or determined by—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AER, the AEMC or the Bulletin Board operator;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any panel or committee established by the AEMC;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any other body established, or person appointed, in accordance with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confer rights or impose obligations on any person or a class of person (other than the AER or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confer a function on the AER, the AEMC or the Bulletin Board operator to make or issue guidelines, tests, standards, procedures or any other document (however described) in accordance with the Rules, including guidelines, tests, standards, procedures or any other document (however described) that leave any matter or thing to be determined by the AER, the AEMC or the Bulletin Board operator;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empower or require any person (other than a person referred to in paragraph (e)) or body to make or issue guidelines, tests, standards, procedures or any other document (however described) in accordance with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apply, adopt or incorporate wholly or partially, or as amended by the Rules, the provisions of any standard, rule, specification, method or document (however described) formulated, issued, prescribed or published by any person, authority or body whether—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as formulated, issued, prescribed or published at the time the Rules are made or at any time before the Rules are made;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as amended from time to time;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confer a power of direction on the AER, the AEMC or the Bulletin Board operator to require a person conferred a right, or on whom an obligation is imposed, under the Rules to comply with—</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guideline, test, standard, procedure or other document (however described) referred to in paragraph (e) or (f);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standard, rule, specification, method or document (however described) referred to in paragraph (g);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(i)</w:t>
      </w:r>
      <w:r>
        <w:rPr>
          <w:color w:val="000000"/>
          <w:sz w:val="23"/>
          <w:szCs w:val="23"/>
        </w:rPr>
        <w:tab/>
        <w:t>if this section authorises or requires Rules that regulate any matter or thing, prohibit that matter or thing or any aspect of that matter of thing;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(j)</w:t>
      </w:r>
      <w:r>
        <w:rPr>
          <w:color w:val="000000"/>
          <w:sz w:val="23"/>
          <w:szCs w:val="23"/>
        </w:rPr>
        <w:tab/>
        <w:t>provide for the review of, or a right of appeal against, a decision or determination made under the Rules and for that purpose, confer jurisdiction on the Court;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(k)</w:t>
      </w:r>
      <w:r>
        <w:rPr>
          <w:color w:val="000000"/>
          <w:sz w:val="23"/>
          <w:szCs w:val="23"/>
        </w:rPr>
        <w:tab/>
        <w:t>require a form prescribed by or under the Rules, or information or documents included in, attached to or given with the form, to be verified by statutory declaration;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(l)</w:t>
      </w:r>
      <w:r>
        <w:rPr>
          <w:color w:val="000000"/>
          <w:sz w:val="23"/>
          <w:szCs w:val="23"/>
        </w:rPr>
        <w:tab/>
        <w:t>in a specified case or class of case, exempt a person or body performing or exercising a function or power, or conferred a right, or on whom an obligation is imposed, under the Rules or a class of any such person or body from complying with a provision, or a part of a provision, of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(m)</w:t>
      </w:r>
      <w:r>
        <w:rPr>
          <w:color w:val="000000"/>
          <w:sz w:val="23"/>
          <w:szCs w:val="23"/>
        </w:rPr>
        <w:tab/>
        <w:t>provide for the modification or variation of a provision of the Rules (with or without substitution of a provision of the Rules or a part of a provision of the Rules) as it applies to a person or body performing or exercising a function or power, or conferred a right, or on whom an obligation is imposed, under the Rules or a class of any such person or body;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(n)</w:t>
      </w:r>
      <w:r>
        <w:rPr>
          <w:color w:val="000000"/>
          <w:sz w:val="23"/>
          <w:szCs w:val="23"/>
        </w:rPr>
        <w:tab/>
        <w:t>confer an immunity on, or limit the liability of, any person or body performing or exercising a function or power, or conferred a right, or on whom an obligation is imposed under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(o)</w:t>
      </w:r>
      <w:r>
        <w:rPr>
          <w:color w:val="000000"/>
          <w:sz w:val="23"/>
          <w:szCs w:val="23"/>
        </w:rPr>
        <w:tab/>
        <w:t>contain provisions of a savings or transitional nature consequent on the amendment or revocation of a Rule.</w:t>
      </w:r>
    </w:p>
    <w:p>
      <w:pPr>
        <w:pStyle w:val="Heading5"/>
      </w:pPr>
      <w:bookmarkStart w:id="333" w:name="_Toc536782022"/>
      <w:r>
        <w:rPr>
          <w:rStyle w:val="CharSectno"/>
        </w:rPr>
        <w:t>75</w:t>
      </w:r>
      <w:r>
        <w:t>.</w:t>
      </w:r>
      <w:r>
        <w:tab/>
        <w:t>Rules relating to MCE or Ministers of participating jurisdictions require MCE consent</w:t>
      </w:r>
      <w:bookmarkEnd w:id="333"/>
    </w:p>
    <w:p>
      <w:pPr>
        <w:keepLines/>
        <w:autoSpaceDE w:val="0"/>
        <w:autoSpaceDN w:val="0"/>
        <w:adjustRightInd w:val="0"/>
        <w:spacing w:before="120"/>
        <w:ind w:left="1588"/>
        <w:rPr>
          <w:color w:val="000000"/>
          <w:sz w:val="23"/>
          <w:szCs w:val="23"/>
        </w:rPr>
      </w:pPr>
      <w:r>
        <w:rPr>
          <w:color w:val="000000"/>
          <w:sz w:val="23"/>
          <w:szCs w:val="23"/>
        </w:rPr>
        <w:t>The AEMC must not, without the consent of the MCE, make a Rule that confers a right or function, or imposes an obligation, on the MCE or a Minister of a participating jurisdiction.</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 xml:space="preserve">The term </w:t>
      </w:r>
      <w:r>
        <w:rPr>
          <w:b/>
          <w:bCs/>
          <w:i/>
          <w:iCs/>
          <w:color w:val="000000"/>
          <w:sz w:val="20"/>
        </w:rPr>
        <w:t>function</w:t>
      </w:r>
      <w:r>
        <w:rPr>
          <w:color w:val="000000"/>
          <w:sz w:val="20"/>
        </w:rPr>
        <w:t xml:space="preserve"> is defined in clause 10 of Schedule 2 to this Law to include “duty”.</w:t>
      </w:r>
    </w:p>
    <w:p>
      <w:pPr>
        <w:pStyle w:val="Heading5"/>
      </w:pPr>
      <w:bookmarkStart w:id="334" w:name="_Toc536782023"/>
      <w:r>
        <w:rPr>
          <w:rStyle w:val="CharSectno"/>
        </w:rPr>
        <w:t>76</w:t>
      </w:r>
      <w:r>
        <w:t>.</w:t>
      </w:r>
      <w:r>
        <w:tab/>
        <w:t>AEMC must not make Rules that create criminal offences or impose civil penalties for breaches</w:t>
      </w:r>
      <w:bookmarkEnd w:id="334"/>
    </w:p>
    <w:p>
      <w:pPr>
        <w:keepNext/>
        <w:keepLines/>
        <w:autoSpaceDE w:val="0"/>
        <w:autoSpaceDN w:val="0"/>
        <w:adjustRightInd w:val="0"/>
        <w:spacing w:before="120"/>
        <w:ind w:left="1588"/>
        <w:rPr>
          <w:color w:val="000000"/>
          <w:sz w:val="23"/>
          <w:szCs w:val="23"/>
        </w:rPr>
      </w:pPr>
      <w:r>
        <w:rPr>
          <w:color w:val="000000"/>
          <w:sz w:val="23"/>
          <w:szCs w:val="23"/>
        </w:rPr>
        <w:t>The AEMC must not make a Rule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creates an offence for a breach of a provision of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provides for a criminal penalty or civil penalty for a breach of a provision of the Rules.</w:t>
      </w:r>
    </w:p>
    <w:p>
      <w:pPr>
        <w:pStyle w:val="Heading5"/>
      </w:pPr>
      <w:bookmarkStart w:id="335" w:name="_Toc536782024"/>
      <w:r>
        <w:rPr>
          <w:rStyle w:val="CharSectno"/>
        </w:rPr>
        <w:t>77</w:t>
      </w:r>
      <w:r>
        <w:t>.</w:t>
      </w:r>
      <w:r>
        <w:tab/>
        <w:t>Documents etc applied, adopted and incorporated by Rules to be publicly available</w:t>
      </w:r>
      <w:bookmarkEnd w:id="33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must make publicly available—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every standard, rule, specification, method or document (however described) formulated, issued, prescribed or published by any person, authority or body that is applied, adopted or incorporated by a Rule;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a standard, rule, specification, method or document (however described) formulated, issued, prescribed or published by any person, authority or body is applied, adopted or incorporated by a Rule as amended from time to time—any amendment to that standard, rule, specification, method or document.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the AEMC makes a standard, rule, specification, method or document (however described) formulated, issued, prescribed or published by any person, authority or body applied, adopted or incorporated by any Rule publicly available if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publishes the standard, rule, specification, method or document on the AEMC’s website;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specifies a place from which the standard, rule, specification, method or document may be obtained or purchased (as the case requires).</w:t>
      </w:r>
    </w:p>
    <w:p>
      <w:pPr>
        <w:pStyle w:val="Heading4"/>
      </w:pPr>
      <w:bookmarkStart w:id="336" w:name="_Toc501633935"/>
      <w:bookmarkStart w:id="337" w:name="_Toc501712831"/>
      <w:bookmarkStart w:id="338" w:name="_Toc536782025"/>
      <w:r>
        <w:t>Division 3 — Committees, panels and working groups of the AEMC</w:t>
      </w:r>
      <w:bookmarkEnd w:id="336"/>
      <w:bookmarkEnd w:id="337"/>
      <w:bookmarkEnd w:id="338"/>
    </w:p>
    <w:p>
      <w:pPr>
        <w:pStyle w:val="Heading5"/>
      </w:pPr>
      <w:bookmarkStart w:id="339" w:name="_Toc536782026"/>
      <w:r>
        <w:rPr>
          <w:rStyle w:val="CharSectno"/>
        </w:rPr>
        <w:t>78</w:t>
      </w:r>
      <w:r>
        <w:t>.</w:t>
      </w:r>
      <w:r>
        <w:tab/>
        <w:t>Establishment of committees, panels and working groups</w:t>
      </w:r>
      <w:bookmarkEnd w:id="339"/>
    </w:p>
    <w:p>
      <w:pPr>
        <w:keepNext/>
        <w:keepLines/>
        <w:autoSpaceDE w:val="0"/>
        <w:autoSpaceDN w:val="0"/>
        <w:adjustRightInd w:val="0"/>
        <w:spacing w:before="120"/>
        <w:ind w:left="1588"/>
        <w:rPr>
          <w:color w:val="000000"/>
          <w:sz w:val="23"/>
          <w:szCs w:val="23"/>
        </w:rPr>
      </w:pPr>
      <w:r>
        <w:rPr>
          <w:color w:val="000000"/>
          <w:sz w:val="23"/>
          <w:szCs w:val="23"/>
        </w:rPr>
        <w:t>The AEMC may establish committees, panels and working groups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advice on specified aspects of the AEMC’s functions;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undertake any other activity in relation to the AEMC’s functions as is specified by the AEMC.</w:t>
      </w:r>
    </w:p>
    <w:p>
      <w:pPr>
        <w:pStyle w:val="Heading4"/>
      </w:pPr>
      <w:bookmarkStart w:id="340" w:name="_Toc501633937"/>
      <w:bookmarkStart w:id="341" w:name="_Toc501712833"/>
      <w:bookmarkStart w:id="342" w:name="_Toc536782027"/>
      <w:r>
        <w:t>Division 4 — MCE directed reviews</w:t>
      </w:r>
      <w:bookmarkEnd w:id="340"/>
      <w:bookmarkEnd w:id="341"/>
      <w:bookmarkEnd w:id="342"/>
    </w:p>
    <w:p>
      <w:pPr>
        <w:pStyle w:val="Heading5"/>
      </w:pPr>
      <w:bookmarkStart w:id="343" w:name="_Toc536782028"/>
      <w:r>
        <w:rPr>
          <w:rStyle w:val="CharSectno"/>
        </w:rPr>
        <w:t>79</w:t>
      </w:r>
      <w:r>
        <w:t>.</w:t>
      </w:r>
      <w:r>
        <w:tab/>
        <w:t>MCE directions</w:t>
      </w:r>
      <w:bookmarkEnd w:id="34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MCE may give a written direction to the AEMC that the AEMC conduct a review into—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any matter relating to a market for gas (including services provided in a market for gas);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matter relating to access to pipelines or to pipeline services provided by means of pipelines;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operation and effectiveness of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matter relating to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effectiveness of competition in a market for gas for the purpose of giving advice about whether to retain, remove or reintroduce price controls on prices for retail gas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direction given to the AEMC under this section is binding on the AEMC and must be complied with despite anything to the contrary in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direction given under this section must be published in the South Australian Government Gazette.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AEMC must cause a direction given under this section to be published on its website.</w:t>
      </w:r>
    </w:p>
    <w:p>
      <w:pPr>
        <w:pStyle w:val="Heading5"/>
      </w:pPr>
      <w:bookmarkStart w:id="344" w:name="_Toc536782029"/>
      <w:r>
        <w:rPr>
          <w:rStyle w:val="CharSectno"/>
        </w:rPr>
        <w:t>80</w:t>
      </w:r>
      <w:r>
        <w:t>.</w:t>
      </w:r>
      <w:r>
        <w:tab/>
        <w:t>Terms of reference</w:t>
      </w:r>
      <w:bookmarkEnd w:id="34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terms of reference of a MCE directed review will be as specified in the direction given by the MCE.</w:t>
      </w:r>
    </w:p>
    <w:p>
      <w:pPr>
        <w:keepNext/>
        <w:keepLines/>
        <w:autoSpaceDE w:val="0"/>
        <w:autoSpaceDN w:val="0"/>
        <w:adjustRightInd w:val="0"/>
        <w:spacing w:before="120"/>
        <w:ind w:left="2382" w:hanging="794"/>
        <w:rPr>
          <w:b/>
          <w:bCs/>
          <w:color w:val="000000"/>
          <w:sz w:val="20"/>
        </w:rPr>
      </w:pPr>
      <w:r>
        <w:rPr>
          <w:b/>
          <w:bCs/>
          <w:color w:val="000000"/>
          <w:sz w:val="20"/>
        </w:rPr>
        <w:t>Example—</w:t>
      </w:r>
    </w:p>
    <w:p>
      <w:pPr>
        <w:keepNext/>
        <w:keepLines/>
        <w:autoSpaceDE w:val="0"/>
        <w:autoSpaceDN w:val="0"/>
        <w:adjustRightInd w:val="0"/>
        <w:spacing w:before="120"/>
        <w:ind w:left="2382"/>
        <w:rPr>
          <w:color w:val="000000"/>
          <w:sz w:val="20"/>
        </w:rPr>
      </w:pPr>
      <w:r>
        <w:rPr>
          <w:color w:val="000000"/>
          <w:sz w:val="20"/>
        </w:rPr>
        <w:t>The terms of reference may require a MCE directed review to be conducted—</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(a)</w:t>
      </w:r>
      <w:r>
        <w:rPr>
          <w:color w:val="000000"/>
          <w:sz w:val="20"/>
        </w:rPr>
        <w:tab/>
        <w:t>about a specific matter within a specified time; or</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(b)</w:t>
      </w:r>
      <w:r>
        <w:rPr>
          <w:color w:val="000000"/>
          <w:sz w:val="20"/>
        </w:rPr>
        <w:tab/>
        <w:t>whenever a specified event occurs; or</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(c)</w:t>
      </w:r>
      <w:r>
        <w:rPr>
          <w:color w:val="000000"/>
          <w:sz w:val="20"/>
        </w:rPr>
        <w:tab/>
        <w:t>on an annual basis.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subsection (1), the MCE may in its direction to the AEMC do 1 or more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require the AEMC to give a report on a MCE directed review to the MCE within a specified period;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require the AEMC to make the report on a MCE directed review publicly available or available to specified persons or bodies;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require the AEMC to make a draft report publicly available or available to specified persons or bodies during a MCE directed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require the AEMC to consider specified matters in the conduct of a MCE directed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require the AEMC to have specified objectives in the conduct of a MCE directed review which need not be limited by the national gas objective;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require the AEMC to assess a particular matter in relation to services provided in a market for gas against specified criteria or a specified methodology;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require the AEMC—</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to assess a particular matter in relation to services provided in a market for gas;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to develop appropriate and relevant criteria, or an appropriate and relevant methodology, for the purpose of the required assessment;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give the AEMC other specific directions in respect of the conduct of a MCE directed review.</w:t>
      </w:r>
    </w:p>
    <w:p>
      <w:pPr>
        <w:pStyle w:val="Heading5"/>
      </w:pPr>
      <w:bookmarkStart w:id="345" w:name="_Toc536782030"/>
      <w:r>
        <w:rPr>
          <w:rStyle w:val="CharSectno"/>
        </w:rPr>
        <w:t>81</w:t>
      </w:r>
      <w:r>
        <w:t>.</w:t>
      </w:r>
      <w:r>
        <w:tab/>
        <w:t>Notice of MCE directed review</w:t>
      </w:r>
      <w:bookmarkEnd w:id="34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AEMC must publish notice of a MCE directed review on its website and in a newspaper circulating generally throughout </w:t>
      </w:r>
      <w:smartTag w:uri="urn:schemas-microsoft-com:office:smarttags" w:element="country-region">
        <w:r>
          <w:rPr>
            <w:color w:val="000000"/>
            <w:sz w:val="23"/>
            <w:szCs w:val="23"/>
          </w:rPr>
          <w:t>Australia</w:t>
        </w:r>
      </w:smartTag>
      <w:r>
        <w:rPr>
          <w:color w:val="000000"/>
          <w:sz w:val="23"/>
          <w:szCs w:val="23"/>
        </w:rPr>
        <w: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must publish a further such notice if a term of reference or a requirement or direction relating to the MCE directed review is varied.</w:t>
      </w:r>
    </w:p>
    <w:p>
      <w:pPr>
        <w:pStyle w:val="Heading5"/>
      </w:pPr>
      <w:bookmarkStart w:id="346" w:name="_Toc536782031"/>
      <w:r>
        <w:rPr>
          <w:rStyle w:val="CharSectno"/>
        </w:rPr>
        <w:t>82</w:t>
      </w:r>
      <w:r>
        <w:t>.</w:t>
      </w:r>
      <w:r>
        <w:tab/>
        <w:t>Conduct of MCE directed review</w:t>
      </w:r>
      <w:bookmarkEnd w:id="346"/>
    </w:p>
    <w:p>
      <w:pPr>
        <w:keepNext/>
        <w:keepLines/>
        <w:autoSpaceDE w:val="0"/>
        <w:autoSpaceDN w:val="0"/>
        <w:adjustRightInd w:val="0"/>
        <w:spacing w:before="120"/>
        <w:ind w:left="1588"/>
        <w:rPr>
          <w:color w:val="000000"/>
          <w:sz w:val="23"/>
          <w:szCs w:val="23"/>
        </w:rPr>
      </w:pPr>
      <w:r>
        <w:rPr>
          <w:color w:val="000000"/>
          <w:sz w:val="23"/>
          <w:szCs w:val="23"/>
        </w:rPr>
        <w:t>Subject to any requirement or direction of the MCE, a MCE directed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be conducted in such manner as the AEMC considers appropriate;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(but need not) involve public hearings.</w:t>
      </w:r>
    </w:p>
    <w:p>
      <w:pPr>
        <w:pStyle w:val="Heading4"/>
      </w:pPr>
      <w:bookmarkStart w:id="347" w:name="_Toc501633942"/>
      <w:bookmarkStart w:id="348" w:name="_Toc501712838"/>
      <w:bookmarkStart w:id="349" w:name="_Toc536782032"/>
      <w:r>
        <w:t>Division 5 — Other reviews</w:t>
      </w:r>
      <w:bookmarkEnd w:id="347"/>
      <w:bookmarkEnd w:id="348"/>
      <w:bookmarkEnd w:id="349"/>
    </w:p>
    <w:p>
      <w:pPr>
        <w:pStyle w:val="Heading5"/>
      </w:pPr>
      <w:bookmarkStart w:id="350" w:name="_Toc536782033"/>
      <w:r>
        <w:rPr>
          <w:rStyle w:val="CharSectno"/>
        </w:rPr>
        <w:t>83</w:t>
      </w:r>
      <w:r>
        <w:t>.</w:t>
      </w:r>
      <w:r>
        <w:tab/>
        <w:t>Rule reviews by the AEMC</w:t>
      </w:r>
      <w:bookmarkEnd w:id="35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conduct a review into—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operation and effectiveness of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matter relating to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be conducted in such manner as the AEMC considers appropriate;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(but need not) involve public hearings.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During the course of a review, the AEMC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consult with any person or body that it considers appropriate;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establish working groups to assist it in relation to any aspect, or any matter or thing that is the subject of, the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commission reports by other persons on its behalf on any aspect, or matter or thing that is the subject of, the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publish discussion papers or draft reports.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At the completion of a review, the AEMC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 a copy of the report to the MCE;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publish a report or a version of a report from which confidential information has been omitted in accordance with section 331.</w:t>
      </w:r>
    </w:p>
    <w:p>
      <w:pPr>
        <w:pStyle w:val="Heading4"/>
      </w:pPr>
      <w:bookmarkStart w:id="351" w:name="_Toc501633944"/>
      <w:bookmarkStart w:id="352" w:name="_Toc501712840"/>
      <w:bookmarkStart w:id="353" w:name="_Toc536782034"/>
      <w:r>
        <w:t>Division 6 — Miscellaneous matters</w:t>
      </w:r>
      <w:bookmarkEnd w:id="351"/>
      <w:bookmarkEnd w:id="352"/>
      <w:bookmarkEnd w:id="353"/>
    </w:p>
    <w:p>
      <w:pPr>
        <w:pStyle w:val="Heading5"/>
      </w:pPr>
      <w:bookmarkStart w:id="354" w:name="_Toc536782035"/>
      <w:r>
        <w:rPr>
          <w:rStyle w:val="CharSectno"/>
        </w:rPr>
        <w:t>83A</w:t>
      </w:r>
      <w:r>
        <w:t>.</w:t>
      </w:r>
      <w:r>
        <w:tab/>
        <w:t>Special information and transparency requirements relating to non</w:t>
      </w:r>
      <w:r>
        <w:noBreakHyphen/>
        <w:t>scheme pipelines</w:t>
      </w:r>
      <w:bookmarkEnd w:id="35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section—</w:t>
      </w:r>
    </w:p>
    <w:p>
      <w:pPr>
        <w:keepLines/>
        <w:autoSpaceDE w:val="0"/>
        <w:autoSpaceDN w:val="0"/>
        <w:adjustRightInd w:val="0"/>
        <w:spacing w:before="120"/>
        <w:ind w:left="1588"/>
        <w:rPr>
          <w:color w:val="000000"/>
          <w:sz w:val="23"/>
          <w:szCs w:val="23"/>
        </w:rPr>
      </w:pPr>
      <w:r>
        <w:rPr>
          <w:b/>
          <w:bCs/>
          <w:i/>
          <w:iCs/>
          <w:color w:val="000000"/>
          <w:sz w:val="23"/>
          <w:szCs w:val="23"/>
        </w:rPr>
        <w:t>non-scheme pipeline</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transmission pipeline that is not a scheme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distribution pipeline that is not a scheme pipeline.</w:t>
      </w:r>
    </w:p>
    <w:p>
      <w:pPr>
        <w:keepNext/>
        <w:keepLines/>
        <w:tabs>
          <w:tab w:val="center" w:pos="1191"/>
          <w:tab w:val="left" w:pos="1588"/>
        </w:tabs>
        <w:autoSpaceDE w:val="0"/>
        <w:autoSpaceDN w:val="0"/>
        <w:adjustRightInd w:val="0"/>
        <w:spacing w:before="120"/>
        <w:ind w:left="1588" w:hanging="794"/>
        <w:rPr>
          <w:color w:val="000000"/>
          <w:sz w:val="23"/>
          <w:szCs w:val="23"/>
        </w:rPr>
      </w:pPr>
      <w:bookmarkStart w:id="355" w:name="id16e1e13e_cfde_4d18_b3fc_94e5a9dfd8"/>
      <w:r>
        <w:rPr>
          <w:color w:val="000000"/>
          <w:sz w:val="23"/>
          <w:szCs w:val="23"/>
        </w:rPr>
        <w:tab/>
        <w:t>(2)</w:t>
      </w:r>
      <w:r>
        <w:rPr>
          <w:color w:val="000000"/>
          <w:sz w:val="23"/>
          <w:szCs w:val="23"/>
        </w:rPr>
        <w:tab/>
        <w:t>Without limiting any other provision, the Rules may provide for such things as—</w:t>
      </w:r>
      <w:bookmarkEnd w:id="355"/>
    </w:p>
    <w:p>
      <w:pPr>
        <w:keepLines/>
        <w:tabs>
          <w:tab w:val="center" w:pos="1985"/>
          <w:tab w:val="left" w:pos="2382"/>
        </w:tabs>
        <w:autoSpaceDE w:val="0"/>
        <w:autoSpaceDN w:val="0"/>
        <w:adjustRightInd w:val="0"/>
        <w:spacing w:before="120"/>
        <w:ind w:left="2382" w:hanging="794"/>
        <w:rPr>
          <w:color w:val="000000"/>
          <w:sz w:val="23"/>
          <w:szCs w:val="23"/>
        </w:rPr>
      </w:pPr>
      <w:bookmarkStart w:id="356" w:name="ide1523334_7c87_472c_83af_88551bd104"/>
      <w:r>
        <w:rPr>
          <w:color w:val="000000"/>
          <w:sz w:val="23"/>
          <w:szCs w:val="23"/>
        </w:rPr>
        <w:tab/>
        <w:t>(a)</w:t>
      </w:r>
      <w:r>
        <w:rPr>
          <w:color w:val="000000"/>
          <w:sz w:val="23"/>
          <w:szCs w:val="23"/>
        </w:rPr>
        <w:tab/>
        <w:t>the collection, disclosure, verification, management and publication of information in relation to services that may be provided by a non</w:t>
      </w:r>
      <w:r>
        <w:rPr>
          <w:color w:val="000000"/>
          <w:sz w:val="23"/>
          <w:szCs w:val="23"/>
        </w:rPr>
        <w:noBreakHyphen/>
        <w:t>scheme pipeline; and</w:t>
      </w:r>
      <w:bookmarkEnd w:id="356"/>
    </w:p>
    <w:p>
      <w:pPr>
        <w:keepLines/>
        <w:tabs>
          <w:tab w:val="center" w:pos="1985"/>
          <w:tab w:val="left" w:pos="2382"/>
        </w:tabs>
        <w:autoSpaceDE w:val="0"/>
        <w:autoSpaceDN w:val="0"/>
        <w:adjustRightInd w:val="0"/>
        <w:spacing w:before="120"/>
        <w:ind w:left="2382" w:hanging="794"/>
        <w:rPr>
          <w:color w:val="000000"/>
          <w:sz w:val="23"/>
          <w:szCs w:val="23"/>
        </w:rPr>
      </w:pPr>
      <w:bookmarkStart w:id="357" w:name="id86211e6a_ed2c_46fe_a639_95bd47e520"/>
      <w:r>
        <w:rPr>
          <w:color w:val="000000"/>
          <w:sz w:val="23"/>
          <w:szCs w:val="23"/>
        </w:rPr>
        <w:tab/>
        <w:t>(b)</w:t>
      </w:r>
      <w:r>
        <w:rPr>
          <w:color w:val="000000"/>
          <w:sz w:val="23"/>
          <w:szCs w:val="23"/>
        </w:rPr>
        <w:tab/>
        <w:t xml:space="preserve">without limiting </w:t>
      </w:r>
      <w:hyperlink w:anchor="ide1523334_7c87_472c_83af_88551bd104" w:history="1">
        <w:r>
          <w:rPr>
            <w:color w:val="000000"/>
            <w:sz w:val="23"/>
            <w:szCs w:val="23"/>
          </w:rPr>
          <w:t>paragraph (a)</w:t>
        </w:r>
      </w:hyperlink>
      <w:r>
        <w:rPr>
          <w:color w:val="000000"/>
          <w:sz w:val="23"/>
          <w:szCs w:val="23"/>
        </w:rPr>
        <w:t>, requirements about the information that must be provided by service providers in relation to access (or potential access) to services provided by means of any non</w:t>
      </w:r>
      <w:r>
        <w:rPr>
          <w:color w:val="000000"/>
          <w:sz w:val="23"/>
          <w:szCs w:val="23"/>
        </w:rPr>
        <w:noBreakHyphen/>
        <w:t>scheme pipeline, including information about—</w:t>
      </w:r>
      <w:bookmarkEnd w:id="357"/>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terms and conditions on which the service provider is prepared to make a non</w:t>
      </w:r>
      <w:r>
        <w:rPr>
          <w:color w:val="000000"/>
          <w:sz w:val="23"/>
          <w:szCs w:val="23"/>
        </w:rPr>
        <w:noBreakHyphen/>
        <w:t>scheme pipeline available for use by others;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procedures that the service provider will apply in determining a proposal for access to a non</w:t>
      </w:r>
      <w:r>
        <w:rPr>
          <w:color w:val="000000"/>
          <w:sz w:val="23"/>
          <w:szCs w:val="23"/>
        </w:rPr>
        <w:noBreakHyphen/>
        <w:t>scheme pipeline;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relevant prices, costs and methodologies associated with gaining access to (and using) a non</w:t>
      </w:r>
      <w:r>
        <w:rPr>
          <w:color w:val="000000"/>
          <w:sz w:val="23"/>
          <w:szCs w:val="23"/>
        </w:rPr>
        <w:noBreakHyphen/>
        <w:t>scheme pipeline and relevant or related services;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access contracts and arrangements used (or required to be used) by the service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 xml:space="preserve">without limiting </w:t>
      </w:r>
      <w:hyperlink w:anchor="ide1523334_7c87_472c_83af_88551bd104" w:history="1">
        <w:r>
          <w:rPr>
            <w:color w:val="000000"/>
            <w:sz w:val="23"/>
            <w:szCs w:val="23"/>
          </w:rPr>
          <w:t>paragraphs (a)</w:t>
        </w:r>
      </w:hyperlink>
      <w:r>
        <w:rPr>
          <w:color w:val="000000"/>
          <w:sz w:val="23"/>
          <w:szCs w:val="23"/>
        </w:rPr>
        <w:t xml:space="preserve"> and </w:t>
      </w:r>
      <w:hyperlink w:anchor="id86211e6a_ed2c_46fe_a639_95bd47e520" w:history="1">
        <w:r>
          <w:rPr>
            <w:color w:val="000000"/>
            <w:sz w:val="23"/>
            <w:szCs w:val="23"/>
          </w:rPr>
          <w:t>(b)</w:t>
        </w:r>
      </w:hyperlink>
      <w:r>
        <w:rPr>
          <w:color w:val="000000"/>
          <w:sz w:val="23"/>
          <w:szCs w:val="23"/>
        </w:rPr>
        <w:t>, information to be provided by a service provider in response to a request for access to services provided by means of a non</w:t>
      </w:r>
      <w:r>
        <w:rPr>
          <w:color w:val="000000"/>
          <w:sz w:val="23"/>
          <w:szCs w:val="23"/>
        </w:rPr>
        <w:noBreakHyphen/>
        <w:t>scheme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requirements to ensure that information is accurate and complete;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requirements that relate to any matter that is contemplated by Chapter 4 Part 2 (as if a reference to a covered pipeline service provider in that Part were a reference to a service provider in relation to a non-scheme pipeline and subject to any modifications made by the Rules and subject to such other necessary alterations and modifications so as to apply those requirements in relation to non</w:t>
      </w:r>
      <w:r>
        <w:rPr>
          <w:color w:val="000000"/>
          <w:sz w:val="23"/>
          <w:szCs w:val="23"/>
        </w:rPr>
        <w:noBreakHyphen/>
        <w:t>scheme pipelines);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imposition or recovery of costs associated with any matter referred to in a preceding paragraph or otherwise associated with facilitating access (or potential access) to services provided by means of a non</w:t>
      </w:r>
      <w:r>
        <w:rPr>
          <w:color w:val="000000"/>
          <w:sz w:val="23"/>
          <w:szCs w:val="23"/>
        </w:rPr>
        <w:noBreakHyphen/>
        <w:t>scheme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 xml:space="preserve">Nothing in </w:t>
      </w:r>
      <w:hyperlink w:anchor="id16e1e13e_cfde_4d18_b3fc_94e5a9dfd8" w:history="1">
        <w:r>
          <w:rPr>
            <w:color w:val="000000"/>
            <w:sz w:val="23"/>
            <w:szCs w:val="23"/>
          </w:rPr>
          <w:t>subsection (2)</w:t>
        </w:r>
      </w:hyperlink>
      <w:r>
        <w:rPr>
          <w:color w:val="000000"/>
          <w:sz w:val="23"/>
          <w:szCs w:val="23"/>
        </w:rPr>
        <w:t xml:space="preserve"> limits any power to grant an exemption from complying with a provision, or part of a provision, of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 xml:space="preserve">A reference in </w:t>
      </w:r>
      <w:hyperlink w:anchor="id16e1e13e_cfde_4d18_b3fc_94e5a9dfd8" w:history="1">
        <w:r>
          <w:rPr>
            <w:color w:val="000000"/>
            <w:sz w:val="23"/>
            <w:szCs w:val="23"/>
          </w:rPr>
          <w:t>subsection (2)</w:t>
        </w:r>
      </w:hyperlink>
      <w:r>
        <w:rPr>
          <w:color w:val="000000"/>
          <w:sz w:val="23"/>
          <w:szCs w:val="23"/>
        </w:rPr>
        <w:t xml:space="preserve"> with respect to gaining access (or potential access) to services provided by means of a non</w:t>
      </w:r>
      <w:r>
        <w:rPr>
          <w:color w:val="000000"/>
          <w:sz w:val="23"/>
          <w:szCs w:val="23"/>
        </w:rPr>
        <w:noBreakHyphen/>
        <w:t>scheme pipeline includes a reference to services that will require an extension to, or expansion of the capacity of, a non</w:t>
      </w:r>
      <w:r>
        <w:rPr>
          <w:color w:val="000000"/>
          <w:sz w:val="23"/>
          <w:szCs w:val="23"/>
        </w:rPr>
        <w:noBreakHyphen/>
        <w:t>scheme pipeline.</w:t>
      </w:r>
    </w:p>
    <w:p>
      <w:pPr>
        <w:pStyle w:val="Footnotesection"/>
      </w:pPr>
      <w:r>
        <w:tab/>
        <w:t>[Section 83A inserted: see SA Act No. 23 of 2017 s. 4 and WA Gazette 22 Dec 2017 p. 5984.]</w:t>
      </w:r>
    </w:p>
    <w:p>
      <w:pPr>
        <w:pStyle w:val="Heading5"/>
      </w:pPr>
      <w:bookmarkStart w:id="358" w:name="_Toc536782036"/>
      <w:r>
        <w:rPr>
          <w:rStyle w:val="CharSectno"/>
        </w:rPr>
        <w:t>84</w:t>
      </w:r>
      <w:r>
        <w:t>.</w:t>
      </w:r>
      <w:r>
        <w:tab/>
        <w:t>AEMC must publish and make available up to date versions of Rules</w:t>
      </w:r>
      <w:bookmarkEnd w:id="358"/>
    </w:p>
    <w:p>
      <w:pPr>
        <w:keepNext/>
        <w:keepLines/>
        <w:autoSpaceDE w:val="0"/>
        <w:autoSpaceDN w:val="0"/>
        <w:adjustRightInd w:val="0"/>
        <w:spacing w:before="120"/>
        <w:ind w:left="1588"/>
        <w:rPr>
          <w:color w:val="000000"/>
          <w:sz w:val="23"/>
          <w:szCs w:val="23"/>
        </w:rPr>
      </w:pPr>
      <w:r>
        <w:rPr>
          <w:color w:val="000000"/>
          <w:sz w:val="23"/>
          <w:szCs w:val="23"/>
        </w:rPr>
        <w:t>The AEMC must, at all times—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maintain, on its website, a copy of the National Gas Rules, as in force from time to time;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copies of the National Gas Rules, as in force from time to time, available to the public for inspection at its offices during business hours.</w:t>
      </w:r>
    </w:p>
    <w:p>
      <w:pPr>
        <w:pStyle w:val="Heading5"/>
      </w:pPr>
      <w:bookmarkStart w:id="359" w:name="_Toc536782037"/>
      <w:r>
        <w:rPr>
          <w:rStyle w:val="CharSectno"/>
        </w:rPr>
        <w:t>85</w:t>
      </w:r>
      <w:r>
        <w:t>.</w:t>
      </w:r>
      <w:r>
        <w:tab/>
        <w:t>Fees</w:t>
      </w:r>
      <w:bookmarkEnd w:id="35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charge a fee specified, or a fee calculated in accordance with a formula or methodology specified, in the Regulations for services provided by it in performing or exercising any of its functions or powers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fee must not be such as to amount to taxation.</w:t>
      </w:r>
    </w:p>
    <w:p>
      <w:pPr>
        <w:pStyle w:val="Heading5"/>
      </w:pPr>
      <w:bookmarkStart w:id="360" w:name="_Toc536782038"/>
      <w:r>
        <w:rPr>
          <w:rStyle w:val="CharSectno"/>
        </w:rPr>
        <w:t>86</w:t>
      </w:r>
      <w:r>
        <w:t>.</w:t>
      </w:r>
      <w:r>
        <w:tab/>
        <w:t>Immunity from personal liability of AEMC officials</w:t>
      </w:r>
      <w:bookmarkEnd w:id="36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No personal liability attaches to an AEMC official for an act or omission in good faith in the performance or exercise, or purported performance or exercise of a function or power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liability that would, but for subsection (1), lie against an AEMC official lies instead against the AEMC.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AEMC official</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member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chief executive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member of staff appointed by the AEMC.</w:t>
      </w:r>
    </w:p>
    <w:p>
      <w:pPr>
        <w:pStyle w:val="Heading3"/>
      </w:pPr>
      <w:bookmarkStart w:id="361" w:name="_Toc501633948"/>
      <w:bookmarkStart w:id="362" w:name="_Toc501712844"/>
      <w:bookmarkStart w:id="363" w:name="_Toc536782039"/>
      <w:r>
        <w:rPr>
          <w:rStyle w:val="CharDivNo"/>
        </w:rPr>
        <w:t>Part 3</w:t>
      </w:r>
      <w:r>
        <w:t xml:space="preserve"> — </w:t>
      </w:r>
      <w:r>
        <w:rPr>
          <w:rStyle w:val="CharDivText"/>
        </w:rPr>
        <w:t>Functions and powers of Ministers of participating jurisdictions</w:t>
      </w:r>
      <w:bookmarkEnd w:id="361"/>
      <w:bookmarkEnd w:id="362"/>
      <w:bookmarkEnd w:id="363"/>
    </w:p>
    <w:p>
      <w:pPr>
        <w:pStyle w:val="Heading5"/>
      </w:pPr>
      <w:bookmarkStart w:id="364" w:name="_Toc536782040"/>
      <w:r>
        <w:rPr>
          <w:rStyle w:val="CharSectno"/>
        </w:rPr>
        <w:t>87</w:t>
      </w:r>
      <w:r>
        <w:t>.</w:t>
      </w:r>
      <w:r>
        <w:tab/>
        <w:t>Functions and powers of Minister of this participating jurisdiction under this Law</w:t>
      </w:r>
      <w:bookmarkEnd w:id="36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Minister of this participating jurisdiction has the functions and powers conferred on him or her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Minister of this participating jurisdiction has power to do all things necessary or convenient to be done for or in connection with the performance of his or her functions.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Minister of this participating jurisdiction</w:t>
      </w:r>
      <w:r>
        <w:rPr>
          <w:bCs/>
          <w:i/>
          <w:iCs/>
          <w:color w:val="000000"/>
          <w:sz w:val="23"/>
          <w:szCs w:val="23"/>
        </w:rPr>
        <w:t xml:space="preserve"> </w:t>
      </w:r>
      <w:r>
        <w:rPr>
          <w:color w:val="000000"/>
          <w:sz w:val="23"/>
          <w:szCs w:val="23"/>
        </w:rPr>
        <w:t>means the Minister that administers the Act of this jurisdiction that applies this Law as a law of this jurisdiction.</w:t>
      </w:r>
    </w:p>
    <w:p>
      <w:pPr>
        <w:pStyle w:val="Heading5"/>
      </w:pPr>
      <w:bookmarkStart w:id="365" w:name="_Toc536782041"/>
      <w:r>
        <w:rPr>
          <w:rStyle w:val="CharSectno"/>
        </w:rPr>
        <w:t>88</w:t>
      </w:r>
      <w:r>
        <w:t>.</w:t>
      </w:r>
      <w:r>
        <w:tab/>
        <w:t>Functions and powers of Commonwealth Minister under this Law</w:t>
      </w:r>
      <w:bookmarkEnd w:id="36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Commonwealth Minister has the functions and powers conferred on him or her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Commonwealth Minister has power to do all things necessary or convenient to be done for or in connection with the performance of his or her functions.</w:t>
      </w:r>
    </w:p>
    <w:p>
      <w:pPr>
        <w:pStyle w:val="Heading3"/>
      </w:pPr>
      <w:bookmarkStart w:id="366" w:name="_Toc501633951"/>
      <w:bookmarkStart w:id="367" w:name="_Toc501712847"/>
      <w:bookmarkStart w:id="368" w:name="_Toc536782042"/>
      <w:r>
        <w:rPr>
          <w:rStyle w:val="CharDivNo"/>
        </w:rPr>
        <w:t>Part 4</w:t>
      </w:r>
      <w:r>
        <w:t xml:space="preserve"> — </w:t>
      </w:r>
      <w:r>
        <w:rPr>
          <w:rStyle w:val="CharDivText"/>
        </w:rPr>
        <w:t>Functions and powers of the NCC</w:t>
      </w:r>
      <w:bookmarkEnd w:id="366"/>
      <w:bookmarkEnd w:id="367"/>
      <w:bookmarkEnd w:id="368"/>
    </w:p>
    <w:p>
      <w:pPr>
        <w:pStyle w:val="Heading5"/>
      </w:pPr>
      <w:bookmarkStart w:id="369" w:name="_Toc536782043"/>
      <w:r>
        <w:rPr>
          <w:rStyle w:val="CharSectno"/>
        </w:rPr>
        <w:t>89</w:t>
      </w:r>
      <w:r>
        <w:t>.</w:t>
      </w:r>
      <w:r>
        <w:tab/>
        <w:t>Functions and powers of NCC under this Law</w:t>
      </w:r>
      <w:bookmarkEnd w:id="36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has the functions and powers conferred on it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has power to do all things necessary or convenient to be done for or in connection with the performance of its functions.</w:t>
      </w:r>
    </w:p>
    <w:p>
      <w:pPr>
        <w:pStyle w:val="Heading5"/>
      </w:pPr>
      <w:bookmarkStart w:id="370" w:name="_Toc536782044"/>
      <w:r>
        <w:rPr>
          <w:rStyle w:val="CharSectno"/>
        </w:rPr>
        <w:t>90</w:t>
      </w:r>
      <w:r>
        <w:t>.</w:t>
      </w:r>
      <w:r>
        <w:tab/>
        <w:t>Confidentiality</w:t>
      </w:r>
      <w:bookmarkEnd w:id="37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take all reasonable measures to protect from unauthorised use or disclosure information given to it in confidence in, or in connection with, the performance of its functions or the exercise of its powers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the disclosure of information as required or permitted by this Law, a law of the Commonwealth, a State or Territory is taken to be authorised use and disclosure of the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Disclosing information to 1 of the following is authorised use and disclosure of the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ACCC;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ERA;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staff or consultant assisting a body mentioned in paragraph (a) to (d) in performing its functions or exercising its powers;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any other person or body prescribed by the Regulations for the purpose of this paragraph.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person or body to whom information is disclosed under subsection (3) may use the information for any purpose connected with the performance of the functions, or the exercise of the powers, of the person or body.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NCC may impose conditions to be complied with in relation to information disclosed under subsection (3).</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For the purposes of subsection (1), the use or disclosure of information by a person for the purposes of performing the person’s functions, or exercising the person’s powers, as—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Councillor or a person referred to in section 29M of the </w:t>
      </w:r>
      <w:r>
        <w:rPr>
          <w:i/>
          <w:iCs/>
          <w:color w:val="000000"/>
          <w:sz w:val="23"/>
          <w:szCs w:val="23"/>
        </w:rPr>
        <w:t>Trade Practices Act 1974</w:t>
      </w:r>
      <w:r>
        <w:rPr>
          <w:color w:val="000000"/>
          <w:sz w:val="23"/>
          <w:szCs w:val="23"/>
        </w:rPr>
        <w:t xml:space="preserve"> of the Commonwealth;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who is authorised to perform or exercise a function or power of, or on behalf of, the NCC,</w:t>
      </w:r>
    </w:p>
    <w:p>
      <w:pPr>
        <w:keepLines/>
        <w:autoSpaceDE w:val="0"/>
        <w:autoSpaceDN w:val="0"/>
        <w:adjustRightInd w:val="0"/>
        <w:spacing w:before="120"/>
        <w:ind w:left="1588"/>
        <w:rPr>
          <w:color w:val="000000"/>
          <w:sz w:val="23"/>
          <w:szCs w:val="23"/>
        </w:rPr>
      </w:pPr>
      <w:r>
        <w:rPr>
          <w:color w:val="000000"/>
          <w:sz w:val="23"/>
          <w:szCs w:val="23"/>
        </w:rPr>
        <w:t>is taken to be authorised use and disclosure of the information.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Regulations made for the purposes of this section may specify uses of information and disclosures of information that are authorised uses and authorised disclosures for the purposes of this section.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Nothing in any of the above subsections limits—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anything else in any of those subsections;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what may otherwise constitute, for the purposes of subsection (1), authorised use or disclosure of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Councillor</w:t>
      </w:r>
      <w:r>
        <w:rPr>
          <w:color w:val="000000"/>
          <w:sz w:val="23"/>
          <w:szCs w:val="23"/>
        </w:rPr>
        <w:t xml:space="preserve"> has the same meaning as in the </w:t>
      </w:r>
      <w:r>
        <w:rPr>
          <w:i/>
          <w:iCs/>
          <w:color w:val="000000"/>
          <w:sz w:val="23"/>
          <w:szCs w:val="23"/>
        </w:rPr>
        <w:t>Trade Practices Act 1974</w:t>
      </w:r>
      <w:r>
        <w:rPr>
          <w:color w:val="000000"/>
          <w:sz w:val="23"/>
          <w:szCs w:val="23"/>
        </w:rPr>
        <w:t xml:space="preserve"> of the Commonwealth.</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Chapter 10 Part 2 Division 2.</w:t>
      </w:r>
    </w:p>
    <w:p>
      <w:pPr>
        <w:pStyle w:val="Heading3"/>
      </w:pPr>
      <w:bookmarkStart w:id="371" w:name="_Toc501633954"/>
      <w:bookmarkStart w:id="372" w:name="_Toc501712850"/>
      <w:bookmarkStart w:id="373" w:name="_Toc536782045"/>
      <w:r>
        <w:rPr>
          <w:rStyle w:val="CharDivNo"/>
        </w:rPr>
        <w:t>Part 5</w:t>
      </w:r>
      <w:r>
        <w:t xml:space="preserve"> — </w:t>
      </w:r>
      <w:r>
        <w:rPr>
          <w:rStyle w:val="CharDivText"/>
        </w:rPr>
        <w:t>Functions and powers of Tribunal</w:t>
      </w:r>
      <w:bookmarkEnd w:id="371"/>
      <w:bookmarkEnd w:id="372"/>
      <w:bookmarkEnd w:id="373"/>
    </w:p>
    <w:p>
      <w:pPr>
        <w:pStyle w:val="Heading5"/>
      </w:pPr>
      <w:bookmarkStart w:id="374" w:name="_Toc536782046"/>
      <w:r>
        <w:rPr>
          <w:rStyle w:val="CharSectno"/>
        </w:rPr>
        <w:t>91</w:t>
      </w:r>
      <w:r>
        <w:t>.</w:t>
      </w:r>
      <w:r>
        <w:tab/>
        <w:t>Functions and powers of Tribunal under this Law</w:t>
      </w:r>
      <w:bookmarkEnd w:id="37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Tribunal has the functions and powers conferred on it under Chapter 8 Part 5 and any Regulations made for the purposes of that Division.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Tribunal has power to do all things necessary or convenient to be done for or in connection with the performance of its functions.</w:t>
      </w:r>
    </w:p>
    <w:p>
      <w:pPr>
        <w:pStyle w:val="Heading2"/>
      </w:pPr>
      <w:bookmarkStart w:id="375" w:name="_Toc501633956"/>
      <w:bookmarkStart w:id="376" w:name="_Toc501712852"/>
      <w:bookmarkStart w:id="377" w:name="_Toc536782047"/>
      <w:r>
        <w:rPr>
          <w:rStyle w:val="CharPartNo"/>
        </w:rPr>
        <w:t>Chapter 3</w:t>
      </w:r>
      <w:r>
        <w:t xml:space="preserve"> — </w:t>
      </w:r>
      <w:r>
        <w:rPr>
          <w:rStyle w:val="CharPartText"/>
        </w:rPr>
        <w:t>Coverage and classification of pipelines</w:t>
      </w:r>
      <w:bookmarkEnd w:id="375"/>
      <w:bookmarkEnd w:id="376"/>
      <w:bookmarkEnd w:id="377"/>
    </w:p>
    <w:p>
      <w:pPr>
        <w:pStyle w:val="Heading3"/>
      </w:pPr>
      <w:bookmarkStart w:id="378" w:name="_Toc501633957"/>
      <w:bookmarkStart w:id="379" w:name="_Toc501712853"/>
      <w:bookmarkStart w:id="380" w:name="_Toc536782048"/>
      <w:r>
        <w:rPr>
          <w:rStyle w:val="CharDivNo"/>
        </w:rPr>
        <w:t>Part 1</w:t>
      </w:r>
      <w:r>
        <w:t xml:space="preserve"> — </w:t>
      </w:r>
      <w:r>
        <w:rPr>
          <w:rStyle w:val="CharDivText"/>
        </w:rPr>
        <w:t>Coverage of pipelines</w:t>
      </w:r>
      <w:bookmarkEnd w:id="378"/>
      <w:bookmarkEnd w:id="379"/>
      <w:bookmarkEnd w:id="380"/>
    </w:p>
    <w:p>
      <w:pPr>
        <w:pStyle w:val="Heading4"/>
      </w:pPr>
      <w:bookmarkStart w:id="381" w:name="_Toc501633958"/>
      <w:bookmarkStart w:id="382" w:name="_Toc501712854"/>
      <w:bookmarkStart w:id="383" w:name="_Toc536782049"/>
      <w:r>
        <w:t>Division 1 — Coverage determinations</w:t>
      </w:r>
      <w:bookmarkEnd w:id="381"/>
      <w:bookmarkEnd w:id="382"/>
      <w:bookmarkEnd w:id="383"/>
    </w:p>
    <w:p>
      <w:pPr>
        <w:pStyle w:val="Heading5"/>
      </w:pPr>
      <w:bookmarkStart w:id="384" w:name="_Toc536782050"/>
      <w:r>
        <w:rPr>
          <w:rStyle w:val="CharSectno"/>
        </w:rPr>
        <w:t>92</w:t>
      </w:r>
      <w:r>
        <w:t>.</w:t>
      </w:r>
      <w:r>
        <w:tab/>
        <w:t>Application for recommendation that a pipeline be a covered pipeline</w:t>
      </w:r>
      <w:bookmarkEnd w:id="38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Any person may apply for a determination that a pipeline be a covered pipeline (a </w:t>
      </w:r>
      <w:r>
        <w:rPr>
          <w:rStyle w:val="CharDefText"/>
          <w:bCs/>
          <w:sz w:val="23"/>
        </w:rPr>
        <w:t>coverage determination</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for 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to be made to the NCC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be accompanied by the fee prescribed by the Regulations (if any).</w:t>
      </w:r>
    </w:p>
    <w:p>
      <w:pPr>
        <w:pStyle w:val="Heading5"/>
      </w:pPr>
      <w:bookmarkStart w:id="385" w:name="_Toc536782051"/>
      <w:r>
        <w:rPr>
          <w:rStyle w:val="CharSectno"/>
        </w:rPr>
        <w:t>93</w:t>
      </w:r>
      <w:r>
        <w:t>.</w:t>
      </w:r>
      <w:r>
        <w:tab/>
        <w:t>Application to be dealt with in accordance with the Rules</w:t>
      </w:r>
      <w:bookmarkEnd w:id="385"/>
    </w:p>
    <w:p>
      <w:pPr>
        <w:keepLines/>
        <w:autoSpaceDE w:val="0"/>
        <w:autoSpaceDN w:val="0"/>
        <w:adjustRightInd w:val="0"/>
        <w:spacing w:before="120"/>
        <w:ind w:left="1588"/>
        <w:rPr>
          <w:color w:val="000000"/>
          <w:sz w:val="23"/>
          <w:szCs w:val="23"/>
        </w:rPr>
      </w:pPr>
      <w:r>
        <w:rPr>
          <w:color w:val="000000"/>
          <w:sz w:val="23"/>
          <w:szCs w:val="23"/>
        </w:rPr>
        <w:t>Subject to section 94, on receiving an application under section 92 the NCC must deal with it in accordance with the Rules.</w:t>
      </w:r>
    </w:p>
    <w:p>
      <w:pPr>
        <w:pStyle w:val="Heading5"/>
        <w:keepNext w:val="0"/>
        <w:keepLines w:val="0"/>
        <w:rPr>
          <w:bCs/>
          <w:color w:val="000000"/>
          <w:sz w:val="26"/>
          <w:szCs w:val="26"/>
        </w:rPr>
      </w:pPr>
      <w:bookmarkStart w:id="386" w:name="_Toc536782052"/>
      <w:r>
        <w:rPr>
          <w:rStyle w:val="CharSectno"/>
        </w:rPr>
        <w:t>94</w:t>
      </w:r>
      <w:r>
        <w:t>.</w:t>
      </w:r>
      <w:r>
        <w:tab/>
        <w:t>NCC may defer consideration of application in</w:t>
      </w:r>
      <w:r>
        <w:rPr>
          <w:bCs/>
          <w:color w:val="000000"/>
          <w:sz w:val="26"/>
          <w:szCs w:val="26"/>
        </w:rPr>
        <w:t xml:space="preserve"> certain cases</w:t>
      </w:r>
      <w:bookmarkEnd w:id="386"/>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an application under section 92 is made in relation to a proposed pipeline after—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has been made to the AER under the Rules for the approval, by the AER, of the tender process for the construction and operation of the proposed pipeline as a competitive tender process;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tender approval decision has been made in respect of the tender process for the construction and operation of the proposed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may defer consideration of whether to make a recommendation in respect of the application until—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application for the approval, by the AER, of the tender process for the construction and operation of the proposed pipeline as a competitive tender process has been rejected by the AER under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tender approval decision—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has been revoked under the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has lapsed as provided under the Rules.</w:t>
      </w:r>
    </w:p>
    <w:p>
      <w:pPr>
        <w:pStyle w:val="Heading5"/>
      </w:pPr>
      <w:bookmarkStart w:id="387" w:name="_Toc536782053"/>
      <w:r>
        <w:rPr>
          <w:rStyle w:val="CharSectno"/>
        </w:rPr>
        <w:t>95</w:t>
      </w:r>
      <w:r>
        <w:t>.</w:t>
      </w:r>
      <w:r>
        <w:tab/>
        <w:t>NCC coverage recommendation</w:t>
      </w:r>
      <w:bookmarkEnd w:id="38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sections 94 and 96, the NCC must recommend to the relevant Minister that the pipeline the subject of the application—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 be a covered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Chapter 3 Part 2 Division 1 Subdivision 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recommendation under this section may recommend an outcome different from the outcome sought in the application under section 92.</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An applicant may apply for a determination that the whole of a pipeline be a covered pipeline. The NCC may recommend that only a part of the pipeline the subject of the application be covered or may recommend that the pipeline not be covered.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recommendation under this section must be delivered to the relevant Minister without delay.</w:t>
      </w:r>
    </w:p>
    <w:p>
      <w:pPr>
        <w:pStyle w:val="Heading5"/>
      </w:pPr>
      <w:bookmarkStart w:id="388" w:name="_Toc536782054"/>
      <w:r>
        <w:rPr>
          <w:rStyle w:val="CharSectno"/>
        </w:rPr>
        <w:t>96</w:t>
      </w:r>
      <w:r>
        <w:t>.</w:t>
      </w:r>
      <w:r>
        <w:tab/>
        <w:t>NCC must not make coverage recommendation if tender approval decision becomes irrevocable</w:t>
      </w:r>
      <w:bookmarkEnd w:id="388"/>
    </w:p>
    <w:p>
      <w:pPr>
        <w:keepNext/>
        <w:keepLines/>
        <w:autoSpaceDE w:val="0"/>
        <w:autoSpaceDN w:val="0"/>
        <w:adjustRightInd w:val="0"/>
        <w:spacing w:before="120"/>
        <w:ind w:left="1588"/>
        <w:rPr>
          <w:color w:val="000000"/>
          <w:sz w:val="23"/>
          <w:szCs w:val="23"/>
        </w:rPr>
      </w:pPr>
      <w:r>
        <w:rPr>
          <w:color w:val="000000"/>
          <w:sz w:val="23"/>
          <w:szCs w:val="23"/>
        </w:rPr>
        <w:t>Despite anything to the contrary in this Division,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not make a recommendation under section 95 if the pipeline is the subject of a tender approval decision that—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has not lapsed as provided under the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not revoked under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for the purposes of paragraph (a), treat the application as having never been made.</w:t>
      </w:r>
    </w:p>
    <w:p>
      <w:pPr>
        <w:pStyle w:val="Heading5"/>
      </w:pPr>
      <w:bookmarkStart w:id="389" w:name="_Toc536782055"/>
      <w:r>
        <w:rPr>
          <w:rStyle w:val="CharSectno"/>
        </w:rPr>
        <w:t>97</w:t>
      </w:r>
      <w:r>
        <w:t>.</w:t>
      </w:r>
      <w:r>
        <w:tab/>
        <w:t>Principles governing the making of a coverage recommendation</w:t>
      </w:r>
      <w:bookmarkEnd w:id="38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a coverage recommendation,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must have regard to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NCC is satisfied that all the pipeline coverage criteria are satisfied in relation to the pipeline—the recommendation must be in favour of the pipeline being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NCC is not satisfied that all the pipeline coverage criteria are satisfied in relation to the pipeline—the recommendation must be against the pipeline being a covered pipeline.</w:t>
      </w:r>
    </w:p>
    <w:p>
      <w:pPr>
        <w:pStyle w:val="Heading5"/>
      </w:pPr>
      <w:bookmarkStart w:id="390" w:name="_Toc536782056"/>
      <w:r>
        <w:rPr>
          <w:rStyle w:val="CharSectno"/>
        </w:rPr>
        <w:t>98</w:t>
      </w:r>
      <w:r>
        <w:t>.</w:t>
      </w:r>
      <w:r>
        <w:tab/>
        <w:t>Initial classification decision to be made as part of recommendation</w:t>
      </w:r>
      <w:bookmarkEnd w:id="39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NCC must, as part of a coverage recommendation, classify the pipeline the subject of an application under section 92 as a transmission pipeline or a distribution pipeline (an </w:t>
      </w:r>
      <w:r>
        <w:rPr>
          <w:rStyle w:val="CharDefText"/>
          <w:bCs/>
          <w:sz w:val="23"/>
        </w:rPr>
        <w:t>initial classification decision</w:t>
      </w:r>
      <w:r>
        <w:rPr>
          <w:color w:val="000000"/>
          <w:sz w:val="23"/>
          <w:szCs w:val="23"/>
        </w:rPr>
        <w:t>). In doing so, the NCC must apply the pipeline classification criterion.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must as part of an initial 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it classifies the pipeline the subject of the application as a transmission pipeline—determine whether the transmission pipeline is also a cross boundary transmission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classifies the pipeline the subject of the application as a distribution pipeline—determine whether the distribution pipeline is also a cross boundary distribution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NCC must also determine, as part of an initial classification decision, the participating jurisdiction with which the pipeline the subject of the application under section 92 is most closely connected if the NCC determines the pipeline is also a cross boundary distribution pipeline. In doing so, the NCC must apply the pipeline classification criterion.</w:t>
      </w:r>
    </w:p>
    <w:p>
      <w:pPr>
        <w:pStyle w:val="Heading5"/>
      </w:pPr>
      <w:bookmarkStart w:id="391" w:name="_Toc536782057"/>
      <w:r>
        <w:rPr>
          <w:rStyle w:val="CharSectno"/>
        </w:rPr>
        <w:t>99</w:t>
      </w:r>
      <w:r>
        <w:t>.</w:t>
      </w:r>
      <w:r>
        <w:tab/>
        <w:t>Relevant Minister’s determination on application</w:t>
      </w:r>
      <w:bookmarkEnd w:id="39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receiving a coverage recommendation, the relevant Minister must decide whether to make a coverage determination in respect of the pipeline to which the recommendation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must use his or her best endeavours to make the decision within 20 business days after receiving the coverage recommendation.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relevant Minister is unable to make the decision within the period specified under subsection (2), he or she must make the decision as soon as reasonably practicable after the end of the specified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relevant Minister, for the purpose of making the decision, may request submissions or comments in relation to an application under section 92.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coverage determination or a decision not to make a coverage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In the case of a coverage determination, the determination must specify the date the determination takes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coverage determination may have an outcome different to the outcome—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sought in the application under section 92;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of the coverage recommendation.</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An applicant may apply for a determination that the whole of a pipeline be a covered pipeline. The NCC may recommend that only a part of the pipeline the subject of the application be covered. The relevant Minister may determine that different parts of the pipeline to those recommended by the NCC be covered.</w:t>
      </w:r>
    </w:p>
    <w:p>
      <w:pPr>
        <w:pStyle w:val="Heading5"/>
      </w:pPr>
      <w:bookmarkStart w:id="392" w:name="_Toc536782058"/>
      <w:r>
        <w:rPr>
          <w:rStyle w:val="CharSectno"/>
        </w:rPr>
        <w:t>100</w:t>
      </w:r>
      <w:r>
        <w:t>.</w:t>
      </w:r>
      <w:r>
        <w:tab/>
        <w:t>Principles governing the making of a coverage determination or decision not to do so</w:t>
      </w:r>
      <w:bookmarkEnd w:id="39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coverage determination under this Division, the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in relation to the pipeline—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must have regard to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must have regard to the coverage recommendation;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must take into account any submissions or comments he or she receives on a request under section 99(4);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may take into account any relevant submissions and comments made to the NCC by the public under the Rules in relation to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relevant Minister is satisfied that all the pipeline coverage criteria are satisfied in relation to the pipeline—the Minister must make 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relevant Minister is not satisfied that all the pipeline coverage criteria are satisfied in relation to the pipeline—the Minister must not make a coverage determination.</w:t>
      </w:r>
    </w:p>
    <w:p>
      <w:pPr>
        <w:pStyle w:val="Heading5"/>
      </w:pPr>
      <w:bookmarkStart w:id="393" w:name="_Toc536782059"/>
      <w:r>
        <w:rPr>
          <w:rStyle w:val="CharSectno"/>
        </w:rPr>
        <w:t>101</w:t>
      </w:r>
      <w:r>
        <w:t>.</w:t>
      </w:r>
      <w:r>
        <w:tab/>
        <w:t>Operation and effect of coverage determination</w:t>
      </w:r>
      <w:bookmarkEnd w:id="393"/>
    </w:p>
    <w:p>
      <w:pPr>
        <w:keepNext/>
        <w:keepLines/>
        <w:autoSpaceDE w:val="0"/>
        <w:autoSpaceDN w:val="0"/>
        <w:adjustRightInd w:val="0"/>
        <w:spacing w:before="120"/>
        <w:ind w:left="1588"/>
        <w:rPr>
          <w:color w:val="000000"/>
          <w:sz w:val="23"/>
          <w:szCs w:val="23"/>
        </w:rPr>
      </w:pPr>
      <w:r>
        <w:rPr>
          <w:color w:val="000000"/>
          <w:sz w:val="23"/>
          <w:szCs w:val="23"/>
        </w:rPr>
        <w:t>The pipeline the subject of a coverage determination becomes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when the coverage determination takes effect;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continues to be a covered pipeline while the coverage determination remains in effect.</w:t>
      </w:r>
    </w:p>
    <w:p>
      <w:pPr>
        <w:pStyle w:val="Heading4"/>
      </w:pPr>
      <w:bookmarkStart w:id="394" w:name="_Toc501633969"/>
      <w:bookmarkStart w:id="395" w:name="_Toc501712865"/>
      <w:bookmarkStart w:id="396" w:name="_Toc536782060"/>
      <w:r>
        <w:t>Division 2 — Coverage revocation determinations</w:t>
      </w:r>
      <w:bookmarkEnd w:id="394"/>
      <w:bookmarkEnd w:id="395"/>
      <w:bookmarkEnd w:id="396"/>
    </w:p>
    <w:p>
      <w:pPr>
        <w:pStyle w:val="Heading5"/>
      </w:pPr>
      <w:bookmarkStart w:id="397" w:name="_Toc536782061"/>
      <w:r>
        <w:rPr>
          <w:rStyle w:val="CharSectno"/>
        </w:rPr>
        <w:t>102</w:t>
      </w:r>
      <w:r>
        <w:t>.</w:t>
      </w:r>
      <w:r>
        <w:tab/>
        <w:t>Application for a determination that a pipeline no longer be a covered pipeline</w:t>
      </w:r>
      <w:bookmarkEnd w:id="39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Any person may apply for a determination that a covered pipeline no longer be a covered pipeline (a </w:t>
      </w:r>
      <w:r>
        <w:rPr>
          <w:rStyle w:val="CharDefText"/>
          <w:bCs/>
          <w:sz w:val="23"/>
        </w:rPr>
        <w:t>coverage revocation determination</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for 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to be made to the NCC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be accompanied by the fee prescribed by the Regulations (if any).</w:t>
      </w:r>
    </w:p>
    <w:p>
      <w:pPr>
        <w:pStyle w:val="Heading5"/>
      </w:pPr>
      <w:bookmarkStart w:id="398" w:name="_Toc536782062"/>
      <w:r>
        <w:rPr>
          <w:rStyle w:val="CharSectno"/>
        </w:rPr>
        <w:t>103</w:t>
      </w:r>
      <w:r>
        <w:t>.</w:t>
      </w:r>
      <w:r>
        <w:tab/>
        <w:t>Application to be dealt with in accordance with the Rules</w:t>
      </w:r>
      <w:bookmarkEnd w:id="398"/>
    </w:p>
    <w:p>
      <w:pPr>
        <w:keepLines/>
        <w:autoSpaceDE w:val="0"/>
        <w:autoSpaceDN w:val="0"/>
        <w:adjustRightInd w:val="0"/>
        <w:spacing w:before="120"/>
        <w:ind w:left="1588"/>
        <w:rPr>
          <w:color w:val="000000"/>
          <w:sz w:val="23"/>
          <w:szCs w:val="23"/>
        </w:rPr>
      </w:pPr>
      <w:r>
        <w:rPr>
          <w:color w:val="000000"/>
          <w:sz w:val="23"/>
          <w:szCs w:val="23"/>
        </w:rPr>
        <w:t>On receiving an application under section 102, the NCC must deal with it in accordance with the Rules.</w:t>
      </w:r>
    </w:p>
    <w:p>
      <w:pPr>
        <w:pStyle w:val="Heading5"/>
      </w:pPr>
      <w:bookmarkStart w:id="399" w:name="_Toc536782063"/>
      <w:r>
        <w:rPr>
          <w:rStyle w:val="CharSectno"/>
        </w:rPr>
        <w:t>104</w:t>
      </w:r>
      <w:r>
        <w:t>.</w:t>
      </w:r>
      <w:r>
        <w:tab/>
        <w:t>NCC coverage revocation recommendation</w:t>
      </w:r>
      <w:bookmarkEnd w:id="39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make a recommendation to the relevant Minister as to whether the covered pipeline the subject of the application should continue to be a covered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 119.</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recommendation under this section may recommend an outcome different from the outcome sought in the application under section 102.</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 service provider may apply for a determination that revokes the coverage of the covered pipeline by means of which the provider provides pipeline services. The NCC may recommend that the coverage of the covered pipeline be only partly revoked or not be revoked.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recommendation under this section must be delivered to the relevant Minister without delay.</w:t>
      </w:r>
    </w:p>
    <w:p>
      <w:pPr>
        <w:pStyle w:val="Heading5"/>
      </w:pPr>
      <w:bookmarkStart w:id="400" w:name="_Toc536782064"/>
      <w:r>
        <w:rPr>
          <w:rStyle w:val="CharSectno"/>
        </w:rPr>
        <w:t>105</w:t>
      </w:r>
      <w:r>
        <w:t>.</w:t>
      </w:r>
      <w:r>
        <w:tab/>
        <w:t>Principles governing the making of a coverage revocation recommendation</w:t>
      </w:r>
      <w:bookmarkEnd w:id="40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a coverage revocation recommendation,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must have regard to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NCC is satisfied that all the pipeline coverage criteria are satisfied in relation to the pipeline—the recommendation must be in favour of the pipeline continuing to be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NCC is not satisfied that all the pipeline coverage criteria are satisfied in relation to the pipeline—the recommendation must be in favour of the pipeline no longer being a covered pipeline.</w:t>
      </w:r>
    </w:p>
    <w:p>
      <w:pPr>
        <w:pStyle w:val="Heading5"/>
      </w:pPr>
      <w:bookmarkStart w:id="401" w:name="_Toc536782065"/>
      <w:r>
        <w:rPr>
          <w:rStyle w:val="CharSectno"/>
        </w:rPr>
        <w:t>106</w:t>
      </w:r>
      <w:r>
        <w:t>.</w:t>
      </w:r>
      <w:r>
        <w:tab/>
        <w:t>Relevant Minister’s determination on application</w:t>
      </w:r>
      <w:bookmarkEnd w:id="40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receiving a coverage revocation recommendation, the relevant Minister must decide whether to make a coverage revocation determination in respect of the pipeline to which the recommendation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must use his or her best endeavours to make the decision within 20 business days after receiving the coverage revocation recommendation.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relevant Minister is unable to make the decision within the period specified under subsection (2), he or she must make the decision as soon as reasonably practicable after the end of the specified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relevant Minister, for the purpose of making the decision, may request submissions or comments in relation to an application under section 102.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coverage revocation determination or a decision not to make a coverage revocation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In the case of a coverage revocation determination, the determination must specify the date the determination takes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coverage revocation determination may have an outcome different to the outcome—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sought in the application under section 102;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of the coverage revocation recommendation.</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 service provider may apply for a determination that revokes the coverage of the covered pipeline by means of which the provider provides pipeline services. The NCC may recommend that the coverage of the covered pipeline be only partly revoked. The relevant Minister may make a determination that revokes coverage of different parts of the covered pipeline to those parts in relation to which the NCC recommended coverage be revoked.</w:t>
      </w:r>
    </w:p>
    <w:p>
      <w:pPr>
        <w:pStyle w:val="Heading5"/>
        <w:keepNext w:val="0"/>
        <w:keepLines w:val="0"/>
        <w:spacing w:before="120"/>
      </w:pPr>
      <w:bookmarkStart w:id="402" w:name="_Toc536782066"/>
      <w:r>
        <w:rPr>
          <w:rStyle w:val="CharSectno"/>
        </w:rPr>
        <w:t>107</w:t>
      </w:r>
      <w:r>
        <w:t>.</w:t>
      </w:r>
      <w:r>
        <w:tab/>
        <w:t>Principles governing the making of a coverage revocation determination or decision not to do so</w:t>
      </w:r>
      <w:bookmarkEnd w:id="402"/>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coverage revocation determination under this Division, the relevant Minister—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in relation to the pipeline—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must have regard to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must have regard to the coverage revocation recommendation; and</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must take into account any submissions or comments he or she receives on a request under section 106(4);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may take into account any relevant submissions and comments made to the NCC by the public under the Rules in relation to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relevant Minister is satisfied that all the pipeline coverage criteria are satisfied in relation to the pipeline—the Minister must not make 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relevant Minister is not satisfied that all the pipeline coverage criteria are satisfied in relation to the pipeline—the Minister must make a coverage revocation determination.</w:t>
      </w:r>
    </w:p>
    <w:p>
      <w:pPr>
        <w:pStyle w:val="Heading5"/>
      </w:pPr>
      <w:bookmarkStart w:id="403" w:name="_Toc536782067"/>
      <w:r>
        <w:rPr>
          <w:rStyle w:val="CharSectno"/>
        </w:rPr>
        <w:t>108</w:t>
      </w:r>
      <w:r>
        <w:t>.</w:t>
      </w:r>
      <w:r>
        <w:tab/>
        <w:t>Operation and effect of coverage revocation determination</w:t>
      </w:r>
      <w:bookmarkEnd w:id="403"/>
    </w:p>
    <w:p>
      <w:pPr>
        <w:keepLines/>
        <w:autoSpaceDE w:val="0"/>
        <w:autoSpaceDN w:val="0"/>
        <w:adjustRightInd w:val="0"/>
        <w:spacing w:before="120"/>
        <w:ind w:left="1588"/>
        <w:rPr>
          <w:color w:val="000000"/>
          <w:sz w:val="23"/>
          <w:szCs w:val="23"/>
        </w:rPr>
      </w:pPr>
      <w:r>
        <w:rPr>
          <w:color w:val="000000"/>
          <w:sz w:val="23"/>
          <w:szCs w:val="23"/>
        </w:rPr>
        <w:t>The pipeline the subject of a coverage revocation determination ceases to be a covered pipeline when the coverage revocation determination takes effect.</w:t>
      </w:r>
    </w:p>
    <w:p>
      <w:pPr>
        <w:pStyle w:val="Heading3"/>
      </w:pPr>
      <w:bookmarkStart w:id="404" w:name="_Toc501633977"/>
      <w:bookmarkStart w:id="405" w:name="_Toc501712873"/>
      <w:bookmarkStart w:id="406" w:name="_Toc536782068"/>
      <w:r>
        <w:rPr>
          <w:rStyle w:val="CharDivNo"/>
        </w:rPr>
        <w:t>Part 2</w:t>
      </w:r>
      <w:r>
        <w:t xml:space="preserve"> — </w:t>
      </w:r>
      <w:r>
        <w:rPr>
          <w:rStyle w:val="CharDivText"/>
        </w:rPr>
        <w:t>Light regulation of covered pipeline services</w:t>
      </w:r>
      <w:bookmarkEnd w:id="404"/>
      <w:bookmarkEnd w:id="405"/>
      <w:bookmarkEnd w:id="406"/>
    </w:p>
    <w:p>
      <w:pPr>
        <w:pStyle w:val="Heading4"/>
      </w:pPr>
      <w:bookmarkStart w:id="407" w:name="_Toc501633978"/>
      <w:bookmarkStart w:id="408" w:name="_Toc501712874"/>
      <w:bookmarkStart w:id="409" w:name="_Toc536782069"/>
      <w:r>
        <w:t>Division 1 — Making of light regulation determinations</w:t>
      </w:r>
      <w:bookmarkEnd w:id="407"/>
      <w:bookmarkEnd w:id="408"/>
      <w:bookmarkEnd w:id="409"/>
    </w:p>
    <w:p>
      <w:pPr>
        <w:pStyle w:val="Heading4"/>
      </w:pPr>
      <w:bookmarkStart w:id="410" w:name="_Toc501633979"/>
      <w:bookmarkStart w:id="411" w:name="_Toc501712875"/>
      <w:bookmarkStart w:id="412" w:name="_Toc536782070"/>
      <w:r>
        <w:t>Subdivision 1 — Decisions when pipeline is not a covered pipeline</w:t>
      </w:r>
      <w:bookmarkEnd w:id="410"/>
      <w:bookmarkEnd w:id="411"/>
      <w:bookmarkEnd w:id="412"/>
    </w:p>
    <w:p>
      <w:pPr>
        <w:pStyle w:val="Heading5"/>
      </w:pPr>
      <w:bookmarkStart w:id="413" w:name="_Toc536782071"/>
      <w:r>
        <w:rPr>
          <w:rStyle w:val="CharSectno"/>
        </w:rPr>
        <w:t>109</w:t>
      </w:r>
      <w:r>
        <w:t>.</w:t>
      </w:r>
      <w:r>
        <w:tab/>
        <w:t>Application of Subdivision</w:t>
      </w:r>
      <w:bookmarkEnd w:id="413"/>
    </w:p>
    <w:p>
      <w:pPr>
        <w:keepNext/>
        <w:keepLines/>
        <w:autoSpaceDE w:val="0"/>
        <w:autoSpaceDN w:val="0"/>
        <w:adjustRightInd w:val="0"/>
        <w:spacing w:before="120"/>
        <w:ind w:left="1588"/>
        <w:rPr>
          <w:color w:val="000000"/>
          <w:sz w:val="23"/>
          <w:szCs w:val="23"/>
        </w:rPr>
      </w:pPr>
      <w:r>
        <w:rPr>
          <w:color w:val="000000"/>
          <w:sz w:val="23"/>
          <w:szCs w:val="23"/>
        </w:rPr>
        <w:t>This Subdivision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has been made under section 92 for a 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the subject of the application is not a designated pipeline.</w:t>
      </w:r>
    </w:p>
    <w:p>
      <w:pPr>
        <w:pStyle w:val="Heading5"/>
      </w:pPr>
      <w:bookmarkStart w:id="414" w:name="_Toc536782072"/>
      <w:r>
        <w:rPr>
          <w:rStyle w:val="CharSectno"/>
        </w:rPr>
        <w:t>110</w:t>
      </w:r>
      <w:r>
        <w:t>.</w:t>
      </w:r>
      <w:r>
        <w:tab/>
        <w:t>NCC’s decision on light regulation of pipeline services</w:t>
      </w:r>
      <w:bookmarkEnd w:id="41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NCC must decide whether to make a determination that the pipeline services provided or to be provided by means of the pipeline are light regulation services (a </w:t>
      </w:r>
      <w:r>
        <w:rPr>
          <w:rStyle w:val="CharDefText"/>
          <w:bCs/>
          <w:sz w:val="23"/>
        </w:rPr>
        <w:t>light regulation determination</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must make its decision under subsection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at the same time as it makes the coverage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time it must make the coverage recommendation.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light regulation determination or a decision not to make a light regulation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For example, see section 122.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attached to the coverage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If the NCC makes a light regulation determination, and the relevant Minister makes the coverage determination, the service provider may submit a limited access arrangement in respect of the light regulation services to the AER for approval: see section 116.</w:t>
      </w:r>
    </w:p>
    <w:p>
      <w:pPr>
        <w:pStyle w:val="Heading4"/>
      </w:pPr>
      <w:bookmarkStart w:id="415" w:name="_Toc501633982"/>
      <w:bookmarkStart w:id="416" w:name="_Toc501712878"/>
      <w:bookmarkStart w:id="417" w:name="_Toc536782073"/>
      <w:r>
        <w:t>Subdivision 2 — Decisions when pipeline is a covered pipeline</w:t>
      </w:r>
      <w:bookmarkEnd w:id="415"/>
      <w:bookmarkEnd w:id="416"/>
      <w:bookmarkEnd w:id="417"/>
    </w:p>
    <w:p>
      <w:pPr>
        <w:pStyle w:val="Heading5"/>
      </w:pPr>
      <w:bookmarkStart w:id="418" w:name="_Toc536782074"/>
      <w:r>
        <w:rPr>
          <w:rStyle w:val="CharSectno"/>
        </w:rPr>
        <w:t>111</w:t>
      </w:r>
      <w:r>
        <w:t>.</w:t>
      </w:r>
      <w:r>
        <w:tab/>
        <w:t>Application of Subdivision</w:t>
      </w:r>
      <w:bookmarkEnd w:id="418"/>
    </w:p>
    <w:p>
      <w:pPr>
        <w:keepNext/>
        <w:keepLines/>
        <w:autoSpaceDE w:val="0"/>
        <w:autoSpaceDN w:val="0"/>
        <w:adjustRightInd w:val="0"/>
        <w:spacing w:before="120"/>
        <w:ind w:left="1588"/>
        <w:rPr>
          <w:color w:val="000000"/>
          <w:sz w:val="23"/>
          <w:szCs w:val="23"/>
        </w:rPr>
      </w:pPr>
      <w:r>
        <w:rPr>
          <w:color w:val="000000"/>
          <w:sz w:val="23"/>
          <w:szCs w:val="23"/>
        </w:rPr>
        <w:t>This Subdivision applies if a service provider provides pipelines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means of a covered pipeline that is not a designated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which an applicable access arrangement approved or made under a full access arrangement decision applies.</w:t>
      </w:r>
    </w:p>
    <w:p>
      <w:pPr>
        <w:pStyle w:val="Heading5"/>
      </w:pPr>
      <w:bookmarkStart w:id="419" w:name="_Toc536782075"/>
      <w:r>
        <w:rPr>
          <w:rStyle w:val="CharSectno"/>
        </w:rPr>
        <w:t>112</w:t>
      </w:r>
      <w:r>
        <w:t>.</w:t>
      </w:r>
      <w:r>
        <w:tab/>
        <w:t>Application</w:t>
      </w:r>
      <w:bookmarkEnd w:id="41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A service provider may apply to the NCC for a determination that pipeline services provided by the service provider by means of a covered pipeline be light regulation services (a </w:t>
      </w:r>
      <w:r>
        <w:rPr>
          <w:rStyle w:val="CharDefText"/>
          <w:bCs/>
          <w:sz w:val="23"/>
        </w:rPr>
        <w:t>light regulation determination</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application may only be made in respect of all of the pipeline services provided by means of the covered pipeline.</w:t>
      </w:r>
    </w:p>
    <w:p>
      <w:pPr>
        <w:pStyle w:val="Heading5"/>
      </w:pPr>
      <w:bookmarkStart w:id="420" w:name="_Toc536782076"/>
      <w:r>
        <w:rPr>
          <w:rStyle w:val="CharSectno"/>
        </w:rPr>
        <w:t>113</w:t>
      </w:r>
      <w:r>
        <w:t>.</w:t>
      </w:r>
      <w:r>
        <w:tab/>
        <w:t>Application to be dealt with in accordance with the Rules</w:t>
      </w:r>
      <w:bookmarkEnd w:id="420"/>
    </w:p>
    <w:p>
      <w:pPr>
        <w:keepLines/>
        <w:autoSpaceDE w:val="0"/>
        <w:autoSpaceDN w:val="0"/>
        <w:adjustRightInd w:val="0"/>
        <w:spacing w:before="120"/>
        <w:ind w:left="1588"/>
        <w:rPr>
          <w:color w:val="000000"/>
          <w:sz w:val="23"/>
          <w:szCs w:val="23"/>
        </w:rPr>
      </w:pPr>
      <w:r>
        <w:rPr>
          <w:color w:val="000000"/>
          <w:sz w:val="23"/>
          <w:szCs w:val="23"/>
        </w:rPr>
        <w:t>On receiving an application under section 112, the NCC must deal with it in accordance with the Rules.</w:t>
      </w:r>
    </w:p>
    <w:p>
      <w:pPr>
        <w:pStyle w:val="Heading5"/>
      </w:pPr>
      <w:bookmarkStart w:id="421" w:name="_Toc536782077"/>
      <w:r>
        <w:rPr>
          <w:rStyle w:val="CharSectno"/>
        </w:rPr>
        <w:t>114</w:t>
      </w:r>
      <w:r>
        <w:t>.</w:t>
      </w:r>
      <w:r>
        <w:tab/>
        <w:t>NCC’s decision on light regulation of pipeline services</w:t>
      </w:r>
      <w:bookmarkEnd w:id="42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decide whether to make a light regulation determination within—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4 months after receiving an application under section 112;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Rules specify a later period, that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light regulation determination or a decision not to make a light regulation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For example, see section 122.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If the NCC makes a light regulation determination, the service provider may submit a limited access arrangement in respect of the light regulation services to the AER for approval: see section 116.</w:t>
      </w:r>
    </w:p>
    <w:p>
      <w:pPr>
        <w:pStyle w:val="Heading4"/>
      </w:pPr>
      <w:bookmarkStart w:id="422" w:name="_Toc501633987"/>
      <w:bookmarkStart w:id="423" w:name="_Toc501712883"/>
      <w:bookmarkStart w:id="424" w:name="_Toc536782078"/>
      <w:r>
        <w:t>Subdivision 3 — Operation and effect of light regulation determinations</w:t>
      </w:r>
      <w:bookmarkEnd w:id="422"/>
      <w:bookmarkEnd w:id="423"/>
      <w:bookmarkEnd w:id="424"/>
    </w:p>
    <w:p>
      <w:pPr>
        <w:pStyle w:val="Heading5"/>
      </w:pPr>
      <w:bookmarkStart w:id="425" w:name="_Toc536782079"/>
      <w:r>
        <w:rPr>
          <w:rStyle w:val="CharSectno"/>
        </w:rPr>
        <w:t>115</w:t>
      </w:r>
      <w:r>
        <w:t>.</w:t>
      </w:r>
      <w:r>
        <w:tab/>
        <w:t>When light regulation determinations take effect</w:t>
      </w:r>
      <w:bookmarkEnd w:id="42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light regulation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light regulation determination made under Subdivision 1—on the day the relevant coverage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light regulation determination made under Subdivision 2—60 business days after the light regulation determination is made.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light regulation determination continues in operation until—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is revoked by operation of section 117(5);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under section 119(2) or 120 takes effect;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it is revoked by operation of section 123(2);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it is revoked by operation of section 124.</w:t>
      </w:r>
    </w:p>
    <w:p>
      <w:pPr>
        <w:pStyle w:val="Heading5"/>
      </w:pPr>
      <w:bookmarkStart w:id="426" w:name="_Toc536782080"/>
      <w:r>
        <w:rPr>
          <w:rStyle w:val="CharSectno"/>
        </w:rPr>
        <w:t>116</w:t>
      </w:r>
      <w:r>
        <w:t>.</w:t>
      </w:r>
      <w:r>
        <w:tab/>
        <w:t>Submission of limited access arrangement for light regulation services</w:t>
      </w:r>
      <w:bookmarkEnd w:id="42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may, in respect of light regulation services the service provider provides or intends to provide, submit a limited access arrangement to the AER for approval by the AER under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service provider chooses to submit a limited access arrangement in accordance with subsection (1), the limited access arrangement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submitted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must submit to the AER, for approval by the AER under the Rules, revisions to an applicable access arrangement that is a limited access arrangement and that applies to the light regulation services the provider provides—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period specified by the Rules.</w:t>
      </w:r>
    </w:p>
    <w:p>
      <w:pPr>
        <w:pStyle w:val="Heading4"/>
      </w:pPr>
      <w:bookmarkStart w:id="427" w:name="_Toc501633990"/>
      <w:bookmarkStart w:id="428" w:name="_Toc501712886"/>
      <w:bookmarkStart w:id="429" w:name="_Toc536782081"/>
      <w:r>
        <w:t>Division 2 — Revocation of light regulation determinations</w:t>
      </w:r>
      <w:bookmarkEnd w:id="427"/>
      <w:bookmarkEnd w:id="428"/>
      <w:bookmarkEnd w:id="429"/>
    </w:p>
    <w:p>
      <w:pPr>
        <w:pStyle w:val="Heading4"/>
      </w:pPr>
      <w:bookmarkStart w:id="430" w:name="_Toc501633991"/>
      <w:bookmarkStart w:id="431" w:name="_Toc501712887"/>
      <w:bookmarkStart w:id="432" w:name="_Toc536782082"/>
      <w:r>
        <w:t>Subdivision 1 — On advice from service providers</w:t>
      </w:r>
      <w:bookmarkEnd w:id="430"/>
      <w:bookmarkEnd w:id="431"/>
      <w:bookmarkEnd w:id="432"/>
    </w:p>
    <w:p>
      <w:pPr>
        <w:pStyle w:val="Heading5"/>
      </w:pPr>
      <w:bookmarkStart w:id="433" w:name="_Toc536782083"/>
      <w:r>
        <w:rPr>
          <w:rStyle w:val="CharSectno"/>
        </w:rPr>
        <w:t>117</w:t>
      </w:r>
      <w:r>
        <w:t>.</w:t>
      </w:r>
      <w:r>
        <w:tab/>
        <w:t>Advice by service provider that light regulation services should cease to be light regulation services</w:t>
      </w:r>
      <w:bookmarkEnd w:id="43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may advise the NCC that it wishes that the pipeline services it provides cease to be light regulation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advice under subsection (1) must be in writing.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On receiving an advice under subsection (1), the NCC must, without delay, publish notice of receipt of that advice—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on its website;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in a newspaper circulating generally throughout </w:t>
      </w:r>
      <w:smartTag w:uri="urn:schemas-microsoft-com:office:smarttags" w:element="country-region">
        <w:r>
          <w:rPr>
            <w:color w:val="000000"/>
            <w:sz w:val="23"/>
            <w:szCs w:val="23"/>
          </w:rPr>
          <w:t>Australia</w:t>
        </w:r>
      </w:smartTag>
      <w:r>
        <w:rPr>
          <w:color w:val="000000"/>
          <w:sz w:val="23"/>
          <w:szCs w:val="23"/>
        </w:rPr>
        <w: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On publication of a notice under subsection (3) the service provider must comply with section 132.</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light regulation determination applying to the pipeline services is, by force of this section, revoked on the same day that an access arrangement that applies to the pipeline services provided by that service provider is, as the case requires, approved or made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On the revocation of the light regulation determination the pipeline services to which the light regulation determination applied cease to be light regulation services.</w:t>
      </w:r>
    </w:p>
    <w:p>
      <w:pPr>
        <w:pStyle w:val="Heading4"/>
      </w:pPr>
      <w:bookmarkStart w:id="434" w:name="_Toc501633993"/>
      <w:bookmarkStart w:id="435" w:name="_Toc501712889"/>
      <w:bookmarkStart w:id="436" w:name="_Toc536782084"/>
      <w:r>
        <w:t>Subdivision 2 — On application by persons other than service providers</w:t>
      </w:r>
      <w:bookmarkEnd w:id="434"/>
      <w:bookmarkEnd w:id="435"/>
      <w:bookmarkEnd w:id="436"/>
    </w:p>
    <w:p>
      <w:pPr>
        <w:pStyle w:val="Heading5"/>
      </w:pPr>
      <w:bookmarkStart w:id="437" w:name="_Toc536782085"/>
      <w:r>
        <w:rPr>
          <w:rStyle w:val="CharSectno"/>
        </w:rPr>
        <w:t>118</w:t>
      </w:r>
      <w:r>
        <w:t>.</w:t>
      </w:r>
      <w:r>
        <w:tab/>
        <w:t>Application (other than by service provider) for revocation of light regulation determinations</w:t>
      </w:r>
      <w:bookmarkEnd w:id="43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(other than the service provider who provides light regulation services) may apply to the NCC for the revocation of a light regulation determination relating to those services.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under subsection (1)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w:t>
      </w:r>
    </w:p>
    <w:p>
      <w:pPr>
        <w:pStyle w:val="Heading5"/>
      </w:pPr>
      <w:bookmarkStart w:id="438" w:name="_Toc536782086"/>
      <w:r>
        <w:rPr>
          <w:rStyle w:val="CharSectno"/>
        </w:rPr>
        <w:t>119</w:t>
      </w:r>
      <w:r>
        <w:t>.</w:t>
      </w:r>
      <w:r>
        <w:tab/>
        <w:t>Decisions on applications made around time of applications for coverage revocation determinations</w:t>
      </w:r>
      <w:bookmarkEnd w:id="43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an application is made under section 118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an application for a coverage revocation determination under section 102 under consideration—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respect of the covered pipeline by means of which the light regulation services the subject of the application under section 118 are provided;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respect of which the NCC has not made a coverage revocation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for a coverage revocation determination is made under section 102 in respect of the covered pipeline by means of which the light regulation services the subject of the application under section 118 are provided—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after the application under section 118; but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before the NCC makes its decision in respect of the application under section 118.</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Despite anything to the contrary in this Part, the NCC must make its decision in respect of the application under this 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On receiving the application under section 118, the NCC must decide whether to revoke the light regulation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NCC must make its decision under subsection (3)—</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at the same time as it makes the coverage revocation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time it must make the coverage revocation recommendation.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decision under subsection (3)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For example, see section 122.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attached to the coverage revocation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w:t>
      </w:r>
    </w:p>
    <w:p>
      <w:pPr>
        <w:pStyle w:val="Heading5"/>
      </w:pPr>
      <w:bookmarkStart w:id="439" w:name="_Toc536782087"/>
      <w:r>
        <w:rPr>
          <w:rStyle w:val="CharSectno"/>
        </w:rPr>
        <w:t>120</w:t>
      </w:r>
      <w:r>
        <w:t>.</w:t>
      </w:r>
      <w:r>
        <w:tab/>
        <w:t>NCC decision on application where no application for a coverage revocation recommendation</w:t>
      </w:r>
      <w:bookmarkEnd w:id="43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is made under section 118;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 application for a coverage revocation determination in respect of the covered pipeline (by means of which the light regulation services the subject of the application under section 118) are provided is made before the NCC makes its decision in respect of the application under section 118.</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this section, on receiving an application under section 118 the NCC must deal with it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NCC must decide whether to revoke a light regulation determination within—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4 months after receiving an application under section 118;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Rules specify a later period, that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decision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For example, see section 122.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pStyle w:val="Heading5"/>
        <w:keepLines w:val="0"/>
      </w:pPr>
      <w:bookmarkStart w:id="440" w:name="_Toc536782088"/>
      <w:r>
        <w:rPr>
          <w:rStyle w:val="CharSectno"/>
        </w:rPr>
        <w:t>121</w:t>
      </w:r>
      <w:r>
        <w:t>.</w:t>
      </w:r>
      <w:r>
        <w:tab/>
        <w:t>Operation and effect of decision of NCC under this Division</w:t>
      </w:r>
      <w:bookmarkEnd w:id="440"/>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section 124, on the making of a decision under section 119(2) or 120 revoking a light regulation determination, the service provider must comply with section 132.</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However, the decision under section 119(2) or 120 revoking a light regulation determination does not take effect until an access arrangement that applies to the pipeline services provided by that service provider is approved or made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effect of a decision under section 119(2) or 120 revoking a light regulation determination is that the pipeline services to which the light regulation determination applied cease to be light regulation services.</w:t>
      </w:r>
    </w:p>
    <w:p>
      <w:pPr>
        <w:pStyle w:val="Heading4"/>
      </w:pPr>
      <w:bookmarkStart w:id="441" w:name="_Toc501633998"/>
      <w:bookmarkStart w:id="442" w:name="_Toc501712894"/>
      <w:bookmarkStart w:id="443" w:name="_Toc536782089"/>
      <w:r>
        <w:t>Division 3 — Principles governing light regulation determinations</w:t>
      </w:r>
      <w:bookmarkEnd w:id="441"/>
      <w:bookmarkEnd w:id="442"/>
      <w:bookmarkEnd w:id="443"/>
    </w:p>
    <w:p>
      <w:pPr>
        <w:pStyle w:val="Heading5"/>
      </w:pPr>
      <w:bookmarkStart w:id="444" w:name="_Toc536782090"/>
      <w:r>
        <w:rPr>
          <w:rStyle w:val="CharSectno"/>
        </w:rPr>
        <w:t>122</w:t>
      </w:r>
      <w:r>
        <w:t>.</w:t>
      </w:r>
      <w:r>
        <w:tab/>
        <w:t>Principles governing the making or revoking of light regulation determinations</w:t>
      </w:r>
      <w:bookmarkEnd w:id="44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light regulation determination under Division 1 or to revoke a light regulation determination under Division 2, the NCC must consider—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likely effectiveness of the forms of regulation provided for under this Law and the Rules to regulate the provision of the pipeline services (the subject of the application) to promote access to pipeline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effect of the forms of regulation provided for under this Law and the Rules 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likely costs that may be incurred by an efficient service provider;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likely costs that may be incurred by efficient users and efficient prospective users;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the likely costs of end users.</w:t>
      </w:r>
    </w:p>
    <w:p>
      <w:pPr>
        <w:keepNext/>
        <w:keepLines/>
        <w:autoSpaceDE w:val="0"/>
        <w:autoSpaceDN w:val="0"/>
        <w:adjustRightInd w:val="0"/>
        <w:spacing w:before="120"/>
        <w:ind w:left="2382" w:hanging="794"/>
        <w:rPr>
          <w:b/>
          <w:bCs/>
          <w:color w:val="000000"/>
          <w:sz w:val="20"/>
        </w:rPr>
      </w:pPr>
      <w:r>
        <w:rPr>
          <w:b/>
          <w:bCs/>
          <w:color w:val="000000"/>
          <w:sz w:val="20"/>
        </w:rPr>
        <w:t>Note—</w:t>
      </w:r>
    </w:p>
    <w:p>
      <w:pPr>
        <w:keepNext/>
        <w:keepLines/>
        <w:autoSpaceDE w:val="0"/>
        <w:autoSpaceDN w:val="0"/>
        <w:adjustRightInd w:val="0"/>
        <w:spacing w:before="120"/>
        <w:ind w:left="2382"/>
        <w:rPr>
          <w:color w:val="000000"/>
          <w:sz w:val="20"/>
        </w:rPr>
      </w:pPr>
      <w:r>
        <w:rPr>
          <w:color w:val="000000"/>
          <w:sz w:val="20"/>
        </w:rPr>
        <w:t>The forms of regulation provided for under this Law and the Rules to regulate the provision of the pipeline services by means of a covered pipeline are—</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(a)</w:t>
      </w:r>
      <w:r>
        <w:rPr>
          <w:color w:val="000000"/>
          <w:sz w:val="20"/>
        </w:rPr>
        <w:tab/>
        <w:t>making a light regulation determination so that those services become light regulation services;</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(b)</w:t>
      </w:r>
      <w:r>
        <w:rPr>
          <w:color w:val="000000"/>
          <w:sz w:val="20"/>
        </w:rPr>
        <w:tab/>
        <w:t>not making a light regulation determination so that those services are regulated under a full access arrangement decision that approves or makes the applicable access arrangement that applies to those services.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doing so,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have regard to the national gas objective;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have regard to the form of regulation factors;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have regard to any other matters it considers relevant.</w:t>
      </w:r>
    </w:p>
    <w:p>
      <w:pPr>
        <w:pStyle w:val="Heading4"/>
      </w:pPr>
      <w:bookmarkStart w:id="445" w:name="_Toc501634000"/>
      <w:bookmarkStart w:id="446" w:name="_Toc501712896"/>
      <w:bookmarkStart w:id="447" w:name="_Toc536782091"/>
      <w:r>
        <w:t>Division 4 — Revocation if coverage determination not made</w:t>
      </w:r>
      <w:bookmarkEnd w:id="445"/>
      <w:bookmarkEnd w:id="446"/>
      <w:bookmarkEnd w:id="447"/>
    </w:p>
    <w:p>
      <w:pPr>
        <w:pStyle w:val="Heading5"/>
      </w:pPr>
      <w:bookmarkStart w:id="448" w:name="_Toc536782092"/>
      <w:r>
        <w:rPr>
          <w:rStyle w:val="CharSectno"/>
        </w:rPr>
        <w:t>123</w:t>
      </w:r>
      <w:r>
        <w:t>.</w:t>
      </w:r>
      <w:r>
        <w:tab/>
        <w:t>Light regulation determination revoked if coverage determination not made</w:t>
      </w:r>
      <w:bookmarkEnd w:id="44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light regulation determination has been made in respect of pipeline services;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by means of which those services will be provided does not become a covered pipeline because the relevant Minister, contrary to a coverage recommendation recommending coverage, makes a decision not to make a coverage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light regulation determination is, by force of this section, revoked on the same day as the relevant Minister’s decision not to make a coverage determination takes effect.</w:t>
      </w:r>
    </w:p>
    <w:p>
      <w:pPr>
        <w:pStyle w:val="Heading4"/>
      </w:pPr>
      <w:bookmarkStart w:id="449" w:name="_Toc501634002"/>
      <w:bookmarkStart w:id="450" w:name="_Toc501712898"/>
      <w:bookmarkStart w:id="451" w:name="_Toc536782093"/>
      <w:r>
        <w:t>Division 5 — Effect of pipeline ceasing to be covered pipeline</w:t>
      </w:r>
      <w:bookmarkEnd w:id="449"/>
      <w:bookmarkEnd w:id="450"/>
      <w:bookmarkEnd w:id="451"/>
    </w:p>
    <w:p>
      <w:pPr>
        <w:pStyle w:val="Heading5"/>
      </w:pPr>
      <w:bookmarkStart w:id="452" w:name="_Toc536782094"/>
      <w:r>
        <w:rPr>
          <w:rStyle w:val="CharSectno"/>
        </w:rPr>
        <w:t>124</w:t>
      </w:r>
      <w:r>
        <w:t>.</w:t>
      </w:r>
      <w:r>
        <w:tab/>
        <w:t>Light regulation services cease to be such services on cessation of coverage of pipeline</w:t>
      </w:r>
      <w:bookmarkEnd w:id="452"/>
    </w:p>
    <w:p>
      <w:pPr>
        <w:keepNext/>
        <w:keepLines/>
        <w:autoSpaceDE w:val="0"/>
        <w:autoSpaceDN w:val="0"/>
        <w:adjustRightInd w:val="0"/>
        <w:spacing w:before="120"/>
        <w:ind w:left="1588"/>
        <w:rPr>
          <w:color w:val="000000"/>
          <w:sz w:val="23"/>
          <w:szCs w:val="23"/>
        </w:rPr>
      </w:pPr>
      <w:r>
        <w:rPr>
          <w:color w:val="000000"/>
          <w:sz w:val="23"/>
          <w:szCs w:val="23"/>
        </w:rPr>
        <w:t>If a pipeline by means of which light regulation services are provided ceases to be a covered pipeline because of 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light regulation determination applying to the light regulation services provided by means of that pipeline is, by force of this section, revoked on the same day the coverage revocation determination takes effect;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avoid doubt, the light regulation services to which that determination applied cease to be light regulation services on the same day.</w:t>
      </w:r>
    </w:p>
    <w:p>
      <w:pPr>
        <w:pStyle w:val="Heading4"/>
      </w:pPr>
      <w:bookmarkStart w:id="453" w:name="_Toc501634004"/>
      <w:bookmarkStart w:id="454" w:name="_Toc501712900"/>
      <w:bookmarkStart w:id="455" w:name="_Toc536782095"/>
      <w:r>
        <w:t>Division 6 — AER reviews into designated pipelines</w:t>
      </w:r>
      <w:bookmarkEnd w:id="453"/>
      <w:bookmarkEnd w:id="454"/>
      <w:bookmarkEnd w:id="455"/>
    </w:p>
    <w:p>
      <w:pPr>
        <w:pStyle w:val="Heading5"/>
      </w:pPr>
      <w:bookmarkStart w:id="456" w:name="_Toc536782096"/>
      <w:r>
        <w:rPr>
          <w:rStyle w:val="CharSectno"/>
        </w:rPr>
        <w:t>125</w:t>
      </w:r>
      <w:r>
        <w:t>.</w:t>
      </w:r>
      <w:r>
        <w:tab/>
        <w:t>AER reviews</w:t>
      </w:r>
      <w:bookmarkEnd w:id="45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MCE may request the AER to conduct a review into, and report to it as to, whether a pipeline should continue to be a designated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service provider that provides pipeline services by means of a designated pipeline may request the AER to conduct a review into, and report to the MCE as to, whether that pipeline should continue to be a designated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request under subsection (1) or (2) must be in writing.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On receiving a request under this section, the AER must conduct a review as to whether the pipeline the subject of the request should continue to be a designated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conducting a review under this section, the AER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have regard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whether there has been a material change in competition in a market served by the designated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consult, in accordance with the Rules, with the public.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On the completion of a review under this section, the AER must prepare a report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 the report to the MCE;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publish the report on its website.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The AER must also give a copy of the report to the service provider that has requested the review.</w:t>
      </w:r>
    </w:p>
    <w:p>
      <w:pPr>
        <w:pStyle w:val="Heading3"/>
      </w:pPr>
      <w:bookmarkStart w:id="457" w:name="_Toc501634006"/>
      <w:bookmarkStart w:id="458" w:name="_Toc501712902"/>
      <w:bookmarkStart w:id="459" w:name="_Toc536782097"/>
      <w:r>
        <w:rPr>
          <w:rStyle w:val="CharDivNo"/>
        </w:rPr>
        <w:t>Part 3</w:t>
      </w:r>
      <w:r>
        <w:t xml:space="preserve"> — </w:t>
      </w:r>
      <w:r>
        <w:rPr>
          <w:rStyle w:val="CharDivText"/>
        </w:rPr>
        <w:t>Coverage of pipelines the subject of tender process</w:t>
      </w:r>
      <w:bookmarkEnd w:id="457"/>
      <w:bookmarkEnd w:id="458"/>
      <w:bookmarkEnd w:id="459"/>
    </w:p>
    <w:p>
      <w:pPr>
        <w:pStyle w:val="Heading5"/>
      </w:pPr>
      <w:bookmarkStart w:id="460" w:name="_Toc536782098"/>
      <w:r>
        <w:rPr>
          <w:rStyle w:val="CharSectno"/>
        </w:rPr>
        <w:t>126</w:t>
      </w:r>
      <w:r>
        <w:t>.</w:t>
      </w:r>
      <w:r>
        <w:tab/>
        <w:t>Tender approval pipelines deemed to be covered pipelines</w:t>
      </w:r>
      <w:bookmarkEnd w:id="46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pipeline to which a tender approval decision relates is deemed to be a covered pipeline on and from the date the tender approval decision becomes irrevocable by operation of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pipeline ceases to be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there is an applicable access arrangement that applies to the pipeline services provided, or that are to be provided by means of that pipeline—when that arrangement expires;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when a coverage revocation determination made in respect of that pipeline takes effect.</w:t>
      </w:r>
    </w:p>
    <w:p>
      <w:pPr>
        <w:keepNext/>
        <w:keepLines/>
        <w:autoSpaceDE w:val="0"/>
        <w:autoSpaceDN w:val="0"/>
        <w:adjustRightInd w:val="0"/>
        <w:spacing w:before="120"/>
        <w:ind w:left="2382" w:hanging="794"/>
        <w:rPr>
          <w:b/>
          <w:bCs/>
          <w:color w:val="000000"/>
          <w:sz w:val="20"/>
        </w:rPr>
      </w:pPr>
      <w:r>
        <w:rPr>
          <w:b/>
          <w:bCs/>
          <w:color w:val="000000"/>
          <w:sz w:val="20"/>
        </w:rPr>
        <w:t>Note—</w:t>
      </w:r>
    </w:p>
    <w:p>
      <w:pPr>
        <w:keepNext/>
        <w:keepLines/>
        <w:autoSpaceDE w:val="0"/>
        <w:autoSpaceDN w:val="0"/>
        <w:adjustRightInd w:val="0"/>
        <w:spacing w:before="120"/>
        <w:ind w:left="2382"/>
        <w:rPr>
          <w:color w:val="000000"/>
          <w:sz w:val="20"/>
        </w:rPr>
      </w:pPr>
      <w:r>
        <w:rPr>
          <w:color w:val="000000"/>
          <w:sz w:val="20"/>
        </w:rPr>
        <w:t>Under the Rules, the NCC will—</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(a)</w:t>
      </w:r>
      <w:r>
        <w:rPr>
          <w:color w:val="000000"/>
          <w:sz w:val="20"/>
        </w:rPr>
        <w:tab/>
        <w:t>classify the pipeline to be constructed and operated in accordance with an approved tender process as a cross boundary transmission pipeline, cross boundary distribution pipeline, transmission pipeline or distribution pipeline; and</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(b)</w:t>
      </w:r>
      <w:r>
        <w:rPr>
          <w:color w:val="000000"/>
          <w:sz w:val="20"/>
        </w:rPr>
        <w:tab/>
        <w:t>determine the relevant Minister for the purposes of that pipeline.</w:t>
      </w:r>
    </w:p>
    <w:p>
      <w:pPr>
        <w:pStyle w:val="Heading3"/>
      </w:pPr>
      <w:bookmarkStart w:id="461" w:name="_Toc501634008"/>
      <w:bookmarkStart w:id="462" w:name="_Toc501712904"/>
      <w:bookmarkStart w:id="463" w:name="_Toc536782099"/>
      <w:r>
        <w:rPr>
          <w:rStyle w:val="CharDivNo"/>
        </w:rPr>
        <w:t>Part 4</w:t>
      </w:r>
      <w:r>
        <w:t xml:space="preserve"> — </w:t>
      </w:r>
      <w:r>
        <w:rPr>
          <w:rStyle w:val="CharDivText"/>
        </w:rPr>
        <w:t>Coverage following approval of voluntary access arrangement</w:t>
      </w:r>
      <w:bookmarkEnd w:id="461"/>
      <w:bookmarkEnd w:id="462"/>
      <w:bookmarkEnd w:id="463"/>
    </w:p>
    <w:p>
      <w:pPr>
        <w:pStyle w:val="Heading5"/>
      </w:pPr>
      <w:bookmarkStart w:id="464" w:name="_Toc536782100"/>
      <w:r>
        <w:rPr>
          <w:rStyle w:val="CharSectno"/>
        </w:rPr>
        <w:t>127</w:t>
      </w:r>
      <w:r>
        <w:t>.</w:t>
      </w:r>
      <w:r>
        <w:tab/>
        <w:t>Certain pipelines become covered pipelines on approval of voluntary access arrangement</w:t>
      </w:r>
      <w:bookmarkEnd w:id="46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voluntarily submits to the AER for approval by the AER, under the Rules, a full access arrangement that will apply to the pipeline services provided, or that are to be provided, by means of a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pipeline is not a covered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pipeline is deemed to be a covered pipeline on the day the voluntarily submitted full access arrangement takes effect as an applicable access arrangement.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pipeline ceases to be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when the applicable access arrangement that applies to the pipeline services provided, or that are to be provided, expires;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when a coverage revocation determination is made in respect of that pipeline takes effect.</w:t>
      </w:r>
    </w:p>
    <w:p>
      <w:pPr>
        <w:keepNext/>
        <w:keepLines/>
        <w:autoSpaceDE w:val="0"/>
        <w:autoSpaceDN w:val="0"/>
        <w:adjustRightInd w:val="0"/>
        <w:spacing w:before="120"/>
        <w:ind w:left="1588" w:hanging="567"/>
        <w:rPr>
          <w:b/>
          <w:bCs/>
          <w:color w:val="000000"/>
          <w:sz w:val="20"/>
        </w:rPr>
      </w:pPr>
      <w:r>
        <w:rPr>
          <w:b/>
          <w:bCs/>
          <w:color w:val="000000"/>
          <w:sz w:val="20"/>
        </w:rPr>
        <w:t>Note—</w:t>
      </w:r>
    </w:p>
    <w:p>
      <w:pPr>
        <w:keepNext/>
        <w:keepLines/>
        <w:autoSpaceDE w:val="0"/>
        <w:autoSpaceDN w:val="0"/>
        <w:adjustRightInd w:val="0"/>
        <w:spacing w:before="120"/>
        <w:ind w:left="1588"/>
        <w:rPr>
          <w:color w:val="000000"/>
          <w:sz w:val="20"/>
        </w:rPr>
      </w:pPr>
      <w:r>
        <w:rPr>
          <w:color w:val="000000"/>
          <w:sz w:val="20"/>
        </w:rPr>
        <w:t>Under the Rules, the NCC will—</w:t>
      </w:r>
    </w:p>
    <w:p>
      <w:pPr>
        <w:keepLines/>
        <w:tabs>
          <w:tab w:val="center" w:pos="1985"/>
          <w:tab w:val="left" w:pos="2382"/>
        </w:tabs>
        <w:autoSpaceDE w:val="0"/>
        <w:autoSpaceDN w:val="0"/>
        <w:adjustRightInd w:val="0"/>
        <w:spacing w:before="120"/>
        <w:ind w:left="2382" w:hanging="794"/>
        <w:rPr>
          <w:color w:val="000000"/>
          <w:sz w:val="20"/>
        </w:rPr>
      </w:pPr>
      <w:r>
        <w:rPr>
          <w:color w:val="000000"/>
          <w:sz w:val="20"/>
        </w:rPr>
        <w:tab/>
        <w:t>(a)</w:t>
      </w:r>
      <w:r>
        <w:rPr>
          <w:color w:val="000000"/>
          <w:sz w:val="20"/>
        </w:rPr>
        <w:tab/>
        <w:t>classify the pipeline (by means of which the pipeline services to which the arrangement relates are provided) as a cross boundary transmission pipeline, cross boundary distribution pipeline, transmission pipeline or distribution pipeline; and</w:t>
      </w:r>
    </w:p>
    <w:p>
      <w:pPr>
        <w:keepLines/>
        <w:tabs>
          <w:tab w:val="center" w:pos="1985"/>
          <w:tab w:val="left" w:pos="2382"/>
        </w:tabs>
        <w:autoSpaceDE w:val="0"/>
        <w:autoSpaceDN w:val="0"/>
        <w:adjustRightInd w:val="0"/>
        <w:spacing w:before="120"/>
        <w:ind w:left="2382" w:hanging="794"/>
        <w:rPr>
          <w:color w:val="000000"/>
          <w:sz w:val="20"/>
        </w:rPr>
      </w:pPr>
      <w:r>
        <w:rPr>
          <w:color w:val="000000"/>
          <w:sz w:val="20"/>
        </w:rPr>
        <w:tab/>
        <w:t>(b)</w:t>
      </w:r>
      <w:r>
        <w:rPr>
          <w:color w:val="000000"/>
          <w:sz w:val="20"/>
        </w:rPr>
        <w:tab/>
        <w:t>determine the relevant Minister for the purposes of that pipeline.</w:t>
      </w:r>
    </w:p>
    <w:p>
      <w:pPr>
        <w:pStyle w:val="Heading3"/>
      </w:pPr>
      <w:bookmarkStart w:id="465" w:name="_Toc501634010"/>
      <w:bookmarkStart w:id="466" w:name="_Toc501712906"/>
      <w:bookmarkStart w:id="467" w:name="_Toc536782101"/>
      <w:r>
        <w:rPr>
          <w:rStyle w:val="CharDivNo"/>
        </w:rPr>
        <w:t>Part 5</w:t>
      </w:r>
      <w:r>
        <w:t xml:space="preserve"> — </w:t>
      </w:r>
      <w:r>
        <w:rPr>
          <w:rStyle w:val="CharDivText"/>
        </w:rPr>
        <w:t>Reclassification of pipelines</w:t>
      </w:r>
      <w:bookmarkEnd w:id="465"/>
      <w:bookmarkEnd w:id="466"/>
      <w:bookmarkEnd w:id="467"/>
    </w:p>
    <w:p>
      <w:pPr>
        <w:pStyle w:val="Heading5"/>
      </w:pPr>
      <w:bookmarkStart w:id="468" w:name="_Toc536782102"/>
      <w:r>
        <w:rPr>
          <w:rStyle w:val="CharSectno"/>
        </w:rPr>
        <w:t>128</w:t>
      </w:r>
      <w:r>
        <w:t>.</w:t>
      </w:r>
      <w:r>
        <w:tab/>
        <w:t>Service provider may apply for reclassification of pipeline</w:t>
      </w:r>
      <w:bookmarkEnd w:id="46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may, in respect of a pipeline by means of which the service provider provides pipeline services, apply to the NCC for the pipeline to be reclassified as—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pipeline is a transmission pipeline—a distribution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pipeline is a distribution pipeline—a transmission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application must be accompanied by the fee prescribed by the Regulations (if any).</w:t>
      </w:r>
    </w:p>
    <w:p>
      <w:pPr>
        <w:pStyle w:val="Heading5"/>
      </w:pPr>
      <w:bookmarkStart w:id="469" w:name="_Toc536782103"/>
      <w:r>
        <w:rPr>
          <w:rStyle w:val="CharSectno"/>
        </w:rPr>
        <w:t>129</w:t>
      </w:r>
      <w:r>
        <w:t>.</w:t>
      </w:r>
      <w:r>
        <w:tab/>
        <w:t>Reclassification decision</w:t>
      </w:r>
      <w:bookmarkEnd w:id="46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NCC must make a decision (a </w:t>
      </w:r>
      <w:r>
        <w:rPr>
          <w:rStyle w:val="CharDefText"/>
          <w:bCs/>
          <w:sz w:val="23"/>
        </w:rPr>
        <w:t>reclassification decision</w:t>
      </w:r>
      <w:r>
        <w:rPr>
          <w:color w:val="000000"/>
          <w:sz w:val="23"/>
          <w:szCs w:val="23"/>
        </w:rPr>
        <w:t>) within—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4 months after receiving an application under section 128;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Rules specify a later period, that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reclassification decision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making a reclassification decision, the NCC must have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national gas objective;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classification criterion.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NCC must also as part of the reclassification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it reclassifies the pipeline the subject of the application as a transmission pipeline—determine whether the transmission pipeline is also a cross boundary transmission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reclassifies the pipeline the subject of the application as a distribution pipeline—determine whether the distribution pipeline is also a cross boundary distribution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under subsection (4), the NCC determines that a pipeline reclassified as a distribution pipeline is also a cross boundary distribution pipeline, the NCC must determine the participating jurisdiction with which the cross boundary distribution pipeline is most closely connected. In doing so, the NCC must have regard to the jurisdictional determination criteria.</w:t>
      </w:r>
    </w:p>
    <w:p>
      <w:pPr>
        <w:pStyle w:val="Heading5"/>
      </w:pPr>
      <w:bookmarkStart w:id="470" w:name="_Toc536782104"/>
      <w:r>
        <w:rPr>
          <w:rStyle w:val="CharSectno"/>
        </w:rPr>
        <w:t>130</w:t>
      </w:r>
      <w:r>
        <w:t>.</w:t>
      </w:r>
      <w:r>
        <w:tab/>
        <w:t>Effect of reclassification decision</w:t>
      </w:r>
      <w:bookmarkEnd w:id="470"/>
    </w:p>
    <w:p>
      <w:pPr>
        <w:keepNext/>
        <w:keepLines/>
        <w:autoSpaceDE w:val="0"/>
        <w:autoSpaceDN w:val="0"/>
        <w:adjustRightInd w:val="0"/>
        <w:spacing w:before="120"/>
        <w:ind w:left="1588"/>
        <w:rPr>
          <w:color w:val="000000"/>
          <w:sz w:val="23"/>
          <w:szCs w:val="23"/>
        </w:rPr>
      </w:pPr>
      <w:r>
        <w:rPr>
          <w:color w:val="000000"/>
          <w:sz w:val="23"/>
          <w:szCs w:val="23"/>
        </w:rPr>
        <w:t>On the making of a reclassification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pipeline is, in accordance with the decision, reclassified as either a transmission pipeline or distribution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Minister in respect of the pipeline is the relevant Minister as provided under this Law.</w:t>
      </w:r>
    </w:p>
    <w:p>
      <w:pPr>
        <w:pStyle w:val="Heading2"/>
      </w:pPr>
      <w:bookmarkStart w:id="471" w:name="_Toc501634014"/>
      <w:bookmarkStart w:id="472" w:name="_Toc501712910"/>
      <w:bookmarkStart w:id="473" w:name="_Toc536782105"/>
      <w:r>
        <w:rPr>
          <w:rStyle w:val="CharPartNo"/>
        </w:rPr>
        <w:t>Chapter 4</w:t>
      </w:r>
      <w:r>
        <w:t xml:space="preserve"> — </w:t>
      </w:r>
      <w:r>
        <w:rPr>
          <w:rStyle w:val="CharPartText"/>
        </w:rPr>
        <w:t>General requirements for provision of covered pipeline services</w:t>
      </w:r>
      <w:bookmarkEnd w:id="471"/>
      <w:bookmarkEnd w:id="472"/>
      <w:bookmarkEnd w:id="473"/>
    </w:p>
    <w:p>
      <w:pPr>
        <w:pStyle w:val="Heading3"/>
        <w:spacing w:before="120"/>
      </w:pPr>
      <w:bookmarkStart w:id="474" w:name="_Toc501634015"/>
      <w:bookmarkStart w:id="475" w:name="_Toc501712911"/>
      <w:bookmarkStart w:id="476" w:name="_Toc536782106"/>
      <w:r>
        <w:rPr>
          <w:rStyle w:val="CharDivNo"/>
        </w:rPr>
        <w:t>Part 1</w:t>
      </w:r>
      <w:r>
        <w:t xml:space="preserve"> — </w:t>
      </w:r>
      <w:r>
        <w:rPr>
          <w:rStyle w:val="CharDivText"/>
        </w:rPr>
        <w:t>General duties for provision of pipeline services by covered pipelines</w:t>
      </w:r>
      <w:bookmarkEnd w:id="474"/>
      <w:bookmarkEnd w:id="475"/>
      <w:bookmarkEnd w:id="476"/>
    </w:p>
    <w:p>
      <w:pPr>
        <w:pStyle w:val="Heading5"/>
        <w:spacing w:before="120"/>
      </w:pPr>
      <w:bookmarkStart w:id="477" w:name="_Toc536782107"/>
      <w:r>
        <w:rPr>
          <w:rStyle w:val="CharSectno"/>
        </w:rPr>
        <w:t>131</w:t>
      </w:r>
      <w:r>
        <w:t>.</w:t>
      </w:r>
      <w:r>
        <w:tab/>
        <w:t>Service provider must be legal entity of a specified kind to provide pipeline services by covered pipeline</w:t>
      </w:r>
      <w:bookmarkEnd w:id="477"/>
    </w:p>
    <w:p>
      <w:pPr>
        <w:keepNext/>
        <w:keepLines/>
        <w:autoSpaceDE w:val="0"/>
        <w:autoSpaceDN w:val="0"/>
        <w:adjustRightInd w:val="0"/>
        <w:spacing w:before="120"/>
        <w:ind w:left="1588"/>
        <w:rPr>
          <w:color w:val="000000"/>
          <w:sz w:val="23"/>
          <w:szCs w:val="23"/>
        </w:rPr>
      </w:pPr>
      <w:r>
        <w:rPr>
          <w:color w:val="000000"/>
          <w:sz w:val="23"/>
          <w:szCs w:val="23"/>
        </w:rPr>
        <w:t>A covered pipeline service provider must not provide a pipeline service by means of a covered pipeline unless the service provider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legal entity registered under the </w:t>
      </w:r>
      <w:r>
        <w:rPr>
          <w:i/>
          <w:iCs/>
          <w:color w:val="000000"/>
          <w:sz w:val="23"/>
          <w:szCs w:val="23"/>
        </w:rPr>
        <w:t>Corporations Act 2001</w:t>
      </w:r>
      <w:r>
        <w:rPr>
          <w:color w:val="000000"/>
          <w:sz w:val="23"/>
          <w:szCs w:val="23"/>
        </w:rPr>
        <w:t xml:space="preserve"> of the Commonwealth;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foreign company;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corporation established by or under a law of this jurisdiction or another participating jurisdiction, whether or not that corporation has been established for a public purpose;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Crown in right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 person referred to in paragraph (a) to (d) and that person provides a pipeline service by means of a covered pipeline together with another person referred to in paragraph (a) to (d).</w:t>
      </w:r>
    </w:p>
    <w:p>
      <w:pPr>
        <w:pStyle w:val="Heading5"/>
        <w:keepNext w:val="0"/>
        <w:keepLines w:val="0"/>
      </w:pPr>
      <w:bookmarkStart w:id="478" w:name="_Toc536782108"/>
      <w:r>
        <w:rPr>
          <w:rStyle w:val="CharSectno"/>
        </w:rPr>
        <w:t>132</w:t>
      </w:r>
      <w:r>
        <w:t>.</w:t>
      </w:r>
      <w:r>
        <w:tab/>
        <w:t>Submission of full access arrangement or revisions to applicable full access arrangements</w:t>
      </w:r>
      <w:bookmarkEnd w:id="478"/>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covered pipeline service provider must submit to the AER, for approval by the AER under the Rules, a full access arrangement or revisions to an applicable access arrangement that is a full access arrangement, in respect of the pipeline services the provider provides or intends to provide—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circumstances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period of time specified by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apply—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pipeline services that are, or are intended to be, provided by the service provider light regulation services;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the extent the Rules provide subsection (1) is not to apply.</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A service provider who provides or intends to provide pipeline services by means of an international pipeline to which a price regulation applies must submit a limited access arrangement to the AER for approval: see section 168.</w:t>
      </w:r>
    </w:p>
    <w:p>
      <w:pPr>
        <w:pStyle w:val="Heading5"/>
      </w:pPr>
      <w:bookmarkStart w:id="479" w:name="_Toc536782109"/>
      <w:r>
        <w:rPr>
          <w:rStyle w:val="CharSectno"/>
        </w:rPr>
        <w:t>133</w:t>
      </w:r>
      <w:r>
        <w:t>.</w:t>
      </w:r>
      <w:r>
        <w:tab/>
        <w:t>Preventing or hindering access</w:t>
      </w:r>
      <w:bookmarkEnd w:id="47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service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who—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is a party to an agreement with a service provider relating to a pipeline service provided by means of a covered pipeline;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as a result of an access determination is entitled to a pipeline service provided by means of 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associate of a service provider or a person referred to in paragraph (b),</w:t>
      </w:r>
    </w:p>
    <w:p>
      <w:pPr>
        <w:keepLines/>
        <w:autoSpaceDE w:val="0"/>
        <w:autoSpaceDN w:val="0"/>
        <w:adjustRightInd w:val="0"/>
        <w:spacing w:before="120"/>
        <w:ind w:left="1588"/>
        <w:rPr>
          <w:color w:val="000000"/>
          <w:sz w:val="23"/>
          <w:szCs w:val="23"/>
        </w:rPr>
      </w:pPr>
      <w:r>
        <w:rPr>
          <w:color w:val="000000"/>
          <w:sz w:val="23"/>
          <w:szCs w:val="23"/>
        </w:rPr>
        <w:t>must not engage in conduct for the purpose of preventing or hindering the access of another person to a pipeline service provided by means of the covered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a person is deemed to engage in conduct for a particular purpose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conduct is or was engaged in for that purpose or for a purpose that includes, or included, that purpose;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purpose is or was a substantial purpose.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person may be taken to have engaged in conduct for the purpose referred to in subsection (1) even though, after all the evidence has been considered, the existence of that purpose is ascertainable only by inference from the conduct of the person or of any other person or from other relevant circumstances.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Subsection (3) does not limit the manner in which the purpose of a person may be established for the purpose of subsection (1).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this section—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reference to engaging in conduct is a reference to doing or refusing to do any act, including refusing to supply a pipeline service or, without reasonable grounds, limiting or disrupting a pipeline service, or making, or giving effect to, a provision of, a contract or arrangement, arriving at, or giving effect to, a provision of, an understanding or requiring the giving of, or giving, a covenant;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reference to refusing to do an act includes a reference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refraining (otherwise than inadvertently) from doing that act;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making it known that that act will not be done.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Subsection (1) does not apply to conduct engaged in in accordance with an agreement, if the agreement was in force on 30 March 1995.</w:t>
      </w:r>
    </w:p>
    <w:p>
      <w:pPr>
        <w:keepNext/>
        <w:keepLines/>
        <w:autoSpaceDE w:val="0"/>
        <w:autoSpaceDN w:val="0"/>
        <w:adjustRightInd w:val="0"/>
        <w:spacing w:before="120"/>
        <w:ind w:left="1588" w:hanging="567"/>
        <w:rPr>
          <w:b/>
          <w:bCs/>
          <w:color w:val="000000"/>
          <w:sz w:val="20"/>
        </w:rPr>
      </w:pPr>
      <w:r>
        <w:rPr>
          <w:b/>
          <w:bCs/>
          <w:color w:val="000000"/>
          <w:sz w:val="20"/>
        </w:rPr>
        <w:t>Example—</w:t>
      </w:r>
    </w:p>
    <w:p>
      <w:pPr>
        <w:keepLines/>
        <w:autoSpaceDE w:val="0"/>
        <w:autoSpaceDN w:val="0"/>
        <w:adjustRightInd w:val="0"/>
        <w:spacing w:before="120"/>
        <w:ind w:left="1588"/>
        <w:rPr>
          <w:color w:val="000000"/>
          <w:sz w:val="20"/>
        </w:rPr>
      </w:pPr>
      <w:r>
        <w:rPr>
          <w:color w:val="000000"/>
          <w:sz w:val="20"/>
        </w:rPr>
        <w:t>An example of conduct which may be prohibited if the requisite purpose is established is refusing to supply, or limiting or disrupting the supply of, a pipeline service to a user or prospective user for technical or safety reasons without reasonable grounds.</w:t>
      </w:r>
    </w:p>
    <w:p>
      <w:pPr>
        <w:pStyle w:val="Heading5"/>
      </w:pPr>
      <w:bookmarkStart w:id="480" w:name="_Toc536782110"/>
      <w:r>
        <w:rPr>
          <w:rStyle w:val="CharSectno"/>
        </w:rPr>
        <w:t>134</w:t>
      </w:r>
      <w:r>
        <w:t>.</w:t>
      </w:r>
      <w:r>
        <w:tab/>
        <w:t>Supply and haulage of natural gas</w:t>
      </w:r>
      <w:bookmarkEnd w:id="48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producer states terms and conditions (whether or not including the price) (</w:t>
      </w:r>
      <w:r>
        <w:rPr>
          <w:rStyle w:val="CharDefText"/>
          <w:bCs/>
          <w:sz w:val="23"/>
        </w:rPr>
        <w:t>the first terms</w:t>
      </w:r>
      <w:r>
        <w:rPr>
          <w:color w:val="000000"/>
          <w:sz w:val="23"/>
          <w:szCs w:val="23"/>
        </w:rPr>
        <w:t>) on which the producer offers to supply natural gas through a covered pipeline that is in operation at the time of the offer to a person at a place other than the exit flange of the producer’s processing plant, the producer must, on request by the person, state terms and conditions (including the price, if the price was included in the first terms) (</w:t>
      </w:r>
      <w:r>
        <w:rPr>
          <w:rStyle w:val="CharDefText"/>
          <w:bCs/>
          <w:sz w:val="23"/>
        </w:rPr>
        <w:t>the second terms</w:t>
      </w:r>
      <w:r>
        <w:rPr>
          <w:color w:val="000000"/>
          <w:sz w:val="23"/>
          <w:szCs w:val="23"/>
        </w:rPr>
        <w:t>) on which the producer will supply natural gas to the person at the exit flange.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there is a difference in the price stated in the first terms and the second terms, the producer must include in the second terms a statement of the reasons for the difference.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producer offers to supply natural gas to a person at a place other than the exit flange of the producer’s processing plant, the producer must, on request, offer to supply the gas at the exit flange on the terms and conditions (including price) stated in accordance with this section.</w:t>
      </w:r>
    </w:p>
    <w:p>
      <w:pPr>
        <w:pStyle w:val="Heading5"/>
        <w:spacing w:before="120"/>
      </w:pPr>
      <w:bookmarkStart w:id="481" w:name="_Toc536782111"/>
      <w:r>
        <w:rPr>
          <w:rStyle w:val="CharSectno"/>
        </w:rPr>
        <w:t>135</w:t>
      </w:r>
      <w:r>
        <w:t>.</w:t>
      </w:r>
      <w:r>
        <w:tab/>
        <w:t>Covered pipeline service provider must comply with queuing requirements</w:t>
      </w:r>
      <w:bookmarkEnd w:id="481"/>
    </w:p>
    <w:p>
      <w:pPr>
        <w:keepLines/>
        <w:autoSpaceDE w:val="0"/>
        <w:autoSpaceDN w:val="0"/>
        <w:adjustRightInd w:val="0"/>
        <w:spacing w:before="120"/>
        <w:ind w:left="1588"/>
        <w:rPr>
          <w:color w:val="000000"/>
          <w:sz w:val="23"/>
          <w:szCs w:val="23"/>
        </w:rPr>
      </w:pPr>
      <w:r>
        <w:rPr>
          <w:color w:val="000000"/>
          <w:sz w:val="23"/>
          <w:szCs w:val="23"/>
        </w:rPr>
        <w:t>A covered pipeline service provider must comply with the queuing requirements of an applicable access arrangement.</w:t>
      </w:r>
    </w:p>
    <w:p>
      <w:pPr>
        <w:pStyle w:val="Heading5"/>
        <w:keepLines w:val="0"/>
      </w:pPr>
      <w:bookmarkStart w:id="482" w:name="_Toc536782112"/>
      <w:r>
        <w:rPr>
          <w:rStyle w:val="CharSectno"/>
        </w:rPr>
        <w:t>136</w:t>
      </w:r>
      <w:r>
        <w:t>.</w:t>
      </w:r>
      <w:r>
        <w:tab/>
        <w:t>Covered pipeline service provider providing light regulation services must not price discriminate</w:t>
      </w:r>
      <w:bookmarkEnd w:id="482"/>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covered pipeline service provider must not engage in price discrimination when providing light regulation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apply if the covered pipeline service provider engages in price discrimination that is conducive to efficient service provision.</w:t>
      </w:r>
    </w:p>
    <w:p>
      <w:pPr>
        <w:pStyle w:val="Heading3"/>
      </w:pPr>
      <w:bookmarkStart w:id="483" w:name="_Toc501634022"/>
      <w:bookmarkStart w:id="484" w:name="_Toc501712918"/>
      <w:bookmarkStart w:id="485" w:name="_Toc536782113"/>
      <w:r>
        <w:rPr>
          <w:rStyle w:val="CharDivNo"/>
        </w:rPr>
        <w:t>Part 2</w:t>
      </w:r>
      <w:r>
        <w:t xml:space="preserve"> — </w:t>
      </w:r>
      <w:r>
        <w:rPr>
          <w:rStyle w:val="CharDivText"/>
        </w:rPr>
        <w:t>Structural and operational separation requirements (ring fencing)</w:t>
      </w:r>
      <w:bookmarkEnd w:id="483"/>
      <w:bookmarkEnd w:id="484"/>
      <w:bookmarkEnd w:id="485"/>
    </w:p>
    <w:p>
      <w:pPr>
        <w:pStyle w:val="Heading4"/>
      </w:pPr>
      <w:bookmarkStart w:id="486" w:name="_Toc501634023"/>
      <w:bookmarkStart w:id="487" w:name="_Toc501712919"/>
      <w:bookmarkStart w:id="488" w:name="_Toc536782114"/>
      <w:r>
        <w:t>Division 1 — Interpretation</w:t>
      </w:r>
      <w:bookmarkEnd w:id="486"/>
      <w:bookmarkEnd w:id="487"/>
      <w:bookmarkEnd w:id="488"/>
    </w:p>
    <w:p>
      <w:pPr>
        <w:pStyle w:val="Heading5"/>
      </w:pPr>
      <w:bookmarkStart w:id="489" w:name="_Toc536782115"/>
      <w:r>
        <w:rPr>
          <w:rStyle w:val="CharSectno"/>
        </w:rPr>
        <w:t>137</w:t>
      </w:r>
      <w:r>
        <w:t>.</w:t>
      </w:r>
      <w:r>
        <w:tab/>
        <w:t>Definitions</w:t>
      </w:r>
      <w:bookmarkEnd w:id="489"/>
    </w:p>
    <w:p>
      <w:pPr>
        <w:keepNext/>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rPr>
          <w:color w:val="000000"/>
          <w:sz w:val="23"/>
          <w:szCs w:val="23"/>
        </w:rPr>
      </w:pPr>
      <w:r>
        <w:rPr>
          <w:rStyle w:val="CharDefText"/>
          <w:bCs/>
          <w:sz w:val="23"/>
        </w:rPr>
        <w:t>additional ring fencing requirement</w:t>
      </w:r>
      <w:r>
        <w:rPr>
          <w:bCs/>
          <w:i/>
          <w:iCs/>
          <w:color w:val="000000"/>
          <w:sz w:val="23"/>
          <w:szCs w:val="23"/>
        </w:rPr>
        <w:t xml:space="preserve"> </w:t>
      </w:r>
      <w:r>
        <w:rPr>
          <w:color w:val="000000"/>
          <w:sz w:val="23"/>
          <w:szCs w:val="23"/>
        </w:rPr>
        <w:t>has the meaning given by section 143(1);</w:t>
      </w:r>
    </w:p>
    <w:p>
      <w:pPr>
        <w:keepLines/>
        <w:autoSpaceDE w:val="0"/>
        <w:autoSpaceDN w:val="0"/>
        <w:adjustRightInd w:val="0"/>
        <w:spacing w:before="120"/>
        <w:ind w:left="1588"/>
        <w:rPr>
          <w:color w:val="000000"/>
          <w:sz w:val="23"/>
          <w:szCs w:val="23"/>
        </w:rPr>
      </w:pPr>
      <w:r>
        <w:rPr>
          <w:rStyle w:val="CharDefText"/>
          <w:bCs/>
          <w:sz w:val="23"/>
        </w:rPr>
        <w:t>compliance date</w:t>
      </w:r>
      <w:r>
        <w:rPr>
          <w:bCs/>
          <w:i/>
          <w:iCs/>
          <w:color w:val="000000"/>
          <w:sz w:val="23"/>
          <w:szCs w:val="23"/>
        </w:rPr>
        <w:t xml:space="preserve"> </w:t>
      </w:r>
      <w:r>
        <w:rPr>
          <w:color w:val="000000"/>
          <w:sz w:val="23"/>
          <w:szCs w:val="23"/>
        </w:rPr>
        <w:t>means the date that is 6 months after the date a pipeline becomes a covered pipeline;</w:t>
      </w:r>
    </w:p>
    <w:p>
      <w:pPr>
        <w:keepLines/>
        <w:autoSpaceDE w:val="0"/>
        <w:autoSpaceDN w:val="0"/>
        <w:adjustRightInd w:val="0"/>
        <w:spacing w:before="120"/>
        <w:ind w:left="1588"/>
        <w:rPr>
          <w:color w:val="000000"/>
          <w:sz w:val="23"/>
          <w:szCs w:val="23"/>
        </w:rPr>
      </w:pPr>
      <w:r>
        <w:rPr>
          <w:rStyle w:val="CharDefText"/>
          <w:bCs/>
          <w:sz w:val="23"/>
        </w:rPr>
        <w:t>marketing staff</w:t>
      </w:r>
      <w:r>
        <w:rPr>
          <w:bCs/>
          <w:i/>
          <w:iCs/>
          <w:color w:val="000000"/>
          <w:sz w:val="23"/>
          <w:szCs w:val="23"/>
        </w:rPr>
        <w:t xml:space="preserve"> </w:t>
      </w:r>
      <w:r>
        <w:rPr>
          <w:color w:val="000000"/>
          <w:sz w:val="23"/>
          <w:szCs w:val="23"/>
        </w:rPr>
        <w:t>has the meaning given by section 138;</w:t>
      </w:r>
    </w:p>
    <w:p>
      <w:pPr>
        <w:keepNext/>
        <w:keepLines/>
        <w:autoSpaceDE w:val="0"/>
        <w:autoSpaceDN w:val="0"/>
        <w:adjustRightInd w:val="0"/>
        <w:spacing w:before="120"/>
        <w:ind w:left="1588"/>
        <w:rPr>
          <w:color w:val="000000"/>
          <w:sz w:val="23"/>
          <w:szCs w:val="23"/>
        </w:rPr>
      </w:pPr>
      <w:r>
        <w:rPr>
          <w:rStyle w:val="CharDefText"/>
          <w:bCs/>
          <w:sz w:val="23"/>
        </w:rPr>
        <w:t>related business</w:t>
      </w:r>
      <w:r>
        <w:rPr>
          <w:bCs/>
          <w:i/>
          <w:iCs/>
          <w:color w:val="000000"/>
          <w:sz w:val="23"/>
          <w:szCs w:val="23"/>
        </w:rPr>
        <w:t xml:space="preserve"> </w:t>
      </w:r>
      <w:r>
        <w:rPr>
          <w:color w:val="000000"/>
          <w:sz w:val="23"/>
          <w:szCs w:val="23"/>
        </w:rPr>
        <w:t>means the business of producing, purchasing or selling natural gas or processable gas, but does not include purchasing or selling of natural gas or processable gas to the extent necessary—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for the safe and reliable operation of 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enable a service provider to provide balancing services in connection with a covered pipeline.</w:t>
      </w:r>
    </w:p>
    <w:p>
      <w:pPr>
        <w:pStyle w:val="Heading5"/>
      </w:pPr>
      <w:bookmarkStart w:id="490" w:name="_Toc536782116"/>
      <w:r>
        <w:rPr>
          <w:rStyle w:val="CharSectno"/>
        </w:rPr>
        <w:t>138</w:t>
      </w:r>
      <w:r>
        <w:t>.</w:t>
      </w:r>
      <w:r>
        <w:tab/>
        <w:t>Meaning of marketing staff</w:t>
      </w:r>
      <w:bookmarkEnd w:id="49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is marketing staff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service provider, if the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is an officer, employee, consultant or independent contractor or agent of the covered pipeline service provider;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directly involved in the sale, marketing or advertising of pipeline services (whether or not the person is also involved in other activities);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associate of a covered pipeline service provider, if the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is an officer, employee, consultant or independent contractor or agent of the associate;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directly involved in the sale, marketing or advertising of pipeline services (whether or not the person is also involved in other activities).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is not marketing staff of a covered pipeline service provider, or an associate of a covered pipeline service provider,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person’s function or role (as an officer, employee, consultant or independent contractor or agent of a covered pipeline service provider, or an associate of a covered pipeline service provider) is only to provide technical, administrative, legal and accounting services to that provider or associate;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sale, marketing or advertising of pipeline services is only an incidental part of the person’s function or role (as an officer, employee, consultant or independent contractor or agent of a covered pipeline service provider, or an associate of a covered pipeline service provider).</w:t>
      </w:r>
    </w:p>
    <w:p>
      <w:pPr>
        <w:keepNext/>
        <w:autoSpaceDE w:val="0"/>
        <w:autoSpaceDN w:val="0"/>
        <w:adjustRightInd w:val="0"/>
        <w:spacing w:before="120"/>
        <w:ind w:left="1588" w:hanging="567"/>
        <w:rPr>
          <w:b/>
          <w:bCs/>
          <w:color w:val="000000"/>
          <w:sz w:val="20"/>
        </w:rPr>
      </w:pPr>
      <w:r>
        <w:rPr>
          <w:b/>
          <w:bCs/>
          <w:color w:val="000000"/>
          <w:sz w:val="20"/>
        </w:rPr>
        <w:t>Example—</w:t>
      </w:r>
    </w:p>
    <w:p>
      <w:pPr>
        <w:autoSpaceDE w:val="0"/>
        <w:autoSpaceDN w:val="0"/>
        <w:adjustRightInd w:val="0"/>
        <w:spacing w:before="120"/>
        <w:ind w:left="1588"/>
        <w:rPr>
          <w:color w:val="000000"/>
          <w:sz w:val="20"/>
        </w:rPr>
      </w:pPr>
      <w:r>
        <w:rPr>
          <w:color w:val="000000"/>
          <w:sz w:val="20"/>
        </w:rPr>
        <w:t>A person in the position of general manager of marketing of a covered pipeline service provider or an associate of a covered pipeline service provider would be marketing staff whereas a person in the position of chief executive officer, or chief financial officer, of a covered pipeline service provider or an associate of a covered pipeline service provider would not be marketing staff.</w:t>
      </w:r>
    </w:p>
    <w:p>
      <w:pPr>
        <w:pStyle w:val="Heading4"/>
      </w:pPr>
      <w:bookmarkStart w:id="491" w:name="_Toc501634026"/>
      <w:bookmarkStart w:id="492" w:name="_Toc501712922"/>
      <w:bookmarkStart w:id="493" w:name="_Toc536782117"/>
      <w:r>
        <w:t>Division 2 — Minimum ring fencing requirements</w:t>
      </w:r>
      <w:bookmarkEnd w:id="491"/>
      <w:bookmarkEnd w:id="492"/>
      <w:bookmarkEnd w:id="493"/>
    </w:p>
    <w:p>
      <w:pPr>
        <w:pStyle w:val="Heading5"/>
      </w:pPr>
      <w:bookmarkStart w:id="494" w:name="_Toc536782118"/>
      <w:r>
        <w:rPr>
          <w:rStyle w:val="CharSectno"/>
        </w:rPr>
        <w:t>139</w:t>
      </w:r>
      <w:r>
        <w:t>.</w:t>
      </w:r>
      <w:r>
        <w:tab/>
        <w:t>Carrying on of related businesses prohibited</w:t>
      </w:r>
      <w:bookmarkEnd w:id="494"/>
    </w:p>
    <w:p>
      <w:pPr>
        <w:keepLines/>
        <w:autoSpaceDE w:val="0"/>
        <w:autoSpaceDN w:val="0"/>
        <w:adjustRightInd w:val="0"/>
        <w:spacing w:before="120"/>
        <w:ind w:left="1588"/>
        <w:rPr>
          <w:color w:val="000000"/>
          <w:sz w:val="23"/>
          <w:szCs w:val="23"/>
        </w:rPr>
      </w:pPr>
      <w:r>
        <w:rPr>
          <w:color w:val="000000"/>
          <w:sz w:val="23"/>
          <w:szCs w:val="23"/>
        </w:rPr>
        <w:t>On and after the compliance date, a covered pipeline service provider must not carry on a related business.</w:t>
      </w:r>
    </w:p>
    <w:p>
      <w:pPr>
        <w:pStyle w:val="Heading5"/>
      </w:pPr>
      <w:bookmarkStart w:id="495" w:name="_Toc536782119"/>
      <w:r>
        <w:rPr>
          <w:rStyle w:val="CharSectno"/>
        </w:rPr>
        <w:t>140</w:t>
      </w:r>
      <w:r>
        <w:t>.</w:t>
      </w:r>
      <w:r>
        <w:tab/>
        <w:t>Marketing staff and the taking part in related businesses</w:t>
      </w:r>
      <w:bookmarkEnd w:id="49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and after the compliance date, a covered pipeline service provider must ensure that none of its marketing staff are officers, employees, consultants, independent contractors or agents of an associate of the covered pipeline service provider that takes part in a related business.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compliance date, a covered pipeline service provider must ensure that none of its officers, employees, consultants, independent contractors or agents are marketing staff of an associate of the covered pipeline service provider that takes part in a related business.</w:t>
      </w:r>
    </w:p>
    <w:p>
      <w:pPr>
        <w:pStyle w:val="Heading5"/>
      </w:pPr>
      <w:bookmarkStart w:id="496" w:name="_Toc536782120"/>
      <w:r>
        <w:rPr>
          <w:rStyle w:val="CharSectno"/>
        </w:rPr>
        <w:t>141</w:t>
      </w:r>
      <w:r>
        <w:t>.</w:t>
      </w:r>
      <w:r>
        <w:tab/>
        <w:t>Accounts that must be prepared, maintained and kept</w:t>
      </w:r>
      <w:bookmarkEnd w:id="496"/>
    </w:p>
    <w:p>
      <w:pPr>
        <w:keepNext/>
        <w:keepLines/>
        <w:autoSpaceDE w:val="0"/>
        <w:autoSpaceDN w:val="0"/>
        <w:adjustRightInd w:val="0"/>
        <w:spacing w:before="120"/>
        <w:ind w:left="1588"/>
        <w:rPr>
          <w:color w:val="000000"/>
          <w:sz w:val="23"/>
          <w:szCs w:val="23"/>
        </w:rPr>
      </w:pPr>
      <w:r>
        <w:rPr>
          <w:color w:val="000000"/>
          <w:sz w:val="23"/>
          <w:szCs w:val="23"/>
        </w:rPr>
        <w:t>On and after the compliance date, a covered pipeline service provider must prepare, maintain and keep—</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separate accounts in respect of pipeline services provided by means of every covered pipeline owned, operated or controlled by the covered pipeline service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consolidated set of accounts in respect of the whole of the business of the covered pipeline service provider.</w:t>
      </w:r>
    </w:p>
    <w:p>
      <w:pPr>
        <w:pStyle w:val="Heading4"/>
      </w:pPr>
      <w:bookmarkStart w:id="497" w:name="_Toc501634030"/>
      <w:bookmarkStart w:id="498" w:name="_Toc501712926"/>
      <w:bookmarkStart w:id="499" w:name="_Toc536782121"/>
      <w:r>
        <w:t>Division 3 — Additional ring fencing requirements</w:t>
      </w:r>
      <w:bookmarkEnd w:id="497"/>
      <w:bookmarkEnd w:id="498"/>
      <w:bookmarkEnd w:id="499"/>
    </w:p>
    <w:p>
      <w:pPr>
        <w:pStyle w:val="Heading5"/>
      </w:pPr>
      <w:bookmarkStart w:id="500" w:name="_Toc536782122"/>
      <w:r>
        <w:rPr>
          <w:rStyle w:val="CharSectno"/>
        </w:rPr>
        <w:t>142</w:t>
      </w:r>
      <w:r>
        <w:t>.</w:t>
      </w:r>
      <w:r>
        <w:tab/>
        <w:t>Division does not limit operation of Division 2</w:t>
      </w:r>
      <w:bookmarkEnd w:id="500"/>
    </w:p>
    <w:p>
      <w:pPr>
        <w:keepLines/>
        <w:autoSpaceDE w:val="0"/>
        <w:autoSpaceDN w:val="0"/>
        <w:adjustRightInd w:val="0"/>
        <w:spacing w:before="120"/>
        <w:ind w:left="1588"/>
        <w:rPr>
          <w:color w:val="000000"/>
          <w:sz w:val="23"/>
          <w:szCs w:val="23"/>
        </w:rPr>
      </w:pPr>
      <w:r>
        <w:rPr>
          <w:color w:val="000000"/>
          <w:sz w:val="23"/>
          <w:szCs w:val="23"/>
        </w:rPr>
        <w:t>This Division does not limit Division 2.</w:t>
      </w:r>
    </w:p>
    <w:p>
      <w:pPr>
        <w:pStyle w:val="Heading5"/>
      </w:pPr>
      <w:bookmarkStart w:id="501" w:name="_Toc536782123"/>
      <w:r>
        <w:t>143.</w:t>
      </w:r>
      <w:r>
        <w:tab/>
        <w:t>AER ring fencing determinations</w:t>
      </w:r>
      <w:bookmarkEnd w:id="50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Subject to this Division and subject to and in accordance with the Rules, the AER may make a determination requiring a covered pipeline service provider or associate of a covered pipeline service provider named in the determination to do, or refrain from doing, a thing specified in the determination (an </w:t>
      </w:r>
      <w:r>
        <w:rPr>
          <w:rStyle w:val="CharDefText"/>
          <w:bCs/>
          <w:sz w:val="23"/>
        </w:rPr>
        <w:t>additional ring fencing requirement</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specifying an additional ring fencing requirement the AER must have regard to the following principles: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where 1 part of the business of a covered pipeline service provider (</w:t>
      </w:r>
      <w:r>
        <w:rPr>
          <w:rStyle w:val="CharDefText"/>
          <w:sz w:val="23"/>
        </w:rPr>
        <w:t>business unit A</w:t>
      </w:r>
      <w:r>
        <w:rPr>
          <w:color w:val="000000"/>
          <w:sz w:val="23"/>
          <w:szCs w:val="23"/>
        </w:rPr>
        <w:t>) is providing pipeline services to another part of the business of the covered pipeline service provider (</w:t>
      </w:r>
      <w:r>
        <w:rPr>
          <w:rStyle w:val="CharDefText"/>
          <w:bCs/>
          <w:sz w:val="23"/>
        </w:rPr>
        <w:t>business unit B</w:t>
      </w:r>
      <w:r>
        <w:rPr>
          <w:color w:val="000000"/>
          <w:sz w:val="23"/>
          <w:szCs w:val="23"/>
        </w:rPr>
        <w:t>), the covered pipeline service provider must ensure that business unit A provides the pipeline services to business unit B as if business unit B were a separate unrelated entity;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where a covered pipeline service provider is providing pipeline services to an associate of the service provider, the covered pipeline service provider must ensure that those services are provided as if the associate of the covered pipeline service provider were a separate unrelated entity;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users and prospective users should have sufficient information in order to understand whether a covered pipeline service provider is complying with paragraph (a) or (b).</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AER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notify, in writing, the covered pipeline service provider or associate named in the AER ring fencing determination of the making of that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 the covered pipeline service provider or associate a copy of the AER ring fencing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 xml:space="preserve">An AER ring fencing determination must specify the date on and after which the covered pipeline service provider or associate of a covered pipeline service provider must do, or refrain from doing, a thing specified in the determination (a </w:t>
      </w:r>
      <w:r>
        <w:rPr>
          <w:rStyle w:val="CharDefText"/>
          <w:bCs/>
          <w:sz w:val="23"/>
        </w:rPr>
        <w:t>notified compliance date</w:t>
      </w:r>
      <w:r>
        <w:rPr>
          <w:color w:val="000000"/>
          <w:sz w:val="23"/>
          <w:szCs w:val="23"/>
        </w:rPr>
        <w: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notified compliance date must not be a date that is earlier than 10 business days after the date the covered pipeline service provider or associate of a covered pipeline service provider is given a copy of the AER ring fencing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 covered pipeline service provider or associate of a covered pipeline service provider must comply with every additional ring fencing requirement specified in an AER ring fencing determination on and after the notified compliance date.</w:t>
      </w:r>
    </w:p>
    <w:p>
      <w:pPr>
        <w:pStyle w:val="Heading5"/>
        <w:spacing w:before="120"/>
      </w:pPr>
      <w:bookmarkStart w:id="502" w:name="_Toc536782124"/>
      <w:r>
        <w:rPr>
          <w:rStyle w:val="CharSectno"/>
        </w:rPr>
        <w:t>144</w:t>
      </w:r>
      <w:r>
        <w:t>.</w:t>
      </w:r>
      <w:r>
        <w:tab/>
        <w:t>AER to have regard to likely compliance costs of additional ring fencing requirements</w:t>
      </w:r>
      <w:bookmarkEnd w:id="502"/>
    </w:p>
    <w:p>
      <w:pPr>
        <w:keepNext/>
        <w:keepLines/>
        <w:autoSpaceDE w:val="0"/>
        <w:autoSpaceDN w:val="0"/>
        <w:adjustRightInd w:val="0"/>
        <w:spacing w:before="120"/>
        <w:ind w:left="1588"/>
        <w:rPr>
          <w:color w:val="000000"/>
          <w:sz w:val="23"/>
          <w:szCs w:val="23"/>
        </w:rPr>
      </w:pPr>
      <w:r>
        <w:rPr>
          <w:color w:val="000000"/>
          <w:sz w:val="23"/>
          <w:szCs w:val="23"/>
        </w:rPr>
        <w:t>In making an AER ring fencing determination the AER must have regard to the likely costs that may be incurred by, as the case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efficient covered pipeline service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efficient associate of a covered pipeline service provider,</w:t>
      </w:r>
    </w:p>
    <w:p>
      <w:pPr>
        <w:keepLines/>
        <w:autoSpaceDE w:val="0"/>
        <w:autoSpaceDN w:val="0"/>
        <w:adjustRightInd w:val="0"/>
        <w:spacing w:before="120"/>
        <w:ind w:left="1588"/>
        <w:rPr>
          <w:color w:val="000000"/>
          <w:sz w:val="23"/>
          <w:szCs w:val="23"/>
        </w:rPr>
      </w:pPr>
      <w:r>
        <w:rPr>
          <w:color w:val="000000"/>
          <w:sz w:val="23"/>
          <w:szCs w:val="23"/>
        </w:rPr>
        <w:t>in complying with an additional ring fencing requirement specified in the determination.</w:t>
      </w:r>
    </w:p>
    <w:p>
      <w:pPr>
        <w:pStyle w:val="Heading5"/>
      </w:pPr>
      <w:bookmarkStart w:id="503" w:name="_Toc536782125"/>
      <w:r>
        <w:rPr>
          <w:rStyle w:val="CharSectno"/>
        </w:rPr>
        <w:t>145</w:t>
      </w:r>
      <w:r>
        <w:t>.</w:t>
      </w:r>
      <w:r>
        <w:tab/>
        <w:t>Types of ring fencing requirements that may be specified in an AER ring fencing determination</w:t>
      </w:r>
      <w:bookmarkEnd w:id="503"/>
    </w:p>
    <w:p>
      <w:pPr>
        <w:keepNext/>
        <w:keepLines/>
        <w:autoSpaceDE w:val="0"/>
        <w:autoSpaceDN w:val="0"/>
        <w:adjustRightInd w:val="0"/>
        <w:spacing w:before="120"/>
        <w:ind w:left="1588"/>
        <w:rPr>
          <w:color w:val="000000"/>
          <w:sz w:val="23"/>
          <w:szCs w:val="23"/>
        </w:rPr>
      </w:pPr>
      <w:r>
        <w:rPr>
          <w:color w:val="000000"/>
          <w:sz w:val="23"/>
          <w:szCs w:val="23"/>
        </w:rPr>
        <w:t>Without limiting what may be specified as an additional ring fencing requirement, the AER, in an AER ring fencing determination, may require a covered pipeline service provider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ensure that its business and business activities are conducted, structured and arranged in the particular manner specified;</w:t>
      </w:r>
    </w:p>
    <w:p>
      <w:pPr>
        <w:keepNext/>
        <w:keepLines/>
        <w:autoSpaceDE w:val="0"/>
        <w:autoSpaceDN w:val="0"/>
        <w:adjustRightInd w:val="0"/>
        <w:spacing w:before="120"/>
        <w:ind w:left="3176" w:hanging="794"/>
        <w:rPr>
          <w:b/>
          <w:bCs/>
          <w:color w:val="000000"/>
          <w:sz w:val="20"/>
        </w:rPr>
      </w:pPr>
      <w:r>
        <w:rPr>
          <w:b/>
          <w:bCs/>
          <w:color w:val="000000"/>
          <w:sz w:val="20"/>
        </w:rPr>
        <w:t>Example 1—</w:t>
      </w:r>
    </w:p>
    <w:p>
      <w:pPr>
        <w:keepLines/>
        <w:autoSpaceDE w:val="0"/>
        <w:autoSpaceDN w:val="0"/>
        <w:adjustRightInd w:val="0"/>
        <w:spacing w:before="120"/>
        <w:ind w:left="3176"/>
        <w:rPr>
          <w:color w:val="000000"/>
          <w:sz w:val="20"/>
        </w:rPr>
      </w:pPr>
      <w:r>
        <w:rPr>
          <w:color w:val="000000"/>
          <w:sz w:val="20"/>
        </w:rPr>
        <w:t>An AER ring fencing determination may require the covered pipeline service provider to ensure that persons employed or engaged by the covered pipeline service provider in relation to the provision of pipeline services are not also associates, or employed by associates, of the covered pipeline service provider that take part in a related business and how this must be effected.</w:t>
      </w:r>
    </w:p>
    <w:p>
      <w:pPr>
        <w:keepNext/>
        <w:keepLines/>
        <w:autoSpaceDE w:val="0"/>
        <w:autoSpaceDN w:val="0"/>
        <w:adjustRightInd w:val="0"/>
        <w:spacing w:before="120"/>
        <w:ind w:left="3176" w:hanging="794"/>
        <w:rPr>
          <w:b/>
          <w:bCs/>
          <w:color w:val="000000"/>
          <w:sz w:val="20"/>
        </w:rPr>
      </w:pPr>
      <w:r>
        <w:rPr>
          <w:b/>
          <w:bCs/>
          <w:color w:val="000000"/>
          <w:sz w:val="20"/>
        </w:rPr>
        <w:t>Example 2—</w:t>
      </w:r>
    </w:p>
    <w:p>
      <w:pPr>
        <w:keepLines/>
        <w:autoSpaceDE w:val="0"/>
        <w:autoSpaceDN w:val="0"/>
        <w:adjustRightInd w:val="0"/>
        <w:spacing w:before="120"/>
        <w:ind w:left="3176"/>
        <w:rPr>
          <w:color w:val="000000"/>
          <w:sz w:val="20"/>
        </w:rPr>
      </w:pPr>
      <w:r>
        <w:rPr>
          <w:color w:val="000000"/>
          <w:sz w:val="20"/>
        </w:rPr>
        <w:t>An AER ring fencing determination may require the covered pipeline service provider to put in place electronic, physical and procedural security measures in respect of the offices and computer systems of the covered pipeline service provider, and of the offices and computer systems of its associates, so that certain specified employees or persons engaged by the covered pipeline service provider do not have access to certain specified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a specified manner, disclose, to the AER and to the public, specified information in a specified manner about its business operations, structure and arrangements, and its business activities.</w:t>
      </w:r>
    </w:p>
    <w:p>
      <w:pPr>
        <w:pStyle w:val="Heading4"/>
      </w:pPr>
      <w:bookmarkStart w:id="504" w:name="_Toc501634035"/>
      <w:bookmarkStart w:id="505" w:name="_Toc501712931"/>
      <w:bookmarkStart w:id="506" w:name="_Toc536782126"/>
      <w:r>
        <w:t>Division 4 — AER ring fencing exemptions</w:t>
      </w:r>
      <w:bookmarkEnd w:id="504"/>
      <w:bookmarkEnd w:id="505"/>
      <w:bookmarkEnd w:id="506"/>
    </w:p>
    <w:p>
      <w:pPr>
        <w:pStyle w:val="Heading5"/>
      </w:pPr>
      <w:bookmarkStart w:id="507" w:name="_Toc536782127"/>
      <w:r>
        <w:rPr>
          <w:rStyle w:val="CharSectno"/>
        </w:rPr>
        <w:t>146</w:t>
      </w:r>
      <w:r>
        <w:t>.</w:t>
      </w:r>
      <w:r>
        <w:tab/>
        <w:t>Exemptions from minimum ring fencing requirements</w:t>
      </w:r>
      <w:bookmarkEnd w:id="50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covered pipeline service provider may, in accordance with the Rules, apply to the AER for an exemption from—</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requirement under section 139;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requirement under section 140;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requirement under section 141.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receiving an application under subsection (1), the AER, subject to and in accordance with the Rules, may exempt a covered pipeline service provider from—</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requirement under section 139;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requirement under section 140;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requirement under section 141.</w:t>
      </w:r>
    </w:p>
    <w:p>
      <w:pPr>
        <w:pStyle w:val="Heading4"/>
      </w:pPr>
      <w:bookmarkStart w:id="508" w:name="_Toc501634037"/>
      <w:bookmarkStart w:id="509" w:name="_Toc501712933"/>
      <w:bookmarkStart w:id="510" w:name="_Toc536782128"/>
      <w:r>
        <w:t>Division 5 — Associate contracts</w:t>
      </w:r>
      <w:bookmarkEnd w:id="508"/>
      <w:bookmarkEnd w:id="509"/>
      <w:bookmarkEnd w:id="510"/>
    </w:p>
    <w:p>
      <w:pPr>
        <w:pStyle w:val="Heading5"/>
      </w:pPr>
      <w:bookmarkStart w:id="511" w:name="_Toc536782129"/>
      <w:r>
        <w:rPr>
          <w:rStyle w:val="CharSectno"/>
        </w:rPr>
        <w:t>147</w:t>
      </w:r>
      <w:r>
        <w:t>.</w:t>
      </w:r>
      <w:r>
        <w:tab/>
        <w:t>Service provider must not enter into or give effect to associate contracts that have anti</w:t>
      </w:r>
      <w:r>
        <w:noBreakHyphen/>
        <w:t>competitive effect</w:t>
      </w:r>
      <w:bookmarkEnd w:id="511"/>
    </w:p>
    <w:p>
      <w:pPr>
        <w:keepNext/>
        <w:keepLines/>
        <w:autoSpaceDE w:val="0"/>
        <w:autoSpaceDN w:val="0"/>
        <w:adjustRightInd w:val="0"/>
        <w:spacing w:before="120"/>
        <w:ind w:left="1588"/>
        <w:rPr>
          <w:color w:val="000000"/>
          <w:sz w:val="23"/>
          <w:szCs w:val="23"/>
        </w:rPr>
      </w:pPr>
      <w:r>
        <w:rPr>
          <w:color w:val="000000"/>
          <w:sz w:val="23"/>
          <w:szCs w:val="23"/>
        </w:rPr>
        <w:t>A covered pipeline service provider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enter into an associate contract that has;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an associate contract so that contract, as varied, has;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give effect to a provision of an associate contract that has,</w:t>
      </w:r>
    </w:p>
    <w:p>
      <w:pPr>
        <w:keepLines/>
        <w:autoSpaceDE w:val="0"/>
        <w:autoSpaceDN w:val="0"/>
        <w:adjustRightInd w:val="0"/>
        <w:spacing w:before="120"/>
        <w:ind w:left="1588"/>
        <w:rPr>
          <w:color w:val="000000"/>
          <w:sz w:val="23"/>
          <w:szCs w:val="23"/>
        </w:rPr>
      </w:pPr>
      <w:r>
        <w:rPr>
          <w:color w:val="000000"/>
          <w:sz w:val="23"/>
          <w:szCs w:val="23"/>
        </w:rPr>
        <w:t>the purpose, or would have or be likely to have the effect, of substantially lessening competition in a market for natural gas services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that associate contract is an approved associate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that provision is contained in an approved associate contract.</w:t>
      </w:r>
    </w:p>
    <w:p>
      <w:pPr>
        <w:pStyle w:val="Heading5"/>
      </w:pPr>
      <w:bookmarkStart w:id="512" w:name="_Toc536782130"/>
      <w:r>
        <w:rPr>
          <w:rStyle w:val="CharSectno"/>
        </w:rPr>
        <w:t>148</w:t>
      </w:r>
      <w:r>
        <w:t>.</w:t>
      </w:r>
      <w:r>
        <w:tab/>
        <w:t>Service provider must not enter into or give effect to associate contracts inconsistent with competitive parity rule</w:t>
      </w:r>
      <w:bookmarkEnd w:id="51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covered pipeline service provider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enter into an associate contract that 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an associate contract so that contract, as varied, 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give effect to a provision of an associate contract that is,</w:t>
      </w:r>
    </w:p>
    <w:p>
      <w:pPr>
        <w:keepLines/>
        <w:autoSpaceDE w:val="0"/>
        <w:autoSpaceDN w:val="0"/>
        <w:adjustRightInd w:val="0"/>
        <w:spacing w:before="120"/>
        <w:ind w:left="1588"/>
        <w:rPr>
          <w:color w:val="000000"/>
          <w:sz w:val="23"/>
          <w:szCs w:val="23"/>
        </w:rPr>
      </w:pPr>
      <w:r>
        <w:rPr>
          <w:color w:val="000000"/>
          <w:sz w:val="23"/>
          <w:szCs w:val="23"/>
        </w:rPr>
        <w:t>inconsistent with the competitive parity rule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that associate contract is an approved associated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that provision is contained in an approved associate contract.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and any Rules made for the purposes of that subsection, the competitive parity rule is the rule that a covered pipeline service provider must ensure that any pipeline services that the covered pipeline service provider provides to an associate of the covered pipeline service provider are provided to that associate as if that associate were a separate unrelated entity.</w:t>
      </w:r>
    </w:p>
    <w:p>
      <w:pPr>
        <w:pStyle w:val="Heading2"/>
      </w:pPr>
      <w:bookmarkStart w:id="513" w:name="_Toc501634040"/>
      <w:bookmarkStart w:id="514" w:name="_Toc501712936"/>
      <w:bookmarkStart w:id="515" w:name="_Toc536782131"/>
      <w:r>
        <w:rPr>
          <w:rStyle w:val="CharPartNo"/>
        </w:rPr>
        <w:t>Chapter 5</w:t>
      </w:r>
      <w:r>
        <w:t xml:space="preserve"> — </w:t>
      </w:r>
      <w:r>
        <w:rPr>
          <w:rStyle w:val="CharPartText"/>
        </w:rPr>
        <w:t>Greenfields pipeline incentives</w:t>
      </w:r>
      <w:bookmarkEnd w:id="513"/>
      <w:bookmarkEnd w:id="514"/>
      <w:bookmarkEnd w:id="515"/>
    </w:p>
    <w:p>
      <w:pPr>
        <w:pStyle w:val="Heading3"/>
      </w:pPr>
      <w:bookmarkStart w:id="516" w:name="_Toc501634041"/>
      <w:bookmarkStart w:id="517" w:name="_Toc501712937"/>
      <w:bookmarkStart w:id="518" w:name="_Toc536782132"/>
      <w:r>
        <w:rPr>
          <w:rStyle w:val="CharDivNo"/>
        </w:rPr>
        <w:t>Part 1</w:t>
      </w:r>
      <w:r>
        <w:t xml:space="preserve"> — </w:t>
      </w:r>
      <w:r>
        <w:rPr>
          <w:rStyle w:val="CharDivText"/>
        </w:rPr>
        <w:t>Interpretation</w:t>
      </w:r>
      <w:bookmarkEnd w:id="516"/>
      <w:bookmarkEnd w:id="517"/>
      <w:bookmarkEnd w:id="518"/>
    </w:p>
    <w:p>
      <w:pPr>
        <w:pStyle w:val="Heading5"/>
      </w:pPr>
      <w:bookmarkStart w:id="519" w:name="_Toc536782133"/>
      <w:r>
        <w:rPr>
          <w:rStyle w:val="CharSectno"/>
        </w:rPr>
        <w:t>149</w:t>
      </w:r>
      <w:r>
        <w:t>.</w:t>
      </w:r>
      <w:r>
        <w:tab/>
        <w:t>Definitions</w:t>
      </w:r>
      <w:bookmarkEnd w:id="519"/>
    </w:p>
    <w:p>
      <w:pPr>
        <w:keepNext/>
        <w:keepLines/>
        <w:autoSpaceDE w:val="0"/>
        <w:autoSpaceDN w:val="0"/>
        <w:adjustRightInd w:val="0"/>
        <w:spacing w:before="120"/>
        <w:ind w:left="1588"/>
        <w:rPr>
          <w:color w:val="000000"/>
          <w:sz w:val="23"/>
          <w:szCs w:val="23"/>
        </w:rPr>
      </w:pPr>
      <w:r>
        <w:rPr>
          <w:color w:val="000000"/>
          <w:sz w:val="23"/>
          <w:szCs w:val="23"/>
        </w:rPr>
        <w:t>In this Chapter—</w:t>
      </w:r>
    </w:p>
    <w:p>
      <w:pPr>
        <w:keepLines/>
        <w:autoSpaceDE w:val="0"/>
        <w:autoSpaceDN w:val="0"/>
        <w:adjustRightInd w:val="0"/>
        <w:spacing w:before="120"/>
        <w:ind w:left="1588"/>
        <w:rPr>
          <w:color w:val="000000"/>
          <w:sz w:val="23"/>
          <w:szCs w:val="23"/>
        </w:rPr>
      </w:pPr>
      <w:r>
        <w:rPr>
          <w:rStyle w:val="CharDefText"/>
          <w:bCs/>
          <w:sz w:val="23"/>
        </w:rPr>
        <w:t>excluded infrastructure</w:t>
      </w:r>
      <w:r>
        <w:rPr>
          <w:color w:val="000000"/>
          <w:sz w:val="23"/>
          <w:szCs w:val="23"/>
        </w:rPr>
        <w:t>, in relation to a pipeline, means tanks, reservoirs, machinery, equipment or other infrastructure that forms part of the pipeline but is classified by the Rules as excluded infrastructure for the purposes of this Law;</w:t>
      </w:r>
    </w:p>
    <w:p>
      <w:pPr>
        <w:keepNext/>
        <w:keepLines/>
        <w:autoSpaceDE w:val="0"/>
        <w:autoSpaceDN w:val="0"/>
        <w:adjustRightInd w:val="0"/>
        <w:spacing w:before="120"/>
        <w:ind w:left="1588"/>
        <w:rPr>
          <w:color w:val="000000"/>
          <w:sz w:val="23"/>
          <w:szCs w:val="23"/>
        </w:rPr>
      </w:pPr>
      <w:r>
        <w:rPr>
          <w:rStyle w:val="CharDefText"/>
          <w:bCs/>
          <w:sz w:val="23"/>
        </w:rPr>
        <w:t>greenfields pipeline project</w:t>
      </w:r>
      <w:r>
        <w:rPr>
          <w:bCs/>
          <w:i/>
          <w:iCs/>
          <w:color w:val="000000"/>
          <w:sz w:val="23"/>
          <w:szCs w:val="23"/>
        </w:rPr>
        <w:t xml:space="preserve"> </w:t>
      </w:r>
      <w:r>
        <w:rPr>
          <w:color w:val="000000"/>
          <w:sz w:val="23"/>
          <w:szCs w:val="23"/>
        </w:rPr>
        <w:t>means a project for the construction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that is to be structurally separate from any existing pipeline (whether or not it is to traverse a route different from the route of an existing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major extension to an existing pipeline that is not 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major extension to a covered pipeline by means of which light regulation services are provided if that extension is exempted by the AER under section 19.</w:t>
      </w:r>
    </w:p>
    <w:p>
      <w:pPr>
        <w:pStyle w:val="Heading5"/>
      </w:pPr>
      <w:bookmarkStart w:id="520" w:name="_Toc536782134"/>
      <w:r>
        <w:rPr>
          <w:rStyle w:val="CharSectno"/>
        </w:rPr>
        <w:t>150</w:t>
      </w:r>
      <w:r>
        <w:t>.</w:t>
      </w:r>
      <w:r>
        <w:tab/>
        <w:t>International pipeline to be a transmission pipeline for purposes of Chapter</w:t>
      </w:r>
      <w:bookmarkEnd w:id="520"/>
    </w:p>
    <w:p>
      <w:pPr>
        <w:keepLines/>
        <w:autoSpaceDE w:val="0"/>
        <w:autoSpaceDN w:val="0"/>
        <w:adjustRightInd w:val="0"/>
        <w:spacing w:before="120"/>
        <w:ind w:left="1588"/>
        <w:rPr>
          <w:color w:val="000000"/>
          <w:sz w:val="23"/>
          <w:szCs w:val="23"/>
        </w:rPr>
      </w:pPr>
      <w:r>
        <w:rPr>
          <w:color w:val="000000"/>
          <w:sz w:val="23"/>
          <w:szCs w:val="23"/>
        </w:rPr>
        <w:t>An international pipeline is, for the purposes of this Chapter, a transmission pipeline.</w:t>
      </w:r>
    </w:p>
    <w:p>
      <w:pPr>
        <w:pStyle w:val="Heading3"/>
      </w:pPr>
      <w:bookmarkStart w:id="521" w:name="_Toc501634044"/>
      <w:bookmarkStart w:id="522" w:name="_Toc501712940"/>
      <w:bookmarkStart w:id="523" w:name="_Toc536782135"/>
      <w:r>
        <w:rPr>
          <w:rStyle w:val="CharDivNo"/>
        </w:rPr>
        <w:t>Part 2</w:t>
      </w:r>
      <w:r>
        <w:t xml:space="preserve"> — </w:t>
      </w:r>
      <w:r>
        <w:rPr>
          <w:rStyle w:val="CharDivText"/>
        </w:rPr>
        <w:t>15</w:t>
      </w:r>
      <w:r>
        <w:rPr>
          <w:rStyle w:val="CharDivText"/>
        </w:rPr>
        <w:noBreakHyphen/>
        <w:t>year no</w:t>
      </w:r>
      <w:r>
        <w:rPr>
          <w:rStyle w:val="CharDivText"/>
        </w:rPr>
        <w:noBreakHyphen/>
        <w:t>coverage determinations</w:t>
      </w:r>
      <w:bookmarkEnd w:id="521"/>
      <w:bookmarkEnd w:id="522"/>
      <w:bookmarkEnd w:id="523"/>
    </w:p>
    <w:p>
      <w:pPr>
        <w:pStyle w:val="Heading5"/>
      </w:pPr>
      <w:bookmarkStart w:id="524" w:name="_Toc536782136"/>
      <w:r>
        <w:rPr>
          <w:rStyle w:val="CharSectno"/>
        </w:rPr>
        <w:t>151</w:t>
      </w:r>
      <w:r>
        <w:t>.</w:t>
      </w:r>
      <w:r>
        <w:tab/>
        <w:t>Application for 15</w:t>
      </w:r>
      <w:r>
        <w:noBreakHyphen/>
        <w:t>year no</w:t>
      </w:r>
      <w:r>
        <w:noBreakHyphen/>
        <w:t>coverage determination for proposed pipeline</w:t>
      </w:r>
      <w:bookmarkEnd w:id="52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If a greenfields pipeline project is proposed, or has commenced, the service provider may, before the pipeline is commissioned, apply for a determination (a </w:t>
      </w:r>
      <w:r>
        <w:rPr>
          <w:rStyle w:val="CharDefText"/>
          <w:bCs/>
          <w:sz w:val="23"/>
        </w:rPr>
        <w:t>15</w:t>
      </w:r>
      <w:r>
        <w:rPr>
          <w:rStyle w:val="CharDefText"/>
          <w:bCs/>
          <w:sz w:val="23"/>
        </w:rPr>
        <w:noBreakHyphen/>
        <w:t>year no</w:t>
      </w:r>
      <w:r>
        <w:rPr>
          <w:rStyle w:val="CharDefText"/>
          <w:bCs/>
          <w:sz w:val="23"/>
        </w:rPr>
        <w:noBreakHyphen/>
        <w:t>coverage determination</w:t>
      </w:r>
      <w:r>
        <w:rPr>
          <w:color w:val="000000"/>
          <w:sz w:val="23"/>
          <w:szCs w:val="23"/>
        </w:rPr>
        <w:t>) exempting the pipeline from being a covered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price regulation exemption has been granted for an international pipeline, an application for a 15</w:t>
      </w:r>
      <w:r>
        <w:rPr>
          <w:color w:val="000000"/>
          <w:sz w:val="23"/>
          <w:szCs w:val="23"/>
        </w:rPr>
        <w:noBreakHyphen/>
        <w:t>year no</w:t>
      </w:r>
      <w:r>
        <w:rPr>
          <w:color w:val="000000"/>
          <w:sz w:val="23"/>
          <w:szCs w:val="23"/>
        </w:rPr>
        <w:noBreakHyphen/>
        <w:t>coverage determination for the pipeline may be made by the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before the pipeline is commissioned;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after the pipeline is commissioned but before the term of the price regulation exemption comes to an end.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application for 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to be made to the NCC;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include a description of the pipeline that meets the requirements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need not describe, or include details of, excluded infrastructure;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must be accompanied by the fee prescribed by the Regulations (if any).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service provider</w:t>
      </w:r>
      <w:r>
        <w:rPr>
          <w:bCs/>
          <w:i/>
          <w:iCs/>
          <w:color w:val="000000"/>
          <w:sz w:val="23"/>
          <w:szCs w:val="23"/>
        </w:rPr>
        <w:t xml:space="preserve"> </w:t>
      </w:r>
      <w:r>
        <w:rPr>
          <w:color w:val="000000"/>
          <w:sz w:val="23"/>
          <w:szCs w:val="23"/>
        </w:rPr>
        <w:t>includes a person that intends to be a service provider.</w:t>
      </w:r>
    </w:p>
    <w:p>
      <w:pPr>
        <w:pStyle w:val="Heading5"/>
      </w:pPr>
      <w:bookmarkStart w:id="525" w:name="_Toc536782137"/>
      <w:r>
        <w:rPr>
          <w:rStyle w:val="CharSectno"/>
        </w:rPr>
        <w:t>152</w:t>
      </w:r>
      <w:r>
        <w:t>.</w:t>
      </w:r>
      <w:r>
        <w:tab/>
        <w:t>Application to be dealt with in accordance with the Rules</w:t>
      </w:r>
      <w:bookmarkEnd w:id="525"/>
    </w:p>
    <w:p>
      <w:pPr>
        <w:keepLines/>
        <w:autoSpaceDE w:val="0"/>
        <w:autoSpaceDN w:val="0"/>
        <w:adjustRightInd w:val="0"/>
        <w:spacing w:before="120"/>
        <w:ind w:left="1588"/>
        <w:rPr>
          <w:color w:val="000000"/>
          <w:sz w:val="23"/>
          <w:szCs w:val="23"/>
        </w:rPr>
      </w:pPr>
      <w:r>
        <w:rPr>
          <w:color w:val="000000"/>
          <w:sz w:val="23"/>
          <w:szCs w:val="23"/>
        </w:rPr>
        <w:t>On receiving an application under section 151, the NCC must deal with it in accordance with the Rules.</w:t>
      </w:r>
    </w:p>
    <w:p>
      <w:pPr>
        <w:pStyle w:val="Heading5"/>
      </w:pPr>
      <w:bookmarkStart w:id="526" w:name="_Toc536782138"/>
      <w:r>
        <w:rPr>
          <w:rStyle w:val="CharSectno"/>
        </w:rPr>
        <w:t>153</w:t>
      </w:r>
      <w:r>
        <w:t>.</w:t>
      </w:r>
      <w:r>
        <w:tab/>
        <w:t>No</w:t>
      </w:r>
      <w:r>
        <w:noBreakHyphen/>
        <w:t>coverage recommendation</w:t>
      </w:r>
      <w:bookmarkEnd w:id="52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make a recommendation recommending to the relevant Minister that the pipeline the subject of the application—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exempted from being a covered pipeline for a period of 15 years;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 be exempted from being a covered pipeline for a period of 15 years.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recommendation under this section may recommend an outcome different to the outcome sought in the application under section 151.</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An applicant may apply for a 15</w:t>
      </w:r>
      <w:r>
        <w:rPr>
          <w:color w:val="000000"/>
          <w:sz w:val="20"/>
        </w:rPr>
        <w:noBreakHyphen/>
        <w:t>year no</w:t>
      </w:r>
      <w:r>
        <w:rPr>
          <w:color w:val="000000"/>
          <w:sz w:val="20"/>
        </w:rPr>
        <w:noBreakHyphen/>
        <w:t>coverage determination in relation to the whole pipeline. The NCC may recommend that only a part of the pipeline the subject of the application be subject to a 15</w:t>
      </w:r>
      <w:r>
        <w:rPr>
          <w:color w:val="000000"/>
          <w:sz w:val="20"/>
        </w:rPr>
        <w:noBreakHyphen/>
        <w:t>year no</w:t>
      </w:r>
      <w:r>
        <w:rPr>
          <w:color w:val="000000"/>
          <w:sz w:val="20"/>
        </w:rPr>
        <w:noBreakHyphen/>
        <w:t>coverage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recommendation under this section must be delivered to the relevant Minister without delay.</w:t>
      </w:r>
    </w:p>
    <w:p>
      <w:pPr>
        <w:pStyle w:val="Heading5"/>
      </w:pPr>
      <w:bookmarkStart w:id="527" w:name="_Toc536782139"/>
      <w:r>
        <w:rPr>
          <w:rStyle w:val="CharSectno"/>
        </w:rPr>
        <w:t>154</w:t>
      </w:r>
      <w:r>
        <w:t>.</w:t>
      </w:r>
      <w:r>
        <w:tab/>
        <w:t>Principles governing the making of a no</w:t>
      </w:r>
      <w:r>
        <w:noBreakHyphen/>
        <w:t>coverage recommendation</w:t>
      </w:r>
      <w:bookmarkEnd w:id="52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a no</w:t>
      </w:r>
      <w:r>
        <w:rPr>
          <w:color w:val="000000"/>
          <w:sz w:val="23"/>
          <w:szCs w:val="23"/>
        </w:rPr>
        <w:noBreakHyphen/>
        <w:t>coverage recommendation,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must give effect to the pipeline coverage criteria; and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must have regard to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NCC is satisfied that all the pipeline coverage criteria are satisfied in relation to the pipeline the recommendation must be against making 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NCC is not satisfied that all the pipeline coverage criteria are satisfied in relation to the pipeline the recommendation must be in favour of making a 15</w:t>
      </w:r>
      <w:r>
        <w:rPr>
          <w:color w:val="000000"/>
          <w:sz w:val="23"/>
          <w:szCs w:val="23"/>
        </w:rPr>
        <w:noBreakHyphen/>
        <w:t>year no coverage determination.</w:t>
      </w:r>
    </w:p>
    <w:p>
      <w:pPr>
        <w:pStyle w:val="Heading5"/>
      </w:pPr>
      <w:bookmarkStart w:id="528" w:name="_Toc536782140"/>
      <w:r>
        <w:rPr>
          <w:rStyle w:val="CharSectno"/>
        </w:rPr>
        <w:t>155</w:t>
      </w:r>
      <w:r>
        <w:t>.</w:t>
      </w:r>
      <w:r>
        <w:tab/>
        <w:t>Initial classification decision to be made as part of recommendation</w:t>
      </w:r>
      <w:bookmarkEnd w:id="52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pipeline the subject of an application under section 151 is not an international pipeline, the NCC must, as part of a no</w:t>
      </w:r>
      <w:r>
        <w:rPr>
          <w:color w:val="000000"/>
          <w:sz w:val="23"/>
          <w:szCs w:val="23"/>
        </w:rPr>
        <w:noBreakHyphen/>
        <w:t xml:space="preserve">coverage recommendation, classify the pipeline as a transmission pipeline or a distribution pipeline (an </w:t>
      </w:r>
      <w:r>
        <w:rPr>
          <w:rStyle w:val="CharDefText"/>
          <w:bCs/>
          <w:sz w:val="23"/>
        </w:rPr>
        <w:t>initial classification decision</w:t>
      </w:r>
      <w:r>
        <w:rPr>
          <w:color w:val="000000"/>
          <w:sz w:val="23"/>
          <w:szCs w:val="23"/>
        </w:rPr>
        <w:t>). In doing so, the NCC must apply the pipeline classification criterion.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must as part of an initial 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it classifies the pipeline the subject of the application as a transmission pipeline—determine whether the transmission pipeline is also a cross boundary transmission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classifies the pipeline the subject of the application as a distribution pipeline—determine whether the distribution pipeline is also a cross boundary distribution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NCC must also determine, as part of an initial classification decision, the participating jurisdiction with which the pipeline the subject of the application under section 151 is most closely connected if the NCC determines the pipeline is also a cross boundary distribution pipeline. In doing so, the NCC must have regard to the jurisdictional determination criteria.</w:t>
      </w:r>
    </w:p>
    <w:p>
      <w:pPr>
        <w:pStyle w:val="Heading5"/>
      </w:pPr>
      <w:bookmarkStart w:id="529" w:name="_Toc536782141"/>
      <w:r>
        <w:rPr>
          <w:rStyle w:val="CharSectno"/>
        </w:rPr>
        <w:t>156</w:t>
      </w:r>
      <w:r>
        <w:t>.</w:t>
      </w:r>
      <w:r>
        <w:tab/>
        <w:t>Relevant Minister’s determination on application</w:t>
      </w:r>
      <w:bookmarkEnd w:id="52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receiving a no</w:t>
      </w:r>
      <w:r>
        <w:rPr>
          <w:color w:val="000000"/>
          <w:sz w:val="23"/>
          <w:szCs w:val="23"/>
        </w:rPr>
        <w:noBreakHyphen/>
        <w:t>coverage recommendation the relevant Minister must decide whether or not to make a 15</w:t>
      </w:r>
      <w:r>
        <w:rPr>
          <w:color w:val="000000"/>
          <w:sz w:val="23"/>
          <w:szCs w:val="23"/>
        </w:rPr>
        <w:noBreakHyphen/>
        <w:t>year no</w:t>
      </w:r>
      <w:r>
        <w:rPr>
          <w:color w:val="000000"/>
          <w:sz w:val="23"/>
          <w:szCs w:val="23"/>
        </w:rPr>
        <w:noBreakHyphen/>
        <w:t>coverage determination in respect of the pipeline to which the recommendation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must use his or her best endeavours to make the decision within 30 business days after receiving the coverage recommendation.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relevant Minister is unable to make the decision within the period specified under subsection (2), he or she must make the decision as soon as reasonably practicable after the end of the specified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relevant Minister, for the purpose of making the decision, may request submissions or comments in relation to an application under section 151.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15</w:t>
      </w:r>
      <w:r>
        <w:rPr>
          <w:color w:val="000000"/>
          <w:sz w:val="23"/>
          <w:szCs w:val="23"/>
        </w:rPr>
        <w:noBreakHyphen/>
        <w:t>year no</w:t>
      </w:r>
      <w:r>
        <w:rPr>
          <w:color w:val="000000"/>
          <w:sz w:val="23"/>
          <w:szCs w:val="23"/>
        </w:rPr>
        <w:noBreakHyphen/>
        <w:t>coverage determination or a decision not to make a 15</w:t>
      </w:r>
      <w:r>
        <w:rPr>
          <w:color w:val="000000"/>
          <w:sz w:val="23"/>
          <w:szCs w:val="23"/>
        </w:rPr>
        <w:noBreakHyphen/>
        <w:t>year no</w:t>
      </w:r>
      <w:r>
        <w:rPr>
          <w:color w:val="000000"/>
          <w:sz w:val="23"/>
          <w:szCs w:val="23"/>
        </w:rPr>
        <w:noBreakHyphen/>
        <w:t>coverage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 15</w:t>
      </w:r>
      <w:r>
        <w:rPr>
          <w:color w:val="000000"/>
          <w:sz w:val="23"/>
          <w:szCs w:val="23"/>
        </w:rPr>
        <w:noBreakHyphen/>
        <w:t>year no</w:t>
      </w:r>
      <w:r>
        <w:rPr>
          <w:color w:val="000000"/>
          <w:sz w:val="23"/>
          <w:szCs w:val="23"/>
        </w:rPr>
        <w:noBreakHyphen/>
        <w:t>coverage determination may have an outcome different to the outcome—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sought in the application under section 151;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of the no</w:t>
      </w:r>
      <w:r>
        <w:rPr>
          <w:color w:val="000000"/>
          <w:sz w:val="23"/>
          <w:szCs w:val="23"/>
        </w:rPr>
        <w:noBreakHyphen/>
        <w:t>coverage recommendation.</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An applicant may apply for a 15</w:t>
      </w:r>
      <w:r>
        <w:rPr>
          <w:color w:val="000000"/>
          <w:sz w:val="20"/>
        </w:rPr>
        <w:noBreakHyphen/>
        <w:t>year no</w:t>
      </w:r>
      <w:r>
        <w:rPr>
          <w:color w:val="000000"/>
          <w:sz w:val="20"/>
        </w:rPr>
        <w:noBreakHyphen/>
        <w:t>coverage determination in relation to the whole pipeline. The NCC may recommend that only a part of the pipeline the subject of the application be subject to a 15</w:t>
      </w:r>
      <w:r>
        <w:rPr>
          <w:color w:val="000000"/>
          <w:sz w:val="20"/>
        </w:rPr>
        <w:noBreakHyphen/>
        <w:t>year no</w:t>
      </w:r>
      <w:r>
        <w:rPr>
          <w:color w:val="000000"/>
          <w:sz w:val="20"/>
        </w:rPr>
        <w:noBreakHyphen/>
        <w:t>coverage determination. The relevant Minister may make a 15</w:t>
      </w:r>
      <w:r>
        <w:rPr>
          <w:color w:val="000000"/>
          <w:sz w:val="20"/>
        </w:rPr>
        <w:noBreakHyphen/>
        <w:t>year no</w:t>
      </w:r>
      <w:r>
        <w:rPr>
          <w:color w:val="000000"/>
          <w:sz w:val="20"/>
        </w:rPr>
        <w:noBreakHyphen/>
        <w:t>coverage determination that applies to different parts of the pipeline to those recommended by the NCC be subject to the determination.</w:t>
      </w:r>
    </w:p>
    <w:p>
      <w:pPr>
        <w:pStyle w:val="Heading5"/>
      </w:pPr>
      <w:bookmarkStart w:id="530" w:name="_Toc536782142"/>
      <w:r>
        <w:rPr>
          <w:rStyle w:val="CharSectno"/>
        </w:rPr>
        <w:t>157</w:t>
      </w:r>
      <w:r>
        <w:t>.</w:t>
      </w:r>
      <w:r>
        <w:tab/>
        <w:t>Principles governing the making of a 15</w:t>
      </w:r>
      <w:r>
        <w:noBreakHyphen/>
        <w:t>year no</w:t>
      </w:r>
      <w:r>
        <w:noBreakHyphen/>
        <w:t>coverage determination or decision not to do so</w:t>
      </w:r>
      <w:bookmarkEnd w:id="53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15</w:t>
      </w:r>
      <w:r>
        <w:rPr>
          <w:color w:val="000000"/>
          <w:sz w:val="23"/>
          <w:szCs w:val="23"/>
        </w:rPr>
        <w:noBreakHyphen/>
        <w:t>year no</w:t>
      </w:r>
      <w:r>
        <w:rPr>
          <w:color w:val="000000"/>
          <w:sz w:val="23"/>
          <w:szCs w:val="23"/>
        </w:rPr>
        <w:noBreakHyphen/>
        <w:t>coverage determination under this Part, the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in relation to the pipeline—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must have regard to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must have regard to the no</w:t>
      </w:r>
      <w:r>
        <w:rPr>
          <w:color w:val="000000"/>
          <w:sz w:val="23"/>
          <w:szCs w:val="23"/>
        </w:rPr>
        <w:noBreakHyphen/>
        <w:t>coverage recommendation;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must take into account any submissions or comments he or she receives on a request under section 156(4);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may take into account any relevant submissions and comments made to the NCC by the public under the Rules in relation to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Minister is satisfied that all the pipeline coverage criteria are satisfied in relation to the pipeline the Minister must not make 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Minister is not satisfied that all the pipeline coverage criteria are satisfied in relation to the pipeline the Minister must make a 15</w:t>
      </w:r>
      <w:r>
        <w:rPr>
          <w:color w:val="000000"/>
          <w:sz w:val="23"/>
          <w:szCs w:val="23"/>
        </w:rPr>
        <w:noBreakHyphen/>
        <w:t>year no</w:t>
      </w:r>
      <w:r>
        <w:rPr>
          <w:color w:val="000000"/>
          <w:sz w:val="23"/>
          <w:szCs w:val="23"/>
        </w:rPr>
        <w:noBreakHyphen/>
        <w:t>coverage determination.</w:t>
      </w:r>
    </w:p>
    <w:p>
      <w:pPr>
        <w:pStyle w:val="Heading5"/>
        <w:spacing w:before="120"/>
      </w:pPr>
      <w:bookmarkStart w:id="531" w:name="_Toc536782143"/>
      <w:r>
        <w:rPr>
          <w:rStyle w:val="CharSectno"/>
        </w:rPr>
        <w:t>158</w:t>
      </w:r>
      <w:r>
        <w:t>.</w:t>
      </w:r>
      <w:r>
        <w:tab/>
        <w:t>Effect of 15</w:t>
      </w:r>
      <w:r>
        <w:noBreakHyphen/>
        <w:t>year no</w:t>
      </w:r>
      <w:r>
        <w:noBreakHyphen/>
        <w:t>coverage determination</w:t>
      </w:r>
      <w:bookmarkEnd w:id="531"/>
    </w:p>
    <w:p>
      <w:pPr>
        <w:keepNext/>
        <w:keepLines/>
        <w:tabs>
          <w:tab w:val="center" w:pos="1191"/>
          <w:tab w:val="left" w:pos="1588"/>
        </w:tabs>
        <w:autoSpaceDE w:val="0"/>
        <w:autoSpaceDN w:val="0"/>
        <w:adjustRightInd w:val="0"/>
        <w:spacing w:before="80"/>
        <w:ind w:left="1588" w:hanging="794"/>
        <w:rPr>
          <w:color w:val="000000"/>
          <w:sz w:val="23"/>
          <w:szCs w:val="23"/>
        </w:rPr>
      </w:pPr>
      <w:r>
        <w:rPr>
          <w:color w:val="000000"/>
          <w:sz w:val="23"/>
          <w:szCs w:val="23"/>
        </w:rPr>
        <w:tab/>
        <w:t>(1)</w:t>
      </w:r>
      <w:r>
        <w:rPr>
          <w:color w:val="000000"/>
          <w:sz w:val="23"/>
          <w:szCs w:val="23"/>
        </w:rPr>
        <w:tab/>
        <w:t>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takes effect on and from the date specified in the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continues in operation for a period of 15 years from the commissioning of the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for coverage of a pipeline to which a 15</w:t>
      </w:r>
      <w:r>
        <w:rPr>
          <w:color w:val="000000"/>
          <w:sz w:val="23"/>
          <w:szCs w:val="23"/>
        </w:rPr>
        <w:noBreakHyphen/>
        <w:t>year no</w:t>
      </w:r>
      <w:r>
        <w:rPr>
          <w:color w:val="000000"/>
          <w:sz w:val="23"/>
          <w:szCs w:val="23"/>
        </w:rPr>
        <w:noBreakHyphen/>
        <w:t>coverage determination applies can be made before the end of the period for which the determination remains in operation only if the coverage sought in the application is to commence from, or after, the end of that period.</w:t>
      </w:r>
    </w:p>
    <w:p>
      <w:pPr>
        <w:pStyle w:val="Heading5"/>
        <w:spacing w:before="120"/>
      </w:pPr>
      <w:bookmarkStart w:id="532" w:name="_Toc536782144"/>
      <w:r>
        <w:rPr>
          <w:rStyle w:val="CharSectno"/>
        </w:rPr>
        <w:t>159</w:t>
      </w:r>
      <w:r>
        <w:t>.</w:t>
      </w:r>
      <w:r>
        <w:tab/>
        <w:t>Consequences of Minister deciding against making 15</w:t>
      </w:r>
      <w:r>
        <w:noBreakHyphen/>
        <w:t>year no</w:t>
      </w:r>
      <w:r>
        <w:noBreakHyphen/>
        <w:t>coverage determination for international pipeline</w:t>
      </w:r>
      <w:bookmarkEnd w:id="53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Commonwealth Minister decides against making a 15</w:t>
      </w:r>
      <w:r>
        <w:rPr>
          <w:color w:val="000000"/>
          <w:sz w:val="23"/>
          <w:szCs w:val="23"/>
        </w:rPr>
        <w:noBreakHyphen/>
        <w:t>year no</w:t>
      </w:r>
      <w:r>
        <w:rPr>
          <w:color w:val="000000"/>
          <w:sz w:val="23"/>
          <w:szCs w:val="23"/>
        </w:rPr>
        <w:noBreakHyphen/>
        <w:t>coverage determination for an international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applicant asks the Commonwealth Minister to treat the application as an application for a price regulation exemption,</w:t>
      </w:r>
    </w:p>
    <w:p>
      <w:pPr>
        <w:autoSpaceDE w:val="0"/>
        <w:autoSpaceDN w:val="0"/>
        <w:adjustRightInd w:val="0"/>
        <w:spacing w:before="80"/>
        <w:ind w:left="1588"/>
        <w:rPr>
          <w:color w:val="000000"/>
          <w:sz w:val="23"/>
          <w:szCs w:val="23"/>
        </w:rPr>
      </w:pPr>
      <w:r>
        <w:rPr>
          <w:color w:val="000000"/>
          <w:sz w:val="23"/>
          <w:szCs w:val="23"/>
        </w:rPr>
        <w:t>the Commonwealth Minister may treat the application as an application for a price regulation exemption under Chapter 5 Part 3.</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Commonwealth Minister decides to treat an application for a 15</w:t>
      </w:r>
      <w:r>
        <w:rPr>
          <w:color w:val="000000"/>
          <w:sz w:val="23"/>
          <w:szCs w:val="23"/>
        </w:rPr>
        <w:noBreakHyphen/>
        <w:t>year no</w:t>
      </w:r>
      <w:r>
        <w:rPr>
          <w:color w:val="000000"/>
          <w:sz w:val="23"/>
          <w:szCs w:val="23"/>
        </w:rPr>
        <w:noBreakHyphen/>
        <w:t>coverage determination as an application for a price regulation exemption, the Commonwealth Minister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refer the application to the NCC for a recommendation under Chapter 5 Part 3;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proceed to determine the application without a recommendation under Chapter 5 Part 3.</w:t>
      </w:r>
    </w:p>
    <w:p>
      <w:pPr>
        <w:pStyle w:val="Heading3"/>
      </w:pPr>
      <w:bookmarkStart w:id="533" w:name="_Toc501634054"/>
      <w:bookmarkStart w:id="534" w:name="_Toc501712950"/>
      <w:bookmarkStart w:id="535" w:name="_Toc536782145"/>
      <w:r>
        <w:rPr>
          <w:rStyle w:val="CharDivNo"/>
        </w:rPr>
        <w:t>Part 3</w:t>
      </w:r>
      <w:r>
        <w:t xml:space="preserve"> — </w:t>
      </w:r>
      <w:r>
        <w:rPr>
          <w:rStyle w:val="CharDivText"/>
        </w:rPr>
        <w:t>Price regulation exemptions</w:t>
      </w:r>
      <w:bookmarkEnd w:id="533"/>
      <w:bookmarkEnd w:id="534"/>
      <w:bookmarkEnd w:id="535"/>
    </w:p>
    <w:p>
      <w:pPr>
        <w:pStyle w:val="Heading4"/>
      </w:pPr>
      <w:bookmarkStart w:id="536" w:name="_Toc501634055"/>
      <w:bookmarkStart w:id="537" w:name="_Toc501712951"/>
      <w:bookmarkStart w:id="538" w:name="_Toc536782146"/>
      <w:r>
        <w:t>Division 1 — Application for price regulation exemption</w:t>
      </w:r>
      <w:bookmarkEnd w:id="536"/>
      <w:bookmarkEnd w:id="537"/>
      <w:bookmarkEnd w:id="538"/>
    </w:p>
    <w:p>
      <w:pPr>
        <w:pStyle w:val="Heading5"/>
      </w:pPr>
      <w:bookmarkStart w:id="539" w:name="_Toc536782147"/>
      <w:r>
        <w:rPr>
          <w:rStyle w:val="CharSectno"/>
        </w:rPr>
        <w:t>160</w:t>
      </w:r>
      <w:r>
        <w:t>.</w:t>
      </w:r>
      <w:r>
        <w:tab/>
        <w:t>Application for price regulation exemption</w:t>
      </w:r>
      <w:bookmarkEnd w:id="53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greenfields pipeline project for construction of an international pipeline is proposed, or has commenced, the service provider may, before the pipeline is commissioned, apply for a price regulation exemption for the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for a price regulation exemption—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to be made to the NCC;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include a description of the pipeline that meets the requirements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need not describe, or include details of, excluded infrastructure;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must be accompanied by the fee prescribed by the Regulations (if any).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service provider</w:t>
      </w:r>
      <w:r>
        <w:rPr>
          <w:bCs/>
          <w:i/>
          <w:iCs/>
          <w:color w:val="000000"/>
          <w:sz w:val="23"/>
          <w:szCs w:val="23"/>
        </w:rPr>
        <w:t xml:space="preserve"> </w:t>
      </w:r>
      <w:r>
        <w:rPr>
          <w:color w:val="000000"/>
          <w:sz w:val="23"/>
          <w:szCs w:val="23"/>
        </w:rPr>
        <w:t>includes a person that intends to be a service provider.</w:t>
      </w:r>
    </w:p>
    <w:p>
      <w:pPr>
        <w:pStyle w:val="Heading4"/>
      </w:pPr>
      <w:bookmarkStart w:id="540" w:name="_Toc501634057"/>
      <w:bookmarkStart w:id="541" w:name="_Toc501712953"/>
      <w:bookmarkStart w:id="542" w:name="_Toc536782148"/>
      <w:r>
        <w:t>Division 2 — Recommendations by NCC</w:t>
      </w:r>
      <w:bookmarkEnd w:id="540"/>
      <w:bookmarkEnd w:id="541"/>
      <w:bookmarkEnd w:id="542"/>
    </w:p>
    <w:p>
      <w:pPr>
        <w:pStyle w:val="Heading5"/>
        <w:spacing w:before="120"/>
      </w:pPr>
      <w:bookmarkStart w:id="543" w:name="_Toc536782149"/>
      <w:r>
        <w:rPr>
          <w:rStyle w:val="CharSectno"/>
        </w:rPr>
        <w:t>161</w:t>
      </w:r>
      <w:r>
        <w:t>.</w:t>
      </w:r>
      <w:r>
        <w:tab/>
        <w:t>Application to be dealt with in accordance with the Rules</w:t>
      </w:r>
      <w:bookmarkEnd w:id="543"/>
    </w:p>
    <w:p>
      <w:pPr>
        <w:keepLines/>
        <w:autoSpaceDE w:val="0"/>
        <w:autoSpaceDN w:val="0"/>
        <w:adjustRightInd w:val="0"/>
        <w:spacing w:before="120"/>
        <w:ind w:left="1588"/>
        <w:rPr>
          <w:color w:val="000000"/>
          <w:sz w:val="23"/>
          <w:szCs w:val="23"/>
        </w:rPr>
      </w:pPr>
      <w:r>
        <w:rPr>
          <w:color w:val="000000"/>
          <w:sz w:val="23"/>
          <w:szCs w:val="23"/>
        </w:rPr>
        <w:t>On receiving an application under section 160, the NCC must deal with it in accordance with the Rules.</w:t>
      </w:r>
    </w:p>
    <w:p>
      <w:pPr>
        <w:pStyle w:val="Heading5"/>
      </w:pPr>
      <w:bookmarkStart w:id="544" w:name="_Toc536782150"/>
      <w:r>
        <w:rPr>
          <w:rStyle w:val="CharSectno"/>
        </w:rPr>
        <w:t>162</w:t>
      </w:r>
      <w:r>
        <w:t>.</w:t>
      </w:r>
      <w:r>
        <w:tab/>
        <w:t>NCC’s recommendation</w:t>
      </w:r>
      <w:bookmarkEnd w:id="54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make a recommendation to the Commonwealth Minister as to whether the Minister should grant a price regulation exemption for the pipeline the subject of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made publicly available in accordance with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recommendation under this section must be delivered to the Commonwealth Minister without delay.</w:t>
      </w:r>
    </w:p>
    <w:p>
      <w:pPr>
        <w:pStyle w:val="Heading5"/>
      </w:pPr>
      <w:bookmarkStart w:id="545" w:name="_Toc536782151"/>
      <w:r>
        <w:rPr>
          <w:rStyle w:val="CharSectno"/>
        </w:rPr>
        <w:t>163</w:t>
      </w:r>
      <w:r>
        <w:t>.</w:t>
      </w:r>
      <w:r>
        <w:tab/>
        <w:t>General principle governing NCC’s recommendation</w:t>
      </w:r>
      <w:bookmarkEnd w:id="54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its recommendation on an application for a price regulation exemption, the NCC must weigh the benefits to the public of granting the exemption against the detriments to the public.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doing so,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have regard to the national gas objective with particular reference to—</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implications of the exemption for relevant markets (including the effect on market power);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other possible effects on the public interest;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have regard to any other relevant matter.</w:t>
      </w:r>
    </w:p>
    <w:p>
      <w:pPr>
        <w:pStyle w:val="Heading4"/>
      </w:pPr>
      <w:bookmarkStart w:id="546" w:name="_Toc501634061"/>
      <w:bookmarkStart w:id="547" w:name="_Toc501712957"/>
      <w:bookmarkStart w:id="548" w:name="_Toc536782152"/>
      <w:r>
        <w:t>Division 3 — Making and effect of price regulation exemption</w:t>
      </w:r>
      <w:bookmarkEnd w:id="546"/>
      <w:bookmarkEnd w:id="547"/>
      <w:bookmarkEnd w:id="548"/>
    </w:p>
    <w:p>
      <w:pPr>
        <w:pStyle w:val="Heading5"/>
      </w:pPr>
      <w:bookmarkStart w:id="549" w:name="_Toc536782153"/>
      <w:r>
        <w:rPr>
          <w:rStyle w:val="CharSectno"/>
        </w:rPr>
        <w:t>164</w:t>
      </w:r>
      <w:r>
        <w:t>.</w:t>
      </w:r>
      <w:r>
        <w:tab/>
        <w:t>Making of price regulation exemption</w:t>
      </w:r>
      <w:bookmarkEnd w:id="54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receiving the NCC’s recommendation under section 162, the Commonwealth Minister must decide whether to grant a price regulation exemption.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Commonwealth Minister must use his or her best endeavours to make the decision within 10 business days after receiving the NCC’s recommendation.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Commonwealth Minister is unable to make the decision within the period specified under subsection (2), he or she must make the decision as soon as reasonably practicable after the end of the specified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decision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pStyle w:val="Heading5"/>
      </w:pPr>
      <w:bookmarkStart w:id="550" w:name="_Toc536782154"/>
      <w:r>
        <w:rPr>
          <w:rStyle w:val="CharSectno"/>
        </w:rPr>
        <w:t>165</w:t>
      </w:r>
      <w:r>
        <w:t>.</w:t>
      </w:r>
      <w:r>
        <w:tab/>
        <w:t>Principles governing the making of a price regulation exemption</w:t>
      </w:r>
      <w:bookmarkEnd w:id="55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decision to grant a price regulation exemption, the Commonwealth Minister must weigh the benefits to the public of granting the exemption against the detriments to the public.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doing so, the Commonwealth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have regard to the national gas objective with particular reference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implications of the exemption for relevant markets (including the effect on market power);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other possible effects of the exemption on the public interest;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have regard to the NCC’s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take into account any relevant submissions and comments made to the NCC by the public under the Rules in relation to the application;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may have regard to any other relevant matter.</w:t>
      </w:r>
    </w:p>
    <w:p>
      <w:pPr>
        <w:pStyle w:val="Heading5"/>
      </w:pPr>
      <w:bookmarkStart w:id="551" w:name="_Toc536782155"/>
      <w:r>
        <w:rPr>
          <w:rStyle w:val="CharSectno"/>
        </w:rPr>
        <w:t>166</w:t>
      </w:r>
      <w:r>
        <w:t>.</w:t>
      </w:r>
      <w:r>
        <w:tab/>
        <w:t>Conditions applying to a price regulation exemption</w:t>
      </w:r>
      <w:bookmarkEnd w:id="551"/>
    </w:p>
    <w:p>
      <w:pPr>
        <w:keepNext/>
        <w:keepLines/>
        <w:autoSpaceDE w:val="0"/>
        <w:autoSpaceDN w:val="0"/>
        <w:adjustRightInd w:val="0"/>
        <w:spacing w:before="120"/>
        <w:ind w:left="1588"/>
        <w:rPr>
          <w:color w:val="000000"/>
          <w:sz w:val="23"/>
          <w:szCs w:val="23"/>
        </w:rPr>
      </w:pPr>
      <w:r>
        <w:rPr>
          <w:color w:val="000000"/>
          <w:sz w:val="23"/>
          <w:szCs w:val="23"/>
        </w:rPr>
        <w:t>A price regulation exemption granted under this Part is subject to the following conditions: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service provider must publish on its website prices for the provision of pipeline services by means of the international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service provider’s limited access arrangement and the register of spare capacity are to be accessible on the service provider’s website;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service provider—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must, as and when required by the AER or the Commonwealth Minister, provide information requested by the AER or the Commonwealth Minister (in a manner and form determined or approved by the AER or the Commonwealth Minister) on access negotiations and the result of access negotiations; and</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must report annually to the AER and the Commonwealth Minister (in a manner and form approved by the AER or the Commonwealth Minister) on access negotiations and the result of access negotiations.</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sections 168 and 169(3).</w:t>
      </w:r>
    </w:p>
    <w:p>
      <w:pPr>
        <w:pStyle w:val="Heading5"/>
      </w:pPr>
      <w:bookmarkStart w:id="552" w:name="_Toc536782156"/>
      <w:r>
        <w:rPr>
          <w:rStyle w:val="CharSectno"/>
        </w:rPr>
        <w:t>167</w:t>
      </w:r>
      <w:r>
        <w:t>.</w:t>
      </w:r>
      <w:r>
        <w:tab/>
        <w:t>Effect of price regulation exemption</w:t>
      </w:r>
      <w:bookmarkEnd w:id="55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price regulation exemption is granted, then for a period of 15 years from the commissioning of the pipeline, the services provided by means of the pipeline are not subject to price or revenue regulation under this Law or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price regulation exemption is, however, ineffective unless a limited access arrangement, approved by the AER, is in force in relation to the relevant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 168.</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while a price regulation exemption remains in force, the Commonwealth Minister makes a 15</w:t>
      </w:r>
      <w:r>
        <w:rPr>
          <w:color w:val="000000"/>
          <w:sz w:val="23"/>
          <w:szCs w:val="23"/>
        </w:rPr>
        <w:noBreakHyphen/>
        <w:t>year no</w:t>
      </w:r>
      <w:r>
        <w:rPr>
          <w:color w:val="000000"/>
          <w:sz w:val="23"/>
          <w:szCs w:val="23"/>
        </w:rPr>
        <w:noBreakHyphen/>
        <w:t>coverage determination for the pipeline, the 15</w:t>
      </w:r>
      <w:r>
        <w:rPr>
          <w:color w:val="000000"/>
          <w:sz w:val="23"/>
          <w:szCs w:val="23"/>
        </w:rPr>
        <w:noBreakHyphen/>
        <w:t>year no</w:t>
      </w:r>
      <w:r>
        <w:rPr>
          <w:color w:val="000000"/>
          <w:sz w:val="23"/>
          <w:szCs w:val="23"/>
        </w:rPr>
        <w:noBreakHyphen/>
        <w:t>coverage determination supersedes the price regulation exemption (which is then terminated) and remains in force for the balance of the period for which the exemption was granted.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application for coverage of a pipeline to which a price regulation exemption applies can only be made before the end of the period of exemption if the coverage sought in the application is to commence from, or after, the end of that period.</w:t>
      </w:r>
    </w:p>
    <w:p>
      <w:pPr>
        <w:pStyle w:val="Heading4"/>
        <w:keepNext w:val="0"/>
      </w:pPr>
      <w:bookmarkStart w:id="553" w:name="_Toc501634066"/>
      <w:bookmarkStart w:id="554" w:name="_Toc501712962"/>
      <w:bookmarkStart w:id="555" w:name="_Toc536782157"/>
      <w:r>
        <w:t>Division 4 — Limited access arrangements</w:t>
      </w:r>
      <w:bookmarkEnd w:id="553"/>
      <w:bookmarkEnd w:id="554"/>
      <w:bookmarkEnd w:id="555"/>
    </w:p>
    <w:p>
      <w:pPr>
        <w:pStyle w:val="Heading5"/>
        <w:keepNext w:val="0"/>
        <w:keepLines w:val="0"/>
      </w:pPr>
      <w:bookmarkStart w:id="556" w:name="_Toc536782158"/>
      <w:r>
        <w:rPr>
          <w:rStyle w:val="CharSectno"/>
        </w:rPr>
        <w:t>168</w:t>
      </w:r>
      <w:r>
        <w:t>.</w:t>
      </w:r>
      <w:r>
        <w:tab/>
        <w:t>Limited access arrangements for pipeline services provided by international pipeline to which a price regulation exemption applies</w:t>
      </w:r>
      <w:bookmarkEnd w:id="556"/>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must, within 60 business days after the grant of a price regulation exemption, submit a limited access arrangement to the AER for approval by the AER under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limited access arrangement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submitted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must submit to the AER, for approval by the AER under the Rules, revisions to an applicable access arrangement that is a limited access arrangement and that applies to the pipeline service to which that arrangement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period specified by the Rules.</w:t>
      </w:r>
    </w:p>
    <w:p>
      <w:pPr>
        <w:pStyle w:val="Heading4"/>
      </w:pPr>
      <w:bookmarkStart w:id="557" w:name="_Toc501634068"/>
      <w:bookmarkStart w:id="558" w:name="_Toc501712964"/>
      <w:bookmarkStart w:id="559" w:name="_Toc536782159"/>
      <w:r>
        <w:t>Division 5 — Other matters</w:t>
      </w:r>
      <w:bookmarkEnd w:id="557"/>
      <w:bookmarkEnd w:id="558"/>
      <w:bookmarkEnd w:id="559"/>
    </w:p>
    <w:p>
      <w:pPr>
        <w:pStyle w:val="Heading5"/>
      </w:pPr>
      <w:bookmarkStart w:id="560" w:name="_Toc536782160"/>
      <w:r>
        <w:rPr>
          <w:rStyle w:val="CharSectno"/>
        </w:rPr>
        <w:t>169</w:t>
      </w:r>
      <w:r>
        <w:t>.</w:t>
      </w:r>
      <w:r>
        <w:tab/>
        <w:t>Other obligations to which service provider is subject</w:t>
      </w:r>
      <w:bookmarkEnd w:id="56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service provider for a pipeline to which a price regulation exemption applies is subject to the following provisions as if the pipeline were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Chapter 4 Part 1 (except sections 132 and 136);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Chapter 4 Part 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service provider for a pipeline to which a price regulation exemption applies must comply with any Rules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relate to the facilitation of, and request for access to, pipeline services provided by means of that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apply to the service provider or a class of person of which the service provider is a member.</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must ensure compliance with conditions to which the price regulation exemption is subject.</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 160.</w:t>
      </w:r>
    </w:p>
    <w:p>
      <w:pPr>
        <w:pStyle w:val="Heading5"/>
      </w:pPr>
      <w:bookmarkStart w:id="561" w:name="_Toc536782161"/>
      <w:r>
        <w:rPr>
          <w:rStyle w:val="CharSectno"/>
        </w:rPr>
        <w:t>170</w:t>
      </w:r>
      <w:r>
        <w:t>.</w:t>
      </w:r>
      <w:r>
        <w:tab/>
        <w:t>Service provider must not price discriminate in providing international pipeline services</w:t>
      </w:r>
      <w:bookmarkEnd w:id="56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must not, when providing pipeline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means of an international pipeline to which a price regulation exemption applies;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which a limited access arrangement applies,</w:t>
      </w:r>
    </w:p>
    <w:p>
      <w:pPr>
        <w:keepLines/>
        <w:autoSpaceDE w:val="0"/>
        <w:autoSpaceDN w:val="0"/>
        <w:adjustRightInd w:val="0"/>
        <w:spacing w:before="120"/>
        <w:ind w:left="1588"/>
        <w:rPr>
          <w:color w:val="000000"/>
          <w:sz w:val="23"/>
          <w:szCs w:val="23"/>
        </w:rPr>
      </w:pPr>
      <w:r>
        <w:rPr>
          <w:color w:val="000000"/>
          <w:sz w:val="23"/>
          <w:szCs w:val="23"/>
        </w:rPr>
        <w:t>engage in price discrimination.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apply if the service provider engages in price discrimination that is conducive to efficient service provision.</w:t>
      </w:r>
    </w:p>
    <w:p>
      <w:pPr>
        <w:pStyle w:val="Heading3"/>
      </w:pPr>
      <w:bookmarkStart w:id="562" w:name="_Toc501634071"/>
      <w:bookmarkStart w:id="563" w:name="_Toc501712967"/>
      <w:bookmarkStart w:id="564" w:name="_Toc536782162"/>
      <w:r>
        <w:rPr>
          <w:rStyle w:val="CharDivNo"/>
        </w:rPr>
        <w:t>Part 4</w:t>
      </w:r>
      <w:r>
        <w:t xml:space="preserve"> — </w:t>
      </w:r>
      <w:r>
        <w:rPr>
          <w:rStyle w:val="CharDivText"/>
        </w:rPr>
        <w:t>Extended or modified application of greenfields pipeline incentive</w:t>
      </w:r>
      <w:bookmarkEnd w:id="562"/>
      <w:bookmarkEnd w:id="563"/>
      <w:bookmarkEnd w:id="564"/>
    </w:p>
    <w:p>
      <w:pPr>
        <w:pStyle w:val="Heading5"/>
      </w:pPr>
      <w:bookmarkStart w:id="565" w:name="_Toc536782163"/>
      <w:r>
        <w:rPr>
          <w:rStyle w:val="CharSectno"/>
        </w:rPr>
        <w:t>171</w:t>
      </w:r>
      <w:r>
        <w:t>.</w:t>
      </w:r>
      <w:r>
        <w:tab/>
        <w:t>Requirement for conformity between pipeline description and pipeline as constructed</w:t>
      </w:r>
      <w:bookmarkEnd w:id="56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Part—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greenfields pipeline incentive applies to the pipeline as described in the relevant pipeline description;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pipeline, as constructed, materially differs from the pipeline as described in the relevant pipeline description, the incentive does not attach to the pipeline and the service provider is not entitled to its benefit.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determining whether a pipeline, as constructed, materially differs from the relevant pipeline description, excluded infrastructure is not to be taken into account.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relevant pipeline description</w:t>
      </w:r>
      <w:r>
        <w:rPr>
          <w:bCs/>
          <w:i/>
          <w:iCs/>
          <w:color w:val="000000"/>
          <w:sz w:val="23"/>
          <w:szCs w:val="23"/>
        </w:rPr>
        <w:t xml:space="preserve"> </w:t>
      </w:r>
      <w:r>
        <w:rPr>
          <w:color w:val="000000"/>
          <w:sz w:val="23"/>
          <w:szCs w:val="23"/>
        </w:rPr>
        <w:t>means a description of a pipeline required to be included in an application under section 151 or 160.</w:t>
      </w:r>
    </w:p>
    <w:p>
      <w:pPr>
        <w:pStyle w:val="Heading5"/>
      </w:pPr>
      <w:bookmarkStart w:id="566" w:name="_Toc536782164"/>
      <w:r>
        <w:rPr>
          <w:rStyle w:val="CharSectno"/>
        </w:rPr>
        <w:t>172</w:t>
      </w:r>
      <w:r>
        <w:t>.</w:t>
      </w:r>
      <w:r>
        <w:tab/>
        <w:t>Power of relevant Minister to amend pipeline description</w:t>
      </w:r>
      <w:bookmarkEnd w:id="56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relevant Minister may, on application by the service provider for a pipeline for which a greenfields pipeline incentive has been granted, amend the relevant pipeline description.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amendment cannot, however, be made under this section after the pipeline has been commissioned.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refer an application for amendment to a pipeline description to the NCC for advice;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amendment sought involves a substantial change to the pipeline description as it currently exists must refer the application to the NCC for advice.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giving its advice to the relevant Minister, the NCC must have regard to the criteria that were relevant to the grant of the greenfields pipeline incentive.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deciding whether to make the amendment sought, the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have regard to the criteria that were relevant to the grant of the greenfields pipeline incentive;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application has been referred to the NCC for advice must consider the NCC’s advice.</w:t>
      </w:r>
    </w:p>
    <w:p>
      <w:pPr>
        <w:pStyle w:val="Heading3"/>
      </w:pPr>
      <w:bookmarkStart w:id="567" w:name="_Toc501634074"/>
      <w:bookmarkStart w:id="568" w:name="_Toc501712970"/>
      <w:bookmarkStart w:id="569" w:name="_Toc536782165"/>
      <w:r>
        <w:rPr>
          <w:rStyle w:val="CharDivNo"/>
        </w:rPr>
        <w:t>Part 5</w:t>
      </w:r>
      <w:r>
        <w:t xml:space="preserve"> — </w:t>
      </w:r>
      <w:r>
        <w:rPr>
          <w:rStyle w:val="CharDivText"/>
        </w:rPr>
        <w:t>Early termination of greenfields pipeline incentive</w:t>
      </w:r>
      <w:bookmarkEnd w:id="567"/>
      <w:bookmarkEnd w:id="568"/>
      <w:bookmarkEnd w:id="569"/>
    </w:p>
    <w:p>
      <w:pPr>
        <w:pStyle w:val="Heading5"/>
      </w:pPr>
      <w:bookmarkStart w:id="570" w:name="_Toc536782166"/>
      <w:r>
        <w:rPr>
          <w:rStyle w:val="CharSectno"/>
        </w:rPr>
        <w:t>173</w:t>
      </w:r>
      <w:r>
        <w:t>.</w:t>
      </w:r>
      <w:r>
        <w:tab/>
        <w:t>Greenfields pipeline incentive may lapse</w:t>
      </w:r>
      <w:bookmarkEnd w:id="57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greenfields pipeline incentive lapses if the pipeline for which it was granted is not commissioned within 3 years after the incentive was granted.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Regulations may, in a particular case, extend the period of 3 years referred to in subsection (1).</w:t>
      </w:r>
    </w:p>
    <w:p>
      <w:pPr>
        <w:pStyle w:val="Heading5"/>
      </w:pPr>
      <w:bookmarkStart w:id="571" w:name="_Toc536782167"/>
      <w:r>
        <w:rPr>
          <w:rStyle w:val="CharSectno"/>
        </w:rPr>
        <w:t>174</w:t>
      </w:r>
      <w:r>
        <w:t>.</w:t>
      </w:r>
      <w:r>
        <w:tab/>
        <w:t>Revocation by consent</w:t>
      </w:r>
      <w:bookmarkEnd w:id="571"/>
    </w:p>
    <w:p>
      <w:pPr>
        <w:keepLines/>
        <w:autoSpaceDE w:val="0"/>
        <w:autoSpaceDN w:val="0"/>
        <w:adjustRightInd w:val="0"/>
        <w:spacing w:before="120"/>
        <w:ind w:left="1588"/>
        <w:rPr>
          <w:color w:val="000000"/>
          <w:sz w:val="23"/>
          <w:szCs w:val="23"/>
        </w:rPr>
      </w:pPr>
      <w:r>
        <w:rPr>
          <w:color w:val="000000"/>
          <w:sz w:val="23"/>
          <w:szCs w:val="23"/>
        </w:rPr>
        <w:t>The relevant Minister may, at the request of the service provider, revoke a greenfields pipeline incentive.</w:t>
      </w:r>
    </w:p>
    <w:p>
      <w:pPr>
        <w:pStyle w:val="Heading5"/>
      </w:pPr>
      <w:bookmarkStart w:id="572" w:name="_Toc536782168"/>
      <w:r>
        <w:rPr>
          <w:rStyle w:val="CharSectno"/>
        </w:rPr>
        <w:t>175</w:t>
      </w:r>
      <w:r>
        <w:t>.</w:t>
      </w:r>
      <w:r>
        <w:tab/>
        <w:t>Revocation for misrepresentation</w:t>
      </w:r>
      <w:bookmarkEnd w:id="572"/>
    </w:p>
    <w:p>
      <w:pPr>
        <w:keepNext/>
        <w:keepLines/>
        <w:autoSpaceDE w:val="0"/>
        <w:autoSpaceDN w:val="0"/>
        <w:adjustRightInd w:val="0"/>
        <w:spacing w:before="120"/>
        <w:ind w:left="1588"/>
        <w:rPr>
          <w:color w:val="000000"/>
          <w:sz w:val="23"/>
          <w:szCs w:val="23"/>
        </w:rPr>
      </w:pPr>
      <w:r>
        <w:rPr>
          <w:color w:val="000000"/>
          <w:sz w:val="23"/>
          <w:szCs w:val="23"/>
        </w:rPr>
        <w:t>The relevant Minister may, on application by the AER, revoke a greenfields pipeline incentive on the ground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applicant misrepresented a material fact on the basis of which the application was granted;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applicant failed to disclose material information that the applicant was required to disclose under this Chapter.</w:t>
      </w:r>
    </w:p>
    <w:p>
      <w:pPr>
        <w:pStyle w:val="Heading5"/>
      </w:pPr>
      <w:bookmarkStart w:id="573" w:name="_Toc536782169"/>
      <w:r>
        <w:rPr>
          <w:rStyle w:val="CharSectno"/>
        </w:rPr>
        <w:t>176</w:t>
      </w:r>
      <w:r>
        <w:t>.</w:t>
      </w:r>
      <w:r>
        <w:tab/>
        <w:t>Revocation for breach of condition to which a price regulation exemption is subject</w:t>
      </w:r>
      <w:bookmarkEnd w:id="573"/>
    </w:p>
    <w:p>
      <w:pPr>
        <w:keepLines/>
        <w:autoSpaceDE w:val="0"/>
        <w:autoSpaceDN w:val="0"/>
        <w:adjustRightInd w:val="0"/>
        <w:spacing w:before="120"/>
        <w:ind w:left="1588"/>
        <w:rPr>
          <w:color w:val="000000"/>
          <w:sz w:val="23"/>
          <w:szCs w:val="23"/>
        </w:rPr>
      </w:pPr>
      <w:r>
        <w:rPr>
          <w:color w:val="000000"/>
          <w:sz w:val="23"/>
          <w:szCs w:val="23"/>
        </w:rPr>
        <w:t>The Commonwealth Minister, on application by the AER, may revoke a price regulation exemption on the ground that the service provider has breached a condition to which the price regulation exemption is subject.</w:t>
      </w:r>
    </w:p>
    <w:p>
      <w:pPr>
        <w:pStyle w:val="Heading5"/>
      </w:pPr>
      <w:bookmarkStart w:id="574" w:name="_Toc536782170"/>
      <w:r>
        <w:rPr>
          <w:rStyle w:val="CharSectno"/>
        </w:rPr>
        <w:t>177</w:t>
      </w:r>
      <w:r>
        <w:t>.</w:t>
      </w:r>
      <w:r>
        <w:tab/>
        <w:t>Exhaustive provision for termination of greenfields pipeline incentive</w:t>
      </w:r>
      <w:bookmarkEnd w:id="574"/>
    </w:p>
    <w:p>
      <w:pPr>
        <w:keepLines/>
        <w:autoSpaceDE w:val="0"/>
        <w:autoSpaceDN w:val="0"/>
        <w:adjustRightInd w:val="0"/>
        <w:spacing w:before="120"/>
        <w:ind w:left="1588"/>
        <w:rPr>
          <w:color w:val="000000"/>
          <w:sz w:val="23"/>
          <w:szCs w:val="23"/>
        </w:rPr>
      </w:pPr>
      <w:r>
        <w:rPr>
          <w:color w:val="000000"/>
          <w:sz w:val="23"/>
          <w:szCs w:val="23"/>
        </w:rPr>
        <w:t>A greenfields pipeline incentive does not terminate, and cannot be revoked, before the end of its term except as provided in this Part.</w:t>
      </w:r>
    </w:p>
    <w:p>
      <w:pPr>
        <w:pStyle w:val="Heading2"/>
      </w:pPr>
      <w:bookmarkStart w:id="575" w:name="_Toc501634080"/>
      <w:bookmarkStart w:id="576" w:name="_Toc501712976"/>
      <w:bookmarkStart w:id="577" w:name="_Toc536782171"/>
      <w:r>
        <w:rPr>
          <w:rStyle w:val="CharPartNo"/>
        </w:rPr>
        <w:t>Chapter 6</w:t>
      </w:r>
      <w:r>
        <w:t xml:space="preserve"> — </w:t>
      </w:r>
      <w:r>
        <w:rPr>
          <w:rStyle w:val="CharPartText"/>
        </w:rPr>
        <w:t>Access disputes</w:t>
      </w:r>
      <w:bookmarkEnd w:id="575"/>
      <w:bookmarkEnd w:id="576"/>
      <w:r>
        <w:rPr>
          <w:rStyle w:val="CharPartText"/>
        </w:rPr>
        <w:t>—scheme pipelines</w:t>
      </w:r>
      <w:bookmarkEnd w:id="577"/>
    </w:p>
    <w:p>
      <w:pPr>
        <w:pStyle w:val="Footnoteheading"/>
      </w:pPr>
      <w:bookmarkStart w:id="578" w:name="_Toc501634081"/>
      <w:bookmarkStart w:id="579" w:name="_Toc501712977"/>
      <w:r>
        <w:tab/>
        <w:t>[Heading inserted: see SA Act No. 23 of 2017 s. 5 and WA Gazette 22 Dec 2017 p. 5984.]</w:t>
      </w:r>
    </w:p>
    <w:p>
      <w:pPr>
        <w:pStyle w:val="Heading3"/>
      </w:pPr>
      <w:bookmarkStart w:id="580" w:name="_Toc536782172"/>
      <w:r>
        <w:rPr>
          <w:rStyle w:val="CharDivNo"/>
        </w:rPr>
        <w:t>Part 1</w:t>
      </w:r>
      <w:r>
        <w:t xml:space="preserve"> — </w:t>
      </w:r>
      <w:r>
        <w:rPr>
          <w:rStyle w:val="CharDivText"/>
        </w:rPr>
        <w:t>Interpretation and application</w:t>
      </w:r>
      <w:bookmarkEnd w:id="578"/>
      <w:bookmarkEnd w:id="579"/>
      <w:bookmarkEnd w:id="580"/>
    </w:p>
    <w:p>
      <w:pPr>
        <w:pStyle w:val="Heading5"/>
      </w:pPr>
      <w:bookmarkStart w:id="581" w:name="_Toc536782173"/>
      <w:r>
        <w:rPr>
          <w:rStyle w:val="CharSectno"/>
        </w:rPr>
        <w:t>178</w:t>
      </w:r>
      <w:r>
        <w:t>.</w:t>
      </w:r>
      <w:r>
        <w:tab/>
        <w:t>Definitions</w:t>
      </w:r>
      <w:bookmarkEnd w:id="581"/>
    </w:p>
    <w:p>
      <w:pPr>
        <w:keepNext/>
        <w:keepLines/>
        <w:autoSpaceDE w:val="0"/>
        <w:autoSpaceDN w:val="0"/>
        <w:adjustRightInd w:val="0"/>
        <w:spacing w:before="120"/>
        <w:ind w:left="1588"/>
        <w:rPr>
          <w:color w:val="000000"/>
          <w:sz w:val="23"/>
          <w:szCs w:val="23"/>
        </w:rPr>
      </w:pPr>
      <w:r>
        <w:rPr>
          <w:color w:val="000000"/>
          <w:sz w:val="23"/>
          <w:szCs w:val="23"/>
        </w:rPr>
        <w:t>In this Chapter—</w:t>
      </w:r>
    </w:p>
    <w:p>
      <w:pPr>
        <w:keepLines/>
        <w:autoSpaceDE w:val="0"/>
        <w:autoSpaceDN w:val="0"/>
        <w:adjustRightInd w:val="0"/>
        <w:spacing w:before="120"/>
        <w:ind w:left="1588"/>
        <w:rPr>
          <w:color w:val="000000"/>
          <w:sz w:val="23"/>
          <w:szCs w:val="23"/>
        </w:rPr>
      </w:pPr>
      <w:r>
        <w:rPr>
          <w:rStyle w:val="CharDefText"/>
          <w:bCs/>
          <w:sz w:val="23"/>
        </w:rPr>
        <w:t>access dispute</w:t>
      </w:r>
      <w:r>
        <w:rPr>
          <w:bCs/>
          <w:i/>
          <w:iCs/>
          <w:color w:val="000000"/>
          <w:sz w:val="23"/>
          <w:szCs w:val="23"/>
        </w:rPr>
        <w:t xml:space="preserve"> </w:t>
      </w:r>
      <w:r>
        <w:rPr>
          <w:color w:val="000000"/>
          <w:sz w:val="23"/>
          <w:szCs w:val="23"/>
        </w:rPr>
        <w:t>means a dispute between a user or prospective user and a service provider about 1 or more aspects of access to a pipeline service provided by means of a scheme pipeline;</w:t>
      </w:r>
    </w:p>
    <w:p>
      <w:pPr>
        <w:keepLines/>
        <w:autoSpaceDE w:val="0"/>
        <w:autoSpaceDN w:val="0"/>
        <w:adjustRightInd w:val="0"/>
        <w:spacing w:before="120"/>
        <w:ind w:left="1588"/>
        <w:rPr>
          <w:color w:val="000000"/>
          <w:sz w:val="23"/>
          <w:szCs w:val="23"/>
        </w:rPr>
      </w:pPr>
      <w:r>
        <w:rPr>
          <w:rStyle w:val="CharDefText"/>
          <w:bCs/>
          <w:sz w:val="23"/>
        </w:rPr>
        <w:t xml:space="preserve">access dispute pipeline </w:t>
      </w:r>
      <w:r>
        <w:rPr>
          <w:color w:val="000000"/>
          <w:sz w:val="23"/>
          <w:szCs w:val="23"/>
        </w:rPr>
        <w:t>means a scheme pipeline used or that could be used to provide a pipeline service that is the subject of an access dispute;</w:t>
      </w:r>
    </w:p>
    <w:p>
      <w:pPr>
        <w:keepLines/>
        <w:autoSpaceDE w:val="0"/>
        <w:autoSpaceDN w:val="0"/>
        <w:adjustRightInd w:val="0"/>
        <w:spacing w:before="120"/>
        <w:ind w:left="1588"/>
        <w:rPr>
          <w:color w:val="000000"/>
          <w:sz w:val="23"/>
          <w:szCs w:val="23"/>
        </w:rPr>
      </w:pPr>
      <w:r>
        <w:rPr>
          <w:rStyle w:val="CharDefText"/>
          <w:bCs/>
          <w:sz w:val="23"/>
        </w:rPr>
        <w:t>dispute hearing</w:t>
      </w:r>
      <w:r>
        <w:rPr>
          <w:bCs/>
          <w:i/>
          <w:iCs/>
          <w:color w:val="000000"/>
          <w:sz w:val="23"/>
          <w:szCs w:val="23"/>
        </w:rPr>
        <w:t xml:space="preserve"> </w:t>
      </w:r>
      <w:r>
        <w:rPr>
          <w:color w:val="000000"/>
          <w:sz w:val="23"/>
          <w:szCs w:val="23"/>
        </w:rPr>
        <w:t>means a hearing conducted by the dispute resolution body for the purpose of making an access determination;</w:t>
      </w:r>
    </w:p>
    <w:p>
      <w:pPr>
        <w:keepLines/>
        <w:autoSpaceDE w:val="0"/>
        <w:autoSpaceDN w:val="0"/>
        <w:adjustRightInd w:val="0"/>
        <w:spacing w:before="120"/>
        <w:ind w:left="1588"/>
        <w:rPr>
          <w:color w:val="000000"/>
          <w:sz w:val="23"/>
          <w:szCs w:val="23"/>
        </w:rPr>
      </w:pPr>
      <w:r>
        <w:rPr>
          <w:rStyle w:val="CharDefText"/>
          <w:bCs/>
          <w:sz w:val="23"/>
        </w:rPr>
        <w:t>party</w:t>
      </w:r>
      <w:r>
        <w:rPr>
          <w:color w:val="000000"/>
          <w:sz w:val="23"/>
          <w:szCs w:val="23"/>
        </w:rPr>
        <w:t>, in relation to an access dispute, has the meaning given by section 183.</w:t>
      </w:r>
    </w:p>
    <w:p>
      <w:pPr>
        <w:pStyle w:val="Heading5"/>
      </w:pPr>
      <w:bookmarkStart w:id="582" w:name="_Toc536782174"/>
      <w:r>
        <w:rPr>
          <w:rStyle w:val="CharSectno"/>
        </w:rPr>
        <w:t>179</w:t>
      </w:r>
      <w:r>
        <w:t>.</w:t>
      </w:r>
      <w:r>
        <w:tab/>
        <w:t>Chapter does not limit how disputes about access may be raised or dealt with</w:t>
      </w:r>
      <w:bookmarkEnd w:id="582"/>
    </w:p>
    <w:p>
      <w:pPr>
        <w:keepLines/>
        <w:autoSpaceDE w:val="0"/>
        <w:autoSpaceDN w:val="0"/>
        <w:adjustRightInd w:val="0"/>
        <w:spacing w:before="120"/>
        <w:ind w:left="1588"/>
        <w:rPr>
          <w:color w:val="000000"/>
          <w:sz w:val="23"/>
          <w:szCs w:val="23"/>
        </w:rPr>
      </w:pPr>
      <w:r>
        <w:rPr>
          <w:color w:val="000000"/>
          <w:sz w:val="23"/>
          <w:szCs w:val="23"/>
        </w:rPr>
        <w:t>This Chapter is not to be taken to limit how a dispute about access to a pipeline service may be raised or dealt with.</w:t>
      </w:r>
    </w:p>
    <w:p>
      <w:pPr>
        <w:pStyle w:val="Heading5"/>
      </w:pPr>
      <w:bookmarkStart w:id="583" w:name="_Toc536782175"/>
      <w:r>
        <w:rPr>
          <w:rStyle w:val="CharSectno"/>
        </w:rPr>
        <w:t>180</w:t>
      </w:r>
      <w:r>
        <w:t>.</w:t>
      </w:r>
      <w:r>
        <w:tab/>
        <w:t>No price or revenue regulation for access disputes relating to international pipeline services</w:t>
      </w:r>
      <w:bookmarkEnd w:id="583"/>
    </w:p>
    <w:p>
      <w:pPr>
        <w:keepNext/>
        <w:keepLines/>
        <w:autoSpaceDE w:val="0"/>
        <w:autoSpaceDN w:val="0"/>
        <w:adjustRightInd w:val="0"/>
        <w:spacing w:before="120"/>
        <w:ind w:left="1588"/>
        <w:rPr>
          <w:color w:val="000000"/>
          <w:sz w:val="23"/>
          <w:szCs w:val="23"/>
        </w:rPr>
      </w:pPr>
      <w:r>
        <w:rPr>
          <w:color w:val="000000"/>
          <w:sz w:val="23"/>
          <w:szCs w:val="23"/>
        </w:rPr>
        <w:t>An access dispute notified under this Chapter in relation to a pipeline service provided by means of an international pipeline to which a price regulation exemption applies must not be resolved under this Chapter on terms—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regulating the price at which a service is to be provided by the service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limiting the revenue to be derived by the service provider from the provision of a service.</w:t>
      </w:r>
    </w:p>
    <w:p>
      <w:pPr>
        <w:pStyle w:val="Heading3"/>
      </w:pPr>
      <w:bookmarkStart w:id="584" w:name="_Toc501634085"/>
      <w:bookmarkStart w:id="585" w:name="_Toc501712981"/>
      <w:bookmarkStart w:id="586" w:name="_Toc536782176"/>
      <w:r>
        <w:rPr>
          <w:rStyle w:val="CharDivNo"/>
        </w:rPr>
        <w:t>Part 2</w:t>
      </w:r>
      <w:r>
        <w:t xml:space="preserve"> — </w:t>
      </w:r>
      <w:r>
        <w:rPr>
          <w:rStyle w:val="CharDivText"/>
        </w:rPr>
        <w:t>Notification of access dispute</w:t>
      </w:r>
      <w:bookmarkEnd w:id="584"/>
      <w:bookmarkEnd w:id="585"/>
      <w:bookmarkEnd w:id="586"/>
    </w:p>
    <w:p>
      <w:pPr>
        <w:pStyle w:val="Heading5"/>
      </w:pPr>
      <w:bookmarkStart w:id="587" w:name="_Toc536782177"/>
      <w:r>
        <w:rPr>
          <w:rStyle w:val="CharSectno"/>
        </w:rPr>
        <w:t>181</w:t>
      </w:r>
      <w:r>
        <w:t>.</w:t>
      </w:r>
      <w:r>
        <w:tab/>
        <w:t>Notification of access dispute</w:t>
      </w:r>
      <w:bookmarkEnd w:id="58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if a prospective user or user is unable to agree with a service provider about 1 or more aspects of access to a pipeline service provided or to be provided by means of a scheme pipeline, the prospective user, user or service provider may notify the dispute resolution body, in writing, that an access dispute exists.</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A dispute about access to a light regulation service may be notified under this section because light regulation services are pipeline services provided by means of a covered pipeline (which is a scheme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notification must be accompanied by the fee prescribed by the Regulations (if any).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On receiving a notification under subsection (1), the dispute resolution body must notify, in writing, of the access dispute—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service provider, if a prospective user or user (as the case requires) notified the dispute resolution body of the access dispute under subsection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prospective user or user (as the case requires), if the service provider notified the dispute resolution body of the access dispute under subsection (1).</w:t>
      </w:r>
    </w:p>
    <w:p>
      <w:pPr>
        <w:pStyle w:val="Heading5"/>
      </w:pPr>
      <w:bookmarkStart w:id="588" w:name="_Toc536782178"/>
      <w:r>
        <w:rPr>
          <w:rStyle w:val="CharSectno"/>
        </w:rPr>
        <w:t>181A</w:t>
      </w:r>
      <w:r>
        <w:t>.</w:t>
      </w:r>
      <w:r>
        <w:tab/>
        <w:t>Providing information for certain disputes</w:t>
      </w:r>
      <w:bookmarkEnd w:id="58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sz w:val="23"/>
        </w:rPr>
        <w:tab/>
        <w:t>If the dispute resolution body for a dispute notified under section 181(1) is the WA arbitrator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sz w:val="23"/>
        </w:rPr>
        <w:tab/>
        <w:t>the WA arbitrator is to inform the ERA that notification of the dispute has been received;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sz w:val="23"/>
        </w:rPr>
        <w:tab/>
        <w:t>the WA arbitrator may request the ERA to give the WA arbitrator any information in the ERA’s possession that is relevant to the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sz w:val="23"/>
        </w:rPr>
        <w:tab/>
        <w:t>The ERA is to give the WA arbitrator the information requested, whether or not it is confidential and whether or not it came into the ERA’s possession for the purposes of resolving the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sz w:val="23"/>
        </w:rPr>
        <w:tab/>
        <w:t>If the ERA gives the WA arbitrator information that is confidential, the ERA is to identify the nature and extent of the confidentiality and the WA arbitrator is to treat the information accordingly.</w:t>
      </w:r>
    </w:p>
    <w:p>
      <w:pPr>
        <w:pStyle w:val="Footnotesection"/>
      </w:pPr>
      <w:r>
        <w:tab/>
        <w:t>[Section 181A inserted: WA Act Sch. 1 cl. 9.]</w:t>
      </w:r>
    </w:p>
    <w:p>
      <w:pPr>
        <w:pStyle w:val="Heading5"/>
      </w:pPr>
      <w:bookmarkStart w:id="589" w:name="_Toc536782179"/>
      <w:r>
        <w:rPr>
          <w:rStyle w:val="CharSectno"/>
        </w:rPr>
        <w:t>182</w:t>
      </w:r>
      <w:r>
        <w:t>.</w:t>
      </w:r>
      <w:r>
        <w:tab/>
        <w:t>Withdrawal of notification</w:t>
      </w:r>
      <w:bookmarkEnd w:id="58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person who notified the dispute resolution body of an access dispute under section 181(1) may withdraw that notification at any time before the dispute resolution body makes an access determination in respect of that access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notification must be withdrawn by notice in writing.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notification is withdrawn, it must be taken, for the purposes of this Chapter, never to have been given.</w:t>
      </w:r>
    </w:p>
    <w:p>
      <w:pPr>
        <w:pStyle w:val="Heading5"/>
      </w:pPr>
      <w:bookmarkStart w:id="590" w:name="_Toc536782180"/>
      <w:r>
        <w:rPr>
          <w:rStyle w:val="CharSectno"/>
        </w:rPr>
        <w:t>183</w:t>
      </w:r>
      <w:r>
        <w:t>.</w:t>
      </w:r>
      <w:r>
        <w:tab/>
        <w:t>Parties to an access dispute</w:t>
      </w:r>
      <w:bookmarkEnd w:id="590"/>
    </w:p>
    <w:p>
      <w:pPr>
        <w:keepNext/>
        <w:keepLines/>
        <w:autoSpaceDE w:val="0"/>
        <w:autoSpaceDN w:val="0"/>
        <w:adjustRightInd w:val="0"/>
        <w:spacing w:before="120"/>
        <w:ind w:left="1588"/>
        <w:rPr>
          <w:color w:val="000000"/>
          <w:sz w:val="23"/>
          <w:szCs w:val="23"/>
        </w:rPr>
      </w:pPr>
      <w:r>
        <w:rPr>
          <w:color w:val="000000"/>
          <w:sz w:val="23"/>
          <w:szCs w:val="23"/>
        </w:rPr>
        <w:t>The parties to an access dispute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notifying the dispute resolution body of an access dispute under section 181(1);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notified by the dispute resolution body under section 181(3);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if the dispute resolution body is of the opinion that the resolution of the access dispute may involve requiring another person to do something—that other person;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other person who applies in writing to be made a party and is accepted by the dispute resolution body as having a sufficient interest.</w:t>
      </w:r>
    </w:p>
    <w:p>
      <w:pPr>
        <w:pStyle w:val="Heading3"/>
      </w:pPr>
      <w:bookmarkStart w:id="591" w:name="_Toc501634090"/>
      <w:bookmarkStart w:id="592" w:name="_Toc501712986"/>
      <w:bookmarkStart w:id="593" w:name="_Toc536782181"/>
      <w:r>
        <w:rPr>
          <w:rStyle w:val="CharDivNo"/>
        </w:rPr>
        <w:t>Part 3</w:t>
      </w:r>
      <w:r>
        <w:t xml:space="preserve"> — </w:t>
      </w:r>
      <w:r>
        <w:rPr>
          <w:rStyle w:val="CharDivText"/>
        </w:rPr>
        <w:t>Access determinations</w:t>
      </w:r>
      <w:bookmarkEnd w:id="591"/>
      <w:bookmarkEnd w:id="592"/>
      <w:bookmarkEnd w:id="593"/>
    </w:p>
    <w:p>
      <w:pPr>
        <w:pStyle w:val="Heading5"/>
      </w:pPr>
      <w:bookmarkStart w:id="594" w:name="_Toc536782182"/>
      <w:r>
        <w:rPr>
          <w:rStyle w:val="CharSectno"/>
        </w:rPr>
        <w:t>184</w:t>
      </w:r>
      <w:r>
        <w:t>.</w:t>
      </w:r>
      <w:r>
        <w:tab/>
        <w:t>Determination of access dispute</w:t>
      </w:r>
      <w:bookmarkEnd w:id="59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Unless the dispute resolution body terminates an access dispute under section 186, the dispute resolution body must make a determination on access by the prospective user or user, as the case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making an access determination the dispute resolution body must comply with this Chapter and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access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in writing;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include a statement of reasons for making the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parties without delay.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access determination has effect on and after the date specified in the determination.</w:t>
      </w:r>
    </w:p>
    <w:p>
      <w:pPr>
        <w:pStyle w:val="Heading5"/>
      </w:pPr>
      <w:bookmarkStart w:id="595" w:name="_Toc536782183"/>
      <w:r>
        <w:rPr>
          <w:rStyle w:val="CharSectno"/>
        </w:rPr>
        <w:t>185</w:t>
      </w:r>
      <w:r>
        <w:t>.</w:t>
      </w:r>
      <w:r>
        <w:tab/>
        <w:t>Dispute resolution body may require parties to mediate, conciliate or engage in an alternative dispute resolution process</w:t>
      </w:r>
      <w:bookmarkEnd w:id="59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require the parties, in accordance with the Rules, to mediate, conciliate or engage in another alternative dispute resolution process for the purpose of resolving the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party must comply with a requirement under subsection (1).</w:t>
      </w:r>
    </w:p>
    <w:p>
      <w:pPr>
        <w:pStyle w:val="Heading5"/>
      </w:pPr>
      <w:bookmarkStart w:id="596" w:name="_Toc536782184"/>
      <w:r>
        <w:rPr>
          <w:rStyle w:val="CharSectno"/>
        </w:rPr>
        <w:t>186</w:t>
      </w:r>
      <w:r>
        <w:t>.</w:t>
      </w:r>
      <w:r>
        <w:tab/>
        <w:t>Dispute resolution body may terminate access dispute in certain cases</w:t>
      </w:r>
      <w:bookmarkEnd w:id="59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at any time terminate an access dispute (without making an access determination) if the dispute resolution body considers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notification of the access dispute was vexatious;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subject matter of the dispute is trivial, misconceived or lacking in substance;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party who notified the access dispute had, but did not avail itself of, an opportunity to engage in negotiations in good faith with the other party before that notification;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specified dispute termination circumstance has occurred.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section 188, the dispute resolution body may also terminate an access dispute (without making an access determination) if the dispute resolution body considers that the aspect of access about which there is a dispute is expressly or impliedly dealt with under a contract between, as the case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prospective user and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user and service provider.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 xml:space="preserve">specified dispute termination circumstance </w:t>
      </w:r>
      <w:r>
        <w:rPr>
          <w:color w:val="000000"/>
          <w:sz w:val="23"/>
          <w:szCs w:val="23"/>
        </w:rPr>
        <w:t>means a circumstance specified by the Rules as being a circumstance, the occurrence of which, entitles the dispute resolution body to terminate an access dispute (without making an access determination).</w:t>
      </w:r>
    </w:p>
    <w:p>
      <w:pPr>
        <w:pStyle w:val="Heading5"/>
      </w:pPr>
      <w:bookmarkStart w:id="597" w:name="_Toc536782185"/>
      <w:r>
        <w:rPr>
          <w:rStyle w:val="CharSectno"/>
        </w:rPr>
        <w:t>187</w:t>
      </w:r>
      <w:r>
        <w:t>.</w:t>
      </w:r>
      <w:r>
        <w:tab/>
        <w:t>No access determination if dispute resolution body considers there is genuine competition</w:t>
      </w:r>
      <w:bookmarkEnd w:id="597"/>
    </w:p>
    <w:p>
      <w:pPr>
        <w:keepLines/>
        <w:autoSpaceDE w:val="0"/>
        <w:autoSpaceDN w:val="0"/>
        <w:adjustRightInd w:val="0"/>
        <w:spacing w:before="120"/>
        <w:ind w:left="1588"/>
        <w:rPr>
          <w:color w:val="000000"/>
          <w:sz w:val="23"/>
          <w:szCs w:val="23"/>
        </w:rPr>
      </w:pPr>
      <w:r>
        <w:rPr>
          <w:color w:val="000000"/>
          <w:sz w:val="23"/>
          <w:szCs w:val="23"/>
        </w:rPr>
        <w:t>Despite anything to the contrary in this Chapter, the dispute resolution body may refuse to make an access determination that requires the service provider to provide a particular pipeline service to a prospective user or user if the dispute resolution body considers that the pipeline service the subject of the access dispute could be provided on a genuinely competitive basis by a person other than the service provider or an associate of the service provider.</w:t>
      </w:r>
    </w:p>
    <w:p>
      <w:pPr>
        <w:pStyle w:val="Heading5"/>
      </w:pPr>
      <w:bookmarkStart w:id="598" w:name="_Toc536782186"/>
      <w:r>
        <w:rPr>
          <w:rStyle w:val="CharSectno"/>
        </w:rPr>
        <w:t>188</w:t>
      </w:r>
      <w:r>
        <w:t>.</w:t>
      </w:r>
      <w:r>
        <w:tab/>
        <w:t>Restrictions on access determinations</w:t>
      </w:r>
      <w:bookmarkEnd w:id="59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must not make an access determination that would have any of the following effects: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preventing a user obtaining a sufficient amount of a pipeline service under a contract or previous access determination to be able to meet the user’s reasonably anticipated requirements, measured at the time the access dispute was notified;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preventing a prospective user or user from obtaining, by the exercise of a pre</w:t>
      </w:r>
      <w:r>
        <w:rPr>
          <w:color w:val="000000"/>
          <w:sz w:val="23"/>
          <w:szCs w:val="23"/>
        </w:rPr>
        <w:noBreakHyphen/>
        <w:t>notification right, a sufficient amount of a pipeline service to be able to meet the prospective user’s or user’s actual requirements;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depriving a person of a relevant protected contractual right.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pre</w:t>
      </w:r>
      <w:r>
        <w:rPr>
          <w:rStyle w:val="CharDefText"/>
          <w:bCs/>
          <w:sz w:val="23"/>
        </w:rPr>
        <w:noBreakHyphen/>
        <w:t>notification right</w:t>
      </w:r>
      <w:r>
        <w:rPr>
          <w:bCs/>
          <w:i/>
          <w:iCs/>
          <w:color w:val="000000"/>
          <w:sz w:val="23"/>
          <w:szCs w:val="23"/>
        </w:rPr>
        <w:t xml:space="preserve"> </w:t>
      </w:r>
      <w:r>
        <w:rPr>
          <w:color w:val="000000"/>
          <w:sz w:val="23"/>
          <w:szCs w:val="23"/>
        </w:rPr>
        <w:t>means a right under a contract, or under an access determination, that was in force at the time when the access dispute was notified under section 181;</w:t>
      </w:r>
    </w:p>
    <w:p>
      <w:pPr>
        <w:keepNext/>
        <w:keepLines/>
        <w:autoSpaceDE w:val="0"/>
        <w:autoSpaceDN w:val="0"/>
        <w:adjustRightInd w:val="0"/>
        <w:spacing w:before="120"/>
        <w:ind w:left="1588"/>
        <w:rPr>
          <w:color w:val="000000"/>
          <w:sz w:val="23"/>
          <w:szCs w:val="23"/>
        </w:rPr>
      </w:pPr>
      <w:r>
        <w:rPr>
          <w:rStyle w:val="CharDefText"/>
          <w:bCs/>
          <w:sz w:val="23"/>
        </w:rPr>
        <w:t>relevant exclusivity right</w:t>
      </w:r>
      <w:r>
        <w:rPr>
          <w:bCs/>
          <w:i/>
          <w:iCs/>
          <w:color w:val="000000"/>
          <w:sz w:val="23"/>
          <w:szCs w:val="23"/>
        </w:rPr>
        <w:t xml:space="preserve"> </w:t>
      </w:r>
      <w:r>
        <w:rPr>
          <w:color w:val="000000"/>
          <w:sz w:val="23"/>
          <w:szCs w:val="23"/>
        </w:rPr>
        <w:t>means an express contractual right that arose on or after 30 March 1995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prevents a service provider supplying pipeline services to persons who are not parties to the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limits or controls a service provider’s ability to supply pipeline services to persons who are not parties to the contract,</w:t>
      </w:r>
    </w:p>
    <w:p>
      <w:pPr>
        <w:keepLines/>
        <w:autoSpaceDE w:val="0"/>
        <w:autoSpaceDN w:val="0"/>
        <w:adjustRightInd w:val="0"/>
        <w:spacing w:before="120"/>
        <w:ind w:left="1588"/>
        <w:rPr>
          <w:color w:val="000000"/>
          <w:sz w:val="23"/>
          <w:szCs w:val="23"/>
        </w:rPr>
      </w:pPr>
      <w:r>
        <w:rPr>
          <w:color w:val="000000"/>
          <w:sz w:val="23"/>
          <w:szCs w:val="23"/>
        </w:rPr>
        <w:t>but does not include a user’s contractual right to obtain a certain amount of pipeline services;</w:t>
      </w:r>
    </w:p>
    <w:p>
      <w:pPr>
        <w:keepLines/>
        <w:autoSpaceDE w:val="0"/>
        <w:autoSpaceDN w:val="0"/>
        <w:adjustRightInd w:val="0"/>
        <w:spacing w:before="120"/>
        <w:ind w:left="1588"/>
        <w:rPr>
          <w:color w:val="000000"/>
          <w:sz w:val="23"/>
          <w:szCs w:val="23"/>
        </w:rPr>
      </w:pPr>
      <w:r>
        <w:rPr>
          <w:rStyle w:val="CharDefText"/>
          <w:bCs/>
          <w:sz w:val="23"/>
        </w:rPr>
        <w:t>relevant protected contractual right</w:t>
      </w:r>
      <w:r>
        <w:rPr>
          <w:bCs/>
          <w:i/>
          <w:iCs/>
          <w:color w:val="000000"/>
          <w:sz w:val="23"/>
          <w:szCs w:val="23"/>
        </w:rPr>
        <w:t xml:space="preserve"> </w:t>
      </w:r>
      <w:r>
        <w:rPr>
          <w:color w:val="000000"/>
          <w:sz w:val="23"/>
          <w:szCs w:val="23"/>
        </w:rPr>
        <w:t>means a right under a contract (other than a relevant exclusivity right) that was in force immediately before the notification of an access dispute under section 181.</w:t>
      </w:r>
    </w:p>
    <w:p>
      <w:pPr>
        <w:pStyle w:val="Heading5"/>
      </w:pPr>
      <w:bookmarkStart w:id="599" w:name="_Toc536782187"/>
      <w:r>
        <w:rPr>
          <w:rStyle w:val="CharSectno"/>
        </w:rPr>
        <w:t>189</w:t>
      </w:r>
      <w:r>
        <w:t>.</w:t>
      </w:r>
      <w:r>
        <w:tab/>
        <w:t>Access determination must give effect to applicable access arrangement</w:t>
      </w:r>
      <w:bookmarkEnd w:id="599"/>
    </w:p>
    <w:p>
      <w:pPr>
        <w:keepNext/>
        <w:keepLines/>
        <w:autoSpaceDE w:val="0"/>
        <w:autoSpaceDN w:val="0"/>
        <w:adjustRightInd w:val="0"/>
        <w:spacing w:before="120"/>
        <w:ind w:left="1588"/>
        <w:rPr>
          <w:color w:val="000000"/>
          <w:sz w:val="23"/>
          <w:szCs w:val="23"/>
        </w:rPr>
      </w:pPr>
      <w:r>
        <w:rPr>
          <w:color w:val="000000"/>
          <w:sz w:val="23"/>
          <w:szCs w:val="23"/>
        </w:rPr>
        <w:t>Subject to sections 190 and 191 and any Rules made for the purposes of this Part, the dispute resolution body must, in making an access determination, give effect to the applicable access arrangement—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applying to the pipeline services provided, or to be provided, by means of the access dispute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effect at the time the determination is made,</w:t>
      </w:r>
    </w:p>
    <w:p>
      <w:pPr>
        <w:keepLines/>
        <w:autoSpaceDE w:val="0"/>
        <w:autoSpaceDN w:val="0"/>
        <w:adjustRightInd w:val="0"/>
        <w:spacing w:before="120"/>
        <w:ind w:left="1588"/>
        <w:rPr>
          <w:color w:val="000000"/>
          <w:sz w:val="23"/>
          <w:szCs w:val="23"/>
        </w:rPr>
      </w:pPr>
      <w:r>
        <w:rPr>
          <w:color w:val="000000"/>
          <w:sz w:val="23"/>
          <w:szCs w:val="23"/>
        </w:rPr>
        <w:t>(even though that arrangement may not have been in force when notification of the access dispute was given).</w:t>
      </w:r>
    </w:p>
    <w:p>
      <w:pPr>
        <w:pStyle w:val="Heading5"/>
      </w:pPr>
      <w:bookmarkStart w:id="600" w:name="_Toc536782188"/>
      <w:r>
        <w:rPr>
          <w:rStyle w:val="CharSectno"/>
        </w:rPr>
        <w:t>190</w:t>
      </w:r>
      <w:r>
        <w:t>.</w:t>
      </w:r>
      <w:r>
        <w:tab/>
        <w:t>Access determinations and past contributions of capital to fund installations or the construction of new facilities</w:t>
      </w:r>
      <w:bookmarkEnd w:id="60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an access determination, the dispute resolution body may (where relevant) take into account past contributions of capital to fund installations or the construction of new facilities.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section 74, the Rules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specify the matters that the dispute resolution body must address in making that access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the content of that access determination.</w:t>
      </w:r>
    </w:p>
    <w:p>
      <w:pPr>
        <w:pStyle w:val="Heading5"/>
      </w:pPr>
      <w:bookmarkStart w:id="601" w:name="_Toc536782189"/>
      <w:r>
        <w:rPr>
          <w:rStyle w:val="CharSectno"/>
        </w:rPr>
        <w:t>191</w:t>
      </w:r>
      <w:r>
        <w:t>.</w:t>
      </w:r>
      <w:r>
        <w:tab/>
        <w:t>Rules may allow determination that varies applicable access arrangement for installation of a new facility</w:t>
      </w:r>
      <w:bookmarkEnd w:id="60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dispute resolution body is proposing to make an access determination that will require—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to install or construct a new facility to expand the capacity of the access dispute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prospective user or user who is a party to the access dispute to contribute some or all of the capital to fund the installation or construction of the new facility.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section 74, the Rules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confer a function or power on the dispute resolution body to, when making the access determination, vary the applicable access arrangement;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the matters that the dispute resolution body must address in making that access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specify the kinds of variations that may be made to the applicable access arrangement;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specify the content of that access determination.</w:t>
      </w:r>
    </w:p>
    <w:p>
      <w:pPr>
        <w:pStyle w:val="Heading5"/>
      </w:pPr>
      <w:bookmarkStart w:id="602" w:name="_Toc536782190"/>
      <w:r>
        <w:rPr>
          <w:rStyle w:val="CharSectno"/>
        </w:rPr>
        <w:t>192</w:t>
      </w:r>
      <w:r>
        <w:t>.</w:t>
      </w:r>
      <w:r>
        <w:tab/>
        <w:t>Access determinations need not require the provision of a pipeline service</w:t>
      </w:r>
      <w:bookmarkEnd w:id="602"/>
    </w:p>
    <w:p>
      <w:pPr>
        <w:keepLines/>
        <w:autoSpaceDE w:val="0"/>
        <w:autoSpaceDN w:val="0"/>
        <w:adjustRightInd w:val="0"/>
        <w:spacing w:before="120"/>
        <w:ind w:left="1588"/>
        <w:rPr>
          <w:color w:val="000000"/>
          <w:sz w:val="23"/>
          <w:szCs w:val="23"/>
        </w:rPr>
      </w:pPr>
      <w:r>
        <w:rPr>
          <w:color w:val="000000"/>
          <w:sz w:val="23"/>
          <w:szCs w:val="23"/>
        </w:rPr>
        <w:t>An access determination may, but need not, require a service provider to provide a pipeline service to a prospective user.</w:t>
      </w:r>
    </w:p>
    <w:p>
      <w:pPr>
        <w:pStyle w:val="Heading5"/>
      </w:pPr>
      <w:bookmarkStart w:id="603" w:name="_Toc536782191"/>
      <w:r>
        <w:rPr>
          <w:rStyle w:val="CharSectno"/>
        </w:rPr>
        <w:t>193</w:t>
      </w:r>
      <w:r>
        <w:t>.</w:t>
      </w:r>
      <w:r>
        <w:tab/>
        <w:t>Content of access determinations</w:t>
      </w:r>
      <w:bookmarkEnd w:id="603"/>
    </w:p>
    <w:p>
      <w:pPr>
        <w:keepNext/>
        <w:keepLines/>
        <w:autoSpaceDE w:val="0"/>
        <w:autoSpaceDN w:val="0"/>
        <w:adjustRightInd w:val="0"/>
        <w:spacing w:before="120"/>
        <w:ind w:left="1588"/>
        <w:rPr>
          <w:color w:val="000000"/>
          <w:sz w:val="23"/>
          <w:szCs w:val="23"/>
        </w:rPr>
      </w:pPr>
      <w:r>
        <w:rPr>
          <w:color w:val="000000"/>
          <w:sz w:val="23"/>
          <w:szCs w:val="23"/>
        </w:rPr>
        <w:t>Subject to this Chapter, an access determination may deal with any matter relating to the provision of a pipeline service to a prospective user or user.</w:t>
      </w:r>
    </w:p>
    <w:p>
      <w:pPr>
        <w:keepNext/>
        <w:keepLines/>
        <w:autoSpaceDE w:val="0"/>
        <w:autoSpaceDN w:val="0"/>
        <w:adjustRightInd w:val="0"/>
        <w:spacing w:before="120"/>
        <w:ind w:left="2382" w:hanging="794"/>
        <w:rPr>
          <w:b/>
          <w:bCs/>
          <w:color w:val="000000"/>
          <w:sz w:val="20"/>
        </w:rPr>
      </w:pPr>
      <w:r>
        <w:rPr>
          <w:b/>
          <w:bCs/>
          <w:color w:val="000000"/>
          <w:sz w:val="20"/>
        </w:rPr>
        <w:t>Example—</w:t>
      </w:r>
    </w:p>
    <w:p>
      <w:pPr>
        <w:keepNext/>
        <w:keepLines/>
        <w:autoSpaceDE w:val="0"/>
        <w:autoSpaceDN w:val="0"/>
        <w:adjustRightInd w:val="0"/>
        <w:spacing w:before="120"/>
        <w:ind w:left="2382"/>
        <w:rPr>
          <w:color w:val="000000"/>
          <w:sz w:val="20"/>
        </w:rPr>
      </w:pPr>
      <w:r>
        <w:rPr>
          <w:color w:val="000000"/>
          <w:sz w:val="20"/>
        </w:rPr>
        <w:t>An access determination may require the service provider to provide a pipeline service to the prospective user or user at—</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(a)</w:t>
      </w:r>
      <w:r>
        <w:rPr>
          <w:color w:val="000000"/>
          <w:sz w:val="20"/>
        </w:rPr>
        <w:tab/>
        <w:t>a specified tariff, rate or charge; and</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(b)</w:t>
      </w:r>
      <w:r>
        <w:rPr>
          <w:color w:val="000000"/>
          <w:sz w:val="20"/>
        </w:rPr>
        <w:tab/>
        <w:t>on specified terms and conditions.</w:t>
      </w:r>
    </w:p>
    <w:p>
      <w:pPr>
        <w:pStyle w:val="Heading3"/>
      </w:pPr>
      <w:bookmarkStart w:id="604" w:name="_Toc501634101"/>
      <w:bookmarkStart w:id="605" w:name="_Toc501712997"/>
      <w:bookmarkStart w:id="606" w:name="_Toc536782192"/>
      <w:r>
        <w:rPr>
          <w:rStyle w:val="CharDivNo"/>
        </w:rPr>
        <w:t>Part 4</w:t>
      </w:r>
      <w:r>
        <w:t xml:space="preserve"> — </w:t>
      </w:r>
      <w:r>
        <w:rPr>
          <w:rStyle w:val="CharDivText"/>
        </w:rPr>
        <w:t>Variation of access determinations</w:t>
      </w:r>
      <w:bookmarkEnd w:id="604"/>
      <w:bookmarkEnd w:id="605"/>
      <w:bookmarkEnd w:id="606"/>
    </w:p>
    <w:p>
      <w:pPr>
        <w:pStyle w:val="Heading5"/>
      </w:pPr>
      <w:bookmarkStart w:id="607" w:name="_Toc536782193"/>
      <w:r>
        <w:rPr>
          <w:rStyle w:val="CharSectno"/>
        </w:rPr>
        <w:t>194</w:t>
      </w:r>
      <w:r>
        <w:t>.</w:t>
      </w:r>
      <w:r>
        <w:tab/>
        <w:t>Variation of access determination</w:t>
      </w:r>
      <w:bookmarkEnd w:id="60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vary an access determination on the application of any party to the determination. However, it cannot vary the final determination if any other party objects.</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If the parties cannot agree on a variation, a new access dispute can be notified under section 181.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Section 188 applies to a variation under this section as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access dispute arising out of the access determination had been notified when the application was made to the dispute resolution body for the variation of the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variation were the making of an access determination in the terms of the varied determination.</w:t>
      </w:r>
    </w:p>
    <w:p>
      <w:pPr>
        <w:pStyle w:val="Heading3"/>
      </w:pPr>
      <w:bookmarkStart w:id="608" w:name="_Toc501634103"/>
      <w:bookmarkStart w:id="609" w:name="_Toc501712999"/>
      <w:bookmarkStart w:id="610" w:name="_Toc536782194"/>
      <w:r>
        <w:rPr>
          <w:rStyle w:val="CharDivNo"/>
        </w:rPr>
        <w:t>Part 5</w:t>
      </w:r>
      <w:r>
        <w:t xml:space="preserve"> — </w:t>
      </w:r>
      <w:r>
        <w:rPr>
          <w:rStyle w:val="CharDivText"/>
        </w:rPr>
        <w:t>Compliance with access determinations</w:t>
      </w:r>
      <w:bookmarkEnd w:id="608"/>
      <w:bookmarkEnd w:id="609"/>
      <w:bookmarkEnd w:id="610"/>
    </w:p>
    <w:p>
      <w:pPr>
        <w:pStyle w:val="Heading5"/>
      </w:pPr>
      <w:bookmarkStart w:id="611" w:name="_Toc536782195"/>
      <w:r>
        <w:rPr>
          <w:rStyle w:val="CharSectno"/>
        </w:rPr>
        <w:t>195</w:t>
      </w:r>
      <w:r>
        <w:t>.</w:t>
      </w:r>
      <w:r>
        <w:tab/>
        <w:t>Compliance with access determination</w:t>
      </w:r>
      <w:bookmarkEnd w:id="611"/>
    </w:p>
    <w:p>
      <w:pPr>
        <w:keepLines/>
        <w:autoSpaceDE w:val="0"/>
        <w:autoSpaceDN w:val="0"/>
        <w:adjustRightInd w:val="0"/>
        <w:spacing w:before="120"/>
        <w:ind w:left="1588"/>
        <w:rPr>
          <w:color w:val="000000"/>
          <w:sz w:val="23"/>
          <w:szCs w:val="23"/>
        </w:rPr>
      </w:pPr>
      <w:r>
        <w:rPr>
          <w:color w:val="000000"/>
          <w:sz w:val="23"/>
          <w:szCs w:val="23"/>
        </w:rPr>
        <w:t>A party to an access dispute in respect of which an access determination is made must comply with the access determination.</w:t>
      </w:r>
    </w:p>
    <w:p>
      <w:pPr>
        <w:pStyle w:val="Heading3"/>
      </w:pPr>
      <w:bookmarkStart w:id="612" w:name="_Toc501634105"/>
      <w:bookmarkStart w:id="613" w:name="_Toc501713001"/>
      <w:bookmarkStart w:id="614" w:name="_Toc536782196"/>
      <w:r>
        <w:rPr>
          <w:rStyle w:val="CharDivNo"/>
        </w:rPr>
        <w:t>Part 6</w:t>
      </w:r>
      <w:r>
        <w:t xml:space="preserve"> — </w:t>
      </w:r>
      <w:r>
        <w:rPr>
          <w:rStyle w:val="CharDivText"/>
        </w:rPr>
        <w:t>Access dispute hearing procedure</w:t>
      </w:r>
      <w:bookmarkEnd w:id="612"/>
      <w:bookmarkEnd w:id="613"/>
      <w:bookmarkEnd w:id="614"/>
    </w:p>
    <w:p>
      <w:pPr>
        <w:pStyle w:val="Heading5"/>
      </w:pPr>
      <w:bookmarkStart w:id="615" w:name="_Toc536782197"/>
      <w:r>
        <w:rPr>
          <w:rStyle w:val="CharSectno"/>
        </w:rPr>
        <w:t>196</w:t>
      </w:r>
      <w:r>
        <w:t>.</w:t>
      </w:r>
      <w:r>
        <w:tab/>
        <w:t>Hearing to be in private</w:t>
      </w:r>
      <w:bookmarkEnd w:id="61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subsection (2), a dispute hearing is to be in private.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parties agree, a dispute hearing or part of a dispute hearing may be conducted in public.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dispute resolution body may give written directions as to the persons who may be present at a dispute hearing that is conducted in private.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giving directions under subsection (3), the dispute resolution body must have regard to the wishes of the parties and the need for commercial confidentiality.</w:t>
      </w:r>
    </w:p>
    <w:p>
      <w:pPr>
        <w:pStyle w:val="Heading5"/>
      </w:pPr>
      <w:bookmarkStart w:id="616" w:name="_Toc536782198"/>
      <w:r>
        <w:rPr>
          <w:rStyle w:val="CharSectno"/>
        </w:rPr>
        <w:t>197</w:t>
      </w:r>
      <w:r>
        <w:t>.</w:t>
      </w:r>
      <w:r>
        <w:tab/>
        <w:t>Right to representation</w:t>
      </w:r>
      <w:bookmarkEnd w:id="616"/>
    </w:p>
    <w:p>
      <w:pPr>
        <w:keepLines/>
        <w:autoSpaceDE w:val="0"/>
        <w:autoSpaceDN w:val="0"/>
        <w:adjustRightInd w:val="0"/>
        <w:spacing w:before="120"/>
        <w:ind w:left="1588"/>
        <w:rPr>
          <w:color w:val="000000"/>
          <w:sz w:val="23"/>
          <w:szCs w:val="23"/>
        </w:rPr>
      </w:pPr>
      <w:r>
        <w:rPr>
          <w:color w:val="000000"/>
          <w:sz w:val="23"/>
          <w:szCs w:val="23"/>
        </w:rPr>
        <w:t>In a dispute hearing a party may appear in person or be represented by another person.</w:t>
      </w:r>
    </w:p>
    <w:p>
      <w:pPr>
        <w:pStyle w:val="Heading5"/>
      </w:pPr>
      <w:bookmarkStart w:id="617" w:name="_Toc536782199"/>
      <w:r>
        <w:rPr>
          <w:rStyle w:val="CharSectno"/>
        </w:rPr>
        <w:t>198</w:t>
      </w:r>
      <w:r>
        <w:t>.</w:t>
      </w:r>
      <w:r>
        <w:tab/>
        <w:t>Procedure of dispute resolution body</w:t>
      </w:r>
      <w:bookmarkEnd w:id="61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a dispute hearing the dispute resolution body—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not bound by technicalities, legal forms or rules of evidence;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act as speedily as a proper consideration of the access dispute allows, having regard to the need to carefully and quickly inquire into and investigate the access dispute and all matters affecting the merits, and fair settlement, of the access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inform itself about any matter relevant to the access dispute in any way it thinks appropriate.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may determine the periods that are reasonably necessary for the fair and adequate presentation of the respective cases of the parties in the dispute hearing, and may require that the cases be presented within those periods.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dispute resolution body may require evidence or argument to be presented in writing, and may decide the matters on which the dispute resolution body will hear oral evidence or argument.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dispute resolution body may determine that a dispute hearing is to be conducted by—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telephone;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closed circuit television;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means of communication.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Rules may make further provision about the procedure for the conduct of dispute hearings.</w:t>
      </w:r>
    </w:p>
    <w:p>
      <w:pPr>
        <w:pStyle w:val="Heading5"/>
      </w:pPr>
      <w:bookmarkStart w:id="618" w:name="_Toc536782200"/>
      <w:r>
        <w:rPr>
          <w:rStyle w:val="CharSectno"/>
        </w:rPr>
        <w:t>199</w:t>
      </w:r>
      <w:r>
        <w:t>.</w:t>
      </w:r>
      <w:r>
        <w:tab/>
        <w:t>Particular powers of dispute resolution body in a hearing</w:t>
      </w:r>
      <w:bookmarkEnd w:id="61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do any of the following things for the purpose of determining an access dispute: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 a direction in the course of, or for the purpose of, a dispute hearing;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hear and determine the access dispute in the absence of a party who has been given notice of the dispute hearing;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sit at any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adjourn to any time and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refer any matter to an independent expert and accept the expert’s report as evidence.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may make an interim determination.</w:t>
      </w:r>
    </w:p>
    <w:p>
      <w:pPr>
        <w:pStyle w:val="Heading5"/>
      </w:pPr>
      <w:bookmarkStart w:id="619" w:name="_Toc536782201"/>
      <w:r>
        <w:rPr>
          <w:rStyle w:val="CharSectno"/>
        </w:rPr>
        <w:t>200</w:t>
      </w:r>
      <w:r>
        <w:t>.</w:t>
      </w:r>
      <w:r>
        <w:tab/>
        <w:t>Disclosure of information</w:t>
      </w:r>
      <w:bookmarkEnd w:id="61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give an oral or written order to a person not to divulge or communicate to anyone else specified information that was given to the person in the course of an access dispute unless the person has the dispute resolution body’s permission.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must not, without reasonable excuse, refuse or fail to comply with an order under subsection (1).</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pStyle w:val="Heading5"/>
      </w:pPr>
      <w:bookmarkStart w:id="620" w:name="_Toc536782202"/>
      <w:r>
        <w:rPr>
          <w:rStyle w:val="CharSectno"/>
        </w:rPr>
        <w:t>201</w:t>
      </w:r>
      <w:r>
        <w:t>.</w:t>
      </w:r>
      <w:r>
        <w:tab/>
        <w:t>Power to take evidence on oath or affirmation</w:t>
      </w:r>
      <w:bookmarkEnd w:id="62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take evidence on oath or affirmation and for that purpose the dispute resolution body may administer an oath or affirmation.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may summon a person to appear before the dispute resolution body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 evidence;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such documents (if any) as are referred to in the summons;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give evidence and produce such documents (if any) as are referred to in the summons.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powers in this section may be exercised only for the purposes of hearing and determining an access dispute.</w:t>
      </w:r>
    </w:p>
    <w:p>
      <w:pPr>
        <w:pStyle w:val="Heading5"/>
      </w:pPr>
      <w:bookmarkStart w:id="621" w:name="_Toc536782203"/>
      <w:r>
        <w:rPr>
          <w:rStyle w:val="CharSectno"/>
        </w:rPr>
        <w:t>202</w:t>
      </w:r>
      <w:r>
        <w:t>.</w:t>
      </w:r>
      <w:r>
        <w:tab/>
        <w:t>Failing to attend as a witness</w:t>
      </w:r>
      <w:bookmarkEnd w:id="621"/>
    </w:p>
    <w:p>
      <w:pPr>
        <w:keepNext/>
        <w:keepLines/>
        <w:autoSpaceDE w:val="0"/>
        <w:autoSpaceDN w:val="0"/>
        <w:adjustRightInd w:val="0"/>
        <w:spacing w:before="120"/>
        <w:ind w:left="1588"/>
        <w:rPr>
          <w:color w:val="000000"/>
          <w:sz w:val="23"/>
          <w:szCs w:val="23"/>
        </w:rPr>
      </w:pPr>
      <w:r>
        <w:rPr>
          <w:color w:val="000000"/>
          <w:sz w:val="23"/>
          <w:szCs w:val="23"/>
        </w:rPr>
        <w:t>A person who is served, as prescribed by the Regulations, with a summons to appear as a witness before the dispute resolution body must not, without reasonable excuse—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fail to attend as required by the summons; or</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fail to appear and report himself or herself from day to day unless excused, or released from further attendance, by the dispute resolution body.</w:t>
      </w:r>
    </w:p>
    <w:p>
      <w:pPr>
        <w:keepLines/>
        <w:autoSpaceDE w:val="0"/>
        <w:autoSpaceDN w:val="0"/>
        <w:adjustRightInd w:val="0"/>
        <w:spacing w:before="80"/>
        <w:ind w:left="1588"/>
        <w:rPr>
          <w:color w:val="000000"/>
          <w:sz w:val="23"/>
          <w:szCs w:val="23"/>
        </w:rPr>
      </w:pPr>
      <w:r>
        <w:rPr>
          <w:color w:val="000000"/>
          <w:sz w:val="23"/>
          <w:szCs w:val="23"/>
        </w:rPr>
        <w:t>Maximum penalty: $2 000.</w:t>
      </w:r>
    </w:p>
    <w:p>
      <w:pPr>
        <w:pStyle w:val="Heading5"/>
      </w:pPr>
      <w:bookmarkStart w:id="622" w:name="_Toc536782204"/>
      <w:r>
        <w:rPr>
          <w:rStyle w:val="CharSectno"/>
        </w:rPr>
        <w:t>203</w:t>
      </w:r>
      <w:r>
        <w:t>.</w:t>
      </w:r>
      <w:r>
        <w:tab/>
        <w:t>Failing to answer questions etc</w:t>
      </w:r>
      <w:bookmarkEnd w:id="62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appearing as a witness before the dispute resolution body must not, without reasonable excuse—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refuse or fail to be sworn or to make an affirmation;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refuse or fail to answer a question that the person is required to answer by the dispute resolution body; or</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refuse or fail to produce a document that he or she is required to produce by a summons under this Chapter served on him or her as prescribed by the Regulations.</w:t>
      </w:r>
    </w:p>
    <w:p>
      <w:pPr>
        <w:keepLines/>
        <w:autoSpaceDE w:val="0"/>
        <w:autoSpaceDN w:val="0"/>
        <w:adjustRightInd w:val="0"/>
        <w:spacing w:before="80"/>
        <w:ind w:left="1588"/>
        <w:rPr>
          <w:color w:val="000000"/>
          <w:sz w:val="23"/>
          <w:szCs w:val="23"/>
        </w:rPr>
      </w:pPr>
      <w:r>
        <w:rPr>
          <w:color w:val="000000"/>
          <w:sz w:val="23"/>
          <w:szCs w:val="23"/>
        </w:rPr>
        <w:t>Maximum penalty: $2 000.</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It is a reasonable excuse for the purposes of subsection (1) for a natural person to refuse or fail to answer a question or produce a document on the ground that the answer or the production of the document might—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tend to incriminate the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expose the person to a criminal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Subsection (2) does not limit what is a reasonable excuse for the purposes of subsection (1).</w:t>
      </w:r>
    </w:p>
    <w:p>
      <w:pPr>
        <w:pStyle w:val="Heading5"/>
      </w:pPr>
      <w:bookmarkStart w:id="623" w:name="_Toc536782205"/>
      <w:r>
        <w:rPr>
          <w:rStyle w:val="CharSectno"/>
        </w:rPr>
        <w:t>204</w:t>
      </w:r>
      <w:r>
        <w:t>.</w:t>
      </w:r>
      <w:r>
        <w:tab/>
        <w:t>Intimidation etc</w:t>
      </w:r>
      <w:bookmarkEnd w:id="623"/>
    </w:p>
    <w:p>
      <w:pPr>
        <w:keepNext/>
        <w:keepLines/>
        <w:autoSpaceDE w:val="0"/>
        <w:autoSpaceDN w:val="0"/>
        <w:adjustRightInd w:val="0"/>
        <w:spacing w:before="120"/>
        <w:ind w:left="1588"/>
        <w:rPr>
          <w:color w:val="000000"/>
          <w:sz w:val="23"/>
          <w:szCs w:val="23"/>
        </w:rPr>
      </w:pPr>
      <w:r>
        <w:rPr>
          <w:color w:val="000000"/>
          <w:sz w:val="23"/>
          <w:szCs w:val="23"/>
        </w:rPr>
        <w:t>A person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threaten, intimidate or coerce another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cause or procure damage, loss or disadvantage to another person,</w:t>
      </w:r>
    </w:p>
    <w:p>
      <w:pPr>
        <w:keepLines/>
        <w:autoSpaceDE w:val="0"/>
        <w:autoSpaceDN w:val="0"/>
        <w:adjustRightInd w:val="0"/>
        <w:spacing w:before="120"/>
        <w:ind w:left="1588"/>
        <w:rPr>
          <w:color w:val="000000"/>
          <w:sz w:val="23"/>
          <w:szCs w:val="23"/>
        </w:rPr>
      </w:pPr>
      <w:r>
        <w:rPr>
          <w:color w:val="000000"/>
          <w:sz w:val="23"/>
          <w:szCs w:val="23"/>
        </w:rPr>
        <w:t>because that other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proposes to produce, or has produced, documents to the dispute resolution body; or</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proposes to appear, or has appeared, as a witness before the dispute resolution body.</w:t>
      </w:r>
    </w:p>
    <w:p>
      <w:pPr>
        <w:keepLines/>
        <w:autoSpaceDE w:val="0"/>
        <w:autoSpaceDN w:val="0"/>
        <w:adjustRightInd w:val="0"/>
        <w:spacing w:before="80"/>
        <w:ind w:left="1588"/>
        <w:rPr>
          <w:color w:val="000000"/>
          <w:sz w:val="23"/>
          <w:szCs w:val="23"/>
        </w:rPr>
      </w:pPr>
      <w:r>
        <w:rPr>
          <w:color w:val="000000"/>
          <w:sz w:val="23"/>
          <w:szCs w:val="23"/>
        </w:rPr>
        <w:t>Maximum penalty: $2 000.</w:t>
      </w:r>
    </w:p>
    <w:p>
      <w:pPr>
        <w:pStyle w:val="Heading5"/>
      </w:pPr>
      <w:bookmarkStart w:id="624" w:name="_Toc536782206"/>
      <w:r>
        <w:rPr>
          <w:rStyle w:val="CharSectno"/>
        </w:rPr>
        <w:t>205</w:t>
      </w:r>
      <w:r>
        <w:t>.</w:t>
      </w:r>
      <w:r>
        <w:tab/>
        <w:t>Party may request dispute resolution body to treat material as confidential</w:t>
      </w:r>
      <w:bookmarkEnd w:id="62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party in a dispute hearing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inform the dispute resolution body that, in the party’s opinion, a specified part of a document contains confidential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request the dispute resolution body not to give a copy of that part to another party.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receiving a request, the dispute resolution body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inform the other party or parties that the request has been made and of the general nature of the matters to which the relevant part of the document relates;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ask the other party or parties whether there is any objection to the dispute resolution body complying with the request.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there is an objection to the dispute resolution body complying with the request, the party objecting may inform the dispute resolution body of the objection and of the reasons for it.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After considering—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request;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objection;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further submissions that any party has made in relation to the request,</w:t>
      </w:r>
    </w:p>
    <w:p>
      <w:pPr>
        <w:keepLines/>
        <w:autoSpaceDE w:val="0"/>
        <w:autoSpaceDN w:val="0"/>
        <w:adjustRightInd w:val="0"/>
        <w:spacing w:before="120"/>
        <w:ind w:left="1588"/>
        <w:rPr>
          <w:color w:val="000000"/>
          <w:sz w:val="23"/>
          <w:szCs w:val="23"/>
        </w:rPr>
      </w:pPr>
      <w:r>
        <w:rPr>
          <w:color w:val="000000"/>
          <w:sz w:val="23"/>
          <w:szCs w:val="23"/>
        </w:rPr>
        <w:t>the dispute resolution body may decide—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not to give the other party or parties a copy of so much of the document as contains confidential information that the dispute resolution body thinks should not be given;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to give the other party or another specified party a copy of the whole, or part, of the part of the document that contains confidential information subject to a condition that the party give an undertaking not to disclose the information to another person except to the extent specified by the dispute resolution body and subject to such other conditions as the dispute resolution body determines.</w:t>
      </w:r>
    </w:p>
    <w:p>
      <w:pPr>
        <w:pStyle w:val="Heading5"/>
      </w:pPr>
      <w:bookmarkStart w:id="625" w:name="_Toc536782207"/>
      <w:r>
        <w:rPr>
          <w:rStyle w:val="CharSectno"/>
        </w:rPr>
        <w:t>206</w:t>
      </w:r>
      <w:r>
        <w:t>.</w:t>
      </w:r>
      <w:r>
        <w:tab/>
        <w:t>Costs</w:t>
      </w:r>
      <w:bookmarkEnd w:id="62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Each party is to bear its own costs in a dispute hearing except to the extent that an order under this section specifies otherwise.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At any time, the dispute resolution body may order that a party pay all or a specified part of the costs of another party in a dispute hearing.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dispute resolution body may make an order under subsection (2) only if satisfied that it is fair to do so, having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whether a party has conducted the dispute hearing in a way that unnecessarily disadvantaged another party by conduct such as—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failing to comply with an order or direction of the dispute resolution body without reasonable excuse;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failing to comply with this Law, the Regulations or the Rules;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asking for an adjournment as a result of subparagraph (i) or (ii);</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causing an adjournment;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attempting to deceive another party or the dispute resolution body;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(vi)</w:t>
      </w:r>
      <w:r>
        <w:rPr>
          <w:color w:val="000000"/>
          <w:sz w:val="23"/>
          <w:szCs w:val="23"/>
        </w:rPr>
        <w:tab/>
        <w:t>vexatiously conducting an access dispute;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whether a party has been responsible for prolonging unreasonably the time taken to complete the dispute hearing;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relative strengths of the claims made by each of the parties, including whether a party has made a claim that has no tenable basis in fact or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nature and complexity of the access dispute;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other matter the dispute resolution body considers relevant.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party to whom an order made under subsection (2) is directed must comply with the order.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dispute resolution body considers that the representative of a party, rather than the party, is responsible for conduct described in subsection (3)(a) or (b), the dispute resolution body may order that the representative in his or her own capacity compensate another party for any costs incurred unnecessarily.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Before making an order under subsection (5), the dispute resolution body must give the representative a reasonable opportunity to be heard.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representative of a party to whom an order made under subsection (5) is directed must comply with the order.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If the dispute resolution body makes an order for costs before the end of an access dispute, the dispute resolution body may require that the order be complied with before it continues with the proceeding.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 xml:space="preserve">If the dispute resolution body makes an order for costs, the dispute resolution body may fix the amount of costs itself. </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(10)</w:t>
      </w:r>
      <w:r>
        <w:rPr>
          <w:color w:val="000000"/>
          <w:sz w:val="23"/>
          <w:szCs w:val="23"/>
        </w:rPr>
        <w:tab/>
        <w:t>This section applies to costs incurred by the parties in a dispute hearing even if the notification of the access dispute to which the dispute hearing relates is withdrawn.</w:t>
      </w:r>
    </w:p>
    <w:p>
      <w:pPr>
        <w:pStyle w:val="Heading5"/>
      </w:pPr>
      <w:bookmarkStart w:id="626" w:name="_Toc536782208"/>
      <w:r>
        <w:t>207.</w:t>
      </w:r>
      <w:r>
        <w:tab/>
        <w:t>Outstanding costs are a debt due to party awarded the costs</w:t>
      </w:r>
      <w:bookmarkEnd w:id="626"/>
    </w:p>
    <w:p>
      <w:pPr>
        <w:keepNext/>
        <w:keepLines/>
        <w:autoSpaceDE w:val="0"/>
        <w:autoSpaceDN w:val="0"/>
        <w:adjustRightInd w:val="0"/>
        <w:spacing w:before="120"/>
        <w:ind w:left="1588"/>
        <w:rPr>
          <w:color w:val="000000"/>
          <w:sz w:val="23"/>
          <w:szCs w:val="23"/>
        </w:rPr>
      </w:pPr>
      <w:r>
        <w:rPr>
          <w:color w:val="000000"/>
          <w:sz w:val="23"/>
          <w:szCs w:val="23"/>
        </w:rPr>
        <w:t>Costs that are payable under section 206(4) or (7)—</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are a debt due to the party to whom the dispute resolution body has ordered that they be paid;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be recovered by that party in a court of competent jurisdiction.</w:t>
      </w:r>
    </w:p>
    <w:p>
      <w:pPr>
        <w:pStyle w:val="Heading3"/>
      </w:pPr>
      <w:bookmarkStart w:id="627" w:name="_Toc501634118"/>
      <w:bookmarkStart w:id="628" w:name="_Toc501713014"/>
      <w:bookmarkStart w:id="629" w:name="_Toc536782209"/>
      <w:r>
        <w:rPr>
          <w:rStyle w:val="CharDivNo"/>
        </w:rPr>
        <w:t>Part 7</w:t>
      </w:r>
      <w:r>
        <w:t xml:space="preserve"> — </w:t>
      </w:r>
      <w:r>
        <w:rPr>
          <w:rStyle w:val="CharDivText"/>
        </w:rPr>
        <w:t>Joint access dispute hearings</w:t>
      </w:r>
      <w:bookmarkEnd w:id="627"/>
      <w:bookmarkEnd w:id="628"/>
      <w:bookmarkEnd w:id="629"/>
    </w:p>
    <w:p>
      <w:pPr>
        <w:pStyle w:val="Heading5"/>
      </w:pPr>
      <w:bookmarkStart w:id="630" w:name="_Toc536782210"/>
      <w:r>
        <w:rPr>
          <w:rStyle w:val="CharSectno"/>
        </w:rPr>
        <w:t>208</w:t>
      </w:r>
      <w:r>
        <w:t>.</w:t>
      </w:r>
      <w:r>
        <w:tab/>
        <w:t>Definition</w:t>
      </w:r>
      <w:bookmarkEnd w:id="630"/>
    </w:p>
    <w:p>
      <w:pPr>
        <w:keepNext/>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rPr>
          <w:color w:val="000000"/>
          <w:sz w:val="23"/>
          <w:szCs w:val="23"/>
        </w:rPr>
      </w:pPr>
      <w:r>
        <w:rPr>
          <w:rStyle w:val="CharDefText"/>
          <w:bCs/>
          <w:sz w:val="23"/>
        </w:rPr>
        <w:t>nominated disputes</w:t>
      </w:r>
      <w:r>
        <w:rPr>
          <w:bCs/>
          <w:i/>
          <w:iCs/>
          <w:color w:val="000000"/>
          <w:sz w:val="23"/>
          <w:szCs w:val="23"/>
        </w:rPr>
        <w:t xml:space="preserve"> </w:t>
      </w:r>
      <w:r>
        <w:rPr>
          <w:color w:val="000000"/>
          <w:sz w:val="23"/>
          <w:szCs w:val="23"/>
        </w:rPr>
        <w:t>has the meaning given by section 209(2).</w:t>
      </w:r>
    </w:p>
    <w:p>
      <w:pPr>
        <w:pStyle w:val="Heading5"/>
      </w:pPr>
      <w:bookmarkStart w:id="631" w:name="_Toc536782211"/>
      <w:r>
        <w:rPr>
          <w:rStyle w:val="CharSectno"/>
        </w:rPr>
        <w:t>209</w:t>
      </w:r>
      <w:r>
        <w:t>.</w:t>
      </w:r>
      <w:r>
        <w:tab/>
        <w:t>Joint dispute hearing</w:t>
      </w:r>
      <w:bookmarkEnd w:id="63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dispute resolution body is conducting 2 or more dispute hearings at a particular time;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1 or more matters are common to the access disputes in relation to which the dispute hearings are being conducted.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The dispute resolution body may, by notice in writing, decide that it will hold a joint dispute hearing in respect of such of those access disputes (the </w:t>
      </w:r>
      <w:r>
        <w:rPr>
          <w:rStyle w:val="CharDefText"/>
          <w:bCs/>
          <w:sz w:val="23"/>
        </w:rPr>
        <w:t>nominated disputes</w:t>
      </w:r>
      <w:r>
        <w:rPr>
          <w:color w:val="000000"/>
          <w:sz w:val="23"/>
          <w:szCs w:val="23"/>
        </w:rPr>
        <w:t>) as are specified in the notice.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dispute resolution body may do so only if it considers this would be likely to result in the nominated disputes being resolved in a more efficient and timely manner.</w:t>
      </w:r>
    </w:p>
    <w:p>
      <w:pPr>
        <w:pStyle w:val="Heading5"/>
      </w:pPr>
      <w:bookmarkStart w:id="632" w:name="_Toc536782212"/>
      <w:r>
        <w:rPr>
          <w:rStyle w:val="CharSectno"/>
        </w:rPr>
        <w:t>210</w:t>
      </w:r>
      <w:r>
        <w:t>.</w:t>
      </w:r>
      <w:r>
        <w:tab/>
        <w:t>Consulting the parties</w:t>
      </w:r>
      <w:bookmarkEnd w:id="63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Before making a decision under section 209(2), the dispute resolution body must give each party to each of the nominated disputes a notice in writing—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specifying what the dispute resolution body is proposing to do;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inviting the party to make a written submission on the proposal to the dispute resolution body within 10 business days after the notice is given.</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must have regard to any submission so made in deciding whether to do so. The dispute resolution body may have regard to any other matter it considers relevant.</w:t>
      </w:r>
    </w:p>
    <w:p>
      <w:pPr>
        <w:pStyle w:val="Heading5"/>
      </w:pPr>
      <w:bookmarkStart w:id="633" w:name="_Toc536782213"/>
      <w:r>
        <w:rPr>
          <w:rStyle w:val="CharSectno"/>
        </w:rPr>
        <w:t>211</w:t>
      </w:r>
      <w:r>
        <w:t>.</w:t>
      </w:r>
      <w:r>
        <w:tab/>
        <w:t>Constitution and procedure of dispute resolution body for joint dispute hearings</w:t>
      </w:r>
      <w:bookmarkEnd w:id="633"/>
    </w:p>
    <w:p>
      <w:pPr>
        <w:keepLines/>
        <w:autoSpaceDE w:val="0"/>
        <w:autoSpaceDN w:val="0"/>
        <w:adjustRightInd w:val="0"/>
        <w:spacing w:before="120"/>
        <w:ind w:left="1588"/>
        <w:rPr>
          <w:color w:val="000000"/>
          <w:sz w:val="23"/>
          <w:szCs w:val="23"/>
        </w:rPr>
      </w:pPr>
      <w:r>
        <w:rPr>
          <w:color w:val="000000"/>
          <w:sz w:val="23"/>
          <w:szCs w:val="23"/>
        </w:rPr>
        <w:t>Chapter 6 Part 6 applies to the joint dispute hearing in a corresponding way to the way in which it applies to a particular dispute hearing.</w:t>
      </w:r>
    </w:p>
    <w:p>
      <w:pPr>
        <w:pStyle w:val="Heading5"/>
      </w:pPr>
      <w:bookmarkStart w:id="634" w:name="_Toc536782214"/>
      <w:r>
        <w:rPr>
          <w:rStyle w:val="CharSectno"/>
        </w:rPr>
        <w:t>212</w:t>
      </w:r>
      <w:r>
        <w:t>.</w:t>
      </w:r>
      <w:r>
        <w:tab/>
        <w:t>Record of proceedings etc</w:t>
      </w:r>
      <w:bookmarkEnd w:id="63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as constituted for the purposes of the joint dispute hearing may have regard to any record of the proceedings of the dispute of any of the nominated disputes.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as constituted for the purposes of the dispute hearing of each of the nominated disputes may, for the purposes of making an access determination in relation to the access dispute to which that hearing relates—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have regard to any record of the proceedings of the joint dispute hearing;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adopt any findings of fact made by the dispute resolution body as constituted for the purposes of the joint dispute hearing.</w:t>
      </w:r>
    </w:p>
    <w:p>
      <w:pPr>
        <w:pStyle w:val="Heading3"/>
      </w:pPr>
      <w:bookmarkStart w:id="635" w:name="_Toc501634124"/>
      <w:bookmarkStart w:id="636" w:name="_Toc501713020"/>
      <w:bookmarkStart w:id="637" w:name="_Toc536782215"/>
      <w:r>
        <w:rPr>
          <w:rStyle w:val="CharDivNo"/>
        </w:rPr>
        <w:t>Part 8</w:t>
      </w:r>
      <w:r>
        <w:t> — </w:t>
      </w:r>
      <w:r>
        <w:rPr>
          <w:rStyle w:val="CharDivText"/>
        </w:rPr>
        <w:t>Miscellaneous matters</w:t>
      </w:r>
      <w:bookmarkEnd w:id="635"/>
      <w:bookmarkEnd w:id="636"/>
      <w:bookmarkEnd w:id="637"/>
    </w:p>
    <w:p>
      <w:pPr>
        <w:pStyle w:val="Heading5"/>
      </w:pPr>
      <w:bookmarkStart w:id="638" w:name="_Toc536782216"/>
      <w:r>
        <w:rPr>
          <w:rStyle w:val="CharSectno"/>
        </w:rPr>
        <w:t>213</w:t>
      </w:r>
      <w:r>
        <w:t>.</w:t>
      </w:r>
      <w:r>
        <w:tab/>
        <w:t>Correction of access determinations for clerical mistakes etc</w:t>
      </w:r>
      <w:bookmarkEnd w:id="638"/>
    </w:p>
    <w:p>
      <w:pPr>
        <w:keepNext/>
        <w:keepLines/>
        <w:autoSpaceDE w:val="0"/>
        <w:autoSpaceDN w:val="0"/>
        <w:adjustRightInd w:val="0"/>
        <w:spacing w:before="120"/>
        <w:ind w:left="1588"/>
        <w:rPr>
          <w:color w:val="000000"/>
          <w:sz w:val="23"/>
          <w:szCs w:val="23"/>
        </w:rPr>
      </w:pPr>
      <w:r>
        <w:rPr>
          <w:color w:val="000000"/>
          <w:sz w:val="23"/>
          <w:szCs w:val="23"/>
        </w:rPr>
        <w:t>If an access determination contains—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clerical mistake;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error arising from an accidental slip or omission;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material miscalculation of figures or a material mistake in the description of any person, thing or matter referred to in the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defect in form,</w:t>
      </w:r>
    </w:p>
    <w:p>
      <w:pPr>
        <w:keepLines/>
        <w:autoSpaceDE w:val="0"/>
        <w:autoSpaceDN w:val="0"/>
        <w:adjustRightInd w:val="0"/>
        <w:spacing w:before="120"/>
        <w:ind w:left="1588"/>
        <w:rPr>
          <w:color w:val="000000"/>
          <w:sz w:val="23"/>
          <w:szCs w:val="23"/>
        </w:rPr>
      </w:pPr>
      <w:r>
        <w:rPr>
          <w:color w:val="000000"/>
          <w:sz w:val="23"/>
          <w:szCs w:val="23"/>
        </w:rPr>
        <w:t>the dispute resolution body may correct the access determination.</w:t>
      </w:r>
    </w:p>
    <w:p>
      <w:pPr>
        <w:pStyle w:val="Heading5"/>
      </w:pPr>
      <w:bookmarkStart w:id="639" w:name="_Toc536782217"/>
      <w:r>
        <w:rPr>
          <w:rStyle w:val="CharSectno"/>
        </w:rPr>
        <w:t>214</w:t>
      </w:r>
      <w:r>
        <w:t>.</w:t>
      </w:r>
      <w:r>
        <w:tab/>
        <w:t>Reservation of capacity during an access dispute</w:t>
      </w:r>
      <w:bookmarkEnd w:id="639"/>
    </w:p>
    <w:p>
      <w:pPr>
        <w:keepLines/>
        <w:autoSpaceDE w:val="0"/>
        <w:autoSpaceDN w:val="0"/>
        <w:adjustRightInd w:val="0"/>
        <w:spacing w:before="120"/>
        <w:ind w:left="1588"/>
        <w:rPr>
          <w:color w:val="000000"/>
          <w:sz w:val="23"/>
          <w:szCs w:val="23"/>
        </w:rPr>
      </w:pPr>
      <w:r>
        <w:rPr>
          <w:color w:val="000000"/>
          <w:sz w:val="23"/>
          <w:szCs w:val="23"/>
        </w:rPr>
        <w:t>A service provider who is in an access dispute with a user must not, without the consent of the user, alter the rights that the user has to use the capacity of the access dispute pipeline during the period of the dispute.</w:t>
      </w:r>
    </w:p>
    <w:p>
      <w:pPr>
        <w:pStyle w:val="Heading5"/>
      </w:pPr>
      <w:bookmarkStart w:id="640" w:name="_Toc536782218"/>
      <w:r>
        <w:rPr>
          <w:rStyle w:val="CharSectno"/>
        </w:rPr>
        <w:t>215</w:t>
      </w:r>
      <w:r>
        <w:t>.</w:t>
      </w:r>
      <w:r>
        <w:tab/>
        <w:t>Subsequent service providers bound by access determinations</w:t>
      </w:r>
      <w:bookmarkEnd w:id="64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access determination applies to every subsequent service provider as if that subsequent service provider were a party to the access dispute in respect of which the access determination was made.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subsequent service provider</w:t>
      </w:r>
      <w:r>
        <w:rPr>
          <w:bCs/>
          <w:i/>
          <w:iCs/>
          <w:color w:val="000000"/>
          <w:sz w:val="23"/>
          <w:szCs w:val="23"/>
        </w:rPr>
        <w:t xml:space="preserve"> </w:t>
      </w:r>
      <w:r>
        <w:rPr>
          <w:color w:val="000000"/>
          <w:sz w:val="23"/>
          <w:szCs w:val="23"/>
        </w:rPr>
        <w:t>means a service provider (other than the service provider to whom the access determination applies) who provides pipeline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subject of the access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respect of which the access determination was made.</w:t>
      </w:r>
    </w:p>
    <w:p>
      <w:pPr>
        <w:pStyle w:val="Heading5"/>
      </w:pPr>
      <w:bookmarkStart w:id="641" w:name="_Toc536782219"/>
      <w:r>
        <w:rPr>
          <w:rStyle w:val="CharSectno"/>
        </w:rPr>
        <w:t>216</w:t>
      </w:r>
      <w:r>
        <w:t>.</w:t>
      </w:r>
      <w:r>
        <w:tab/>
        <w:t>Regulations about the costs to be paid by parties to access dispute</w:t>
      </w:r>
      <w:bookmarkEnd w:id="641"/>
    </w:p>
    <w:p>
      <w:pPr>
        <w:keepNext/>
        <w:keepLines/>
        <w:autoSpaceDE w:val="0"/>
        <w:autoSpaceDN w:val="0"/>
        <w:adjustRightInd w:val="0"/>
        <w:spacing w:before="120"/>
        <w:ind w:left="1588"/>
        <w:rPr>
          <w:color w:val="000000"/>
          <w:sz w:val="23"/>
          <w:szCs w:val="23"/>
        </w:rPr>
      </w:pPr>
      <w:r>
        <w:rPr>
          <w:color w:val="000000"/>
          <w:sz w:val="23"/>
          <w:szCs w:val="23"/>
        </w:rPr>
        <w:t>The Regulations may provide for the dispute resolution body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charge the parties to an access dispute for its costs in the access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apportion those costs between the parties.</w:t>
      </w:r>
    </w:p>
    <w:p>
      <w:pPr>
        <w:pStyle w:val="Heading2"/>
      </w:pPr>
      <w:bookmarkStart w:id="642" w:name="_Toc536782220"/>
      <w:bookmarkStart w:id="643" w:name="_Toc501634129"/>
      <w:bookmarkStart w:id="644" w:name="_Toc501713025"/>
      <w:r>
        <w:rPr>
          <w:rStyle w:val="CharPartNo"/>
        </w:rPr>
        <w:t>Chapter 6A</w:t>
      </w:r>
      <w:r>
        <w:t>—</w:t>
      </w:r>
      <w:r>
        <w:rPr>
          <w:rStyle w:val="CharPartText"/>
        </w:rPr>
        <w:t>Access disputes—non-scheme pipelines</w:t>
      </w:r>
      <w:bookmarkEnd w:id="642"/>
    </w:p>
    <w:p>
      <w:pPr>
        <w:pStyle w:val="Footnoteheading"/>
      </w:pPr>
      <w:r>
        <w:tab/>
        <w:t>[Heading inserted: see SA Act No. 23 of 2017 s. 6 and WA Gazette 22 Dec 2017 p. 5984.]</w:t>
      </w:r>
    </w:p>
    <w:p>
      <w:pPr>
        <w:pStyle w:val="Heading3"/>
      </w:pPr>
      <w:bookmarkStart w:id="645" w:name="_Toc536782221"/>
      <w:r>
        <w:rPr>
          <w:rStyle w:val="CharDivNo"/>
        </w:rPr>
        <w:t>Part 1</w:t>
      </w:r>
      <w:r>
        <w:t>—</w:t>
      </w:r>
      <w:r>
        <w:rPr>
          <w:rStyle w:val="CharDivText"/>
        </w:rPr>
        <w:t>Interpretation and application</w:t>
      </w:r>
      <w:bookmarkEnd w:id="645"/>
    </w:p>
    <w:p>
      <w:pPr>
        <w:pStyle w:val="Footnoteheading"/>
      </w:pPr>
      <w:r>
        <w:tab/>
        <w:t>[Heading inserted: see SA Act No. 23 of 2017 s. 6 and WA Gazette 22 Dec 2017 p. 5984.]</w:t>
      </w:r>
    </w:p>
    <w:p>
      <w:pPr>
        <w:pStyle w:val="Heading5"/>
      </w:pPr>
      <w:bookmarkStart w:id="646" w:name="_Toc536782222"/>
      <w:r>
        <w:rPr>
          <w:rStyle w:val="CharSectno"/>
        </w:rPr>
        <w:t>216A</w:t>
      </w:r>
      <w:r>
        <w:t>.</w:t>
      </w:r>
      <w:r>
        <w:tab/>
        <w:t>Definitions</w:t>
      </w:r>
      <w:bookmarkEnd w:id="64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In this Chapter—</w:t>
      </w:r>
    </w:p>
    <w:p>
      <w:pPr>
        <w:keepLines/>
        <w:autoSpaceDE w:val="0"/>
        <w:autoSpaceDN w:val="0"/>
        <w:adjustRightInd w:val="0"/>
        <w:spacing w:before="120"/>
        <w:ind w:left="1588"/>
        <w:rPr>
          <w:color w:val="000000"/>
          <w:sz w:val="23"/>
          <w:szCs w:val="23"/>
        </w:rPr>
      </w:pPr>
      <w:r>
        <w:rPr>
          <w:rStyle w:val="CharDefText"/>
        </w:rPr>
        <w:t>access determinatio</w:t>
      </w:r>
      <w:r>
        <w:rPr>
          <w:b/>
          <w:bCs/>
          <w:i/>
          <w:iCs/>
          <w:color w:val="000000"/>
          <w:sz w:val="23"/>
          <w:szCs w:val="23"/>
        </w:rPr>
        <w:t>n</w:t>
      </w:r>
      <w:r>
        <w:rPr>
          <w:color w:val="000000"/>
          <w:sz w:val="23"/>
          <w:szCs w:val="23"/>
        </w:rPr>
        <w:t xml:space="preserve"> means a determination of an arbitrator under </w:t>
      </w:r>
      <w:hyperlink w:anchor="idba65a7ed_fd82_4b20_88b9_904b318ba9" w:history="1">
        <w:r>
          <w:rPr>
            <w:color w:val="000000"/>
            <w:sz w:val="23"/>
            <w:szCs w:val="23"/>
          </w:rPr>
          <w:t>Part 3</w:t>
        </w:r>
      </w:hyperlink>
      <w:r>
        <w:rPr>
          <w:color w:val="000000"/>
          <w:sz w:val="23"/>
          <w:szCs w:val="23"/>
        </w:rPr>
        <w:t xml:space="preserve"> and includes a variation under </w:t>
      </w:r>
      <w:hyperlink w:anchor="id9d474823_dac0_4d5a_80a9_511a82a3dd" w:history="1">
        <w:r>
          <w:rPr>
            <w:color w:val="000000"/>
            <w:sz w:val="23"/>
            <w:szCs w:val="23"/>
          </w:rPr>
          <w:t>Part 5</w:t>
        </w:r>
      </w:hyperlink>
      <w:r>
        <w:rPr>
          <w:color w:val="000000"/>
          <w:sz w:val="23"/>
          <w:szCs w:val="23"/>
        </w:rPr>
        <w:t>;</w:t>
      </w:r>
    </w:p>
    <w:p>
      <w:pPr>
        <w:keepLines/>
        <w:autoSpaceDE w:val="0"/>
        <w:autoSpaceDN w:val="0"/>
        <w:adjustRightInd w:val="0"/>
        <w:spacing w:before="120"/>
        <w:ind w:left="1588"/>
        <w:rPr>
          <w:color w:val="000000"/>
          <w:sz w:val="23"/>
          <w:szCs w:val="23"/>
        </w:rPr>
      </w:pPr>
      <w:r>
        <w:rPr>
          <w:rStyle w:val="CharDefText"/>
        </w:rPr>
        <w:t xml:space="preserve">access dispute </w:t>
      </w:r>
      <w:r>
        <w:rPr>
          <w:color w:val="000000"/>
          <w:sz w:val="23"/>
          <w:szCs w:val="23"/>
        </w:rPr>
        <w:t>means a dispute between a user or prospective user and a service provider about 1 or more aspects of access to a pipeline service provided by means of a non</w:t>
      </w:r>
      <w:r>
        <w:rPr>
          <w:color w:val="000000"/>
          <w:sz w:val="23"/>
          <w:szCs w:val="23"/>
        </w:rPr>
        <w:noBreakHyphen/>
        <w:t xml:space="preserve">scheme pipeline (subject to the operation of </w:t>
      </w:r>
      <w:hyperlink w:anchor="idca11615c_5180_4211_b24e_974f7b7973" w:history="1">
        <w:r>
          <w:rPr>
            <w:color w:val="000000"/>
            <w:sz w:val="23"/>
            <w:szCs w:val="23"/>
          </w:rPr>
          <w:t>section 216C(2)</w:t>
        </w:r>
      </w:hyperlink>
      <w:r>
        <w:rPr>
          <w:color w:val="000000"/>
          <w:sz w:val="23"/>
          <w:szCs w:val="23"/>
        </w:rPr>
        <w:t>);</w:t>
      </w:r>
    </w:p>
    <w:p>
      <w:pPr>
        <w:keepLines/>
        <w:autoSpaceDE w:val="0"/>
        <w:autoSpaceDN w:val="0"/>
        <w:adjustRightInd w:val="0"/>
        <w:spacing w:before="120"/>
        <w:ind w:left="1588"/>
        <w:rPr>
          <w:color w:val="000000"/>
          <w:sz w:val="23"/>
          <w:szCs w:val="23"/>
        </w:rPr>
      </w:pPr>
      <w:r>
        <w:rPr>
          <w:rStyle w:val="CharDefText"/>
        </w:rPr>
        <w:t>dispute hearing</w:t>
      </w:r>
      <w:r>
        <w:rPr>
          <w:color w:val="000000"/>
          <w:sz w:val="23"/>
          <w:szCs w:val="23"/>
        </w:rPr>
        <w:t xml:space="preserve"> means a hearing conducted by an arbitrator under this Chapter for the purpose of making an access determination;</w:t>
      </w:r>
    </w:p>
    <w:p>
      <w:pPr>
        <w:keepLines/>
        <w:autoSpaceDE w:val="0"/>
        <w:autoSpaceDN w:val="0"/>
        <w:adjustRightInd w:val="0"/>
        <w:spacing w:before="120"/>
        <w:ind w:left="1588"/>
        <w:rPr>
          <w:color w:val="000000"/>
          <w:sz w:val="23"/>
          <w:szCs w:val="23"/>
        </w:rPr>
      </w:pPr>
      <w:r>
        <w:rPr>
          <w:rStyle w:val="CharDefText"/>
        </w:rPr>
        <w:t>distribution pipeline</w:t>
      </w:r>
      <w:r>
        <w:rPr>
          <w:color w:val="000000"/>
          <w:sz w:val="23"/>
          <w:szCs w:val="23"/>
        </w:rPr>
        <w:t xml:space="preserve"> means a pipeline that is classified in accordance with this Law or the Rules as a distribution pipeline and includes any extension to, or expansion of the capacity of, such a pipeline that, by operation of an access arrangement or access determination, is to be treated as part of the pipeline;</w:t>
      </w:r>
    </w:p>
    <w:p>
      <w:pPr>
        <w:keepLines/>
        <w:autoSpaceDE w:val="0"/>
        <w:autoSpaceDN w:val="0"/>
        <w:adjustRightInd w:val="0"/>
        <w:spacing w:before="120"/>
        <w:ind w:left="1588"/>
        <w:rPr>
          <w:color w:val="000000"/>
          <w:sz w:val="23"/>
          <w:szCs w:val="23"/>
        </w:rPr>
      </w:pPr>
      <w:r>
        <w:rPr>
          <w:rStyle w:val="CharDefText"/>
        </w:rPr>
        <w:t>non</w:t>
      </w:r>
      <w:r>
        <w:rPr>
          <w:rStyle w:val="CharDefText"/>
        </w:rPr>
        <w:noBreakHyphen/>
        <w:t>scheme pipeline</w:t>
      </w:r>
      <w:r>
        <w:rPr>
          <w:color w:val="000000"/>
          <w:sz w:val="23"/>
          <w:szCs w:val="23"/>
        </w:rPr>
        <w:t xml:space="preserve"> means a pipeline to which this Chapter applies by operation of </w:t>
      </w:r>
      <w:hyperlink w:anchor="idb185bbdd_eb39_4556_8fab_e211a16ce7" w:history="1">
        <w:r>
          <w:rPr>
            <w:color w:val="000000"/>
            <w:sz w:val="23"/>
            <w:szCs w:val="23"/>
          </w:rPr>
          <w:t>section 216C</w:t>
        </w:r>
      </w:hyperlink>
      <w:r>
        <w:rPr>
          <w:color w:val="000000"/>
          <w:sz w:val="23"/>
          <w:szCs w:val="23"/>
        </w:rPr>
        <w:t>;</w:t>
      </w:r>
    </w:p>
    <w:p>
      <w:pPr>
        <w:keepLines/>
        <w:autoSpaceDE w:val="0"/>
        <w:autoSpaceDN w:val="0"/>
        <w:adjustRightInd w:val="0"/>
        <w:spacing w:before="120"/>
        <w:ind w:left="1588"/>
        <w:rPr>
          <w:color w:val="000000"/>
          <w:sz w:val="23"/>
          <w:szCs w:val="23"/>
        </w:rPr>
      </w:pPr>
      <w:r>
        <w:rPr>
          <w:rStyle w:val="CharDefText"/>
        </w:rPr>
        <w:t>party</w:t>
      </w:r>
      <w:r>
        <w:rPr>
          <w:color w:val="000000"/>
          <w:sz w:val="23"/>
          <w:szCs w:val="23"/>
        </w:rPr>
        <w:t xml:space="preserve">, in relation to an access dispute, has the meaning given by </w:t>
      </w:r>
      <w:hyperlink w:anchor="id51ae116f_36db_4e33_a54f_3440a6b614" w:history="1">
        <w:r>
          <w:rPr>
            <w:color w:val="000000"/>
            <w:sz w:val="23"/>
            <w:szCs w:val="23"/>
          </w:rPr>
          <w:t>section 216I</w:t>
        </w:r>
      </w:hyperlink>
      <w:r>
        <w:rPr>
          <w:color w:val="000000"/>
          <w:sz w:val="23"/>
          <w:szCs w:val="23"/>
        </w:rPr>
        <w:t>;</w:t>
      </w:r>
    </w:p>
    <w:p>
      <w:pPr>
        <w:keepLines/>
        <w:autoSpaceDE w:val="0"/>
        <w:autoSpaceDN w:val="0"/>
        <w:adjustRightInd w:val="0"/>
        <w:spacing w:before="120"/>
        <w:ind w:left="1588"/>
        <w:rPr>
          <w:color w:val="000000"/>
          <w:sz w:val="23"/>
          <w:szCs w:val="23"/>
        </w:rPr>
      </w:pPr>
      <w:r>
        <w:rPr>
          <w:rStyle w:val="CharDefText"/>
        </w:rPr>
        <w:t xml:space="preserve">prospective user </w:t>
      </w:r>
      <w:r>
        <w:rPr>
          <w:color w:val="000000"/>
          <w:sz w:val="23"/>
          <w:szCs w:val="23"/>
        </w:rPr>
        <w:t xml:space="preserve">has the meaning given by </w:t>
      </w:r>
      <w:hyperlink w:anchor="id31a9f6b6_3b8b_463d_93d6_ecf15c2876" w:history="1">
        <w:r>
          <w:rPr>
            <w:color w:val="000000"/>
            <w:sz w:val="23"/>
            <w:szCs w:val="23"/>
          </w:rPr>
          <w:t>section 216B</w:t>
        </w:r>
      </w:hyperlink>
      <w:r>
        <w:rPr>
          <w:color w:val="000000"/>
          <w:sz w:val="23"/>
          <w:szCs w:val="23"/>
        </w:rPr>
        <w:t>;</w:t>
      </w:r>
    </w:p>
    <w:p>
      <w:pPr>
        <w:keepLines/>
        <w:autoSpaceDE w:val="0"/>
        <w:autoSpaceDN w:val="0"/>
        <w:adjustRightInd w:val="0"/>
        <w:spacing w:before="120"/>
        <w:ind w:left="1588"/>
        <w:rPr>
          <w:color w:val="000000"/>
          <w:sz w:val="23"/>
          <w:szCs w:val="23"/>
        </w:rPr>
      </w:pPr>
      <w:r>
        <w:rPr>
          <w:rStyle w:val="CharDefText"/>
        </w:rPr>
        <w:t>scheme administrator</w:t>
      </w:r>
      <w:r>
        <w:rPr>
          <w:color w:val="000000"/>
          <w:sz w:val="23"/>
          <w:szCs w:val="23"/>
        </w:rPr>
        <w:t xml:space="preserve"> means the AER;</w:t>
      </w:r>
    </w:p>
    <w:p>
      <w:pPr>
        <w:keepLines/>
        <w:autoSpaceDE w:val="0"/>
        <w:autoSpaceDN w:val="0"/>
        <w:adjustRightInd w:val="0"/>
        <w:spacing w:before="120"/>
        <w:ind w:left="1588"/>
        <w:rPr>
          <w:color w:val="000000"/>
          <w:sz w:val="23"/>
          <w:szCs w:val="23"/>
        </w:rPr>
      </w:pPr>
      <w:r>
        <w:rPr>
          <w:rStyle w:val="CharDefText"/>
        </w:rPr>
        <w:t>transmission pipeline</w:t>
      </w:r>
      <w:r>
        <w:rPr>
          <w:color w:val="000000"/>
          <w:sz w:val="23"/>
          <w:szCs w:val="23"/>
        </w:rPr>
        <w:t xml:space="preserve"> means a pipeline that is classified in accordance with this Law or the Rules as a transmission pipeline and includes any extension to, or expansion of the capacity of, such a pipeline that, by operation of an access arrangement or access determination, is to be treated as part of the pipeline;</w:t>
      </w:r>
    </w:p>
    <w:p>
      <w:pPr>
        <w:keepLines/>
        <w:autoSpaceDE w:val="0"/>
        <w:autoSpaceDN w:val="0"/>
        <w:adjustRightInd w:val="0"/>
        <w:spacing w:before="120"/>
        <w:ind w:left="1588"/>
        <w:rPr>
          <w:color w:val="000000"/>
          <w:sz w:val="23"/>
          <w:szCs w:val="23"/>
        </w:rPr>
      </w:pPr>
      <w:r>
        <w:rPr>
          <w:rStyle w:val="CharDefText"/>
        </w:rPr>
        <w:t>user</w:t>
      </w:r>
      <w:r>
        <w:rPr>
          <w:color w:val="000000"/>
          <w:sz w:val="23"/>
          <w:szCs w:val="23"/>
        </w:rPr>
        <w:t xml:space="preserve"> means a person who—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a party to a contract with a service provider under which the service provider provides or intends to provide a pipeline service to that person by means of a non</w:t>
      </w:r>
      <w:r>
        <w:rPr>
          <w:color w:val="000000"/>
          <w:sz w:val="23"/>
          <w:szCs w:val="23"/>
        </w:rPr>
        <w:noBreakHyphen/>
        <w:t>scheme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has a right under an access determination to be provided with a pipeline service by means of a non</w:t>
      </w:r>
      <w:r>
        <w:rPr>
          <w:color w:val="000000"/>
          <w:sz w:val="23"/>
          <w:szCs w:val="23"/>
        </w:rPr>
        <w:noBreakHyphen/>
        <w:t>scheme pipeline.</w:t>
      </w:r>
    </w:p>
    <w:p>
      <w:pPr>
        <w:pStyle w:val="Footnotesection"/>
      </w:pPr>
      <w:r>
        <w:tab/>
        <w:t>[Section 216A inserted: see SA Act No. 23 of 2017 s. 6 and WA Gazette 22 Dec 2017 p. 5984.]</w:t>
      </w:r>
    </w:p>
    <w:p>
      <w:pPr>
        <w:pStyle w:val="Heading5"/>
      </w:pPr>
      <w:bookmarkStart w:id="647" w:name="_Toc536782223"/>
      <w:r>
        <w:rPr>
          <w:rStyle w:val="CharSectno"/>
        </w:rPr>
        <w:t>216B</w:t>
      </w:r>
      <w:r>
        <w:t>.</w:t>
      </w:r>
      <w:r>
        <w:tab/>
        <w:t>Meaning of prospective user</w:t>
      </w:r>
      <w:bookmarkEnd w:id="64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For the purposes of this Chapter, a prospective user is a person who seeks or wishes to be provided with a pipeline service by means of a non</w:t>
      </w:r>
      <w:r>
        <w:rPr>
          <w:color w:val="000000"/>
          <w:sz w:val="23"/>
          <w:szCs w:val="23"/>
        </w:rPr>
        <w:noBreakHyphen/>
        <w:t>scheme pipeline.</w:t>
      </w:r>
    </w:p>
    <w:p>
      <w:pPr>
        <w:keepLines/>
        <w:tabs>
          <w:tab w:val="center" w:pos="1191"/>
          <w:tab w:val="left" w:pos="1588"/>
        </w:tabs>
        <w:autoSpaceDE w:val="0"/>
        <w:autoSpaceDN w:val="0"/>
        <w:adjustRightInd w:val="0"/>
        <w:spacing w:before="120"/>
        <w:ind w:left="1588" w:hanging="794"/>
        <w:rPr>
          <w:color w:val="000000"/>
          <w:sz w:val="23"/>
          <w:szCs w:val="23"/>
        </w:rPr>
      </w:pPr>
      <w:bookmarkStart w:id="648" w:name="id5acd68d1_0864_4e4d_a80e_5f04c21cf9"/>
      <w:r>
        <w:rPr>
          <w:color w:val="000000"/>
          <w:sz w:val="23"/>
          <w:szCs w:val="23"/>
        </w:rPr>
        <w:tab/>
        <w:t>(2)</w:t>
      </w:r>
      <w:r>
        <w:rPr>
          <w:color w:val="000000"/>
          <w:sz w:val="23"/>
          <w:szCs w:val="23"/>
        </w:rPr>
        <w:tab/>
        <w:t>To avoid doubt, a user is also a prospective user for the purposes of this Chapter if the user seeks or wishes to be provided with a pipeline service by means of a non</w:t>
      </w:r>
      <w:r>
        <w:rPr>
          <w:color w:val="000000"/>
          <w:sz w:val="23"/>
          <w:szCs w:val="23"/>
        </w:rPr>
        <w:noBreakHyphen/>
        <w:t>scheme pipeline other than a pipeline service already provided to them under—</w:t>
      </w:r>
      <w:bookmarkEnd w:id="648"/>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contract; or</w:t>
      </w:r>
    </w:p>
    <w:p>
      <w:pPr>
        <w:keepLines/>
        <w:tabs>
          <w:tab w:val="center" w:pos="1985"/>
          <w:tab w:val="left" w:pos="2382"/>
        </w:tabs>
        <w:autoSpaceDE w:val="0"/>
        <w:autoSpaceDN w:val="0"/>
        <w:adjustRightInd w:val="0"/>
        <w:spacing w:before="120"/>
        <w:ind w:left="2382" w:hanging="794"/>
        <w:rPr>
          <w:color w:val="000000"/>
          <w:sz w:val="23"/>
          <w:szCs w:val="23"/>
        </w:rPr>
      </w:pPr>
      <w:bookmarkStart w:id="649" w:name="id4d2e09fa_9ebd_4b6e_a77c_6881a24ff6"/>
      <w:r>
        <w:rPr>
          <w:color w:val="000000"/>
          <w:sz w:val="23"/>
          <w:szCs w:val="23"/>
        </w:rPr>
        <w:tab/>
        <w:t>(b)</w:t>
      </w:r>
      <w:r>
        <w:rPr>
          <w:color w:val="000000"/>
          <w:sz w:val="23"/>
          <w:szCs w:val="23"/>
        </w:rPr>
        <w:tab/>
        <w:t>an access determination.</w:t>
      </w:r>
      <w:bookmarkEnd w:id="64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r>
      <w:hyperlink w:anchor="id4d2e09fa_9ebd_4b6e_a77c_6881a24ff6" w:history="1">
        <w:r>
          <w:rPr>
            <w:color w:val="000000"/>
            <w:sz w:val="23"/>
            <w:szCs w:val="23"/>
          </w:rPr>
          <w:t>Subsection (2)(b)</w:t>
        </w:r>
      </w:hyperlink>
      <w:r>
        <w:rPr>
          <w:color w:val="000000"/>
          <w:sz w:val="23"/>
          <w:szCs w:val="23"/>
        </w:rPr>
        <w:t xml:space="preserve"> does not limit the operation of </w:t>
      </w:r>
      <w:hyperlink w:anchor="id9d474823_dac0_4d5a_80a9_511a82a3dd" w:history="1">
        <w:r>
          <w:rPr>
            <w:color w:val="000000"/>
            <w:sz w:val="23"/>
            <w:szCs w:val="23"/>
          </w:rPr>
          <w:t>Part 5</w:t>
        </w:r>
      </w:hyperlink>
      <w:r>
        <w:rPr>
          <w:color w:val="000000"/>
          <w:sz w:val="23"/>
          <w:szCs w:val="23"/>
        </w:rPr>
        <w:t>.</w:t>
      </w:r>
    </w:p>
    <w:p>
      <w:pPr>
        <w:pStyle w:val="Footnotesection"/>
      </w:pPr>
      <w:r>
        <w:tab/>
        <w:t>[Section 216B inserted: see SA Act No. 23 of 2017 s. 6 and WA Gazette 22 Dec 2017 p. 5984.]</w:t>
      </w:r>
    </w:p>
    <w:p>
      <w:pPr>
        <w:pStyle w:val="Heading5"/>
      </w:pPr>
      <w:bookmarkStart w:id="650" w:name="_Toc536782224"/>
      <w:r>
        <w:rPr>
          <w:rStyle w:val="CharSectno"/>
        </w:rPr>
        <w:t>216C</w:t>
      </w:r>
      <w:r>
        <w:t>.</w:t>
      </w:r>
      <w:r>
        <w:tab/>
        <w:t>Application of Chapter</w:t>
      </w:r>
      <w:bookmarkEnd w:id="65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Subject to </w:t>
      </w:r>
      <w:hyperlink w:anchor="idca11615c_5180_4211_b24e_974f7b7973" w:history="1">
        <w:r>
          <w:rPr>
            <w:color w:val="000000"/>
            <w:sz w:val="23"/>
            <w:szCs w:val="23"/>
          </w:rPr>
          <w:t>subsection (2)</w:t>
        </w:r>
      </w:hyperlink>
      <w:r>
        <w:rPr>
          <w:color w:val="000000"/>
          <w:sz w:val="23"/>
          <w:szCs w:val="23"/>
        </w:rPr>
        <w:t>, this Chapter applies to and in relation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transmission pipeline that is not a scheme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distribution pipeline that is not a scheme pipeline.</w:t>
      </w:r>
    </w:p>
    <w:p>
      <w:pPr>
        <w:keepLines/>
        <w:tabs>
          <w:tab w:val="center" w:pos="1191"/>
          <w:tab w:val="left" w:pos="1588"/>
        </w:tabs>
        <w:autoSpaceDE w:val="0"/>
        <w:autoSpaceDN w:val="0"/>
        <w:adjustRightInd w:val="0"/>
        <w:spacing w:before="120"/>
        <w:ind w:left="1588" w:hanging="794"/>
        <w:rPr>
          <w:color w:val="000000"/>
          <w:sz w:val="23"/>
          <w:szCs w:val="23"/>
        </w:rPr>
      </w:pPr>
      <w:bookmarkStart w:id="651" w:name="idca11615c_5180_4211_b24e_974f7b7973"/>
      <w:r>
        <w:rPr>
          <w:color w:val="000000"/>
          <w:sz w:val="23"/>
          <w:szCs w:val="23"/>
        </w:rPr>
        <w:tab/>
        <w:t>(2)</w:t>
      </w:r>
      <w:r>
        <w:rPr>
          <w:color w:val="000000"/>
          <w:sz w:val="23"/>
          <w:szCs w:val="23"/>
        </w:rPr>
        <w:tab/>
        <w:t>This Chapter does not apply to or in relation to—</w:t>
      </w:r>
      <w:bookmarkEnd w:id="651"/>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or part of a pipeline, excluded from the operation of this Chapter by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pipeline within a class or group of pipelines excluded from the operation of this Chapter by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pipeline service (including in relation to a specific pipeline, or part of a specific pipeline) excluded from the operation of this Chapter by the Rules.</w:t>
      </w:r>
    </w:p>
    <w:p>
      <w:pPr>
        <w:pStyle w:val="Footnotesection"/>
      </w:pPr>
      <w:r>
        <w:tab/>
        <w:t>[Section 216C inserted: see SA Act No. 23 of 2017 s. 6 and WA Gazette 22 Dec 2017 p. 5984.]</w:t>
      </w:r>
    </w:p>
    <w:p>
      <w:pPr>
        <w:pStyle w:val="Heading5"/>
      </w:pPr>
      <w:bookmarkStart w:id="652" w:name="_Toc536782225"/>
      <w:r>
        <w:rPr>
          <w:rStyle w:val="CharSectno"/>
        </w:rPr>
        <w:t>216D</w:t>
      </w:r>
      <w:r>
        <w:t>.</w:t>
      </w:r>
      <w:r>
        <w:tab/>
        <w:t>Application of this Chapter to disputes arising under Rules</w:t>
      </w:r>
      <w:bookmarkEnd w:id="65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The provisions of this Chapter applicable to the determination of an access dispute apply, subject to such modifications as may be prescribed by the Rules, to the determination of any dispute arising under any provision of the Rules specified in the Rules for the purposes of this section.</w:t>
      </w:r>
    </w:p>
    <w:p>
      <w:pPr>
        <w:pStyle w:val="Footnotesection"/>
      </w:pPr>
      <w:r>
        <w:tab/>
        <w:t>[Section 216D inserted: see SA Act No. 23 of 2017 s. 6 and WA Gazette 22 Dec 2017 p. 5984.]</w:t>
      </w:r>
    </w:p>
    <w:p>
      <w:pPr>
        <w:pStyle w:val="Heading5"/>
      </w:pPr>
      <w:bookmarkStart w:id="653" w:name="_Toc536782226"/>
      <w:r>
        <w:rPr>
          <w:rStyle w:val="CharSectno"/>
        </w:rPr>
        <w:t>216E</w:t>
      </w:r>
      <w:r>
        <w:t>.</w:t>
      </w:r>
      <w:r>
        <w:tab/>
        <w:t>Chapter does not limit how disputes about access may be raised or dealt with</w:t>
      </w:r>
      <w:bookmarkEnd w:id="65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This Chapter is not to be taken to limit how a dispute about access to a pipeline service may be raised or dealt with.</w:t>
      </w:r>
    </w:p>
    <w:p>
      <w:pPr>
        <w:pStyle w:val="Footnotesection"/>
      </w:pPr>
      <w:r>
        <w:tab/>
        <w:t>[Section 216E inserted: see SA Act No. 23 of 2017 s. 6 and WA Gazette 22 Dec 2017 p. 5984.]</w:t>
      </w:r>
    </w:p>
    <w:p>
      <w:pPr>
        <w:pStyle w:val="Heading3"/>
      </w:pPr>
      <w:bookmarkStart w:id="654" w:name="_Toc536782227"/>
      <w:r>
        <w:rPr>
          <w:rStyle w:val="CharDivNo"/>
        </w:rPr>
        <w:t>Part 2</w:t>
      </w:r>
      <w:r>
        <w:t>—</w:t>
      </w:r>
      <w:r>
        <w:rPr>
          <w:rStyle w:val="CharDivText"/>
        </w:rPr>
        <w:t>Negotiation of access</w:t>
      </w:r>
      <w:bookmarkEnd w:id="654"/>
    </w:p>
    <w:p>
      <w:pPr>
        <w:pStyle w:val="Footnoteheading"/>
      </w:pPr>
      <w:r>
        <w:tab/>
        <w:t>[Heading inserted: see SA Act No. 23 of 2017 s. 6 and WA Gazette 22 Dec 2017 p. 5984.]</w:t>
      </w:r>
    </w:p>
    <w:p>
      <w:pPr>
        <w:pStyle w:val="Heading5"/>
      </w:pPr>
      <w:bookmarkStart w:id="655" w:name="_Toc536782228"/>
      <w:r>
        <w:rPr>
          <w:rStyle w:val="CharSectno"/>
        </w:rPr>
        <w:t>216F</w:t>
      </w:r>
      <w:r>
        <w:t>.</w:t>
      </w:r>
      <w:r>
        <w:tab/>
        <w:t>Access proposals</w:t>
      </w:r>
      <w:bookmarkEnd w:id="65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The Rules may contain provisions for or with respect to seeking access to a pipeline service provided or to be provided by means of a non</w:t>
      </w:r>
      <w:r>
        <w:rPr>
          <w:color w:val="000000"/>
          <w:sz w:val="23"/>
          <w:szCs w:val="23"/>
        </w:rPr>
        <w:noBreakHyphen/>
        <w:t>scheme pipeline (or by part of a non</w:t>
      </w:r>
      <w:r>
        <w:rPr>
          <w:color w:val="000000"/>
          <w:sz w:val="23"/>
          <w:szCs w:val="23"/>
        </w:rPr>
        <w:noBreakHyphen/>
        <w:t>scheme pipeline or by an extension to, or expansion of the capacity of, a non</w:t>
      </w:r>
      <w:r>
        <w:rPr>
          <w:color w:val="000000"/>
          <w:sz w:val="23"/>
          <w:szCs w:val="23"/>
        </w:rPr>
        <w:noBreakHyphen/>
        <w:t>scheme pipeline).</w:t>
      </w:r>
    </w:p>
    <w:p>
      <w:pPr>
        <w:pStyle w:val="Footnotesection"/>
      </w:pPr>
      <w:r>
        <w:tab/>
        <w:t>[Section 216F inserted: see SA Act No. 23 of 2017 s. 6 and WA Gazette 22 Dec 2017 p. 5984.]</w:t>
      </w:r>
    </w:p>
    <w:p>
      <w:pPr>
        <w:pStyle w:val="Heading5"/>
      </w:pPr>
      <w:bookmarkStart w:id="656" w:name="_Toc536782229"/>
      <w:r>
        <w:rPr>
          <w:rStyle w:val="CharSectno"/>
        </w:rPr>
        <w:t>216G</w:t>
      </w:r>
      <w:r>
        <w:t>.</w:t>
      </w:r>
      <w:r>
        <w:tab/>
        <w:t>Duty to negotiate in good faith</w:t>
      </w:r>
      <w:bookmarkEnd w:id="65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A prospective user or user seeking access to a pipeline service provided or to be provided by means of a non</w:t>
      </w:r>
      <w:r>
        <w:rPr>
          <w:color w:val="000000"/>
          <w:sz w:val="23"/>
          <w:szCs w:val="23"/>
        </w:rPr>
        <w:noBreakHyphen/>
        <w:t>scheme pipeline (or by part of a non</w:t>
      </w:r>
      <w:r>
        <w:rPr>
          <w:color w:val="000000"/>
          <w:sz w:val="23"/>
          <w:szCs w:val="23"/>
        </w:rPr>
        <w:noBreakHyphen/>
        <w:t>scheme pipeline or by an extension to, or expansion of the capacity of, a non</w:t>
      </w:r>
      <w:r>
        <w:rPr>
          <w:color w:val="000000"/>
          <w:sz w:val="23"/>
          <w:szCs w:val="23"/>
        </w:rPr>
        <w:noBreakHyphen/>
        <w:t>scheme pipeline), and the service provider for the relevant non</w:t>
      </w:r>
      <w:r>
        <w:rPr>
          <w:color w:val="000000"/>
          <w:sz w:val="23"/>
          <w:szCs w:val="23"/>
        </w:rPr>
        <w:noBreakHyphen/>
        <w:t>scheme pipeline, must negotiate in good faith with each other about whether access can be granted and, if so, the terms and conditions for the provision of access to the prospective user or user (as the case requires).</w:t>
      </w:r>
    </w:p>
    <w:p>
      <w:pPr>
        <w:pStyle w:val="Footnotesection"/>
      </w:pPr>
      <w:r>
        <w:tab/>
        <w:t>[Section 216G inserted: see SA Act No. 23 of 2017 s. 6 and WA Gazette 22 Dec 2017 p. 5984.]</w:t>
      </w:r>
    </w:p>
    <w:p>
      <w:pPr>
        <w:pStyle w:val="Heading5"/>
      </w:pPr>
      <w:bookmarkStart w:id="657" w:name="_Toc536782230"/>
      <w:r>
        <w:rPr>
          <w:rStyle w:val="CharSectno"/>
        </w:rPr>
        <w:t>216H</w:t>
      </w:r>
      <w:r>
        <w:t>.</w:t>
      </w:r>
      <w:r>
        <w:tab/>
        <w:t>Notification of access dispute</w:t>
      </w:r>
      <w:bookmarkEnd w:id="657"/>
    </w:p>
    <w:p>
      <w:pPr>
        <w:tabs>
          <w:tab w:val="center" w:pos="1191"/>
          <w:tab w:val="left" w:pos="1588"/>
        </w:tabs>
        <w:autoSpaceDE w:val="0"/>
        <w:autoSpaceDN w:val="0"/>
        <w:adjustRightInd w:val="0"/>
        <w:spacing w:before="120"/>
        <w:ind w:left="1588" w:hanging="794"/>
        <w:rPr>
          <w:color w:val="000000"/>
          <w:sz w:val="23"/>
          <w:szCs w:val="23"/>
        </w:rPr>
      </w:pPr>
      <w:bookmarkStart w:id="658" w:name="id1252043a_7393_493f_a585_47e04b32aa"/>
      <w:r>
        <w:rPr>
          <w:color w:val="000000"/>
          <w:sz w:val="23"/>
          <w:szCs w:val="23"/>
        </w:rPr>
        <w:tab/>
        <w:t>(1)</w:t>
      </w:r>
      <w:r>
        <w:rPr>
          <w:color w:val="000000"/>
          <w:sz w:val="23"/>
          <w:szCs w:val="23"/>
        </w:rPr>
        <w:tab/>
        <w:t>Subject to this section, if a prospective user or user (as the case requires) and a service provider cannot agree about 1 or more aspects of access to a pipeline service after a request has been made in accordance with the Rules, the prospective user or user, or the service provider, may notify the scheme administrator, in writing, that an access dispute exists.</w:t>
      </w:r>
      <w:bookmarkEnd w:id="658"/>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notification must include, in accordance with the Rules, information about—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matters (if any) on which agreement has been reached;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matters that are in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matter specified by the Rules.</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notification must be accompanied by the fee set by the Rules (if any).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notification cannot be made under this section if the access dispute relates to a matter excluded from arbitration under this Chapter by the Rules.</w:t>
      </w:r>
    </w:p>
    <w:p>
      <w:pPr>
        <w:pStyle w:val="Footnotesection"/>
      </w:pPr>
      <w:r>
        <w:tab/>
        <w:t>[Section 216H inserted: see SA Act No. 23 of 2017 s. 6 and WA Gazette 22 Dec 2017 p. 5984.]</w:t>
      </w:r>
    </w:p>
    <w:p>
      <w:pPr>
        <w:pStyle w:val="Heading5"/>
      </w:pPr>
      <w:bookmarkStart w:id="659" w:name="_Toc536782231"/>
      <w:r>
        <w:rPr>
          <w:rStyle w:val="CharSectno"/>
        </w:rPr>
        <w:t>216I</w:t>
      </w:r>
      <w:r>
        <w:t>.</w:t>
      </w:r>
      <w:r>
        <w:tab/>
        <w:t>Parties to an access dispute</w:t>
      </w:r>
      <w:bookmarkEnd w:id="65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The parties to an access dispute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the parties to the negotiations that gave rise to the access dispute under </w:t>
      </w:r>
      <w:hyperlink w:anchor="id1252043a_7393_493f_a585_47e04b32aa" w:history="1">
        <w:r>
          <w:rPr>
            <w:color w:val="000000"/>
            <w:sz w:val="23"/>
            <w:szCs w:val="23"/>
          </w:rPr>
          <w:t>section 216H(1)</w:t>
        </w:r>
      </w:hyperlink>
      <w:r>
        <w:rPr>
          <w:color w:val="000000"/>
          <w:sz w:val="23"/>
          <w:szCs w:val="23"/>
        </w:rPr>
        <w: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scheme administrator is of the opinion that the resolution of the access dispute may involve requiring another person to do something and that it is appropriate that the person be joined as a party—that other person.</w:t>
      </w:r>
    </w:p>
    <w:p>
      <w:pPr>
        <w:pStyle w:val="Footnotesection"/>
      </w:pPr>
      <w:r>
        <w:tab/>
        <w:t>[Section 216I inserted: see SA Act No. 23 of 2017 s. 6 and WA Gazette 22 Dec 2017 p. 5984.]</w:t>
      </w:r>
    </w:p>
    <w:p>
      <w:pPr>
        <w:pStyle w:val="Heading3"/>
      </w:pPr>
      <w:bookmarkStart w:id="660" w:name="_Toc536782232"/>
      <w:r>
        <w:rPr>
          <w:rStyle w:val="CharDivNo"/>
        </w:rPr>
        <w:t>Part 3</w:t>
      </w:r>
      <w:r>
        <w:t>—</w:t>
      </w:r>
      <w:r>
        <w:rPr>
          <w:rStyle w:val="CharDivText"/>
        </w:rPr>
        <w:t>Reference of dispute to arbitration</w:t>
      </w:r>
      <w:bookmarkEnd w:id="660"/>
    </w:p>
    <w:p>
      <w:pPr>
        <w:pStyle w:val="Footnoteheading"/>
        <w:keepNext/>
      </w:pPr>
      <w:r>
        <w:tab/>
        <w:t>[Heading inserted: see SA Act No. 23 of 2017 s. 6 and WA Gazette 22 Dec 2017 p. 5984.]</w:t>
      </w:r>
    </w:p>
    <w:p>
      <w:pPr>
        <w:pStyle w:val="Heading5"/>
      </w:pPr>
      <w:bookmarkStart w:id="661" w:name="_Toc536782233"/>
      <w:r>
        <w:rPr>
          <w:rStyle w:val="CharSectno"/>
        </w:rPr>
        <w:t>216J</w:t>
      </w:r>
      <w:r>
        <w:t>.</w:t>
      </w:r>
      <w:r>
        <w:tab/>
        <w:t>Reference of dispute</w:t>
      </w:r>
      <w:bookmarkEnd w:id="66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If the scheme administrator receives notification of an access dispute under </w:t>
      </w:r>
      <w:hyperlink w:anchor="idf13f2df7_6ecf_44a6_a1e2_a97c983d6e" w:history="1">
        <w:r>
          <w:rPr>
            <w:color w:val="000000"/>
            <w:sz w:val="23"/>
            <w:szCs w:val="23"/>
          </w:rPr>
          <w:t>Part 2</w:t>
        </w:r>
      </w:hyperlink>
      <w:r>
        <w:rPr>
          <w:color w:val="000000"/>
          <w:sz w:val="23"/>
          <w:szCs w:val="23"/>
        </w:rPr>
        <w:t>, the dispute must be referred to arbitration.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scheme administrator must give notice of the referral of an access dispute to arbitration to the parties to the negotiations that gave rise to the access dispute and, if relevant, to any other person who will be a party to the access dispute.</w:t>
      </w:r>
    </w:p>
    <w:p>
      <w:pPr>
        <w:pStyle w:val="Footnotesection"/>
      </w:pPr>
      <w:r>
        <w:tab/>
        <w:t>[Section 216J inserted: see SA Act No. 23 of 2017 s. 6 and WA Gazette 22 Dec 2017 p. 5984.]</w:t>
      </w:r>
    </w:p>
    <w:p>
      <w:pPr>
        <w:pStyle w:val="Heading5"/>
      </w:pPr>
      <w:bookmarkStart w:id="662" w:name="_Toc536782234"/>
      <w:r>
        <w:rPr>
          <w:rStyle w:val="CharSectno"/>
        </w:rPr>
        <w:t>216K</w:t>
      </w:r>
      <w:r>
        <w:t>.</w:t>
      </w:r>
      <w:r>
        <w:tab/>
        <w:t>Selection of arbitrator</w:t>
      </w:r>
      <w:bookmarkEnd w:id="66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parties to an access dispute may agree to appoint, in accordance with the Rules, the arbitrator for the purposes of an access dispute that is to be referred to arbitration under this Part.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parties do not agree to the appointment of an arbitrator within a period specified by the Rules, the arbitrator will be a person selected by the scheme administrator after consultation with the parties to the access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arbitrator must be a person who—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independent of the parties to the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properly qualified to act in the resolution of the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has no direct or indirect interest in the outcome of the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for some reason an arbitrator does not complete an arbitration, the parties may agree, in accordance with the Rules, to make a fresh appointment and, in default of agreement within a period specified by the Rules, the scheme administrator may, after consultation with the parties, make the appointment.</w:t>
      </w:r>
    </w:p>
    <w:p>
      <w:pPr>
        <w:pStyle w:val="Footnotesection"/>
      </w:pPr>
      <w:r>
        <w:tab/>
        <w:t>[Section 216K inserted: see SA Act No. 23 of 2017 s. 6 and WA Gazette 22 Dec 2017 p. 5984.]</w:t>
      </w:r>
    </w:p>
    <w:p>
      <w:pPr>
        <w:pStyle w:val="Heading5"/>
      </w:pPr>
      <w:bookmarkStart w:id="663" w:name="_Toc536782235"/>
      <w:r>
        <w:rPr>
          <w:rStyle w:val="CharSectno"/>
        </w:rPr>
        <w:t>216L</w:t>
      </w:r>
      <w:r>
        <w:t>.</w:t>
      </w:r>
      <w:r>
        <w:tab/>
        <w:t>Determination of access dispute</w:t>
      </w:r>
      <w:bookmarkEnd w:id="66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Unless an arbitration is terminated under another provision of this Chapter, the arbitrator must make a determination on access by the prospective user or user (as the case requires) (including a determination that does not require a service provider to provide access to any pipeline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determination may deal with any matter relating to access by the prospective user or user to the pipeline services specified by the Rules for the purposes of this subsection (and the arbitrator must not make a determination that is inconsistent with the Rules or goes beyond the matters specified by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Rules may also, in connection with the making of an access determination, contain provisions for or with respect to such things as—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form of any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content of any determination, including as to the giving of reasons;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time within which a determination must be made;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process for making a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when a determination takes effect;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giving of notice of the making of a determination.</w:t>
      </w:r>
    </w:p>
    <w:p>
      <w:pPr>
        <w:pStyle w:val="Footnotesection"/>
      </w:pPr>
      <w:r>
        <w:tab/>
        <w:t>[Section 216L inserted: see SA Act No. 23 of 2017 s. 6 and WA Gazette 22 Dec 2017 p. 5984.]</w:t>
      </w:r>
    </w:p>
    <w:p>
      <w:pPr>
        <w:pStyle w:val="Heading5"/>
      </w:pPr>
      <w:bookmarkStart w:id="664" w:name="_Toc536782236"/>
      <w:r>
        <w:rPr>
          <w:rStyle w:val="CharSectno"/>
        </w:rPr>
        <w:t>216M</w:t>
      </w:r>
      <w:r>
        <w:t>.</w:t>
      </w:r>
      <w:r>
        <w:tab/>
        <w:t>Principles to be taken into account</w:t>
      </w:r>
      <w:bookmarkEnd w:id="66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The arbitrator must, when making a determination on access, take into account any pricing or other principle specified in the Rules.</w:t>
      </w:r>
    </w:p>
    <w:p>
      <w:pPr>
        <w:pStyle w:val="Footnotesection"/>
      </w:pPr>
      <w:r>
        <w:tab/>
        <w:t>[Section 216M inserted: see SA Act No. 23 of 2017 s. 6 and WA Gazette 22 Dec 2017 p. 5984.]</w:t>
      </w:r>
    </w:p>
    <w:p>
      <w:pPr>
        <w:pStyle w:val="Heading5"/>
      </w:pPr>
      <w:bookmarkStart w:id="665" w:name="_Toc536782237"/>
      <w:r>
        <w:rPr>
          <w:rStyle w:val="CharSectno"/>
        </w:rPr>
        <w:t>216N</w:t>
      </w:r>
      <w:r>
        <w:t>.</w:t>
      </w:r>
      <w:r>
        <w:tab/>
        <w:t>Restrictions on access determinations</w:t>
      </w:r>
      <w:bookmarkEnd w:id="66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arbitrator must not make an access determination that would have any of the following effects: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preventing a user obtaining a sufficient amount of a pipeline service under a contract or previous access determination to be able to meet the user's reasonably anticipated requirements, measured at the time that the access dispute was notified;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preventing a prospective user or user from obtaining, by the exercise of a pre</w:t>
      </w:r>
      <w:r>
        <w:rPr>
          <w:color w:val="000000"/>
          <w:sz w:val="23"/>
          <w:szCs w:val="23"/>
        </w:rPr>
        <w:noBreakHyphen/>
        <w:t>notification right, a sufficient amount of a pipeline service to be able to meet the prospective user's or user's actual requirements;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depriving a person of a relevant protected contractual right.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iCs/>
          <w:sz w:val="23"/>
        </w:rPr>
        <w:t>pre-notification right</w:t>
      </w:r>
      <w:r>
        <w:rPr>
          <w:color w:val="000000"/>
          <w:sz w:val="23"/>
          <w:szCs w:val="23"/>
        </w:rPr>
        <w:t xml:space="preserve"> means a right under a contract, or under an access determination, that was in force at the time when the access dispute was notified under </w:t>
      </w:r>
      <w:hyperlink w:anchor="id23b988d0_d14f_4868_8c32_fd1cf0f40c" w:history="1">
        <w:r>
          <w:rPr>
            <w:color w:val="000000"/>
            <w:sz w:val="23"/>
            <w:szCs w:val="23"/>
          </w:rPr>
          <w:t>section 216H</w:t>
        </w:r>
      </w:hyperlink>
      <w:r>
        <w:rPr>
          <w:color w:val="000000"/>
          <w:sz w:val="23"/>
          <w:szCs w:val="23"/>
        </w:rPr>
        <w:t>;</w:t>
      </w:r>
    </w:p>
    <w:p>
      <w:pPr>
        <w:keepLines/>
        <w:autoSpaceDE w:val="0"/>
        <w:autoSpaceDN w:val="0"/>
        <w:adjustRightInd w:val="0"/>
        <w:spacing w:before="120"/>
        <w:ind w:left="1588"/>
        <w:rPr>
          <w:color w:val="000000"/>
          <w:sz w:val="23"/>
          <w:szCs w:val="23"/>
        </w:rPr>
      </w:pPr>
      <w:r>
        <w:rPr>
          <w:rStyle w:val="CharDefText"/>
          <w:bCs/>
          <w:iCs/>
          <w:sz w:val="23"/>
        </w:rPr>
        <w:t>relevant exclusivity right</w:t>
      </w:r>
      <w:r>
        <w:rPr>
          <w:color w:val="000000"/>
          <w:sz w:val="23"/>
          <w:szCs w:val="23"/>
        </w:rPr>
        <w:t xml:space="preserve"> means an express contractual right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prevents a service provider supplying pipeline services to persons who are not parties to the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limits or controls a service provider's ability to supply pipeline services to persons who are not parties to the contract,</w:t>
      </w:r>
    </w:p>
    <w:p>
      <w:pPr>
        <w:keepLines/>
        <w:autoSpaceDE w:val="0"/>
        <w:autoSpaceDN w:val="0"/>
        <w:adjustRightInd w:val="0"/>
        <w:spacing w:before="120"/>
        <w:ind w:left="1588"/>
        <w:rPr>
          <w:color w:val="000000"/>
          <w:sz w:val="23"/>
          <w:szCs w:val="23"/>
        </w:rPr>
      </w:pPr>
      <w:r>
        <w:rPr>
          <w:color w:val="000000"/>
          <w:sz w:val="23"/>
          <w:szCs w:val="23"/>
        </w:rPr>
        <w:t>but does not include a user's contractual right to obtain a certain amount of pipeline services;</w:t>
      </w:r>
    </w:p>
    <w:p>
      <w:pPr>
        <w:keepLines/>
        <w:autoSpaceDE w:val="0"/>
        <w:autoSpaceDN w:val="0"/>
        <w:adjustRightInd w:val="0"/>
        <w:spacing w:before="120"/>
        <w:ind w:left="1588"/>
        <w:rPr>
          <w:color w:val="000000"/>
          <w:sz w:val="23"/>
          <w:szCs w:val="23"/>
        </w:rPr>
      </w:pPr>
      <w:r>
        <w:rPr>
          <w:rStyle w:val="CharDefText"/>
          <w:bCs/>
          <w:iCs/>
          <w:sz w:val="23"/>
        </w:rPr>
        <w:t xml:space="preserve">relevant protected contractual right </w:t>
      </w:r>
      <w:r>
        <w:rPr>
          <w:color w:val="000000"/>
          <w:sz w:val="23"/>
          <w:szCs w:val="23"/>
        </w:rPr>
        <w:t xml:space="preserve">means a right under a contract (other than a relevant exclusivity right) that was in force immediately before notification of an access dispute under </w:t>
      </w:r>
      <w:hyperlink w:anchor="id23b988d0_d14f_4868_8c32_fd1cf0f40c" w:history="1">
        <w:r>
          <w:rPr>
            <w:color w:val="000000"/>
            <w:sz w:val="23"/>
            <w:szCs w:val="23"/>
          </w:rPr>
          <w:t>section 216H</w:t>
        </w:r>
      </w:hyperlink>
      <w:r>
        <w:rPr>
          <w:color w:val="000000"/>
          <w:sz w:val="23"/>
          <w:szCs w:val="23"/>
        </w:rPr>
        <w:t>.</w:t>
      </w:r>
    </w:p>
    <w:p>
      <w:pPr>
        <w:pStyle w:val="Footnotesection"/>
      </w:pPr>
      <w:r>
        <w:tab/>
        <w:t>[Section 216N inserted: see SA Act No. 23 of 2017 s. 6 and WA Gazette 22 Dec 2017 p. 5984.]</w:t>
      </w:r>
    </w:p>
    <w:p>
      <w:pPr>
        <w:pStyle w:val="Heading5"/>
      </w:pPr>
      <w:bookmarkStart w:id="666" w:name="_Toc536782238"/>
      <w:r>
        <w:rPr>
          <w:rStyle w:val="CharSectno"/>
        </w:rPr>
        <w:t>216O</w:t>
      </w:r>
      <w:r>
        <w:t>.</w:t>
      </w:r>
      <w:r>
        <w:tab/>
        <w:t>Arbitrator's power to terminate arbitration</w:t>
      </w:r>
      <w:bookmarkEnd w:id="66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arbitrator may determine not to proceed with an arbitration (and terminate the proceedings under this Chapter) if the arbitrator considers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notification of the dispute was vexatious;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subject matter of the dispute is trivial, misconceived or lacking in substance;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party who notified the access dispute did not negotiate in good faith;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there is some other good reason why the arbitration should not proceed.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Furthermore, the arbitrator may at any time terminate an arbitration without making an access determination if the arbitrator considers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prospective user or user seeking access is not engaging in the arbitration in good faith;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terms and conditions on which access is to be granted should be governed by an existing contract or determination.</w:t>
      </w:r>
    </w:p>
    <w:p>
      <w:pPr>
        <w:keepLines/>
        <w:tabs>
          <w:tab w:val="center" w:pos="1191"/>
          <w:tab w:val="left" w:pos="1588"/>
        </w:tabs>
        <w:autoSpaceDE w:val="0"/>
        <w:autoSpaceDN w:val="0"/>
        <w:adjustRightInd w:val="0"/>
        <w:spacing w:before="120"/>
        <w:ind w:left="1588" w:hanging="794"/>
        <w:rPr>
          <w:color w:val="000000"/>
          <w:sz w:val="23"/>
          <w:szCs w:val="23"/>
        </w:rPr>
      </w:pPr>
      <w:bookmarkStart w:id="667" w:name="id2e84f1b4_b9d4_4b7b_9037_edad614264"/>
      <w:r>
        <w:rPr>
          <w:color w:val="000000"/>
          <w:sz w:val="23"/>
          <w:szCs w:val="23"/>
        </w:rPr>
        <w:tab/>
        <w:t>(3)</w:t>
      </w:r>
      <w:r>
        <w:rPr>
          <w:color w:val="000000"/>
          <w:sz w:val="23"/>
          <w:szCs w:val="23"/>
        </w:rPr>
        <w:tab/>
        <w:t>The arbitrator may also at any time terminate an arbitration if the arbitrator considers that a specified dispute termination circumstance has occurred.</w:t>
      </w:r>
      <w:bookmarkEnd w:id="66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 xml:space="preserve">In </w:t>
      </w:r>
      <w:hyperlink w:anchor="id2e84f1b4_b9d4_4b7b_9037_edad614264" w:history="1">
        <w:r>
          <w:rPr>
            <w:color w:val="000000"/>
            <w:sz w:val="23"/>
            <w:szCs w:val="23"/>
          </w:rPr>
          <w:t>subsection (3)</w:t>
        </w:r>
      </w:hyperlink>
      <w:r>
        <w:rPr>
          <w:color w:val="000000"/>
          <w:sz w:val="23"/>
          <w:szCs w:val="23"/>
        </w:rPr>
        <w:t xml:space="preserve">, a </w:t>
      </w:r>
      <w:r>
        <w:rPr>
          <w:b/>
          <w:bCs/>
          <w:i/>
          <w:iCs/>
          <w:color w:val="000000"/>
          <w:sz w:val="23"/>
          <w:szCs w:val="23"/>
        </w:rPr>
        <w:t>specified dispute termination circumstance</w:t>
      </w:r>
      <w:r>
        <w:rPr>
          <w:color w:val="000000"/>
          <w:sz w:val="23"/>
          <w:szCs w:val="23"/>
        </w:rPr>
        <w:t xml:space="preserve"> is a circumstance specified by the Rules as being a circumstance, the occurrence of which, entitles the arbitrator to terminate an access dispute without any further step being taken.</w:t>
      </w:r>
    </w:p>
    <w:p>
      <w:pPr>
        <w:pStyle w:val="Footnotesection"/>
      </w:pPr>
      <w:r>
        <w:tab/>
        <w:t>[Section 216O inserted: see SA Act No. 23 of 2017 s. 6 and WA Gazette 22 Dec 2017 p. 5984.]</w:t>
      </w:r>
    </w:p>
    <w:p>
      <w:pPr>
        <w:pStyle w:val="Heading5"/>
      </w:pPr>
      <w:bookmarkStart w:id="668" w:name="_Toc536782239"/>
      <w:r>
        <w:rPr>
          <w:rStyle w:val="CharSectno"/>
        </w:rPr>
        <w:t>216P</w:t>
      </w:r>
      <w:r>
        <w:t>.</w:t>
      </w:r>
      <w:r>
        <w:tab/>
        <w:t>Access seeker's right to terminate arbitration</w:t>
      </w:r>
      <w:bookmarkEnd w:id="66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prospective user or user seeking access to pipelines services under this Chapter may terminate the arbitration before an access determination is made by the arbitrator.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arbitration is terminated under this section by giving notice of termination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arbitrator;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other parties to the arbitration;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scheme administrator.</w:t>
      </w:r>
    </w:p>
    <w:p>
      <w:pPr>
        <w:pStyle w:val="Footnotesection"/>
      </w:pPr>
      <w:r>
        <w:tab/>
        <w:t>[Section 216P inserted: see SA Act No. 23 of 2017 s. 6 and WA Gazette 22 Dec 2017 p. 5984.]</w:t>
      </w:r>
    </w:p>
    <w:p>
      <w:pPr>
        <w:pStyle w:val="Heading3"/>
      </w:pPr>
      <w:bookmarkStart w:id="669" w:name="_Toc536782240"/>
      <w:r>
        <w:rPr>
          <w:rStyle w:val="CharDivNo"/>
        </w:rPr>
        <w:t>Part 4</w:t>
      </w:r>
      <w:r>
        <w:t>—</w:t>
      </w:r>
      <w:r>
        <w:rPr>
          <w:rStyle w:val="CharDivText"/>
        </w:rPr>
        <w:t>Compliance with access determinations</w:t>
      </w:r>
      <w:bookmarkEnd w:id="669"/>
    </w:p>
    <w:p>
      <w:pPr>
        <w:pStyle w:val="Footnoteheading"/>
      </w:pPr>
      <w:r>
        <w:tab/>
        <w:t>[Heading inserted: see SA Act No. 23 of 2017 s. 6 and WA Gazette 22 Dec 2017 p. 5984.]</w:t>
      </w:r>
    </w:p>
    <w:p>
      <w:pPr>
        <w:pStyle w:val="Heading5"/>
      </w:pPr>
      <w:bookmarkStart w:id="670" w:name="_Toc536782241"/>
      <w:r>
        <w:rPr>
          <w:rStyle w:val="CharSectno"/>
        </w:rPr>
        <w:t>216Q</w:t>
      </w:r>
      <w:r>
        <w:t>.</w:t>
      </w:r>
      <w:r>
        <w:tab/>
        <w:t>Compliance with access determinations</w:t>
      </w:r>
      <w:bookmarkEnd w:id="67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Subject to the Rules and to </w:t>
      </w:r>
      <w:hyperlink w:anchor="ida8dd6fe7_9b1d_4302_b895_0e06afdd64" w:history="1">
        <w:r>
          <w:rPr>
            <w:color w:val="000000"/>
            <w:sz w:val="23"/>
            <w:szCs w:val="23"/>
          </w:rPr>
          <w:t>subsection (2)</w:t>
        </w:r>
      </w:hyperlink>
      <w:r>
        <w:rPr>
          <w:color w:val="000000"/>
          <w:sz w:val="23"/>
          <w:szCs w:val="23"/>
        </w:rPr>
        <w:t>, an access determination is enforceable as if it were a contract between the parties to the access determination.</w:t>
      </w:r>
    </w:p>
    <w:p>
      <w:pPr>
        <w:keepLines/>
        <w:tabs>
          <w:tab w:val="center" w:pos="1191"/>
          <w:tab w:val="left" w:pos="1588"/>
        </w:tabs>
        <w:autoSpaceDE w:val="0"/>
        <w:autoSpaceDN w:val="0"/>
        <w:adjustRightInd w:val="0"/>
        <w:spacing w:before="120"/>
        <w:ind w:left="1588" w:hanging="794"/>
        <w:rPr>
          <w:color w:val="000000"/>
          <w:sz w:val="23"/>
          <w:szCs w:val="23"/>
        </w:rPr>
      </w:pPr>
      <w:bookmarkStart w:id="671" w:name="ida8dd6fe7_9b1d_4302_b895_0e06afdd64"/>
      <w:r>
        <w:rPr>
          <w:color w:val="000000"/>
          <w:sz w:val="23"/>
          <w:szCs w:val="23"/>
        </w:rPr>
        <w:tab/>
        <w:t>(2)</w:t>
      </w:r>
      <w:r>
        <w:rPr>
          <w:color w:val="000000"/>
          <w:sz w:val="23"/>
          <w:szCs w:val="23"/>
        </w:rPr>
        <w:tab/>
        <w:t>A prospective user or user of a pipeline service to which an access determination relates is not bound to seek access to the service (but if access is sought or obtained then the prospective user or user (as the case requires) is bound by any relevant provision of the access determination).</w:t>
      </w:r>
      <w:bookmarkEnd w:id="671"/>
    </w:p>
    <w:p>
      <w:pPr>
        <w:pStyle w:val="Footnotesection"/>
      </w:pPr>
      <w:r>
        <w:tab/>
        <w:t>[Section 216Q inserted: see SA Act No. 23 of 2017 s. 6 and WA Gazette 22 Dec 2017 p. 5984.]</w:t>
      </w:r>
    </w:p>
    <w:p>
      <w:pPr>
        <w:pStyle w:val="Heading3"/>
      </w:pPr>
      <w:bookmarkStart w:id="672" w:name="_Toc536782242"/>
      <w:r>
        <w:rPr>
          <w:rStyle w:val="CharDivNo"/>
        </w:rPr>
        <w:t>Part 5</w:t>
      </w:r>
      <w:r>
        <w:t>—</w:t>
      </w:r>
      <w:r>
        <w:rPr>
          <w:rStyle w:val="CharDivText"/>
        </w:rPr>
        <w:t>Variation of access determinations</w:t>
      </w:r>
      <w:bookmarkEnd w:id="672"/>
    </w:p>
    <w:p>
      <w:pPr>
        <w:pStyle w:val="Footnoteheading"/>
      </w:pPr>
      <w:r>
        <w:tab/>
        <w:t>[Heading inserted: see SA Act No. 23 of 2017 s. 6 and WA Gazette 22 Dec 2017 p. 5984.]</w:t>
      </w:r>
    </w:p>
    <w:p>
      <w:pPr>
        <w:pStyle w:val="Heading5"/>
      </w:pPr>
      <w:bookmarkStart w:id="673" w:name="_Toc536782243"/>
      <w:r>
        <w:rPr>
          <w:rStyle w:val="CharSectno"/>
        </w:rPr>
        <w:t>216R</w:t>
      </w:r>
      <w:r>
        <w:t>.</w:t>
      </w:r>
      <w:r>
        <w:tab/>
        <w:t>Variation of access determinations</w:t>
      </w:r>
      <w:bookmarkEnd w:id="67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access determination may be varied by agreement between all parties to the access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Rules may also contain provisions with respect to seeking variations to an access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provisions of this Chapter about the arbitration of an access dispute apply with necessary modifications to a proposal under the Rules to vary an access determination or to a dispute arising out of such a proposal.</w:t>
      </w:r>
    </w:p>
    <w:p>
      <w:pPr>
        <w:pStyle w:val="Footnotesection"/>
      </w:pPr>
      <w:r>
        <w:tab/>
        <w:t>[Section 216R inserted: see SA Act No. 23 of 2017 s. 6 and WA Gazette 22 Dec 2017 p. 5984.]</w:t>
      </w:r>
    </w:p>
    <w:p>
      <w:pPr>
        <w:pStyle w:val="Heading3"/>
      </w:pPr>
      <w:bookmarkStart w:id="674" w:name="_Toc536782244"/>
      <w:r>
        <w:rPr>
          <w:rStyle w:val="CharDivNo"/>
        </w:rPr>
        <w:t>Part 6</w:t>
      </w:r>
      <w:r>
        <w:t>—</w:t>
      </w:r>
      <w:r>
        <w:rPr>
          <w:rStyle w:val="CharDivText"/>
        </w:rPr>
        <w:t>Hearing procedures</w:t>
      </w:r>
      <w:bookmarkEnd w:id="674"/>
    </w:p>
    <w:p>
      <w:pPr>
        <w:pStyle w:val="Footnoteheading"/>
      </w:pPr>
      <w:r>
        <w:tab/>
        <w:t>[Heading inserted: see SA Act No. 23 of 2017 s. 6 and WA Gazette 22 Dec 2017 p. 5984.]</w:t>
      </w:r>
    </w:p>
    <w:p>
      <w:pPr>
        <w:pStyle w:val="Heading5"/>
      </w:pPr>
      <w:bookmarkStart w:id="675" w:name="_Toc536782245"/>
      <w:r>
        <w:rPr>
          <w:rStyle w:val="CharSectno"/>
        </w:rPr>
        <w:t>216S</w:t>
      </w:r>
      <w:r>
        <w:t>.</w:t>
      </w:r>
      <w:r>
        <w:tab/>
        <w:t>Hearing procedures</w:t>
      </w:r>
      <w:bookmarkEnd w:id="67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Chapter 6 Part 6 applies to an arbitration under this Chapter—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as if—</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reference in that Part to a dispute hearing were a reference to a hearing conducted by an arbitrator for the purposes of making an access determination under this Chapter;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reference in that Part to a party or parties were a reference to a party or the parties to an arbitration under this Chapter;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reference in that Part to the dispute resolution body were a reference to an arbitrator under this Chapter;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 reference in that Part to an access dispute were a reference to an access dispute under this Chapter;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subject to the exclusion of sections 206 and 207, and subject to any other exclusion prescribed by the Regulations;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subject to any modifications prescribed by the Regulations;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with such other necessary alterations and modifications.</w:t>
      </w:r>
    </w:p>
    <w:p>
      <w:pPr>
        <w:pStyle w:val="Footnotesection"/>
      </w:pPr>
      <w:r>
        <w:tab/>
        <w:t>[Section 216S inserted: see SA Act No. 23 of 2017 s. 6 and WA Gazette 22 Dec 2017 p. 5984.]</w:t>
      </w:r>
    </w:p>
    <w:p>
      <w:pPr>
        <w:pStyle w:val="Heading3"/>
      </w:pPr>
      <w:bookmarkStart w:id="676" w:name="_Toc536782246"/>
      <w:r>
        <w:rPr>
          <w:rStyle w:val="CharDivNo"/>
        </w:rPr>
        <w:t>Part 7</w:t>
      </w:r>
      <w:r>
        <w:t>—</w:t>
      </w:r>
      <w:r>
        <w:rPr>
          <w:rStyle w:val="CharDivText"/>
        </w:rPr>
        <w:t>Miscellaneous matters</w:t>
      </w:r>
      <w:bookmarkEnd w:id="676"/>
    </w:p>
    <w:p>
      <w:pPr>
        <w:pStyle w:val="Footnoteheading"/>
      </w:pPr>
      <w:r>
        <w:tab/>
        <w:t>[Heading inserted: see SA Act No. 23 of 2017 s. 6 and WA Gazette 22 Dec 2017 p. 5984.]</w:t>
      </w:r>
    </w:p>
    <w:p>
      <w:pPr>
        <w:pStyle w:val="Heading5"/>
      </w:pPr>
      <w:bookmarkStart w:id="677" w:name="_Toc536782247"/>
      <w:r>
        <w:rPr>
          <w:rStyle w:val="CharSectno"/>
        </w:rPr>
        <w:t>216T</w:t>
      </w:r>
      <w:r>
        <w:t>.</w:t>
      </w:r>
      <w:r>
        <w:tab/>
        <w:t>Correction of access determinations for clerical mistakes etc</w:t>
      </w:r>
      <w:bookmarkEnd w:id="67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The Rules may make provision with respect to correcting the following in an access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clerical mistake;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error arising from an accidental slip or omission;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material miscalculation of figures or a material mistake in the description of any person, thing or matter referred to in an access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defect in form.</w:t>
      </w:r>
    </w:p>
    <w:p>
      <w:pPr>
        <w:pStyle w:val="Footnotesection"/>
      </w:pPr>
      <w:r>
        <w:tab/>
        <w:t>[Section 216T inserted: see SA Act No. 23 of 2017 s. 6 and WA Gazette 22 Dec 2017 p. 5984.]</w:t>
      </w:r>
    </w:p>
    <w:p>
      <w:pPr>
        <w:pStyle w:val="Heading5"/>
      </w:pPr>
      <w:bookmarkStart w:id="678" w:name="_Toc536782248"/>
      <w:r>
        <w:rPr>
          <w:rStyle w:val="CharSectno"/>
        </w:rPr>
        <w:t>216U</w:t>
      </w:r>
      <w:r>
        <w:t>.</w:t>
      </w:r>
      <w:r>
        <w:tab/>
        <w:t>Reservation of capacity during an access dispute</w:t>
      </w:r>
      <w:bookmarkEnd w:id="67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A service provider who is in an access dispute with a user must not, without the consent of the user, alter the rights that the user has to use the capacity of the non</w:t>
      </w:r>
      <w:r>
        <w:rPr>
          <w:color w:val="000000"/>
          <w:sz w:val="23"/>
          <w:szCs w:val="23"/>
        </w:rPr>
        <w:noBreakHyphen/>
        <w:t>scheme pipeline during the period of the dispute.</w:t>
      </w:r>
    </w:p>
    <w:p>
      <w:pPr>
        <w:pStyle w:val="Footnotesection"/>
      </w:pPr>
      <w:r>
        <w:tab/>
        <w:t>[Section 216U inserted: see SA Act No. 23 of 2017 s. 6 and WA Gazette 22 Dec 2017 p. 5984.]</w:t>
      </w:r>
    </w:p>
    <w:p>
      <w:pPr>
        <w:pStyle w:val="Heading5"/>
      </w:pPr>
      <w:bookmarkStart w:id="679" w:name="_Toc536782249"/>
      <w:r>
        <w:rPr>
          <w:rStyle w:val="CharSectno"/>
        </w:rPr>
        <w:t>216V</w:t>
      </w:r>
      <w:r>
        <w:t>.</w:t>
      </w:r>
      <w:r>
        <w:tab/>
        <w:t>Costs of arbitration</w:t>
      </w:r>
      <w:bookmarkEnd w:id="679"/>
    </w:p>
    <w:p>
      <w:pPr>
        <w:keepLines/>
        <w:tabs>
          <w:tab w:val="center" w:pos="1191"/>
          <w:tab w:val="left" w:pos="1588"/>
        </w:tabs>
        <w:autoSpaceDE w:val="0"/>
        <w:autoSpaceDN w:val="0"/>
        <w:adjustRightInd w:val="0"/>
        <w:spacing w:before="120"/>
        <w:ind w:left="1588" w:hanging="794"/>
        <w:rPr>
          <w:color w:val="000000"/>
          <w:sz w:val="23"/>
          <w:szCs w:val="23"/>
        </w:rPr>
      </w:pPr>
      <w:bookmarkStart w:id="680" w:name="id22e4cd07_6925_454f_94c4_72f206e63a"/>
      <w:r>
        <w:rPr>
          <w:color w:val="000000"/>
          <w:sz w:val="23"/>
          <w:szCs w:val="23"/>
        </w:rPr>
        <w:tab/>
        <w:t>(1)</w:t>
      </w:r>
      <w:r>
        <w:rPr>
          <w:color w:val="000000"/>
          <w:sz w:val="23"/>
          <w:szCs w:val="23"/>
        </w:rPr>
        <w:tab/>
        <w:t>Subject to this section, the costs of an arbitration under this Chapter (including costs associated with the arbitration process and the cost of the arbitrator) will be shared equally between the parties to the arbitration.</w:t>
      </w:r>
      <w:bookmarkEnd w:id="68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The Rules may make provision with respect to the costs of an arbitration under this Chapter, including rules that provide for a different approach to allocating costs under </w:t>
      </w:r>
      <w:hyperlink w:anchor="id22e4cd07_6925_454f_94c4_72f206e63a" w:history="1">
        <w:r>
          <w:rPr>
            <w:color w:val="000000"/>
            <w:sz w:val="23"/>
            <w:szCs w:val="23"/>
          </w:rPr>
          <w:t>subsection (1)</w:t>
        </w:r>
      </w:hyperlink>
      <w:r>
        <w:rPr>
          <w:color w:val="000000"/>
          <w:sz w:val="23"/>
          <w:szCs w:val="23"/>
        </w:rPr>
        <w:t xml:space="preserve"> in specified circumstances.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Costs payable to an arbitrator are a debt due to the arbitrator and may be recovered by the arbitrator in a court of competent jurisdiction.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Despite anything in a preceding subsection, the parties to an arbitration will bear their own costs.</w:t>
      </w:r>
    </w:p>
    <w:p>
      <w:pPr>
        <w:pStyle w:val="Footnotesection"/>
      </w:pPr>
      <w:r>
        <w:tab/>
        <w:t>[Section 216V inserted: see SA Act No. 23 of 2017 s. 6 and WA Gazette 22 Dec 2017 p. 5984.]</w:t>
      </w:r>
    </w:p>
    <w:p>
      <w:pPr>
        <w:pStyle w:val="Heading2"/>
      </w:pPr>
      <w:bookmarkStart w:id="681" w:name="_Toc536782250"/>
      <w:r>
        <w:rPr>
          <w:rStyle w:val="CharPartNo"/>
        </w:rPr>
        <w:t>Chapter 7</w:t>
      </w:r>
      <w:r>
        <w:t xml:space="preserve"> — </w:t>
      </w:r>
      <w:r>
        <w:rPr>
          <w:rStyle w:val="CharPartText"/>
        </w:rPr>
        <w:t>The Natural Gas Services Bulletin Board</w:t>
      </w:r>
      <w:bookmarkEnd w:id="643"/>
      <w:bookmarkEnd w:id="644"/>
      <w:bookmarkEnd w:id="681"/>
    </w:p>
    <w:p>
      <w:pPr>
        <w:pStyle w:val="Heading3"/>
      </w:pPr>
      <w:bookmarkStart w:id="682" w:name="_Toc501634130"/>
      <w:bookmarkStart w:id="683" w:name="_Toc501713026"/>
      <w:bookmarkStart w:id="684" w:name="_Toc536782251"/>
      <w:r>
        <w:rPr>
          <w:rStyle w:val="CharDivNo"/>
        </w:rPr>
        <w:t>Part 1</w:t>
      </w:r>
      <w:r>
        <w:t xml:space="preserve"> — </w:t>
      </w:r>
      <w:r>
        <w:rPr>
          <w:rStyle w:val="CharDivText"/>
        </w:rPr>
        <w:t>The Bulletin Board Operator</w:t>
      </w:r>
      <w:bookmarkEnd w:id="682"/>
      <w:bookmarkEnd w:id="683"/>
      <w:bookmarkEnd w:id="684"/>
    </w:p>
    <w:p>
      <w:pPr>
        <w:pStyle w:val="Heading5"/>
      </w:pPr>
      <w:bookmarkStart w:id="685" w:name="_Toc536782252"/>
      <w:r>
        <w:rPr>
          <w:rStyle w:val="CharSectno"/>
        </w:rPr>
        <w:t>217</w:t>
      </w:r>
      <w:r>
        <w:t>.</w:t>
      </w:r>
      <w:r>
        <w:tab/>
        <w:t>The Bulletin Board operator</w:t>
      </w:r>
      <w:bookmarkEnd w:id="685"/>
    </w:p>
    <w:p>
      <w:pPr>
        <w:keepLines/>
        <w:autoSpaceDE w:val="0"/>
        <w:autoSpaceDN w:val="0"/>
        <w:adjustRightInd w:val="0"/>
        <w:spacing w:before="120"/>
        <w:ind w:left="1588"/>
        <w:rPr>
          <w:color w:val="000000"/>
          <w:sz w:val="23"/>
          <w:szCs w:val="23"/>
        </w:rPr>
      </w:pPr>
      <w:r>
        <w:rPr>
          <w:color w:val="000000"/>
          <w:sz w:val="23"/>
          <w:szCs w:val="23"/>
        </w:rPr>
        <w:t>The Bulletin Board operator is the person prescribed by the Regulations as the Bulletin Board operator.</w:t>
      </w:r>
    </w:p>
    <w:p>
      <w:pPr>
        <w:pStyle w:val="Heading5"/>
      </w:pPr>
      <w:bookmarkStart w:id="686" w:name="_Toc536782253"/>
      <w:r>
        <w:rPr>
          <w:rStyle w:val="CharSectno"/>
        </w:rPr>
        <w:t>218</w:t>
      </w:r>
      <w:r>
        <w:t>.</w:t>
      </w:r>
      <w:r>
        <w:tab/>
        <w:t>Obligation to establish and maintain the Natural Gas Services Bulletin Board</w:t>
      </w:r>
      <w:bookmarkEnd w:id="68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Bulletin Board operator first prescribed under section 217 must establish a website, to be known as the Natural Gas Services Bulletin Board, containing information of the kind specified in the Rules in relation to natural gas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Bulletin Board operator must maintain the Natural Gas Services Bulletin Board.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Bulletin Board operator may replace the website with another website containing information of the kind specified in the Rules in relation to natural gas services.</w:t>
      </w:r>
    </w:p>
    <w:p>
      <w:pPr>
        <w:pStyle w:val="Heading5"/>
      </w:pPr>
      <w:bookmarkStart w:id="687" w:name="_Toc536782254"/>
      <w:r>
        <w:rPr>
          <w:rStyle w:val="CharSectno"/>
        </w:rPr>
        <w:t>219</w:t>
      </w:r>
      <w:r>
        <w:t>.</w:t>
      </w:r>
      <w:r>
        <w:tab/>
        <w:t>Other functions of the Bulletin Board operator</w:t>
      </w:r>
      <w:bookmarkEnd w:id="687"/>
    </w:p>
    <w:p>
      <w:pPr>
        <w:keepNext/>
        <w:keepLines/>
        <w:autoSpaceDE w:val="0"/>
        <w:autoSpaceDN w:val="0"/>
        <w:adjustRightInd w:val="0"/>
        <w:spacing w:before="120"/>
        <w:ind w:left="1588"/>
        <w:rPr>
          <w:color w:val="000000"/>
          <w:sz w:val="23"/>
          <w:szCs w:val="23"/>
        </w:rPr>
      </w:pPr>
      <w:r>
        <w:rPr>
          <w:color w:val="000000"/>
          <w:sz w:val="23"/>
          <w:szCs w:val="23"/>
        </w:rPr>
        <w:t>The Bulletin Board operator also has the following functions: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collect and collate Bulletin Board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collect and collate other information in relation to natural gas services for inclusion on the Natural Gas Services Bulletin Board;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derive from information of the type mentioned in paragraphs (a) and (b) information for inclusion on the Natural Gas Services Bulletin Board;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to publish information on the Natural Gas Services Bulletin Board of the kinds that may or must be included on the Natural Gas Services Bulletin Board under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to manage information of the type mentioned in paragraphs (a), (b) and (c);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such other functions as are conferred on the Bulletin Board operator by this Law, the Rules or any other law prescribed by the Regulations for the purposes of this paragraph.</w:t>
      </w:r>
    </w:p>
    <w:p>
      <w:pPr>
        <w:pStyle w:val="Heading5"/>
      </w:pPr>
      <w:bookmarkStart w:id="688" w:name="_Toc536782255"/>
      <w:r>
        <w:rPr>
          <w:rStyle w:val="CharSectno"/>
        </w:rPr>
        <w:t>220</w:t>
      </w:r>
      <w:r>
        <w:t>.</w:t>
      </w:r>
      <w:r>
        <w:tab/>
        <w:t>Powers of the Bulletin Board operator</w:t>
      </w:r>
      <w:bookmarkEnd w:id="688"/>
    </w:p>
    <w:p>
      <w:pPr>
        <w:keepLines/>
        <w:autoSpaceDE w:val="0"/>
        <w:autoSpaceDN w:val="0"/>
        <w:adjustRightInd w:val="0"/>
        <w:spacing w:before="120"/>
        <w:ind w:left="1588"/>
        <w:rPr>
          <w:color w:val="000000"/>
          <w:sz w:val="23"/>
          <w:szCs w:val="23"/>
        </w:rPr>
      </w:pPr>
      <w:r>
        <w:rPr>
          <w:color w:val="000000"/>
          <w:sz w:val="23"/>
          <w:szCs w:val="23"/>
        </w:rPr>
        <w:t>The Bulletin Board operator has the power to do all things necessary or convenient to be done for or in connection with the performance of its functions.</w:t>
      </w:r>
    </w:p>
    <w:p>
      <w:pPr>
        <w:pStyle w:val="Heading5"/>
      </w:pPr>
      <w:bookmarkStart w:id="689" w:name="_Toc536782256"/>
      <w:r>
        <w:rPr>
          <w:rStyle w:val="CharSectno"/>
        </w:rPr>
        <w:t>221</w:t>
      </w:r>
      <w:r>
        <w:t>.</w:t>
      </w:r>
      <w:r>
        <w:tab/>
        <w:t>Immunity of the Bulletin Board operator</w:t>
      </w:r>
      <w:bookmarkEnd w:id="68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Bulletin Board operator or an officer or employee of the Bulletin Board operator does not incur any civil monetary liability for an act or omission in the performance or exercise, or purported performance or exercise, of a function or power of the Bulletin Board operator under this Law or the Rules unless the act or omission is done or made in bad faith or through negligence.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civil monetary liability for an act or omission of a kind referred to in subsection (1) done or made through negligence may not exceed the prescribed maximum amount.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Regulations may, for the purposes of subsection (2), without limitation do all or any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prescribe a maximum amount that is limited in its application to persons, events, circumstances, losses or periods specified in the Regulations;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prescribe maximum amounts that vary in their application according to the persons to whom or the events, circumstances, losses or periods to which they are expressed to apply;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prescribe the manner in which a maximum amount is to be divided amongst claimants.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Bulletin Board operator may enter into an agreement with a person varying or excluding the operation of a provision of this section and, to the extent of that agreement, that provision does not apply.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This section does not apply to any liability of an officer or employee of a body corporate to the body corporate.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civil monetary liability</w:t>
      </w:r>
      <w:r>
        <w:rPr>
          <w:bCs/>
          <w:i/>
          <w:iCs/>
          <w:color w:val="000000"/>
          <w:sz w:val="23"/>
          <w:szCs w:val="23"/>
        </w:rPr>
        <w:t xml:space="preserve"> </w:t>
      </w:r>
      <w:r>
        <w:rPr>
          <w:color w:val="000000"/>
          <w:sz w:val="23"/>
          <w:szCs w:val="23"/>
        </w:rPr>
        <w:t>means liability to pay damages or compensation or any other amount ordered in a civil proceeding, but does not include liability to pay a civil penalty under this Law, an infringement penalty under Chapter 8 Part 7 or the costs of a proceeding.</w:t>
      </w:r>
    </w:p>
    <w:p>
      <w:pPr>
        <w:pStyle w:val="Heading5"/>
      </w:pPr>
      <w:bookmarkStart w:id="690" w:name="_Toc536782257"/>
      <w:r>
        <w:rPr>
          <w:rStyle w:val="CharSectno"/>
        </w:rPr>
        <w:t>222</w:t>
      </w:r>
      <w:r>
        <w:t>.</w:t>
      </w:r>
      <w:r>
        <w:tab/>
        <w:t>Fees for services provided</w:t>
      </w:r>
      <w:bookmarkEnd w:id="69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Bulletin Board operator may charge a fee specified, or a fee calculated in accordance with a formula or methodology specified, in the Rules for access by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Natural Gas Services Bulletin Board;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Bulletin Board information.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fee must not be such as to amount to taxation.</w:t>
      </w:r>
    </w:p>
    <w:p>
      <w:pPr>
        <w:pStyle w:val="Heading3"/>
      </w:pPr>
      <w:bookmarkStart w:id="691" w:name="_Toc501634137"/>
      <w:bookmarkStart w:id="692" w:name="_Toc501713033"/>
      <w:bookmarkStart w:id="693" w:name="_Toc536782258"/>
      <w:r>
        <w:rPr>
          <w:rStyle w:val="CharDivNo"/>
        </w:rPr>
        <w:t>Part 2</w:t>
      </w:r>
      <w:r>
        <w:t xml:space="preserve"> — </w:t>
      </w:r>
      <w:r>
        <w:rPr>
          <w:rStyle w:val="CharDivText"/>
        </w:rPr>
        <w:t>Bulletin Board information</w:t>
      </w:r>
      <w:bookmarkEnd w:id="691"/>
      <w:bookmarkEnd w:id="692"/>
      <w:bookmarkEnd w:id="693"/>
    </w:p>
    <w:p>
      <w:pPr>
        <w:pStyle w:val="Heading5"/>
      </w:pPr>
      <w:bookmarkStart w:id="694" w:name="_Toc536782259"/>
      <w:r>
        <w:rPr>
          <w:rStyle w:val="CharSectno"/>
        </w:rPr>
        <w:t>223</w:t>
      </w:r>
      <w:r>
        <w:t>.</w:t>
      </w:r>
      <w:r>
        <w:tab/>
        <w:t>Obligation to give information to the Bulletin Board operator</w:t>
      </w:r>
      <w:bookmarkEnd w:id="694"/>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of the following kind who has possession or control of information in relation to natural gas services must give the Bulletin Board operator the information if the person is required to do so under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gas market operator;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user;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non scheme pipeline user;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 producer;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storage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another person who is prescribed by the Regulations for the purposes of this paragraph.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information must be given to the Bulletin Board operator in accordance with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Subsection (1) does not apply if the person is exempt under the Rules from giving the information.</w:t>
      </w:r>
    </w:p>
    <w:p>
      <w:pPr>
        <w:pStyle w:val="Heading5"/>
      </w:pPr>
      <w:bookmarkStart w:id="695" w:name="_Toc536782260"/>
      <w:r>
        <w:rPr>
          <w:rStyle w:val="CharSectno"/>
        </w:rPr>
        <w:t>224</w:t>
      </w:r>
      <w:r>
        <w:t>.</w:t>
      </w:r>
      <w:r>
        <w:tab/>
        <w:t>Person cannot rely on duty of confidence to avoid compliance with obligation</w:t>
      </w:r>
      <w:bookmarkEnd w:id="695"/>
    </w:p>
    <w:p>
      <w:pPr>
        <w:keepLines/>
        <w:autoSpaceDE w:val="0"/>
        <w:autoSpaceDN w:val="0"/>
        <w:adjustRightInd w:val="0"/>
        <w:spacing w:before="120"/>
        <w:ind w:left="1588"/>
        <w:rPr>
          <w:color w:val="000000"/>
          <w:sz w:val="23"/>
          <w:szCs w:val="23"/>
        </w:rPr>
      </w:pPr>
      <w:r>
        <w:rPr>
          <w:color w:val="000000"/>
          <w:sz w:val="23"/>
          <w:szCs w:val="23"/>
        </w:rPr>
        <w:t>A person must not refuse to comply with the requirement in section 223(1) on the ground of any duty of confidence.</w:t>
      </w:r>
    </w:p>
    <w:p>
      <w:pPr>
        <w:pStyle w:val="Heading5"/>
      </w:pPr>
      <w:bookmarkStart w:id="696" w:name="_Toc536782261"/>
      <w:r>
        <w:rPr>
          <w:rStyle w:val="CharSectno"/>
        </w:rPr>
        <w:t>225</w:t>
      </w:r>
      <w:r>
        <w:t>.</w:t>
      </w:r>
      <w:r>
        <w:tab/>
        <w:t>Giving to Bulletin Board operator false and misleading information</w:t>
      </w:r>
      <w:bookmarkEnd w:id="696"/>
    </w:p>
    <w:p>
      <w:pPr>
        <w:keepLines/>
        <w:autoSpaceDE w:val="0"/>
        <w:autoSpaceDN w:val="0"/>
        <w:adjustRightInd w:val="0"/>
        <w:spacing w:before="120"/>
        <w:ind w:left="1588"/>
        <w:rPr>
          <w:color w:val="000000"/>
          <w:sz w:val="23"/>
          <w:szCs w:val="23"/>
        </w:rPr>
      </w:pPr>
      <w:r>
        <w:rPr>
          <w:color w:val="000000"/>
          <w:sz w:val="23"/>
          <w:szCs w:val="23"/>
        </w:rPr>
        <w:t>A person must not give Bulletin Board information to the Bulletin Board operator that the person knows is false or misleading in a material particular.</w:t>
      </w:r>
    </w:p>
    <w:p>
      <w:pPr>
        <w:pStyle w:val="Heading5"/>
      </w:pPr>
      <w:bookmarkStart w:id="697" w:name="_Toc536782262"/>
      <w:r>
        <w:rPr>
          <w:rStyle w:val="CharSectno"/>
        </w:rPr>
        <w:t>226</w:t>
      </w:r>
      <w:r>
        <w:t>.</w:t>
      </w:r>
      <w:r>
        <w:tab/>
        <w:t>Immunity of persons giving information to the Bulletin Board operator</w:t>
      </w:r>
      <w:bookmarkEnd w:id="69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 gives Bulletin Board information to the Bulletin Board operator does not incur any civil monetary liability for an act or omission in giving that information unless the act or omission is done or made in bad faith or through negligence.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civil monetary liability for an act or omission of a kind referred to in subsection (1) done or made through negligence may not exceed the prescribed maximum amount.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Regulations may, for the purposes of subsection (2), without limitation do all or any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prescribe a maximum amount that is limited in its application to persons, events, circumstances, losses or periods specified in the Regulations;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prescribe maximum amounts that vary in their application according to the persons to whom or the events, circumstances, losses or periods to which they are expressed to apply;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prescribe the manner in which a maximum amount is to be divided amongst claimants.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person mentioned in subsection (1) may enter into an agreement with another person varying or excluding the operation of a provision of this section and, to the extent of that agreement, that provision does not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civil monetary liability</w:t>
      </w:r>
      <w:r>
        <w:rPr>
          <w:bCs/>
          <w:i/>
          <w:iCs/>
          <w:color w:val="000000"/>
          <w:sz w:val="23"/>
          <w:szCs w:val="23"/>
        </w:rPr>
        <w:t xml:space="preserve"> </w:t>
      </w:r>
      <w:r>
        <w:rPr>
          <w:color w:val="000000"/>
          <w:sz w:val="23"/>
          <w:szCs w:val="23"/>
        </w:rPr>
        <w:t>means liability to pay damages or compensation or any other amount ordered in a civil proceeding, but does not include liability to pay a civil penalty under this Law, an infringement penalty under Chapter 8 Part 7 or the costs of a proceeding.</w:t>
      </w:r>
    </w:p>
    <w:p>
      <w:pPr>
        <w:pStyle w:val="Heading3"/>
      </w:pPr>
      <w:bookmarkStart w:id="698" w:name="_Toc501634142"/>
      <w:bookmarkStart w:id="699" w:name="_Toc501713038"/>
      <w:bookmarkStart w:id="700" w:name="_Toc536782263"/>
      <w:r>
        <w:rPr>
          <w:rStyle w:val="CharDivNo"/>
        </w:rPr>
        <w:t>Part 3</w:t>
      </w:r>
      <w:r>
        <w:t xml:space="preserve"> — </w:t>
      </w:r>
      <w:r>
        <w:rPr>
          <w:rStyle w:val="CharDivText"/>
        </w:rPr>
        <w:t>Protection of information</w:t>
      </w:r>
      <w:bookmarkEnd w:id="698"/>
      <w:bookmarkEnd w:id="699"/>
      <w:bookmarkEnd w:id="700"/>
    </w:p>
    <w:p>
      <w:pPr>
        <w:pStyle w:val="Heading5"/>
      </w:pPr>
      <w:bookmarkStart w:id="701" w:name="_Toc536782264"/>
      <w:r>
        <w:rPr>
          <w:rStyle w:val="CharSectno"/>
        </w:rPr>
        <w:t>227</w:t>
      </w:r>
      <w:r>
        <w:t>.</w:t>
      </w:r>
      <w:r>
        <w:tab/>
        <w:t>Protection of information by the Bulletin Board operator</w:t>
      </w:r>
      <w:bookmarkEnd w:id="70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Bulletin Board operator must not copy, record, use or disclose information that is Bulletin Board information, except for the purposes of exercising powers or performing functions as the Bulletin Board operator.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person ceases to be the Bulletin Board operator, the person must not afterwards copy, record, use or disclose information that is Bulletin Board information and that was disclosed to the person as the Bulletin Board operator.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Subsection (1) does not apply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Bulletin Board operator has the written consent for the copying, recording, use or disclosure from—</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person who gave the information;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person from whom the person referred to in subparagraph (i) received that information;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information is publicly available;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information is required to be used or disclosed because of the operation of a law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information is also disclosed to the Bulletin Board operator—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for reasons other than compliance with section 223(1);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circumstances other than those expressly permitted by the Rules.</w:t>
      </w:r>
    </w:p>
    <w:p>
      <w:pPr>
        <w:pStyle w:val="Heading5"/>
      </w:pPr>
      <w:bookmarkStart w:id="702" w:name="_Toc536782265"/>
      <w:r>
        <w:rPr>
          <w:rStyle w:val="CharSectno"/>
        </w:rPr>
        <w:t>228</w:t>
      </w:r>
      <w:r>
        <w:t>.</w:t>
      </w:r>
      <w:r>
        <w:tab/>
        <w:t>Protection of information by employees etc of the Bulletin Board operator</w:t>
      </w:r>
      <w:bookmarkEnd w:id="70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officer of the Bulletin Board operator;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employee of the Bulletin Board operator;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person performing work for or rendering services to the Bulletin Board operator otherwise than as an officer or employee,</w:t>
      </w:r>
    </w:p>
    <w:p>
      <w:pPr>
        <w:keepLines/>
        <w:autoSpaceDE w:val="0"/>
        <w:autoSpaceDN w:val="0"/>
        <w:adjustRightInd w:val="0"/>
        <w:spacing w:before="120"/>
        <w:ind w:left="1588"/>
        <w:rPr>
          <w:color w:val="000000"/>
          <w:sz w:val="23"/>
          <w:szCs w:val="23"/>
        </w:rPr>
      </w:pPr>
      <w:r>
        <w:rPr>
          <w:color w:val="000000"/>
          <w:sz w:val="23"/>
          <w:szCs w:val="23"/>
        </w:rPr>
        <w:t>must not copy, record, use or disclose information that is Bulletin Board information, except in that person’s capacity as a person who is exercising powers or performing functions, or assisting in the exercise of powers or performance of functions, for the Bulletin Board operator as the Bulletin Board operator.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information is Bulletin Board information; and</w:t>
      </w:r>
    </w:p>
    <w:p>
      <w:pPr>
        <w:keepLines/>
        <w:tabs>
          <w:tab w:val="center" w:pos="1985"/>
          <w:tab w:val="left" w:pos="2382"/>
        </w:tabs>
        <w:autoSpaceDE w:val="0"/>
        <w:autoSpaceDN w:val="0"/>
        <w:adjustRightInd w:val="0"/>
        <w:spacing w:before="80"/>
        <w:ind w:left="2382" w:hanging="794"/>
        <w:rPr>
          <w:color w:val="000000"/>
          <w:sz w:val="23"/>
          <w:szCs w:val="23"/>
        </w:rPr>
      </w:pPr>
      <w:r>
        <w:rPr>
          <w:color w:val="000000"/>
          <w:sz w:val="23"/>
          <w:szCs w:val="23"/>
        </w:rPr>
        <w:tab/>
        <w:t>(b)</w:t>
      </w:r>
      <w:r>
        <w:rPr>
          <w:color w:val="000000"/>
          <w:sz w:val="23"/>
          <w:szCs w:val="23"/>
        </w:rPr>
        <w:tab/>
        <w:t>the information is disclosed to a person in the person’s capacity as—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officer of the Bulletin Board operator;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employee of the Bulletin Board operator;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person performing work for or rendering services to the Bulletin Board operator otherwise than as an officer or employee,</w:t>
      </w:r>
    </w:p>
    <w:p>
      <w:pPr>
        <w:keepLines/>
        <w:autoSpaceDE w:val="0"/>
        <w:autoSpaceDN w:val="0"/>
        <w:adjustRightInd w:val="0"/>
        <w:spacing w:before="120"/>
        <w:ind w:left="2382"/>
        <w:rPr>
          <w:color w:val="000000"/>
          <w:sz w:val="23"/>
          <w:szCs w:val="23"/>
        </w:rPr>
      </w:pPr>
      <w:r>
        <w:rPr>
          <w:color w:val="000000"/>
          <w:sz w:val="23"/>
          <w:szCs w:val="23"/>
        </w:rPr>
        <w:t>exercising powers or performing functions, or assisting in the exercise of powers or performance of functions, for the Bulletin Board operator;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1 of the following applies: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the case of an officer of the Bulletin Board operator—the person ceases to be an officer acting in that capacity;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of an employee of the Bulletin Board operator—the person ceases to be an employee acting in that capacity;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in the case of a person performing work for or rendering services to the Bulletin Board operator otherwise than as an officer or employee—the person ceases to be a person of that kind acting in that capacity,</w:t>
      </w:r>
    </w:p>
    <w:p>
      <w:pPr>
        <w:keepLines/>
        <w:autoSpaceDE w:val="0"/>
        <w:autoSpaceDN w:val="0"/>
        <w:adjustRightInd w:val="0"/>
        <w:spacing w:before="120"/>
        <w:ind w:left="2382"/>
        <w:rPr>
          <w:color w:val="000000"/>
          <w:sz w:val="23"/>
          <w:szCs w:val="23"/>
        </w:rPr>
      </w:pPr>
      <w:r>
        <w:rPr>
          <w:color w:val="000000"/>
          <w:sz w:val="23"/>
          <w:szCs w:val="23"/>
        </w:rPr>
        <w:t>the person must not afterwards copy, record, use or disclose the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Subsections (1) and (2) do not apply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has the written consent for the copying, recording, use or disclosure from—</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person who gave the information;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person from whom the person referred to in subparagraph (i) received that information;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information is publicly available;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information is required to be used or disclosed because of the operation of a law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information is also disclosed to the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for reasons other than compliance with section 223(1);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circumstances other than those expressly permitted by the Rules.</w:t>
      </w:r>
    </w:p>
    <w:p>
      <w:pPr>
        <w:pStyle w:val="Heading2"/>
      </w:pPr>
      <w:bookmarkStart w:id="703" w:name="_Toc501634145"/>
      <w:bookmarkStart w:id="704" w:name="_Toc501713041"/>
      <w:bookmarkStart w:id="705" w:name="_Toc536782266"/>
      <w:r>
        <w:rPr>
          <w:rStyle w:val="CharPartNo"/>
        </w:rPr>
        <w:t>Chapter 8</w:t>
      </w:r>
      <w:r>
        <w:t xml:space="preserve"> — </w:t>
      </w:r>
      <w:r>
        <w:rPr>
          <w:rStyle w:val="CharPartText"/>
        </w:rPr>
        <w:t>Proceedings under the National Gas Law</w:t>
      </w:r>
      <w:bookmarkEnd w:id="703"/>
      <w:bookmarkEnd w:id="704"/>
      <w:bookmarkEnd w:id="705"/>
    </w:p>
    <w:p>
      <w:pPr>
        <w:pStyle w:val="Heading3"/>
      </w:pPr>
      <w:bookmarkStart w:id="706" w:name="_Toc501634146"/>
      <w:bookmarkStart w:id="707" w:name="_Toc501713042"/>
      <w:bookmarkStart w:id="708" w:name="_Toc536782267"/>
      <w:r>
        <w:rPr>
          <w:rStyle w:val="CharDivNo"/>
        </w:rPr>
        <w:t>Part 1</w:t>
      </w:r>
      <w:r>
        <w:t xml:space="preserve"> — </w:t>
      </w:r>
      <w:r>
        <w:rPr>
          <w:rStyle w:val="CharDivText"/>
        </w:rPr>
        <w:t>Proceedings generally</w:t>
      </w:r>
      <w:bookmarkEnd w:id="706"/>
      <w:bookmarkEnd w:id="707"/>
      <w:bookmarkEnd w:id="708"/>
    </w:p>
    <w:p>
      <w:pPr>
        <w:pStyle w:val="Heading5"/>
      </w:pPr>
      <w:bookmarkStart w:id="709" w:name="_Toc536782268"/>
      <w:r>
        <w:rPr>
          <w:rStyle w:val="CharSectno"/>
        </w:rPr>
        <w:t>229</w:t>
      </w:r>
      <w:r>
        <w:t>.</w:t>
      </w:r>
      <w:r>
        <w:tab/>
        <w:t>Instituting civil proceedings under this Law</w:t>
      </w:r>
      <w:bookmarkEnd w:id="70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Proceedings may not be instituted in a court in respect of a breach of a provision of this Law, the Regulations or Rules that is not an offence provision by any person except as provided for in this Chapter.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may, in accordance with Chapter 8 Part 2, institute civil proceedings in respect of a breach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provision of this Law that is not an offence provision (including a provision that is a civil penalty provision or conduct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provision of the Regulations that is not an offence provision (including a provision that is a civil penalty provision or conduct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provision of the Rules (including a provision that is a civil penalty provision or a conduct provision).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person other than the AER may, in accordance with Chapter 8 Part 2, institute civil proceedings in respect of a breach of a conduct provision.</w:t>
      </w:r>
    </w:p>
    <w:p>
      <w:pPr>
        <w:pStyle w:val="Heading5"/>
      </w:pPr>
      <w:bookmarkStart w:id="710" w:name="_Toc536782269"/>
      <w:r>
        <w:rPr>
          <w:rStyle w:val="CharSectno"/>
        </w:rPr>
        <w:t>230</w:t>
      </w:r>
      <w:r>
        <w:t>.</w:t>
      </w:r>
      <w:r>
        <w:tab/>
        <w:t>Time limit within which proceedings may be instituted</w:t>
      </w:r>
      <w:bookmarkEnd w:id="71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only institute a proceeding for a breach, by a person, of a provision of this Law, the Regulations or the Rules that is not an offence provision within 6 years after the date on which the breach occurred.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other than the AER, may only institute a proceeding for a breach of a conduct provision by another person within 6 years after the date on which the breach occurred.</w:t>
      </w:r>
    </w:p>
    <w:p>
      <w:pPr>
        <w:pStyle w:val="Heading3"/>
      </w:pPr>
      <w:bookmarkStart w:id="711" w:name="_Toc501634149"/>
      <w:bookmarkStart w:id="712" w:name="_Toc501713045"/>
      <w:bookmarkStart w:id="713" w:name="_Toc536782270"/>
      <w:r>
        <w:rPr>
          <w:rStyle w:val="CharDivNo"/>
        </w:rPr>
        <w:t>Part 2</w:t>
      </w:r>
      <w:r>
        <w:t xml:space="preserve"> — </w:t>
      </w:r>
      <w:r>
        <w:rPr>
          <w:rStyle w:val="CharDivText"/>
        </w:rPr>
        <w:t>Proceedings for breaches of this Law, Regulations or the Rules</w:t>
      </w:r>
      <w:bookmarkEnd w:id="711"/>
      <w:bookmarkEnd w:id="712"/>
      <w:bookmarkEnd w:id="713"/>
    </w:p>
    <w:p>
      <w:pPr>
        <w:pStyle w:val="Heading5"/>
      </w:pPr>
      <w:bookmarkStart w:id="714" w:name="_Toc536782271"/>
      <w:r>
        <w:rPr>
          <w:rStyle w:val="CharSectno"/>
        </w:rPr>
        <w:t>231</w:t>
      </w:r>
      <w:r>
        <w:t>.</w:t>
      </w:r>
      <w:r>
        <w:tab/>
        <w:t>AER proceedings for breaches of this Law, Regulations or the Rules that are not offences</w:t>
      </w:r>
      <w:bookmarkEnd w:id="71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Court may make an order, on application by the AER on behalf of the Commonwealth, declaring that a person is in breach of a provision of this Law, the Regulations or the Rules that is not an offence provision.</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 xml:space="preserve">A Supreme Court of a participating jurisdiction that is a State may hear an application by the AER under subsection (1) by operation of section 39(2) of the </w:t>
      </w:r>
      <w:r>
        <w:rPr>
          <w:i/>
          <w:iCs/>
          <w:color w:val="000000"/>
          <w:sz w:val="20"/>
        </w:rPr>
        <w:t>Judiciary Act 1903</w:t>
      </w:r>
      <w:r>
        <w:rPr>
          <w:color w:val="000000"/>
          <w:sz w:val="20"/>
        </w:rPr>
        <w:t xml:space="preserve"> of the Commonwealth.</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(1A)</w:t>
      </w:r>
      <w:r>
        <w:rPr>
          <w:color w:val="000000"/>
          <w:sz w:val="23"/>
          <w:szCs w:val="23"/>
        </w:rPr>
        <w:tab/>
        <w:t>When subsection (1) is read as if a reference in it to the AER were a reference to the ERA, the subsection is to be read as if “on behalf of the Commonwealth” had been deleted.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order declares a person to be in breach of a provision of this Law the Regulations or the Rules that is not an offence provision, the order may include 1 or more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order that the person pay a civil penalty determined in accordance with this Law, the Regulations and the Rules if the breach is a breach of a civil penalty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order that the person cease, within a specified period, the act, activity or practice constituting the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order that the person take such action, or adopt such practice, as the Court requires for remedying the breach or preventing a recurrence of the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 order that the person implement a specified program for compliance with this Law, the Regulations and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 order of a kind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a person has engaged, is engaging or is proposing to engage in any conduct in breach of a provision of this Law, the Regulations or the Rules that is not an offence provision, the Court may, on application by the AER on behalf of the Commonwealth, grant an injunction—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restraining the person from engaging in the conduct;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in the Court’s opinion, it is desirable to do so—requiring the person to do something.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(3A)</w:t>
      </w:r>
      <w:r>
        <w:rPr>
          <w:color w:val="000000"/>
          <w:sz w:val="23"/>
          <w:szCs w:val="23"/>
        </w:rPr>
        <w:tab/>
        <w:t>When subsection (3) is read as if a reference in it to the AER were a reference to the ERA, the subsection is to be read as if “on behalf of the Commonwealth” had been deleted.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power of the Court under subsection (3) to grant an injunction restraining a person from engaging in conduct of a particular kind may be exercised—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Court is satisfied that the person has engaged in conduct of that kind—whether or not it appears to the Court that the person intends to engage again, or to continue to engage, in conduct of that kind;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engages in conduct of that kind.</w:t>
      </w:r>
    </w:p>
    <w:p>
      <w:pPr>
        <w:pStyle w:val="Footnotesection"/>
      </w:pPr>
      <w:r>
        <w:tab/>
        <w:t>[Section 231 modified: WA Act Sch. 1 cl. 10.]</w:t>
      </w:r>
    </w:p>
    <w:p>
      <w:pPr>
        <w:pStyle w:val="Heading5"/>
      </w:pPr>
      <w:bookmarkStart w:id="715" w:name="_Toc536782272"/>
      <w:r>
        <w:rPr>
          <w:rStyle w:val="CharSectno"/>
        </w:rPr>
        <w:t>232</w:t>
      </w:r>
      <w:r>
        <w:t>.</w:t>
      </w:r>
      <w:r>
        <w:tab/>
        <w:t>Proceedings for declaration that a person is in breach of a conduct provision</w:t>
      </w:r>
      <w:bookmarkEnd w:id="71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Court may make an order, on application by a person other than the AER, declaring that another person is in breach of a conduct provision.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order declares a person to be in breach of a conduct provision, the order may include 1 or more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order that the person in breach cease, within a specified period, the act, activity or practice constituting the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order that the person in breach take such action, or adopt such practice, as the Court requires for remedying the breach or preventing a recurrence of the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order that the person in breach implement a specified program for compliance with this Law, the Regulations and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 order of a kind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a person has engaged, is engaging or is proposing to engage in any conduct in breach of a conduct provision, the Court may, on application by another person (other than the AER), grant an injunction—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restraining the first mentioned person from engaging in the conduct;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in the Court’s opinion, it is desirable to do so—requiring the first mentioned person to do something.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power of the Court under subsection (3) to grant an injunction restraining a person from engaging in conduct of a particular kind may be exercised—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Court is satisfied that the person has engaged in conduct of that kind—whether or not it appears to the Court that the person intends to engage again, or to continue to engage, in conduct of that kind;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in conduct of that kind.</w:t>
      </w:r>
    </w:p>
    <w:p>
      <w:pPr>
        <w:pStyle w:val="Heading5"/>
      </w:pPr>
      <w:bookmarkStart w:id="716" w:name="_Toc536782273"/>
      <w:r>
        <w:rPr>
          <w:rStyle w:val="CharSectno"/>
        </w:rPr>
        <w:t>233</w:t>
      </w:r>
      <w:r>
        <w:t>.</w:t>
      </w:r>
      <w:r>
        <w:tab/>
        <w:t>Actions for damages by persons for breach of conduct provision</w:t>
      </w:r>
      <w:bookmarkEnd w:id="716"/>
    </w:p>
    <w:p>
      <w:pPr>
        <w:keepLines/>
        <w:autoSpaceDE w:val="0"/>
        <w:autoSpaceDN w:val="0"/>
        <w:adjustRightInd w:val="0"/>
        <w:spacing w:before="120"/>
        <w:ind w:left="1588"/>
        <w:rPr>
          <w:color w:val="000000"/>
          <w:sz w:val="23"/>
          <w:szCs w:val="23"/>
        </w:rPr>
      </w:pPr>
      <w:r>
        <w:rPr>
          <w:color w:val="000000"/>
          <w:sz w:val="23"/>
          <w:szCs w:val="23"/>
        </w:rPr>
        <w:t>A person other than the AER who suffers loss or damage by conduct of another person that was done in breach of a conduct provision may recover the amount of the loss or damage by action against that other person in a court of competent jurisdiction.</w:t>
      </w:r>
    </w:p>
    <w:p>
      <w:pPr>
        <w:pStyle w:val="Heading3"/>
      </w:pPr>
      <w:bookmarkStart w:id="717" w:name="_Toc501634153"/>
      <w:bookmarkStart w:id="718" w:name="_Toc501713049"/>
      <w:bookmarkStart w:id="719" w:name="_Toc536782274"/>
      <w:r>
        <w:rPr>
          <w:rStyle w:val="CharDivNo"/>
        </w:rPr>
        <w:t>Part 3</w:t>
      </w:r>
      <w:r>
        <w:t xml:space="preserve"> — </w:t>
      </w:r>
      <w:r>
        <w:rPr>
          <w:rStyle w:val="CharDivText"/>
        </w:rPr>
        <w:t>Matters relating to breaches of this Law, the Regulations or the Rules</w:t>
      </w:r>
      <w:bookmarkEnd w:id="717"/>
      <w:bookmarkEnd w:id="718"/>
      <w:bookmarkEnd w:id="719"/>
    </w:p>
    <w:p>
      <w:pPr>
        <w:pStyle w:val="Heading5"/>
        <w:keepNext w:val="0"/>
        <w:keepLines w:val="0"/>
      </w:pPr>
      <w:bookmarkStart w:id="720" w:name="_Toc536782275"/>
      <w:r>
        <w:rPr>
          <w:rStyle w:val="CharSectno"/>
        </w:rPr>
        <w:t>234</w:t>
      </w:r>
      <w:r>
        <w:t>.</w:t>
      </w:r>
      <w:r>
        <w:tab/>
        <w:t>Matters for which there must be regard in determining amount of civil penalty</w:t>
      </w:r>
      <w:bookmarkEnd w:id="720"/>
    </w:p>
    <w:p>
      <w:pPr>
        <w:autoSpaceDE w:val="0"/>
        <w:autoSpaceDN w:val="0"/>
        <w:adjustRightInd w:val="0"/>
        <w:spacing w:before="120"/>
        <w:ind w:left="1588"/>
        <w:rPr>
          <w:color w:val="000000"/>
          <w:sz w:val="23"/>
          <w:szCs w:val="23"/>
        </w:rPr>
      </w:pPr>
      <w:r>
        <w:rPr>
          <w:color w:val="000000"/>
          <w:sz w:val="23"/>
          <w:szCs w:val="23"/>
        </w:rPr>
        <w:t>Every civil penalty ordered to be paid by a person declared to be in breach of a provision of this Law, the Regulations or the Rules must be determined having regard to all relevant matters, including—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nature and extent of the breach;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nature and extent of any loss or damage suffered as a result of the breach;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circumstances in which the breach took place;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whether the person has engaged in any similar conduct and been found to be in breach of a provision of this Law, the Regulations or the Rules in respect of that conduct;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whether the service provider had in place a compliance program approved by the AER or required under the Rules, and if so, whether the service provider has been complying with that program.</w:t>
      </w:r>
    </w:p>
    <w:p>
      <w:pPr>
        <w:pStyle w:val="Heading5"/>
      </w:pPr>
      <w:bookmarkStart w:id="721" w:name="_Toc536782276"/>
      <w:r>
        <w:rPr>
          <w:rStyle w:val="CharSectno"/>
        </w:rPr>
        <w:t>235</w:t>
      </w:r>
      <w:r>
        <w:t>.</w:t>
      </w:r>
      <w:r>
        <w:tab/>
        <w:t>Breach of a civil penalty provision is not an offence</w:t>
      </w:r>
      <w:bookmarkEnd w:id="721"/>
    </w:p>
    <w:p>
      <w:pPr>
        <w:keepLines/>
        <w:autoSpaceDE w:val="0"/>
        <w:autoSpaceDN w:val="0"/>
        <w:adjustRightInd w:val="0"/>
        <w:spacing w:before="120"/>
        <w:ind w:left="1588"/>
        <w:rPr>
          <w:color w:val="000000"/>
          <w:sz w:val="23"/>
          <w:szCs w:val="23"/>
        </w:rPr>
      </w:pPr>
      <w:r>
        <w:rPr>
          <w:color w:val="000000"/>
          <w:sz w:val="23"/>
          <w:szCs w:val="23"/>
        </w:rPr>
        <w:t>A breach of a civil penalty provision is not an offence.</w:t>
      </w:r>
    </w:p>
    <w:p>
      <w:pPr>
        <w:pStyle w:val="Heading5"/>
      </w:pPr>
      <w:bookmarkStart w:id="722" w:name="_Toc536782277"/>
      <w:r>
        <w:rPr>
          <w:rStyle w:val="CharSectno"/>
        </w:rPr>
        <w:t>236</w:t>
      </w:r>
      <w:r>
        <w:t>.</w:t>
      </w:r>
      <w:r>
        <w:tab/>
        <w:t>Breaches of civil penalty provisions involving continuing failure</w:t>
      </w:r>
      <w:bookmarkEnd w:id="722"/>
    </w:p>
    <w:p>
      <w:pPr>
        <w:keepLines/>
        <w:autoSpaceDE w:val="0"/>
        <w:autoSpaceDN w:val="0"/>
        <w:adjustRightInd w:val="0"/>
        <w:spacing w:before="120"/>
        <w:ind w:left="1588"/>
        <w:rPr>
          <w:color w:val="000000"/>
          <w:sz w:val="23"/>
          <w:szCs w:val="23"/>
        </w:rPr>
      </w:pPr>
      <w:r>
        <w:rPr>
          <w:color w:val="000000"/>
          <w:sz w:val="23"/>
          <w:szCs w:val="23"/>
        </w:rPr>
        <w:t>For the purpose of determining the civil penalty for a breach of a civil penalty provision, if the breach consists of a failure to do something that is required to be done, the breach is to be regarded as continuing until the act is done despite the fact that any period within which, or time before which, the act is required to be done has expired or passed.</w:t>
      </w:r>
    </w:p>
    <w:p>
      <w:pPr>
        <w:pStyle w:val="Heading5"/>
      </w:pPr>
      <w:bookmarkStart w:id="723" w:name="_Toc536782278"/>
      <w:r>
        <w:rPr>
          <w:rStyle w:val="CharSectno"/>
        </w:rPr>
        <w:t>237</w:t>
      </w:r>
      <w:r>
        <w:t>.</w:t>
      </w:r>
      <w:r>
        <w:tab/>
        <w:t>Conduct in breach of more than 1 civil penalty provision</w:t>
      </w:r>
      <w:bookmarkEnd w:id="72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conduct of a person constitutes a breach of 2 or more civil penalty provisions, proceedings may be instituted under this Law against the person in relation to the breach of any 1 or more of those provisions.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However, the person is not liable to more than 1 civil penalty under this Law in respect of the same conduct.</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Clause 49 of Schedule 2 to this Law sets out further provisions in relation to double jeopardy.</w:t>
      </w:r>
    </w:p>
    <w:p>
      <w:pPr>
        <w:pStyle w:val="Heading5"/>
      </w:pPr>
      <w:bookmarkStart w:id="724" w:name="_Toc536782279"/>
      <w:r>
        <w:rPr>
          <w:rStyle w:val="CharSectno"/>
        </w:rPr>
        <w:t>238</w:t>
      </w:r>
      <w:r>
        <w:t>.</w:t>
      </w:r>
      <w:r>
        <w:tab/>
        <w:t>Persons involved in breach of civil penalty provision or conduct provision</w:t>
      </w:r>
      <w:bookmarkEnd w:id="72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aid, abet, counsel or procure a breach of a civil penalty provision or conduct provision by another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in any way directly or indirectly knowingly concerned in, or party to, a breach of a civil penalty provision or conduct provision by another person.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This Law applies to a person who breaches subsection (1) in relation to a civil penalty provision or conduct provision as if the person were a person who has breached the civil penalty provision or conduct provision.</w:t>
      </w:r>
    </w:p>
    <w:p>
      <w:pPr>
        <w:pStyle w:val="Heading5"/>
      </w:pPr>
      <w:bookmarkStart w:id="725" w:name="_Toc536782280"/>
      <w:r>
        <w:rPr>
          <w:rStyle w:val="CharSectno"/>
        </w:rPr>
        <w:t>239</w:t>
      </w:r>
      <w:r>
        <w:t>.</w:t>
      </w:r>
      <w:r>
        <w:tab/>
        <w:t>Attempt to breach a civil penalty provision</w:t>
      </w:r>
      <w:bookmarkEnd w:id="725"/>
    </w:p>
    <w:p>
      <w:pPr>
        <w:keepLines/>
        <w:autoSpaceDE w:val="0"/>
        <w:autoSpaceDN w:val="0"/>
        <w:adjustRightInd w:val="0"/>
        <w:spacing w:before="120"/>
        <w:ind w:left="1588"/>
        <w:rPr>
          <w:color w:val="000000"/>
          <w:sz w:val="23"/>
          <w:szCs w:val="23"/>
        </w:rPr>
      </w:pPr>
      <w:r>
        <w:rPr>
          <w:color w:val="000000"/>
          <w:sz w:val="23"/>
          <w:szCs w:val="23"/>
        </w:rPr>
        <w:t>A person who attempts to commit a breach of a civil penalty provision commits a breach of that provision.</w:t>
      </w:r>
    </w:p>
    <w:p>
      <w:pPr>
        <w:pStyle w:val="Heading5"/>
      </w:pPr>
      <w:bookmarkStart w:id="726" w:name="_Toc536782281"/>
      <w:r>
        <w:rPr>
          <w:rStyle w:val="CharSectno"/>
        </w:rPr>
        <w:t>240</w:t>
      </w:r>
      <w:r>
        <w:t>.</w:t>
      </w:r>
      <w:r>
        <w:tab/>
        <w:t>Civil penalties payable to the Commonwealth</w:t>
      </w:r>
      <w:bookmarkEnd w:id="726"/>
    </w:p>
    <w:p>
      <w:pPr>
        <w:keepLines/>
        <w:autoSpaceDE w:val="0"/>
        <w:autoSpaceDN w:val="0"/>
        <w:adjustRightInd w:val="0"/>
        <w:spacing w:before="120"/>
        <w:ind w:left="1588"/>
        <w:rPr>
          <w:color w:val="000000"/>
          <w:sz w:val="23"/>
          <w:szCs w:val="23"/>
        </w:rPr>
      </w:pPr>
      <w:r>
        <w:rPr>
          <w:color w:val="000000"/>
          <w:sz w:val="23"/>
          <w:szCs w:val="23"/>
        </w:rPr>
        <w:t>If a person is ordered to pay a civil penalty, the penalty is payable to the State of Western Australia except if the order is made on an application by the AER on behalf of the Commonwealth, in which case it is payable to the Commonwealth.</w:t>
      </w:r>
    </w:p>
    <w:p>
      <w:pPr>
        <w:pStyle w:val="Footnotesection"/>
      </w:pPr>
      <w:r>
        <w:tab/>
        <w:t>[Section 240 modified: WA Act Sch. 1 cl. 11.]</w:t>
      </w:r>
    </w:p>
    <w:p>
      <w:pPr>
        <w:pStyle w:val="Heading3"/>
      </w:pPr>
      <w:bookmarkStart w:id="727" w:name="_Toc501634161"/>
      <w:bookmarkStart w:id="728" w:name="_Toc501713057"/>
      <w:bookmarkStart w:id="729" w:name="_Toc536782282"/>
      <w:r>
        <w:rPr>
          <w:rStyle w:val="CharDivNo"/>
        </w:rPr>
        <w:t>Part 4</w:t>
      </w:r>
      <w:r>
        <w:t xml:space="preserve"> — </w:t>
      </w:r>
      <w:r>
        <w:rPr>
          <w:rStyle w:val="CharDivText"/>
        </w:rPr>
        <w:t>Judicial review of decisions under this Law, the Regulations and the Rules</w:t>
      </w:r>
      <w:bookmarkEnd w:id="727"/>
      <w:bookmarkEnd w:id="728"/>
      <w:bookmarkEnd w:id="729"/>
    </w:p>
    <w:p>
      <w:pPr>
        <w:pStyle w:val="Heading5"/>
      </w:pPr>
      <w:bookmarkStart w:id="730" w:name="_Toc536782283"/>
      <w:r>
        <w:rPr>
          <w:rStyle w:val="CharSectno"/>
        </w:rPr>
        <w:t>241</w:t>
      </w:r>
      <w:r>
        <w:t>.</w:t>
      </w:r>
      <w:r>
        <w:tab/>
        <w:t>Definition</w:t>
      </w:r>
      <w:bookmarkEnd w:id="730"/>
    </w:p>
    <w:p>
      <w:pPr>
        <w:keepNext/>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rPr>
          <w:color w:val="000000"/>
          <w:sz w:val="23"/>
          <w:szCs w:val="23"/>
        </w:rPr>
      </w:pPr>
      <w:r>
        <w:rPr>
          <w:rStyle w:val="CharDefText"/>
          <w:bCs/>
          <w:sz w:val="23"/>
        </w:rPr>
        <w:t>person aggrieved</w:t>
      </w:r>
      <w:r>
        <w:rPr>
          <w:bCs/>
          <w:i/>
          <w:iCs/>
          <w:color w:val="000000"/>
          <w:sz w:val="23"/>
          <w:szCs w:val="23"/>
        </w:rPr>
        <w:t xml:space="preserve"> </w:t>
      </w:r>
      <w:r>
        <w:rPr>
          <w:color w:val="000000"/>
          <w:sz w:val="23"/>
          <w:szCs w:val="23"/>
        </w:rPr>
        <w:t>includes a person whose interests are adversely affected.</w:t>
      </w:r>
    </w:p>
    <w:p>
      <w:pPr>
        <w:pStyle w:val="Heading5"/>
      </w:pPr>
      <w:bookmarkStart w:id="731" w:name="_Toc536782284"/>
      <w:r>
        <w:rPr>
          <w:rStyle w:val="CharSectno"/>
        </w:rPr>
        <w:t>242</w:t>
      </w:r>
      <w:r>
        <w:t>.</w:t>
      </w:r>
      <w:r>
        <w:tab/>
        <w:t>Applications for judicial review of decisions of the AEMC</w:t>
      </w:r>
      <w:bookmarkEnd w:id="73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aggrieved by—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or determination of the AEMC under this Law, the Regulations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failure by the AEMC to make a decision or determination under this Law, the Regulations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conduct engaged in, or proposed to be engaged in, by the AEMC for the purpose of making a decision or determination under this Law, the Regulations or the Rules,</w:t>
      </w:r>
    </w:p>
    <w:p>
      <w:pPr>
        <w:keepLines/>
        <w:autoSpaceDE w:val="0"/>
        <w:autoSpaceDN w:val="0"/>
        <w:adjustRightInd w:val="0"/>
        <w:spacing w:before="120"/>
        <w:ind w:left="1588"/>
        <w:rPr>
          <w:color w:val="000000"/>
          <w:sz w:val="23"/>
          <w:szCs w:val="23"/>
        </w:rPr>
      </w:pPr>
      <w:r>
        <w:rPr>
          <w:color w:val="000000"/>
          <w:sz w:val="23"/>
          <w:szCs w:val="23"/>
        </w:rPr>
        <w:t>may apply to the Court for judicial review of the decision or determination, failure or conduct or proposed conduct.</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 xml:space="preserve">The Commonwealth Minister, NCC and AER are subject to judicial review under the </w:t>
      </w:r>
      <w:r>
        <w:rPr>
          <w:i/>
          <w:iCs/>
          <w:color w:val="000000"/>
          <w:sz w:val="20"/>
        </w:rPr>
        <w:t>Administrative Decisions (Judicial Review) Act 1977</w:t>
      </w:r>
      <w:r>
        <w:rPr>
          <w:color w:val="000000"/>
          <w:sz w:val="20"/>
        </w:rPr>
        <w:t xml:space="preserve"> of the Commonwealth.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Unless the Court otherwise orders, the making of an application to the Court under subsection (1) does not affect the operation of the decision or determination referred to in that subsection or prevent the taking of action to implement the decision or determination.</w:t>
      </w:r>
    </w:p>
    <w:p>
      <w:pPr>
        <w:pStyle w:val="Heading5"/>
      </w:pPr>
      <w:bookmarkStart w:id="732" w:name="_Toc536782285"/>
      <w:r>
        <w:rPr>
          <w:rStyle w:val="CharSectno"/>
        </w:rPr>
        <w:t>243</w:t>
      </w:r>
      <w:r>
        <w:t>.</w:t>
      </w:r>
      <w:r>
        <w:tab/>
        <w:t>Applications for judicial review of decisions of the Bulletin Board operator</w:t>
      </w:r>
      <w:bookmarkEnd w:id="73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aggrieved by—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or determination of the Bulletin Board operator under this Law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failure by the Bulletin Board operator to make a decision or determination under this Law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conduct engaged in, or proposed to be engaged in, by the Bulletin Board operator for the purpose of making a decision or determination under this Law or the Rules,</w:t>
      </w:r>
    </w:p>
    <w:p>
      <w:pPr>
        <w:keepLines/>
        <w:autoSpaceDE w:val="0"/>
        <w:autoSpaceDN w:val="0"/>
        <w:adjustRightInd w:val="0"/>
        <w:spacing w:before="120"/>
        <w:ind w:left="1588"/>
        <w:rPr>
          <w:color w:val="000000"/>
          <w:sz w:val="23"/>
          <w:szCs w:val="23"/>
        </w:rPr>
      </w:pPr>
      <w:r>
        <w:rPr>
          <w:color w:val="000000"/>
          <w:sz w:val="23"/>
          <w:szCs w:val="23"/>
        </w:rPr>
        <w:t>may apply to the Court for judicial review of the decision or determination, failure or conduct or proposed conduct.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Unless the Court otherwise orders, the making of an application to the Court under subsection (1) does not affect the operation of the decision or determination referred to in that subsection or prevent the taking of action to implement the decision or determination.</w:t>
      </w:r>
    </w:p>
    <w:p>
      <w:pPr>
        <w:pStyle w:val="Heading3"/>
      </w:pPr>
      <w:bookmarkStart w:id="733" w:name="_Toc501634165"/>
      <w:bookmarkStart w:id="734" w:name="_Toc501713061"/>
      <w:bookmarkStart w:id="735" w:name="_Toc536782286"/>
      <w:r>
        <w:rPr>
          <w:rStyle w:val="CharDivNo"/>
        </w:rPr>
        <w:t>Part 5</w:t>
      </w:r>
      <w:r>
        <w:t xml:space="preserve"> — </w:t>
      </w:r>
      <w:r>
        <w:rPr>
          <w:rStyle w:val="CharDivText"/>
        </w:rPr>
        <w:t>Merits review and other non</w:t>
      </w:r>
      <w:r>
        <w:rPr>
          <w:rStyle w:val="CharDivText"/>
        </w:rPr>
        <w:noBreakHyphen/>
        <w:t>judicial review</w:t>
      </w:r>
      <w:bookmarkEnd w:id="733"/>
      <w:bookmarkEnd w:id="734"/>
      <w:bookmarkEnd w:id="735"/>
    </w:p>
    <w:p>
      <w:pPr>
        <w:pStyle w:val="Heading4"/>
        <w:keepNext w:val="0"/>
      </w:pPr>
      <w:bookmarkStart w:id="736" w:name="_Toc501634166"/>
      <w:bookmarkStart w:id="737" w:name="_Toc501713062"/>
      <w:bookmarkStart w:id="738" w:name="_Toc536782287"/>
      <w:r>
        <w:t>Division 1 — Interpretation</w:t>
      </w:r>
      <w:bookmarkEnd w:id="736"/>
      <w:bookmarkEnd w:id="737"/>
      <w:bookmarkEnd w:id="738"/>
    </w:p>
    <w:p>
      <w:pPr>
        <w:pStyle w:val="Heading5"/>
        <w:keepNext w:val="0"/>
        <w:keepLines w:val="0"/>
      </w:pPr>
      <w:bookmarkStart w:id="739" w:name="_Toc536782288"/>
      <w:r>
        <w:rPr>
          <w:rStyle w:val="CharSectno"/>
        </w:rPr>
        <w:t>244</w:t>
      </w:r>
      <w:r>
        <w:t>.</w:t>
      </w:r>
      <w:r>
        <w:tab/>
        <w:t>Definitions</w:t>
      </w:r>
      <w:bookmarkEnd w:id="739"/>
    </w:p>
    <w:p>
      <w:pPr>
        <w:autoSpaceDE w:val="0"/>
        <w:autoSpaceDN w:val="0"/>
        <w:adjustRightInd w:val="0"/>
        <w:spacing w:before="120"/>
        <w:ind w:left="1588"/>
        <w:rPr>
          <w:color w:val="000000"/>
          <w:sz w:val="23"/>
          <w:szCs w:val="23"/>
        </w:rPr>
      </w:pPr>
      <w:r>
        <w:rPr>
          <w:color w:val="000000"/>
          <w:sz w:val="23"/>
          <w:szCs w:val="23"/>
        </w:rPr>
        <w:t>In this Part—</w:t>
      </w:r>
    </w:p>
    <w:p>
      <w:pPr>
        <w:autoSpaceDE w:val="0"/>
        <w:autoSpaceDN w:val="0"/>
        <w:adjustRightInd w:val="0"/>
        <w:spacing w:before="120"/>
        <w:ind w:left="1588"/>
        <w:rPr>
          <w:color w:val="000000"/>
          <w:sz w:val="23"/>
          <w:szCs w:val="23"/>
        </w:rPr>
      </w:pPr>
      <w:r>
        <w:rPr>
          <w:rStyle w:val="CharDefText"/>
          <w:bCs/>
          <w:sz w:val="23"/>
        </w:rPr>
        <w:t>AER information disclosure decision</w:t>
      </w:r>
      <w:r>
        <w:rPr>
          <w:bCs/>
          <w:i/>
          <w:iCs/>
          <w:color w:val="000000"/>
          <w:sz w:val="23"/>
          <w:szCs w:val="23"/>
        </w:rPr>
        <w:t xml:space="preserve"> </w:t>
      </w:r>
      <w:r>
        <w:rPr>
          <w:color w:val="000000"/>
          <w:sz w:val="23"/>
          <w:szCs w:val="23"/>
        </w:rPr>
        <w:t>means a decision of the AER under section 329 to disclose information, or the contents of a document;</w:t>
      </w:r>
    </w:p>
    <w:p>
      <w:pPr>
        <w:keepNext/>
        <w:keepLines/>
        <w:autoSpaceDE w:val="0"/>
        <w:autoSpaceDN w:val="0"/>
        <w:adjustRightInd w:val="0"/>
        <w:spacing w:before="120"/>
        <w:ind w:left="1588"/>
        <w:rPr>
          <w:color w:val="000000"/>
          <w:sz w:val="23"/>
          <w:szCs w:val="23"/>
        </w:rPr>
      </w:pPr>
      <w:r>
        <w:rPr>
          <w:rStyle w:val="CharDefText"/>
          <w:bCs/>
          <w:sz w:val="23"/>
        </w:rPr>
        <w:t>affected or interested person or body</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to whom a reviewable regulatory decision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user, prospective user or end user whose commercial interests are materially affected by a reviewable regulatory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user or consumer association;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(ca)</w:t>
      </w:r>
      <w:r>
        <w:rPr>
          <w:color w:val="000000"/>
          <w:sz w:val="23"/>
          <w:szCs w:val="23"/>
        </w:rPr>
        <w:tab/>
        <w:t>a reviewable regulatory decision process participant;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person whose interests are affected by a reviewable regulatory decision that is—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coverage determination;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15</w:t>
      </w:r>
      <w:r>
        <w:rPr>
          <w:color w:val="000000"/>
          <w:sz w:val="23"/>
          <w:szCs w:val="23"/>
        </w:rPr>
        <w:noBreakHyphen/>
        <w:t>year no</w:t>
      </w:r>
      <w:r>
        <w:rPr>
          <w:color w:val="000000"/>
          <w:sz w:val="23"/>
          <w:szCs w:val="23"/>
        </w:rPr>
        <w:noBreakHyphen/>
        <w:t>coverage determination;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coverage revocation determination;</w:t>
      </w:r>
    </w:p>
    <w:p>
      <w:pPr>
        <w:keepNext/>
        <w:keepLines/>
        <w:autoSpaceDE w:val="0"/>
        <w:autoSpaceDN w:val="0"/>
        <w:adjustRightInd w:val="0"/>
        <w:spacing w:before="120"/>
        <w:ind w:left="1588"/>
        <w:rPr>
          <w:color w:val="000000"/>
          <w:sz w:val="23"/>
          <w:szCs w:val="23"/>
        </w:rPr>
      </w:pPr>
      <w:r>
        <w:rPr>
          <w:rStyle w:val="CharDefText"/>
          <w:bCs/>
          <w:sz w:val="23"/>
        </w:rPr>
        <w:t>applicant</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affected or interested person or body who has been granted leave to apply for review by the Tribunal under Division 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who makes an application under section 263;</w:t>
      </w:r>
    </w:p>
    <w:p>
      <w:pPr>
        <w:keepLines/>
        <w:autoSpaceDE w:val="0"/>
        <w:autoSpaceDN w:val="0"/>
        <w:adjustRightInd w:val="0"/>
        <w:spacing w:before="120"/>
        <w:ind w:left="1588"/>
        <w:rPr>
          <w:color w:val="000000"/>
          <w:sz w:val="23"/>
          <w:szCs w:val="23"/>
        </w:rPr>
      </w:pPr>
      <w:r>
        <w:rPr>
          <w:rStyle w:val="CharDefText"/>
          <w:bCs/>
          <w:sz w:val="23"/>
        </w:rPr>
        <w:t>average annual regulated revenue</w:t>
      </w:r>
      <w:r>
        <w:rPr>
          <w:bCs/>
          <w:i/>
          <w:iCs/>
          <w:color w:val="000000"/>
          <w:sz w:val="23"/>
          <w:szCs w:val="23"/>
        </w:rPr>
        <w:t xml:space="preserve"> </w:t>
      </w:r>
      <w:r>
        <w:rPr>
          <w:color w:val="000000"/>
          <w:sz w:val="23"/>
          <w:szCs w:val="23"/>
        </w:rPr>
        <w:t>means the annual average of regulated revenue calculated for the regulatory period of an applicable access arrangement;</w:t>
      </w:r>
    </w:p>
    <w:p>
      <w:pPr>
        <w:keepNext/>
        <w:keepLines/>
        <w:autoSpaceDE w:val="0"/>
        <w:autoSpaceDN w:val="0"/>
        <w:adjustRightInd w:val="0"/>
        <w:spacing w:before="120"/>
        <w:ind w:left="1588"/>
        <w:rPr>
          <w:color w:val="000000"/>
          <w:sz w:val="23"/>
          <w:szCs w:val="23"/>
        </w:rPr>
      </w:pPr>
      <w:r>
        <w:rPr>
          <w:rStyle w:val="CharDefText"/>
          <w:bCs/>
          <w:sz w:val="23"/>
        </w:rPr>
        <w:t>coverage related light regulation decision</w:t>
      </w:r>
      <w:r>
        <w:rPr>
          <w:bCs/>
          <w:i/>
          <w:iCs/>
          <w:color w:val="000000"/>
          <w:sz w:val="23"/>
          <w:szCs w:val="23"/>
        </w:rPr>
        <w:t xml:space="preserve"> </w:t>
      </w:r>
      <w:r>
        <w:rPr>
          <w:color w:val="000000"/>
          <w:sz w:val="23"/>
          <w:szCs w:val="23"/>
        </w:rPr>
        <w:t>means either of the following reviewable regulatory decisions: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of the NCC under section 110(1);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of the NCC under section 119(3);</w:t>
      </w:r>
    </w:p>
    <w:p>
      <w:pPr>
        <w:keepLines/>
        <w:autoSpaceDE w:val="0"/>
        <w:autoSpaceDN w:val="0"/>
        <w:adjustRightInd w:val="0"/>
        <w:spacing w:before="120"/>
        <w:ind w:left="1588"/>
        <w:rPr>
          <w:color w:val="000000"/>
          <w:sz w:val="23"/>
          <w:szCs w:val="23"/>
        </w:rPr>
      </w:pPr>
      <w:r>
        <w:rPr>
          <w:rStyle w:val="CharDefText"/>
          <w:bCs/>
          <w:sz w:val="23"/>
        </w:rPr>
        <w:t>end user</w:t>
      </w:r>
      <w:r>
        <w:rPr>
          <w:bCs/>
          <w:i/>
          <w:iCs/>
          <w:color w:val="000000"/>
          <w:sz w:val="23"/>
          <w:szCs w:val="23"/>
        </w:rPr>
        <w:t xml:space="preserve"> </w:t>
      </w:r>
      <w:r>
        <w:rPr>
          <w:color w:val="000000"/>
          <w:sz w:val="23"/>
          <w:szCs w:val="23"/>
        </w:rPr>
        <w:t>includes a person who acquires, or proposes to acquire, natural gas for the purpose of on</w:t>
      </w:r>
      <w:r>
        <w:rPr>
          <w:color w:val="000000"/>
          <w:sz w:val="23"/>
          <w:szCs w:val="23"/>
        </w:rPr>
        <w:noBreakHyphen/>
        <w:t>selling that gas to a person who intends to consume that gas;</w:t>
      </w:r>
    </w:p>
    <w:p>
      <w:pPr>
        <w:keepLines/>
        <w:autoSpaceDE w:val="0"/>
        <w:autoSpaceDN w:val="0"/>
        <w:adjustRightInd w:val="0"/>
        <w:spacing w:before="120"/>
        <w:ind w:left="1588"/>
        <w:rPr>
          <w:color w:val="000000"/>
          <w:sz w:val="23"/>
          <w:szCs w:val="23"/>
        </w:rPr>
      </w:pPr>
      <w:r>
        <w:rPr>
          <w:rStyle w:val="CharDefText"/>
          <w:bCs/>
          <w:sz w:val="23"/>
        </w:rPr>
        <w:t>intervener</w:t>
      </w:r>
      <w:r>
        <w:rPr>
          <w:color w:val="000000"/>
          <w:sz w:val="23"/>
          <w:szCs w:val="23"/>
        </w:rPr>
        <w:t xml:space="preserve"> means a person or body referred to in section 253, 254 or 255 who has intervened in a review under Division 2 with the leave of the Tribunal or otherwise;</w:t>
      </w:r>
    </w:p>
    <w:p>
      <w:pPr>
        <w:keepLines/>
        <w:autoSpaceDE w:val="0"/>
        <w:autoSpaceDN w:val="0"/>
        <w:adjustRightInd w:val="0"/>
        <w:spacing w:before="120"/>
        <w:ind w:left="1588"/>
        <w:rPr>
          <w:color w:val="000000"/>
          <w:sz w:val="23"/>
          <w:szCs w:val="23"/>
        </w:rPr>
      </w:pPr>
      <w:r>
        <w:rPr>
          <w:rStyle w:val="CharDefText"/>
          <w:bCs/>
          <w:sz w:val="23"/>
          <w:szCs w:val="23"/>
        </w:rPr>
        <w:t>materially preferable designated NGO decision</w:t>
      </w:r>
      <w:r>
        <w:rPr>
          <w:color w:val="000000"/>
          <w:sz w:val="23"/>
          <w:szCs w:val="23"/>
        </w:rPr>
        <w:t>—see section 259(4a)(c);</w:t>
      </w:r>
    </w:p>
    <w:p>
      <w:pPr>
        <w:keepNext/>
        <w:keepLines/>
        <w:autoSpaceDE w:val="0"/>
        <w:autoSpaceDN w:val="0"/>
        <w:adjustRightInd w:val="0"/>
        <w:spacing w:before="120"/>
        <w:ind w:left="1588"/>
        <w:rPr>
          <w:color w:val="000000"/>
          <w:sz w:val="23"/>
          <w:szCs w:val="23"/>
        </w:rPr>
      </w:pPr>
      <w:r>
        <w:rPr>
          <w:rStyle w:val="CharDefText"/>
          <w:bCs/>
          <w:sz w:val="23"/>
        </w:rPr>
        <w:t>NCC recommendation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coverage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coverage revocation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no</w:t>
      </w:r>
      <w:r>
        <w:rPr>
          <w:color w:val="000000"/>
          <w:sz w:val="23"/>
          <w:szCs w:val="23"/>
        </w:rPr>
        <w:noBreakHyphen/>
        <w:t>coverage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price regulation exemption recommendation;</w:t>
      </w:r>
    </w:p>
    <w:p>
      <w:pPr>
        <w:keepLines/>
        <w:autoSpaceDE w:val="0"/>
        <w:autoSpaceDN w:val="0"/>
        <w:adjustRightInd w:val="0"/>
        <w:spacing w:before="120"/>
        <w:ind w:left="1588"/>
        <w:rPr>
          <w:color w:val="000000"/>
          <w:sz w:val="23"/>
          <w:szCs w:val="23"/>
        </w:rPr>
      </w:pPr>
      <w:r>
        <w:rPr>
          <w:rStyle w:val="CharDefText"/>
          <w:bCs/>
          <w:sz w:val="23"/>
        </w:rPr>
        <w:t>original decision maker</w:t>
      </w:r>
      <w:r>
        <w:rPr>
          <w:bCs/>
          <w:i/>
          <w:iCs/>
          <w:color w:val="000000"/>
          <w:sz w:val="23"/>
          <w:szCs w:val="23"/>
        </w:rPr>
        <w:t xml:space="preserve"> </w:t>
      </w:r>
      <w:r>
        <w:rPr>
          <w:color w:val="000000"/>
          <w:sz w:val="23"/>
          <w:szCs w:val="23"/>
        </w:rPr>
        <w:t>means a relevant Minister, the Commonwealth Minister, the AER or the NCC;</w:t>
      </w:r>
    </w:p>
    <w:p>
      <w:pPr>
        <w:keepNext/>
        <w:keepLines/>
        <w:autoSpaceDE w:val="0"/>
        <w:autoSpaceDN w:val="0"/>
        <w:adjustRightInd w:val="0"/>
        <w:spacing w:before="120"/>
        <w:ind w:left="1588"/>
        <w:rPr>
          <w:color w:val="000000"/>
          <w:sz w:val="23"/>
          <w:szCs w:val="23"/>
        </w:rPr>
      </w:pPr>
      <w:r>
        <w:rPr>
          <w:rStyle w:val="CharDefText"/>
          <w:bCs/>
          <w:sz w:val="23"/>
        </w:rPr>
        <w:t>regulated revenue</w:t>
      </w:r>
      <w:r>
        <w:rPr>
          <w:bCs/>
          <w:i/>
          <w:iCs/>
          <w:color w:val="000000"/>
          <w:sz w:val="23"/>
          <w:szCs w:val="23"/>
        </w:rPr>
        <w:t xml:space="preserve"> </w:t>
      </w:r>
      <w:r>
        <w:rPr>
          <w:color w:val="000000"/>
          <w:sz w:val="23"/>
          <w:szCs w:val="23"/>
        </w:rPr>
        <w:t>means the total revenue earned or to be earned by a covered pipeline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during the regulatory period of,</w:t>
      </w:r>
    </w:p>
    <w:p>
      <w:pPr>
        <w:keepLines/>
        <w:autoSpaceDE w:val="0"/>
        <w:autoSpaceDN w:val="0"/>
        <w:adjustRightInd w:val="0"/>
        <w:spacing w:before="120"/>
        <w:ind w:left="1588"/>
        <w:rPr>
          <w:color w:val="000000"/>
          <w:sz w:val="23"/>
          <w:szCs w:val="23"/>
        </w:rPr>
      </w:pPr>
      <w:r>
        <w:rPr>
          <w:color w:val="000000"/>
          <w:sz w:val="23"/>
          <w:szCs w:val="23"/>
        </w:rPr>
        <w:t>an applicable access arrangement through the provision of reference services to which that arrangement applies;</w:t>
      </w:r>
    </w:p>
    <w:p>
      <w:pPr>
        <w:keepLines/>
        <w:autoSpaceDE w:val="0"/>
        <w:autoSpaceDN w:val="0"/>
        <w:adjustRightInd w:val="0"/>
        <w:spacing w:before="120"/>
        <w:ind w:left="1588"/>
        <w:rPr>
          <w:color w:val="000000"/>
          <w:sz w:val="23"/>
          <w:szCs w:val="23"/>
        </w:rPr>
      </w:pPr>
      <w:r>
        <w:rPr>
          <w:rStyle w:val="CharDefText"/>
          <w:bCs/>
          <w:sz w:val="23"/>
        </w:rPr>
        <w:t>regulatory period</w:t>
      </w:r>
      <w:r>
        <w:rPr>
          <w:bCs/>
          <w:i/>
          <w:iCs/>
          <w:color w:val="000000"/>
          <w:sz w:val="23"/>
          <w:szCs w:val="23"/>
        </w:rPr>
        <w:t xml:space="preserve"> </w:t>
      </w:r>
      <w:r>
        <w:rPr>
          <w:color w:val="000000"/>
          <w:sz w:val="23"/>
          <w:szCs w:val="23"/>
        </w:rPr>
        <w:t>means the period specified in an applicable access arrangement to be the regulatory period;</w:t>
      </w:r>
    </w:p>
    <w:p>
      <w:pPr>
        <w:keepLines/>
        <w:autoSpaceDE w:val="0"/>
        <w:autoSpaceDN w:val="0"/>
        <w:adjustRightInd w:val="0"/>
        <w:spacing w:before="120"/>
        <w:ind w:left="1588"/>
        <w:rPr>
          <w:color w:val="000000"/>
          <w:sz w:val="23"/>
          <w:szCs w:val="23"/>
        </w:rPr>
      </w:pPr>
      <w:r>
        <w:rPr>
          <w:rStyle w:val="CharDefText"/>
          <w:bCs/>
          <w:sz w:val="23"/>
        </w:rPr>
        <w:t>review under this Part</w:t>
      </w:r>
      <w:r>
        <w:rPr>
          <w:bCs/>
          <w:i/>
          <w:iCs/>
          <w:color w:val="000000"/>
          <w:sz w:val="23"/>
          <w:szCs w:val="23"/>
        </w:rPr>
        <w:t xml:space="preserve"> </w:t>
      </w:r>
      <w:r>
        <w:rPr>
          <w:color w:val="000000"/>
          <w:sz w:val="23"/>
          <w:szCs w:val="23"/>
        </w:rPr>
        <w:t>means a review under Division 2 or Division 3;</w:t>
      </w:r>
    </w:p>
    <w:p>
      <w:pPr>
        <w:keepNext/>
        <w:keepLines/>
        <w:autoSpaceDE w:val="0"/>
        <w:autoSpaceDN w:val="0"/>
        <w:adjustRightInd w:val="0"/>
        <w:spacing w:before="120"/>
        <w:ind w:left="1588"/>
        <w:rPr>
          <w:color w:val="000000"/>
          <w:sz w:val="23"/>
          <w:szCs w:val="23"/>
        </w:rPr>
      </w:pPr>
      <w:r>
        <w:rPr>
          <w:rStyle w:val="CharDefText"/>
          <w:bCs/>
          <w:sz w:val="23"/>
        </w:rPr>
        <w:t>reviewable regulatory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Ministerial coverage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light regulation determination or a decision of the NCC under Chapter 3 Part 2 not to make a light regulation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decision of the NCC under Chapter 3 Part 2 to revoke or not revoke a light regulation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designated reviewable regulatory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 AER ring fencing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decision of the AER under section 146 to give an exemption;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an associate contract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a decision of an original decision maker that is prescribed by the Regulations to be a reviewable regulatory decision,</w:t>
      </w:r>
    </w:p>
    <w:p>
      <w:pPr>
        <w:keepLines/>
        <w:autoSpaceDE w:val="0"/>
        <w:autoSpaceDN w:val="0"/>
        <w:adjustRightInd w:val="0"/>
        <w:spacing w:before="120"/>
        <w:ind w:left="1588"/>
        <w:rPr>
          <w:color w:val="000000"/>
          <w:sz w:val="23"/>
          <w:szCs w:val="23"/>
        </w:rPr>
      </w:pPr>
      <w:r>
        <w:rPr>
          <w:color w:val="000000"/>
          <w:sz w:val="23"/>
          <w:szCs w:val="23"/>
        </w:rPr>
        <w:t>but does not include a decision of the AER made under Chapter 10 Part 2;</w:t>
      </w:r>
    </w:p>
    <w:p>
      <w:pPr>
        <w:keepLines/>
        <w:autoSpaceDE w:val="0"/>
        <w:autoSpaceDN w:val="0"/>
        <w:adjustRightInd w:val="0"/>
        <w:spacing w:before="120"/>
        <w:ind w:left="1588"/>
        <w:rPr>
          <w:color w:val="000000"/>
          <w:sz w:val="23"/>
          <w:szCs w:val="23"/>
        </w:rPr>
      </w:pPr>
      <w:r>
        <w:rPr>
          <w:rStyle w:val="CharDefText"/>
          <w:bCs/>
          <w:sz w:val="23"/>
          <w:szCs w:val="23"/>
        </w:rPr>
        <w:t>reviewable regulatory decision process participant</w:t>
      </w:r>
      <w:r>
        <w:rPr>
          <w:color w:val="000000"/>
          <w:sz w:val="23"/>
          <w:szCs w:val="23"/>
        </w:rPr>
        <w:t xml:space="preserve"> means a person or body who, in relation to a reviewable regulatory decision that is being reviewed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made a submission or comment in relation to the making of that decision within the time required under this Law or the Rules following an invitation to do so by the original decision maker;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made a submission or comment in relation to the making of that decision outside the time required under this Law or the Rules following an invitation to do so by the original decision maker but which the original decision maker chose to take into account in the making of that decision,</w:t>
      </w:r>
    </w:p>
    <w:p>
      <w:pPr>
        <w:keepLines/>
        <w:autoSpaceDE w:val="0"/>
        <w:autoSpaceDN w:val="0"/>
        <w:adjustRightInd w:val="0"/>
        <w:spacing w:before="120"/>
        <w:ind w:left="1588"/>
        <w:rPr>
          <w:color w:val="000000"/>
          <w:sz w:val="23"/>
          <w:szCs w:val="23"/>
        </w:rPr>
      </w:pPr>
      <w:r>
        <w:rPr>
          <w:color w:val="000000"/>
          <w:sz w:val="23"/>
          <w:szCs w:val="23"/>
        </w:rPr>
        <w:t>and includes, in relation to a designated reviewable regulatory decision, a Minister of a participating jurisdiction;</w:t>
      </w:r>
    </w:p>
    <w:p>
      <w:pPr>
        <w:keepNext/>
        <w:keepLines/>
        <w:autoSpaceDE w:val="0"/>
        <w:autoSpaceDN w:val="0"/>
        <w:adjustRightInd w:val="0"/>
        <w:spacing w:before="120"/>
        <w:ind w:left="1588"/>
        <w:rPr>
          <w:color w:val="000000"/>
          <w:sz w:val="23"/>
          <w:szCs w:val="23"/>
        </w:rPr>
      </w:pPr>
      <w:r>
        <w:rPr>
          <w:rStyle w:val="CharDefText"/>
          <w:bCs/>
          <w:sz w:val="23"/>
        </w:rPr>
        <w:t>small/medium user or consumer intervener</w:t>
      </w:r>
      <w:r>
        <w:rPr>
          <w:bCs/>
          <w:i/>
          <w:iCs/>
          <w:color w:val="000000"/>
          <w:sz w:val="23"/>
          <w:szCs w:val="23"/>
        </w:rPr>
        <w:t xml:space="preserve"> </w:t>
      </w:r>
      <w:r>
        <w:rPr>
          <w:color w:val="000000"/>
          <w:sz w:val="23"/>
          <w:szCs w:val="23"/>
        </w:rPr>
        <w:t>means a user or consumer intervener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members of which are only small to medium users or end users;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does not have any such members, has, as an object or purpose, the object or purpose of representing and promoting the interests of small to medium users or end users;</w:t>
      </w:r>
    </w:p>
    <w:p>
      <w:pPr>
        <w:keepLines/>
        <w:autoSpaceDE w:val="0"/>
        <w:autoSpaceDN w:val="0"/>
        <w:adjustRightInd w:val="0"/>
        <w:spacing w:before="120"/>
        <w:ind w:left="1588"/>
        <w:rPr>
          <w:color w:val="000000"/>
          <w:sz w:val="23"/>
          <w:szCs w:val="23"/>
        </w:rPr>
      </w:pPr>
      <w:r>
        <w:rPr>
          <w:rStyle w:val="CharDefText"/>
          <w:bCs/>
          <w:sz w:val="23"/>
        </w:rPr>
        <w:t>small to medium user or end user</w:t>
      </w:r>
      <w:r>
        <w:rPr>
          <w:bCs/>
          <w:i/>
          <w:iCs/>
          <w:color w:val="000000"/>
          <w:sz w:val="23"/>
          <w:szCs w:val="23"/>
        </w:rPr>
        <w:t xml:space="preserve"> </w:t>
      </w:r>
      <w:r>
        <w:rPr>
          <w:color w:val="000000"/>
          <w:sz w:val="23"/>
          <w:szCs w:val="23"/>
        </w:rPr>
        <w:t>means a user or end user whose annual consumption of natural gas does not exceed a level (expressed in terajoules) fixed by Regulation for the purposes of this definition;</w:t>
      </w:r>
    </w:p>
    <w:p>
      <w:pPr>
        <w:keepNext/>
        <w:keepLines/>
        <w:autoSpaceDE w:val="0"/>
        <w:autoSpaceDN w:val="0"/>
        <w:adjustRightInd w:val="0"/>
        <w:spacing w:before="120"/>
        <w:ind w:left="1588"/>
        <w:rPr>
          <w:color w:val="000000"/>
          <w:sz w:val="23"/>
          <w:szCs w:val="23"/>
        </w:rPr>
      </w:pPr>
      <w:r>
        <w:rPr>
          <w:rStyle w:val="CharDefText"/>
          <w:bCs/>
          <w:sz w:val="23"/>
        </w:rPr>
        <w:t>user or consumer association</w:t>
      </w:r>
      <w:r>
        <w:rPr>
          <w:bCs/>
          <w:i/>
          <w:iCs/>
          <w:color w:val="000000"/>
          <w:sz w:val="23"/>
          <w:szCs w:val="23"/>
        </w:rPr>
        <w:t xml:space="preserve"> </w:t>
      </w:r>
      <w:r>
        <w:rPr>
          <w:color w:val="000000"/>
          <w:sz w:val="23"/>
          <w:szCs w:val="23"/>
        </w:rPr>
        <w:t>means an association or body (whether incorporated or unincorporated)—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members of which include more than 1 user, prospective user or end user;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represents and promotes the interests of those members in relation to the provision of natural gas services;</w:t>
      </w:r>
    </w:p>
    <w:p>
      <w:pPr>
        <w:keepNext/>
        <w:keepLines/>
        <w:autoSpaceDE w:val="0"/>
        <w:autoSpaceDN w:val="0"/>
        <w:adjustRightInd w:val="0"/>
        <w:spacing w:before="120"/>
        <w:ind w:left="1588"/>
        <w:rPr>
          <w:color w:val="000000"/>
          <w:sz w:val="23"/>
          <w:szCs w:val="23"/>
        </w:rPr>
      </w:pPr>
      <w:r>
        <w:rPr>
          <w:rStyle w:val="CharDefText"/>
          <w:bCs/>
          <w:sz w:val="23"/>
        </w:rPr>
        <w:t>user or consumer interest group</w:t>
      </w:r>
      <w:r>
        <w:rPr>
          <w:bCs/>
          <w:i/>
          <w:iCs/>
          <w:color w:val="000000"/>
          <w:sz w:val="23"/>
          <w:szCs w:val="23"/>
        </w:rPr>
        <w:t xml:space="preserve"> </w:t>
      </w:r>
      <w:r>
        <w:rPr>
          <w:color w:val="000000"/>
          <w:sz w:val="23"/>
          <w:szCs w:val="23"/>
        </w:rPr>
        <w:t>means an association or body (whether incorporated or unincorporated)—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has, as an object or purpose, the object or purpose of representing and promoting the interests of users or prospective users or end users of natural gas services;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members of which need not include a user, prospective user or end user;</w:t>
      </w:r>
    </w:p>
    <w:p>
      <w:pPr>
        <w:keepNext/>
        <w:keepLines/>
        <w:autoSpaceDE w:val="0"/>
        <w:autoSpaceDN w:val="0"/>
        <w:adjustRightInd w:val="0"/>
        <w:spacing w:before="120"/>
        <w:ind w:left="1588"/>
        <w:rPr>
          <w:color w:val="000000"/>
          <w:sz w:val="23"/>
          <w:szCs w:val="23"/>
        </w:rPr>
      </w:pPr>
      <w:r>
        <w:rPr>
          <w:rStyle w:val="CharDefText"/>
          <w:bCs/>
          <w:sz w:val="23"/>
        </w:rPr>
        <w:t xml:space="preserve">user or consumer intervener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user or consumer association;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user or consumer interest group,</w:t>
      </w:r>
    </w:p>
    <w:p>
      <w:pPr>
        <w:keepLines/>
        <w:autoSpaceDE w:val="0"/>
        <w:autoSpaceDN w:val="0"/>
        <w:adjustRightInd w:val="0"/>
        <w:spacing w:before="120"/>
        <w:ind w:left="1588"/>
        <w:rPr>
          <w:color w:val="000000"/>
          <w:sz w:val="23"/>
          <w:szCs w:val="23"/>
        </w:rPr>
      </w:pPr>
      <w:r>
        <w:rPr>
          <w:color w:val="000000"/>
          <w:sz w:val="23"/>
          <w:szCs w:val="23"/>
        </w:rPr>
        <w:t>that has made a submission or comment in relation to the making of a reviewable regulatory decision following an invitation to do so under this Law or the Rules.</w:t>
      </w:r>
    </w:p>
    <w:p>
      <w:pPr>
        <w:pStyle w:val="Footnotesection"/>
        <w:rPr>
          <w:szCs w:val="23"/>
        </w:rPr>
      </w:pPr>
      <w:r>
        <w:tab/>
        <w:t>[Section 244 amended see SA Act No. 79 of 2013 s. 22 and WA Gazette 14 Mar 2014 p. 632.]</w:t>
      </w:r>
    </w:p>
    <w:p>
      <w:pPr>
        <w:pStyle w:val="Heading4"/>
      </w:pPr>
      <w:bookmarkStart w:id="740" w:name="_Toc501634168"/>
      <w:bookmarkStart w:id="741" w:name="_Toc501713064"/>
      <w:bookmarkStart w:id="742" w:name="_Toc536782289"/>
      <w:r>
        <w:t>Division 2 — Merits review for reviewable regulatory decisions</w:t>
      </w:r>
      <w:bookmarkEnd w:id="740"/>
      <w:bookmarkEnd w:id="741"/>
      <w:bookmarkEnd w:id="742"/>
    </w:p>
    <w:p>
      <w:pPr>
        <w:pStyle w:val="Heading5"/>
      </w:pPr>
      <w:bookmarkStart w:id="743" w:name="_Toc536782290"/>
      <w:r>
        <w:rPr>
          <w:rStyle w:val="CharSectno"/>
        </w:rPr>
        <w:t>245</w:t>
      </w:r>
      <w:r>
        <w:t>.</w:t>
      </w:r>
      <w:r>
        <w:tab/>
        <w:t>Applications for review</w:t>
      </w:r>
      <w:bookmarkEnd w:id="74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an affected or interested person or body, with the leave of the Tribunal, may apply to the Tribunal for a review of a reviewable regulatory decision.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the form and manner determined by the Tribunal;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the grounds for review being relied on.</w:t>
      </w:r>
    </w:p>
    <w:p>
      <w:pPr>
        <w:pStyle w:val="Heading5"/>
      </w:pPr>
      <w:bookmarkStart w:id="744" w:name="_Toc536782291"/>
      <w:r>
        <w:rPr>
          <w:rStyle w:val="CharSectno"/>
        </w:rPr>
        <w:t>246</w:t>
      </w:r>
      <w:r>
        <w:t>.</w:t>
      </w:r>
      <w:r>
        <w:tab/>
        <w:t>Grounds for review</w:t>
      </w:r>
      <w:bookmarkEnd w:id="74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application under section 245(1) may be made only on 1 or more of the following grounds: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original decision maker made an error of fact in the decision maker’s findings of facts, and that error of fact was material to the making of the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original decision maker made more than 1 error of fact in the decision maker’s findings of facts, and those errors of fact, in combination, were material to the making of the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exercise of the original decision maker’s discretion was incorrect, having regard to all the circumstances;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original decision maker’s decision was unreasonable, having regard to all the circumstances.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(1a)</w:t>
      </w:r>
      <w:r>
        <w:rPr>
          <w:color w:val="000000"/>
          <w:sz w:val="23"/>
          <w:szCs w:val="23"/>
        </w:rPr>
        <w:tab/>
        <w:t>An application under section 245(1) that relates to a designated reviewable regulatory decision must also specify the manner in which a determination made by the Tribunal varying the designated reviewable regulatory decision, or setting aside the designated reviewable regulatory decision and a fresh decision being made by the AER following remission of the matter to the AER by the Tribunal, on the basis of 1 or more grounds raised in the application, either separately or collectively, would, or would be likely to, result in a materially preferable designated NGO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It is for the applicant to establish a ground listed in subsection (1) and the matter referred to in subsection (1a).</w:t>
      </w:r>
    </w:p>
    <w:p>
      <w:pPr>
        <w:pStyle w:val="Footnotesection"/>
        <w:rPr>
          <w:szCs w:val="23"/>
        </w:rPr>
      </w:pPr>
      <w:r>
        <w:tab/>
        <w:t>[Section 246 amended see SA Act No. 79 of 2013 s. 23 and WA Gazette 14 Mar 2014 p. 632.]</w:t>
      </w:r>
    </w:p>
    <w:p>
      <w:pPr>
        <w:pStyle w:val="Heading5"/>
      </w:pPr>
      <w:bookmarkStart w:id="745" w:name="_Toc536782292"/>
      <w:r>
        <w:rPr>
          <w:rStyle w:val="CharSectno"/>
        </w:rPr>
        <w:t>247</w:t>
      </w:r>
      <w:r>
        <w:t>.</w:t>
      </w:r>
      <w:r>
        <w:tab/>
        <w:t>By when an application must be made</w:t>
      </w:r>
      <w:bookmarkEnd w:id="74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application under section 245(1) in respect of a reviewable regulatory decision (other than a coverage related light regulation decision) must be made no later than 15 business days after the reviewable regulatory decision is published in accordance with this Law or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under section 245(1) in respect of a coverage related light regulation decision must be made—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decision of the NCC under section 110(1), no later than 15 business days after the making of the coverage determination relating to the coverage recommendation to which the decision under section 110(1) is attached;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decision of the NCC under section 119(3), no later than 15 business days after the making of the coverage revocation determination relating to the coverage revocation recommendation to which the decision under section 119(3) is attached.</w:t>
      </w:r>
    </w:p>
    <w:p>
      <w:pPr>
        <w:pStyle w:val="Heading5"/>
      </w:pPr>
      <w:bookmarkStart w:id="746" w:name="_Toc536782293"/>
      <w:r>
        <w:rPr>
          <w:rStyle w:val="CharSectno"/>
        </w:rPr>
        <w:t>248</w:t>
      </w:r>
      <w:r>
        <w:t>.</w:t>
      </w:r>
      <w:r>
        <w:tab/>
        <w:t>Tribunal must not grant leave unless serious issue to be heard and determined</w:t>
      </w:r>
      <w:bookmarkEnd w:id="746"/>
    </w:p>
    <w:p>
      <w:pPr>
        <w:keepLines/>
        <w:autoSpaceDE w:val="0"/>
        <w:autoSpaceDN w:val="0"/>
        <w:adjustRightInd w:val="0"/>
        <w:spacing w:before="120"/>
        <w:ind w:left="1588"/>
        <w:rPr>
          <w:color w:val="000000"/>
          <w:sz w:val="23"/>
          <w:szCs w:val="23"/>
        </w:rPr>
      </w:pPr>
      <w:r>
        <w:rPr>
          <w:color w:val="000000"/>
          <w:sz w:val="23"/>
          <w:szCs w:val="23"/>
        </w:rPr>
        <w:t xml:space="preserve">Subject to this Division, the Tribunal must not grant leave to apply under section 245(1) unless it appears to the Tribunal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there is a serious issue to be heard and determined as to whether a ground for review set out in section 246(1) exists;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designated reviewable regulatory decision—that the applicant has established a prima facie case that a determination made by the Tribunal varying the designated reviewable regulatory decision, or setting aside the designated reviewable regulatory decision and a fresh decision being made by the AER following remission of the matter to the AER by the Tribunal, on the basis of 1 or more grounds raised in the application, either separately or collectively, would, or would be likely to, result in a materially preferable designated NGO decision.</w:t>
      </w:r>
    </w:p>
    <w:p>
      <w:pPr>
        <w:pStyle w:val="Footnotesection"/>
        <w:rPr>
          <w:szCs w:val="23"/>
        </w:rPr>
      </w:pPr>
      <w:r>
        <w:tab/>
        <w:t>[Section 248 amended see SA Act No. 79 of 2013 s. 24 and WA Gazette 14 Mar 2014 p. 632.]</w:t>
      </w:r>
    </w:p>
    <w:p>
      <w:pPr>
        <w:pStyle w:val="Heading5"/>
      </w:pPr>
      <w:bookmarkStart w:id="747" w:name="_Toc536782294"/>
      <w:r>
        <w:rPr>
          <w:rStyle w:val="CharSectno"/>
        </w:rPr>
        <w:t>249</w:t>
      </w:r>
      <w:r>
        <w:t>.</w:t>
      </w:r>
      <w:r>
        <w:tab/>
        <w:t>Leave must be refused if application is about an error relating to revenue amounts below specified threshold</w:t>
      </w:r>
      <w:bookmarkEnd w:id="74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leave to apply under section 245(1) is about an error in a designated reviewable regulatory decision that is a full access arrangement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ground for review relied on by the applicant relates to the amount of revenue that may be earned by a covered pipeline service provider that is specified in or derived from that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Despite section 248, the Tribunal must not grant leave to apply under section 245(1) even if there is a serious issue to be heard and determined as to whether a ground for review set out in section 246(1) exists unless the amount that is specified in or derived from the decision exceeds the lesser of $5 000 000 or 2% of the average annual regulated revenue of the covered pipeline service provider.</w:t>
      </w:r>
    </w:p>
    <w:p>
      <w:pPr>
        <w:pStyle w:val="Footnotesection"/>
        <w:rPr>
          <w:szCs w:val="23"/>
        </w:rPr>
      </w:pPr>
      <w:r>
        <w:tab/>
        <w:t>[Section 249 amended see SA Act No. 79 of 2013 s. 25 and WA Gazette 14 Mar 2014 p. 632.]</w:t>
      </w:r>
    </w:p>
    <w:p>
      <w:pPr>
        <w:pStyle w:val="Heading5"/>
        <w:keepNext w:val="0"/>
        <w:keepLines w:val="0"/>
        <w:spacing w:before="120"/>
      </w:pPr>
      <w:bookmarkStart w:id="748" w:name="_Toc536782295"/>
      <w:r>
        <w:rPr>
          <w:rStyle w:val="CharSectno"/>
        </w:rPr>
        <w:t>250</w:t>
      </w:r>
      <w:r>
        <w:t>.</w:t>
      </w:r>
      <w:r>
        <w:tab/>
        <w:t>Tribunal must refuse to grant leave if submission not made or is made late</w:t>
      </w:r>
      <w:bookmarkEnd w:id="748"/>
    </w:p>
    <w:p>
      <w:pPr>
        <w:autoSpaceDE w:val="0"/>
        <w:autoSpaceDN w:val="0"/>
        <w:adjustRightInd w:val="0"/>
        <w:spacing w:before="120"/>
        <w:ind w:left="1588"/>
        <w:rPr>
          <w:color w:val="000000"/>
          <w:sz w:val="23"/>
          <w:szCs w:val="23"/>
        </w:rPr>
      </w:pPr>
      <w:r>
        <w:rPr>
          <w:color w:val="000000"/>
          <w:sz w:val="23"/>
          <w:szCs w:val="23"/>
        </w:rPr>
        <w:t xml:space="preserve">The Tribunal must not grant leave to apply under section 245(1) to a person or body referred to in paragraph (b), (c) or (d) of the definition of </w:t>
      </w:r>
      <w:r>
        <w:rPr>
          <w:rStyle w:val="CharDefText"/>
          <w:bCs/>
          <w:sz w:val="23"/>
        </w:rPr>
        <w:t>affected or interested person or body</w:t>
      </w:r>
      <w:r>
        <w:rPr>
          <w:bCs/>
          <w:i/>
          <w:iCs/>
          <w:color w:val="000000"/>
          <w:sz w:val="23"/>
          <w:szCs w:val="23"/>
        </w:rPr>
        <w:t xml:space="preserve"> </w:t>
      </w:r>
      <w:r>
        <w:rPr>
          <w:color w:val="000000"/>
          <w:sz w:val="23"/>
          <w:szCs w:val="23"/>
        </w:rPr>
        <w:t>in section 244 if that person or body—</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did not make a submission or comment in relation to the making of the reviewable regulatory decision under review following an invitation to do so under this Law or the Rules;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did make a submission or comment in relation to the making of the reviewable regulatory decision under review following an invitation to do so under this Law or the Rules but that submission—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was not made within the time required under this Law or the Rules following that invitation;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was not taken into account in the making of the decision.</w:t>
      </w:r>
    </w:p>
    <w:p>
      <w:pPr>
        <w:pStyle w:val="Heading5"/>
      </w:pPr>
      <w:bookmarkStart w:id="749" w:name="_Toc536782296"/>
      <w:r>
        <w:rPr>
          <w:rStyle w:val="CharSectno"/>
        </w:rPr>
        <w:t>251</w:t>
      </w:r>
      <w:r>
        <w:t>.</w:t>
      </w:r>
      <w:r>
        <w:tab/>
        <w:t>Tribunal may refuse to grant leave to service provider in certain cases</w:t>
      </w:r>
      <w:bookmarkEnd w:id="74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an application under section 245(1) by a service provider for a review of a reviewable regulatory decision that applies to the service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Tribunal is satisfied of the matters set out in section 248 or 249 to grant leave to apply under section 245(1).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Despite being satisfied of the matters set out in section 248 or 249 to grant leave to apply under section 245(1), the Tribunal may refuse to grant leave to the service provider if the Tribunal is satisfied the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without reasonable excuse—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failed to comply with a request (including a request for relevant information), or a direction made under this Law or the Rules for the purpose of making the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conducted itself in a manner that resulted in the making of the decision being delayed;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misled, or attempted to mislead—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all cases, the original decision maker on a matter relevant to the original decision maker’s decision;</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of a reviewable regulatory decision that is a Ministerial coverage decision, the NCC on a matter relevant to the making of an NCC recommendation relating to the decision.</w:t>
      </w:r>
    </w:p>
    <w:p>
      <w:pPr>
        <w:pStyle w:val="Heading5"/>
      </w:pPr>
      <w:bookmarkStart w:id="750" w:name="_Toc536782297"/>
      <w:r>
        <w:rPr>
          <w:rStyle w:val="CharSectno"/>
        </w:rPr>
        <w:t>252</w:t>
      </w:r>
      <w:r>
        <w:t>.</w:t>
      </w:r>
      <w:r>
        <w:tab/>
        <w:t>Effect of application on operation of reviewable regulatory decisions</w:t>
      </w:r>
      <w:bookmarkEnd w:id="750"/>
    </w:p>
    <w:p>
      <w:pPr>
        <w:keepNext/>
        <w:keepLines/>
        <w:autoSpaceDE w:val="0"/>
        <w:autoSpaceDN w:val="0"/>
        <w:adjustRightInd w:val="0"/>
        <w:spacing w:before="120"/>
        <w:ind w:left="1588"/>
        <w:rPr>
          <w:color w:val="000000"/>
          <w:sz w:val="23"/>
          <w:szCs w:val="23"/>
        </w:rPr>
      </w:pPr>
      <w:r>
        <w:rPr>
          <w:color w:val="000000"/>
          <w:sz w:val="23"/>
          <w:szCs w:val="23"/>
        </w:rPr>
        <w:t>An application under section 245(1)—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does not the stay the operation of the following reviewable regulatory decisions: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applicable access arrangement decision approving or making an applicable access arrangement;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associate contract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stays the operation of any other reviewable regulatory decision on the granting of leave to apply by the Tribunal, unless the Tribunal otherwise orders.</w:t>
      </w:r>
    </w:p>
    <w:p>
      <w:pPr>
        <w:pStyle w:val="Heading5"/>
      </w:pPr>
      <w:bookmarkStart w:id="751" w:name="_Toc536782298"/>
      <w:r>
        <w:rPr>
          <w:rStyle w:val="CharSectno"/>
        </w:rPr>
        <w:t>253</w:t>
      </w:r>
      <w:r>
        <w:t>.</w:t>
      </w:r>
      <w:r>
        <w:tab/>
        <w:t>Intervention by others in a review without leave</w:t>
      </w:r>
      <w:bookmarkEnd w:id="751"/>
    </w:p>
    <w:p>
      <w:pPr>
        <w:keepNext/>
        <w:keepLines/>
        <w:autoSpaceDE w:val="0"/>
        <w:autoSpaceDN w:val="0"/>
        <w:adjustRightInd w:val="0"/>
        <w:spacing w:before="120"/>
        <w:ind w:left="1588"/>
        <w:rPr>
          <w:color w:val="000000"/>
          <w:sz w:val="23"/>
          <w:szCs w:val="23"/>
        </w:rPr>
      </w:pPr>
      <w:r>
        <w:rPr>
          <w:color w:val="000000"/>
          <w:sz w:val="23"/>
          <w:szCs w:val="23"/>
        </w:rPr>
        <w:t>Only the following persons may intervene in a review under this Division without leave of the Tribunal: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to whom the reviewable regulatory decision being reviewed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Minister of a participating jurisdiction.</w:t>
      </w:r>
    </w:p>
    <w:p>
      <w:pPr>
        <w:pStyle w:val="Heading5"/>
      </w:pPr>
      <w:bookmarkStart w:id="752" w:name="_Toc536782299"/>
      <w:r>
        <w:rPr>
          <w:rStyle w:val="CharSectno"/>
        </w:rPr>
        <w:t>254</w:t>
      </w:r>
      <w:r>
        <w:t>.</w:t>
      </w:r>
      <w:r>
        <w:tab/>
        <w:t>Leave for reviewable regulatory decision process participants</w:t>
      </w:r>
      <w:bookmarkEnd w:id="75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Tribunal must grant leave to a person or body to intervene in a review under this Division if that person or body is a reviewable regulatory decision process participant (other than a user or consumer intervener).</w:t>
      </w:r>
    </w:p>
    <w:p>
      <w:pPr>
        <w:tabs>
          <w:tab w:val="center" w:pos="1191"/>
          <w:tab w:val="left" w:pos="1588"/>
        </w:tabs>
        <w:autoSpaceDE w:val="0"/>
        <w:autoSpaceDN w:val="0"/>
        <w:adjustRightInd w:val="0"/>
        <w:spacing w:before="120"/>
        <w:ind w:left="1588" w:hanging="794"/>
        <w:rPr>
          <w:i/>
          <w:color w:val="000000"/>
          <w:sz w:val="23"/>
          <w:szCs w:val="23"/>
        </w:rPr>
      </w:pPr>
      <w:r>
        <w:rPr>
          <w:color w:val="000000"/>
          <w:sz w:val="23"/>
          <w:szCs w:val="23"/>
        </w:rPr>
        <w:tab/>
      </w:r>
      <w:r>
        <w:rPr>
          <w:i/>
          <w:color w:val="000000"/>
          <w:sz w:val="23"/>
          <w:szCs w:val="23"/>
        </w:rPr>
        <w:t>[(2)</w:t>
      </w:r>
      <w:r>
        <w:rPr>
          <w:i/>
          <w:color w:val="000000"/>
          <w:sz w:val="23"/>
          <w:szCs w:val="23"/>
        </w:rPr>
        <w:tab/>
        <w:t>deleted]</w:t>
      </w:r>
    </w:p>
    <w:p>
      <w:pPr>
        <w:pStyle w:val="Footnotesection"/>
        <w:rPr>
          <w:szCs w:val="23"/>
        </w:rPr>
      </w:pPr>
      <w:r>
        <w:tab/>
        <w:t>[Section 254 amended see SA Act No. 79 of 2013 s. 26 and WA Gazette 14 Mar 2014 p. 632.]</w:t>
      </w:r>
    </w:p>
    <w:p>
      <w:pPr>
        <w:pStyle w:val="Heading5"/>
      </w:pPr>
      <w:bookmarkStart w:id="753" w:name="_Toc536782300"/>
      <w:r>
        <w:rPr>
          <w:rStyle w:val="CharSectno"/>
        </w:rPr>
        <w:t>255</w:t>
      </w:r>
      <w:r>
        <w:t>.</w:t>
      </w:r>
      <w:r>
        <w:tab/>
        <w:t>Leave for user or consumer intervener</w:t>
      </w:r>
      <w:bookmarkEnd w:id="75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user or consumer intervener may apply to the Tribunal for leave to intervene in a review of a reviewable regulatory decision under this Division.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Tribunal may grant leave to a user or consumer intervener to intervene in a review under this Division.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Without limiting subsection (2), the Tribunal may grant leave to a user or consumer intervener to intervene in a review under this Division if the Tribunal is satisfied—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user or consumer intervener, in its application for leave to intervene, raises a matter that will not be raised by the original decision maker or the applicant;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information or material the user or consumer intervener wishes to present, or the submissions the user or consumer intervener wishes to make, in the review are likely to be better presented or made by the user or consumer intervener rather than another party to the review;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interests of the user or consumer intervener or its members are affected by the decision being reviewed.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For the purposes of subsection (3)(c)—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interests of a user or consumer intervener are to be taken to be affected if the reviewable regulatory decision being reviewed relates to an object or purpose of the user or consumer intervener;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interests of a user or consumer intervener are not to be taken to not be affected only because those interests do not coincide with the interests of the applicant.</w:t>
      </w:r>
    </w:p>
    <w:p>
      <w:pPr>
        <w:pStyle w:val="Heading5"/>
      </w:pPr>
      <w:bookmarkStart w:id="754" w:name="_Toc536782301"/>
      <w:r>
        <w:rPr>
          <w:rStyle w:val="CharSectno"/>
        </w:rPr>
        <w:t>256</w:t>
      </w:r>
      <w:r>
        <w:t>.</w:t>
      </w:r>
      <w:r>
        <w:tab/>
        <w:t>Interveners may raise new grounds for review</w:t>
      </w:r>
      <w:bookmarkEnd w:id="75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intervener may raise in a review under this Division any of the grounds specified in section 246 even if the ground that is raised by the intervener is not raised by the applicant.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(1a)</w:t>
      </w:r>
      <w:r>
        <w:rPr>
          <w:color w:val="000000"/>
          <w:sz w:val="23"/>
          <w:szCs w:val="23"/>
        </w:rPr>
        <w:tab/>
        <w:t>If an intervener raises a new ground for review under subsection (1) in relation to a designated reviewable regulatory decision, the intervener must also specify the manner in which a determination made by the Tribunal varying the designated reviewable regulatory decision, or setting aside the designated reviewable regulatory decision and a fresh decision being made by the AER following remission of the matter to the AER by the Tribunal, on the basis of 1 or more grounds raised in the notice of intervention or in the application for review, either separately or collectively, would, or would be likely to, result in a materially preferable designated NGO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To avoid doubt, it is for the intervener to establish the ground referred to in subsection (1)</w:t>
      </w:r>
      <w:r>
        <w:t xml:space="preserve"> </w:t>
      </w:r>
      <w:r>
        <w:rPr>
          <w:color w:val="000000"/>
          <w:sz w:val="23"/>
          <w:szCs w:val="23"/>
        </w:rPr>
        <w:t>and the matter referred to in subsection (1a).</w:t>
      </w:r>
    </w:p>
    <w:p>
      <w:pPr>
        <w:pStyle w:val="Footnotesection"/>
        <w:rPr>
          <w:szCs w:val="23"/>
        </w:rPr>
      </w:pPr>
      <w:r>
        <w:tab/>
        <w:t>[Section 256 amended see SA Act No. 79 of 2013 s. 27 and WA Gazette 14 Mar 2014 p. 632.]</w:t>
      </w:r>
    </w:p>
    <w:p>
      <w:pPr>
        <w:pStyle w:val="Heading5"/>
      </w:pPr>
      <w:bookmarkStart w:id="755" w:name="_Toc536782302"/>
      <w:r>
        <w:rPr>
          <w:rStyle w:val="CharSectno"/>
        </w:rPr>
        <w:t>257</w:t>
      </w:r>
      <w:r>
        <w:t>.</w:t>
      </w:r>
      <w:r>
        <w:tab/>
        <w:t>Parties to a review under this Division</w:t>
      </w:r>
      <w:bookmarkEnd w:id="755"/>
    </w:p>
    <w:p>
      <w:pPr>
        <w:keepNext/>
        <w:keepLines/>
        <w:autoSpaceDE w:val="0"/>
        <w:autoSpaceDN w:val="0"/>
        <w:adjustRightInd w:val="0"/>
        <w:spacing w:before="120"/>
        <w:ind w:left="1588"/>
        <w:rPr>
          <w:color w:val="000000"/>
          <w:sz w:val="23"/>
          <w:szCs w:val="23"/>
        </w:rPr>
      </w:pPr>
      <w:r>
        <w:rPr>
          <w:color w:val="000000"/>
          <w:sz w:val="23"/>
          <w:szCs w:val="23"/>
        </w:rPr>
        <w:t>The parties to a review under this Division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applicant;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original decision maker whose decision is the reviewable regulatory decision being reviewed under this Division;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intervener.</w:t>
      </w:r>
    </w:p>
    <w:p>
      <w:pPr>
        <w:pStyle w:val="Heading5"/>
        <w:keepLines w:val="0"/>
      </w:pPr>
      <w:bookmarkStart w:id="756" w:name="_Toc536782303"/>
      <w:r>
        <w:rPr>
          <w:rStyle w:val="CharSectno"/>
        </w:rPr>
        <w:t>258</w:t>
      </w:r>
      <w:r>
        <w:t>.</w:t>
      </w:r>
      <w:r>
        <w:tab/>
        <w:t>Matters that parties to a review may and may not raise in a review</w:t>
      </w:r>
      <w:bookmarkEnd w:id="756"/>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(a1)</w:t>
      </w:r>
      <w:r>
        <w:rPr>
          <w:color w:val="000000"/>
          <w:sz w:val="23"/>
          <w:szCs w:val="23"/>
        </w:rPr>
        <w:tab/>
        <w:t>This section does not apply to a designated reviewable regulatory decision (see section 258A).</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original decision maker whose decision is the reviewable regulatory decision being reviewed under this Division may, in the review, raise—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matter not raised by the applicant or an intervener that relates to a ground for review, or a matter raised in support of a ground for review, raised by the applicant or an intervener;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possible outcome or effect on the reviewable regulatory decision being reviewed that the original decision maker considers may occur as a consequence of the Tribunal making a determination setting aside or varying the reviewable regulatory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party (other than the original decision maker) to a review under this Division may not raise any matter that was not raised in submissions in relation to the reviewable regulatory decision before that decision was made.</w:t>
      </w:r>
    </w:p>
    <w:p>
      <w:pPr>
        <w:pStyle w:val="Footnotesection"/>
      </w:pPr>
      <w:r>
        <w:tab/>
        <w:t>[Section 258 amended see SA Act No. 79 of 2013 s. 28 and WA Gazette 14 Mar 2014 p. 632.]</w:t>
      </w:r>
    </w:p>
    <w:p>
      <w:pPr>
        <w:pStyle w:val="Heading5"/>
        <w:keepLines w:val="0"/>
      </w:pPr>
      <w:bookmarkStart w:id="757" w:name="_Toc536782304"/>
      <w:r>
        <w:rPr>
          <w:rStyle w:val="CharSectno"/>
        </w:rPr>
        <w:t>258A</w:t>
      </w:r>
      <w:r>
        <w:t>.</w:t>
      </w:r>
      <w:r>
        <w:tab/>
        <w:t>Matters that may and may not be raised in a review (designated reviewable regulatory decisions)</w:t>
      </w:r>
      <w:bookmarkEnd w:id="757"/>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to a designated reviewable regulatory decision.</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The AER, in a review of a decision to which this section applies, may — </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respond to any matter raised by the applicant or an intervener;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raise any other matter that relates to — </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ground for review;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matter raised in support of a ground for review;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matter relevant to the issues to be considered under section 259(4a) and (4b).</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a review of a decision to which this section applies, the following provisions apply in relation to a person or body, other than the AER (and so apply at all stages of the proceedings before the Tribunal):</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service provider that provides the pipeline services to which the decision being reviewed applies may not raise in relation to the issue of whether a ground for review exists or has been made out any matter that was not raised and maintained by the provider in submissions to the AER before the decision was made;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covered pipeline service provider whose commercial interests are materially affected by the decision being reviewed may not raise in relation to the issue of whether a ground for review exists or has been made out any matter that was not raised and maintained by the provider in submissions to the AER before the decision was made;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affected or interested person or body (other than a provider under paragraph (a) or (b)) may not raise in relation to the issue of whether a ground for review exists or has been made out any matter that was not raised by the person or body in a submission to the AER before the decision was made;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 xml:space="preserve">subject to paragraphs (a), (b) and (c) — </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applicant, or an intervener who has raised a new ground for review under section 256, may raise any matter relevant to the issues to be considered under section 259(4a) and (4b);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 xml:space="preserve">any person or body, other than the applicant or an intervener who has raised a new ground for review under section 256, may not raise any matter relevant to the issues to be considered under section 259(4a) and (4b) unless it is in response to a matter raised by — </w:t>
      </w:r>
    </w:p>
    <w:p>
      <w:pPr>
        <w:keepLines/>
        <w:tabs>
          <w:tab w:val="center" w:pos="3402"/>
          <w:tab w:val="left" w:pos="3828"/>
        </w:tabs>
        <w:autoSpaceDE w:val="0"/>
        <w:autoSpaceDN w:val="0"/>
        <w:adjustRightInd w:val="0"/>
        <w:spacing w:before="120"/>
        <w:ind w:left="3828" w:hanging="1446"/>
        <w:rPr>
          <w:color w:val="000000"/>
          <w:sz w:val="23"/>
          <w:szCs w:val="23"/>
        </w:rPr>
      </w:pPr>
      <w:r>
        <w:rPr>
          <w:color w:val="000000"/>
          <w:sz w:val="23"/>
          <w:szCs w:val="23"/>
        </w:rPr>
        <w:tab/>
        <w:t>(A)</w:t>
      </w:r>
      <w:r>
        <w:rPr>
          <w:color w:val="000000"/>
          <w:sz w:val="23"/>
          <w:szCs w:val="23"/>
        </w:rPr>
        <w:tab/>
        <w:t>the AER under subsection (2)(b)(iii); or</w:t>
      </w:r>
    </w:p>
    <w:p>
      <w:pPr>
        <w:keepLines/>
        <w:tabs>
          <w:tab w:val="center" w:pos="3402"/>
          <w:tab w:val="left" w:pos="3828"/>
        </w:tabs>
        <w:autoSpaceDE w:val="0"/>
        <w:autoSpaceDN w:val="0"/>
        <w:adjustRightInd w:val="0"/>
        <w:spacing w:before="120"/>
        <w:ind w:left="3828" w:hanging="1446"/>
        <w:rPr>
          <w:color w:val="000000"/>
          <w:sz w:val="23"/>
          <w:szCs w:val="23"/>
        </w:rPr>
      </w:pPr>
      <w:r>
        <w:rPr>
          <w:color w:val="000000"/>
          <w:sz w:val="23"/>
          <w:szCs w:val="23"/>
        </w:rPr>
        <w:tab/>
        <w:t>(B)</w:t>
      </w:r>
      <w:r>
        <w:rPr>
          <w:color w:val="000000"/>
          <w:sz w:val="23"/>
          <w:szCs w:val="23"/>
        </w:rPr>
        <w:tab/>
        <w:t>the applicant under subparagraph (i); or</w:t>
      </w:r>
    </w:p>
    <w:p>
      <w:pPr>
        <w:keepLines/>
        <w:tabs>
          <w:tab w:val="center" w:pos="3402"/>
          <w:tab w:val="left" w:pos="3828"/>
        </w:tabs>
        <w:autoSpaceDE w:val="0"/>
        <w:autoSpaceDN w:val="0"/>
        <w:adjustRightInd w:val="0"/>
        <w:spacing w:before="120"/>
        <w:ind w:left="3828" w:hanging="1446"/>
        <w:rPr>
          <w:color w:val="000000"/>
          <w:sz w:val="23"/>
          <w:szCs w:val="23"/>
        </w:rPr>
      </w:pPr>
      <w:r>
        <w:rPr>
          <w:color w:val="000000"/>
          <w:sz w:val="23"/>
          <w:szCs w:val="23"/>
        </w:rPr>
        <w:tab/>
        <w:t>(C)</w:t>
      </w:r>
      <w:r>
        <w:rPr>
          <w:color w:val="000000"/>
          <w:sz w:val="23"/>
          <w:szCs w:val="23"/>
        </w:rPr>
        <w:tab/>
        <w:t>an intervener under subparagraph (i).</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 xml:space="preserve">For the purposes of subsection (3)(d) — </w:t>
      </w:r>
    </w:p>
    <w:p>
      <w:pPr>
        <w:tabs>
          <w:tab w:val="center" w:pos="1985"/>
          <w:tab w:val="left" w:pos="2382"/>
        </w:tabs>
        <w:autoSpaceDE w:val="0"/>
        <w:autoSpaceDN w:val="0"/>
        <w:adjustRightInd w:val="0"/>
        <w:spacing w:before="120"/>
        <w:ind w:left="2382" w:hanging="794"/>
        <w:rPr>
          <w:b/>
          <w:color w:val="000000"/>
          <w:sz w:val="23"/>
          <w:szCs w:val="23"/>
        </w:rPr>
      </w:pPr>
      <w:r>
        <w:rPr>
          <w:color w:val="000000"/>
          <w:sz w:val="23"/>
          <w:szCs w:val="23"/>
        </w:rPr>
        <w:tab/>
        <w:t>(a)</w:t>
      </w:r>
      <w:r>
        <w:rPr>
          <w:color w:val="000000"/>
          <w:sz w:val="23"/>
          <w:szCs w:val="23"/>
        </w:rPr>
        <w:tab/>
        <w:t>a reference to an applicant includes a reference to a person or body who has applied to the Tribunal for leave to apply for a review under this Division; and</w:t>
      </w:r>
    </w:p>
    <w:p>
      <w:pPr>
        <w:tabs>
          <w:tab w:val="center" w:pos="1985"/>
          <w:tab w:val="left" w:pos="2382"/>
        </w:tabs>
        <w:autoSpaceDE w:val="0"/>
        <w:autoSpaceDN w:val="0"/>
        <w:adjustRightInd w:val="0"/>
        <w:spacing w:before="120"/>
        <w:ind w:left="2382" w:hanging="794"/>
        <w:rPr>
          <w:b/>
          <w:color w:val="000000"/>
          <w:sz w:val="23"/>
          <w:szCs w:val="23"/>
        </w:rPr>
      </w:pPr>
      <w:r>
        <w:rPr>
          <w:color w:val="000000"/>
          <w:sz w:val="23"/>
          <w:szCs w:val="23"/>
        </w:rPr>
        <w:tab/>
        <w:t>(b)</w:t>
      </w:r>
      <w:r>
        <w:rPr>
          <w:color w:val="000000"/>
          <w:sz w:val="23"/>
          <w:szCs w:val="23"/>
        </w:rPr>
        <w:tab/>
        <w:t>a reference to an intervener includes a reference to a person or body who has applied to the Tribunal for leave to intervene in a review under this Division.</w:t>
      </w:r>
    </w:p>
    <w:p>
      <w:pPr>
        <w:pStyle w:val="Footnotesection"/>
      </w:pPr>
      <w:r>
        <w:tab/>
        <w:t>[Section 258A inserted see SA Act No. 79 of 2013 s. 29 and WA Gazette 14 Mar 2014 p. 632.]</w:t>
      </w:r>
    </w:p>
    <w:p>
      <w:pPr>
        <w:pStyle w:val="Heading5"/>
      </w:pPr>
      <w:bookmarkStart w:id="758" w:name="_Toc536782305"/>
      <w:r>
        <w:rPr>
          <w:rStyle w:val="CharSectno"/>
        </w:rPr>
        <w:t>259</w:t>
      </w:r>
      <w:r>
        <w:t>.</w:t>
      </w:r>
      <w:r>
        <w:tab/>
        <w:t>Tribunal must make determination</w:t>
      </w:r>
      <w:bookmarkEnd w:id="75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following an application, the Tribunal grants leave in accordance with section 245, the Tribunal must make a determination in respect of the application.</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section 260 for the time limit within which the Tribunal must make its determination.</w:t>
      </w:r>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(2)</w:t>
      </w:r>
      <w:r>
        <w:rPr>
          <w:color w:val="000000"/>
          <w:sz w:val="23"/>
          <w:szCs w:val="23"/>
        </w:rPr>
        <w:tab/>
        <w:t xml:space="preserve">Subject to subsections (4) and (4a), a determination under this section may — </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affirm the reviewable regulatory decision;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the reviewable regulatory decision;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set aside the reviewable regulatory decision and remit the matter back to the original decision maker to make the decision again in accordance with any direction or recommendation of the Tribunal.</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(3)</w:t>
      </w:r>
      <w:r>
        <w:rPr>
          <w:color w:val="000000"/>
          <w:sz w:val="23"/>
          <w:szCs w:val="23"/>
        </w:rPr>
        <w:tab/>
        <w:t>For the purposes of making a determination of the kind in subsection (2)(a)</w:t>
      </w:r>
      <w:r>
        <w:t xml:space="preserve"> </w:t>
      </w:r>
      <w:r>
        <w:rPr>
          <w:color w:val="000000"/>
          <w:sz w:val="23"/>
          <w:szCs w:val="23"/>
        </w:rPr>
        <w:t>or (b), the Tribunal may perform all the functions and exercise all the powers of the original decision maker under this Law or the Rules.</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deciding whether to remit a matter back to the original decision maker to make the decision again, other than in a case where the decision is a designated reviewable regulatory decision, the Tribunal must have regard to the nature and relative complexities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reviewable regulatory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matter the subject of the review.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(4a)</w:t>
      </w:r>
      <w:r>
        <w:rPr>
          <w:color w:val="000000"/>
          <w:sz w:val="23"/>
          <w:szCs w:val="23"/>
        </w:rPr>
        <w:tab/>
        <w:t xml:space="preserve">In a case where the decision is a designated reviewable regulatory decision, the Tribunal may only make a determination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vary the designated reviewable regulatory decision under subsection (2)(b);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set aside the designated reviewable regulatory decision and remit the matter back to the AER under subsection (2)(c),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 xml:space="preserve">if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 xml:space="preserve">the Tribunal is satisfied that to do so will, or is likely to, result in a decision that is materially preferable to the designated reviewable regulatory decision in making a contribution to the achievement of the national gas objective (a </w:t>
      </w:r>
      <w:r>
        <w:rPr>
          <w:rStyle w:val="CharDefText"/>
          <w:sz w:val="23"/>
          <w:szCs w:val="23"/>
        </w:rPr>
        <w:t>materially preferable designated NGO decision</w:t>
      </w:r>
      <w:r>
        <w:rPr>
          <w:color w:val="000000"/>
          <w:sz w:val="23"/>
          <w:szCs w:val="23"/>
        </w:rPr>
        <w:t>) (and if the Tribunal is not so satisfied the Tribunal must affirm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 the case of a determination to vary the designated reviewable regulatory decision—the Tribunal is satisfied that to do so will not require the Tribunal to undertake an assessment of such complexity that the preferable course of action would be to set aside the decision and remit the matter to the AER to make the decision again.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(4b)</w:t>
      </w:r>
      <w:r>
        <w:rPr>
          <w:color w:val="000000"/>
          <w:sz w:val="23"/>
          <w:szCs w:val="23"/>
        </w:rPr>
        <w:tab/>
        <w:t xml:space="preserve">In connection with the operation of subsection (4a) (and without limiting any other matter that may be relevant under this Law)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Tribunal must consider how the constituent components of the designated reviewable regulatory decision interrelate with each other and with the matters raised as a ground for review;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without limiting paragraph (a), the Tribunal must take into account the revenue and pricing principles (in the same manner in which the AER is to take into account these principles under section 28);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Tribunal must, in assessing the extent of contribution to the achievement of the national gas objective, consider the designated reviewable regulatory decision as a whole; and (d) the following matters must not, in themselves, determine the question about whether a materially preferable designated NGO decision exists: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establishment of a ground for review under section 246(1);</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consequences for, or impacts on, the average annual regulated revenue of a covered pipeline service provider;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that the amount that is specified in or derived from the designated reviewable regulatory decision exceeds the amount specified in section 249(2).</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(4c)</w:t>
      </w:r>
      <w:r>
        <w:rPr>
          <w:color w:val="000000"/>
          <w:sz w:val="23"/>
          <w:szCs w:val="23"/>
        </w:rPr>
        <w:tab/>
        <w:t xml:space="preserve">If the Tribunal makes a determination under subsection (2)(b) or (c), the Tribunal must specify in its determination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manner in which it has taken into account the interrelationship between the constituent components of the designated reviewable regulatory decision and how they relate to the matters raised as a ground for review as contemplated by subsection (4b)(a);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determination to vary the designated reviewable regulatory decision—the reasons why it is proceeding to make the variation in view of the requirements of subsection (4a)(d).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determination by the Tribunal affirming, varying or setting aside the reviewable regulatory decision is, for the purposes of this Law (other than this Part), to be taken to be a decision of the original decision maker.</w:t>
      </w:r>
    </w:p>
    <w:p>
      <w:pPr>
        <w:pStyle w:val="Footnotesection"/>
      </w:pPr>
      <w:r>
        <w:tab/>
        <w:t>[Section 259 amended see SA Act No. 79 of 2013 s. 30 and WA Gazette 14 Mar 2014 p. 632.]</w:t>
      </w:r>
    </w:p>
    <w:p>
      <w:pPr>
        <w:pStyle w:val="Heading5"/>
      </w:pPr>
      <w:bookmarkStart w:id="759" w:name="_Toc536782306"/>
      <w:r>
        <w:rPr>
          <w:rStyle w:val="CharSectno"/>
        </w:rPr>
        <w:t>260</w:t>
      </w:r>
      <w:r>
        <w:t>.</w:t>
      </w:r>
      <w:r>
        <w:tab/>
        <w:t>Target time limit for Tribunal for making a determination under this Division</w:t>
      </w:r>
      <w:bookmarkEnd w:id="75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Tribunal must use its best endeavours to make a determination in respect of the application for review under this Division—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within 3 months after the Tribunal grants leave in accordance with section 245 (the </w:t>
      </w:r>
      <w:r>
        <w:rPr>
          <w:rStyle w:val="CharDefText"/>
          <w:bCs/>
          <w:sz w:val="23"/>
        </w:rPr>
        <w:t>standard period</w:t>
      </w:r>
      <w:r>
        <w:rPr>
          <w:color w:val="000000"/>
          <w:sz w:val="23"/>
          <w:szCs w:val="23"/>
        </w:rPr>
        <w: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standard period is extended under this section—that period as extended.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Tribunal is unable to make a determination in respect of the application within the standard period, or that period as extended, the Tribunal must, by notice in writing, extend the standard period or that period by a specified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Tribunal must give a copy of the notice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applicant;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every other party to the application.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Tribunal may extend the standard period, or that period as extended, more than once.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Tribunal extends a period, it must publish a notice in a newspaper circulating generally throughout Australia—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stating that it has done so;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specifying a date by which it must now use its best endeavours to make the determination.</w:t>
      </w:r>
    </w:p>
    <w:p>
      <w:pPr>
        <w:pStyle w:val="Heading5"/>
      </w:pPr>
      <w:bookmarkStart w:id="760" w:name="_Toc536782307"/>
      <w:r>
        <w:rPr>
          <w:rStyle w:val="CharSectno"/>
        </w:rPr>
        <w:t>261</w:t>
      </w:r>
      <w:r>
        <w:t>.</w:t>
      </w:r>
      <w:r>
        <w:tab/>
        <w:t>Matters to be considered by Tribunal in making determination</w:t>
      </w:r>
      <w:bookmarkEnd w:id="76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Subject to this section, the Tribunal, in acting under this Division in relation to a reviewable regulatory decision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not consider any matter other than review related matter (and any matter arising as a result of consultation under paragraph (b));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must, before making a determination that relates to a designated reviewable regulatory decision, take reasonable steps to consult with (in such manner as the Tribunal thinks appropriate) — </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users and prospective users of the pipeline services;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any user or consumer associations or user or consumer interest groups,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r>
      <w:r>
        <w:rPr>
          <w:color w:val="000000"/>
          <w:sz w:val="23"/>
          <w:szCs w:val="23"/>
        </w:rPr>
        <w:tab/>
        <w:t>that the Tribunal considers have an interest in the determination, other than a user or consumer association or a user or consumer interest group that is a party to the review.</w:t>
      </w:r>
    </w:p>
    <w:p>
      <w:pPr>
        <w:keepNext/>
        <w:keepLines/>
        <w:tabs>
          <w:tab w:val="center" w:pos="1191"/>
          <w:tab w:val="left" w:pos="1588"/>
        </w:tabs>
        <w:autoSpaceDE w:val="0"/>
        <w:autoSpaceDN w:val="0"/>
        <w:adjustRightInd w:val="0"/>
        <w:spacing w:before="120"/>
        <w:ind w:left="1588" w:hanging="794"/>
        <w:rPr>
          <w:i/>
          <w:color w:val="000000"/>
          <w:sz w:val="23"/>
          <w:szCs w:val="23"/>
        </w:rPr>
      </w:pPr>
      <w:r>
        <w:rPr>
          <w:i/>
          <w:color w:val="000000"/>
          <w:sz w:val="23"/>
          <w:szCs w:val="23"/>
        </w:rPr>
        <w:tab/>
        <w:t>[(2)</w:t>
      </w:r>
      <w:r>
        <w:rPr>
          <w:i/>
          <w:color w:val="000000"/>
          <w:sz w:val="23"/>
          <w:szCs w:val="23"/>
        </w:rPr>
        <w:tab/>
        <w:t>deleted]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in a review, other than a review that relates to a designated reviewable regulatory decision, the Tribunal is of the view that a ground of review has been made out, the Tribunal may allow new information or material to be submitted if the new information or material—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would assist it on any aspect of the determination to be made;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was not unreasonably withheld from—</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all cases, the original decision maker when the decision maker was making the reviewable regulatory decision;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of a reviewable regulatory decision that is a Ministerial coverage decision, the NCC when it was it making the NCC recommendation related to Ministerial coverage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(3a)</w:t>
      </w:r>
      <w:r>
        <w:rPr>
          <w:color w:val="000000"/>
          <w:sz w:val="23"/>
          <w:szCs w:val="23"/>
        </w:rPr>
        <w:tab/>
        <w:t xml:space="preserve">If in a review that relates to a designated reviewable regulatory decision the Tribunal is of the view that a ground for review has been made out, the Tribunal may, on application by a party to the review, allow new information or material to be submitted if the party can establish to the satisfaction of the Tribunal that the information or material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was publicly available or known to be publicly available to the AER when it was making the designated reviewable regulatory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would assist the Tribunal on any aspect of the determination to be made and was not unreasonably withheld from the AER when it was making the designated reviewable regulatory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and was (in the opinion of the Tribunal) information or material that the AER would reasonably have been expected to have considered when it was making the designated reviewable regulatory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(3b)</w:t>
      </w:r>
      <w:r>
        <w:rPr>
          <w:color w:val="000000"/>
          <w:sz w:val="23"/>
          <w:szCs w:val="23"/>
        </w:rPr>
        <w:tab/>
        <w:t xml:space="preserve">In addition, if in a review of a designated reviewable regulatory decision the Tribunal is of the view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a ground for review has been made out;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it would assist the Tribunal to obtain information or material under this subsection in order to determine whether a materially preferable designated NGO decision exists,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the Tribunal may, on its own initiative, take steps to obtain that information or material (including by seeking evidence from such persons as it thinks fit).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(3c)</w:t>
      </w:r>
      <w:r>
        <w:rPr>
          <w:color w:val="000000"/>
          <w:sz w:val="23"/>
          <w:szCs w:val="23"/>
        </w:rPr>
        <w:tab/>
        <w:t>The action taken by a person acting in response to steps taken by the Tribunal under subsection (3b) must be limited to considering decision related matter under section 68C.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(3d)</w:t>
      </w:r>
      <w:r>
        <w:rPr>
          <w:color w:val="000000"/>
          <w:sz w:val="23"/>
          <w:szCs w:val="23"/>
        </w:rPr>
        <w:tab/>
        <w:t>In addition, in the case of a review of a designated reviewable regulatory decision that is a decision to make a full access arrangement decision in place of an access arrangement that the AER did not approve, the Tribunal may consider the reasons of the AER for its decision not to approve the access arrangement or proposed revisions to the applicable access arrangement (as the case may be).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Subject to this Law, for the purpose of subsection (3)(b)</w:t>
      </w:r>
      <w:r>
        <w:t xml:space="preserve"> </w:t>
      </w:r>
      <w:r>
        <w:rPr>
          <w:color w:val="000000"/>
          <w:sz w:val="23"/>
          <w:szCs w:val="23"/>
        </w:rPr>
        <w:t>and (3a)(b), information or material not provided to the original decision maker, the NCC or the AER (as the case requires) following a request for that information or material by the original decision maker, the NCC or the AER under this Law or the Rules is to be taken to have been unreasonably withheld.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Subsection (4) does not limit what may constitute an unreasonable withholding of information or material.</w:t>
      </w:r>
    </w:p>
    <w:p>
      <w:pPr>
        <w:tabs>
          <w:tab w:val="center" w:pos="1191"/>
          <w:tab w:val="left" w:pos="1588"/>
        </w:tabs>
        <w:autoSpaceDE w:val="0"/>
        <w:autoSpaceDN w:val="0"/>
        <w:adjustRightInd w:val="0"/>
        <w:spacing w:before="120"/>
        <w:ind w:left="1588" w:hanging="794"/>
        <w:rPr>
          <w:i/>
          <w:color w:val="000000"/>
          <w:sz w:val="23"/>
          <w:szCs w:val="23"/>
        </w:rPr>
      </w:pPr>
      <w:r>
        <w:rPr>
          <w:i/>
          <w:color w:val="000000"/>
          <w:sz w:val="23"/>
          <w:szCs w:val="23"/>
        </w:rPr>
        <w:tab/>
        <w:t>[(6)</w:t>
      </w:r>
      <w:r>
        <w:rPr>
          <w:i/>
          <w:color w:val="000000"/>
          <w:sz w:val="23"/>
          <w:szCs w:val="23"/>
        </w:rPr>
        <w:tab/>
        <w:t>deleted]</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In this section—</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r>
      <w:r>
        <w:rPr>
          <w:rStyle w:val="CharDefText"/>
          <w:sz w:val="23"/>
          <w:szCs w:val="23"/>
        </w:rPr>
        <w:t>review related matter</w:t>
      </w:r>
      <w:r>
        <w:rPr>
          <w:color w:val="000000"/>
          <w:sz w:val="23"/>
          <w:szCs w:val="23"/>
        </w:rPr>
        <w:t xml:space="preserve"> means — </w:t>
      </w:r>
    </w:p>
    <w:p>
      <w:pPr>
        <w:tabs>
          <w:tab w:val="center" w:pos="1750"/>
          <w:tab w:val="left" w:pos="2127"/>
        </w:tabs>
        <w:autoSpaceDE w:val="0"/>
        <w:autoSpaceDN w:val="0"/>
        <w:adjustRightInd w:val="0"/>
        <w:spacing w:before="120"/>
        <w:ind w:left="2127" w:hanging="1333"/>
        <w:rPr>
          <w:color w:val="000000"/>
          <w:sz w:val="23"/>
          <w:szCs w:val="23"/>
        </w:rPr>
      </w:pPr>
      <w:r>
        <w:rPr>
          <w:color w:val="000000"/>
          <w:sz w:val="23"/>
          <w:szCs w:val="23"/>
        </w:rPr>
        <w:tab/>
        <w:t>(a)</w:t>
      </w:r>
      <w:r>
        <w:rPr>
          <w:color w:val="000000"/>
          <w:sz w:val="23"/>
          <w:szCs w:val="23"/>
        </w:rPr>
        <w:tab/>
        <w:t>the application for review; and</w:t>
      </w:r>
    </w:p>
    <w:p>
      <w:pPr>
        <w:tabs>
          <w:tab w:val="center" w:pos="1750"/>
          <w:tab w:val="left" w:pos="2127"/>
        </w:tabs>
        <w:autoSpaceDE w:val="0"/>
        <w:autoSpaceDN w:val="0"/>
        <w:adjustRightInd w:val="0"/>
        <w:spacing w:before="120"/>
        <w:ind w:left="2127" w:hanging="1333"/>
        <w:rPr>
          <w:color w:val="000000"/>
          <w:sz w:val="23"/>
          <w:szCs w:val="23"/>
        </w:rPr>
      </w:pPr>
      <w:r>
        <w:rPr>
          <w:color w:val="000000"/>
          <w:sz w:val="23"/>
          <w:szCs w:val="23"/>
        </w:rPr>
        <w:tab/>
        <w:t>(b)</w:t>
      </w:r>
      <w:r>
        <w:rPr>
          <w:color w:val="000000"/>
          <w:sz w:val="23"/>
          <w:szCs w:val="23"/>
        </w:rPr>
        <w:tab/>
        <w:t>a notice raising new grounds for review filed by an intervener; and</w:t>
      </w:r>
    </w:p>
    <w:p>
      <w:pPr>
        <w:tabs>
          <w:tab w:val="center" w:pos="1750"/>
          <w:tab w:val="left" w:pos="2127"/>
        </w:tabs>
        <w:autoSpaceDE w:val="0"/>
        <w:autoSpaceDN w:val="0"/>
        <w:adjustRightInd w:val="0"/>
        <w:spacing w:before="120"/>
        <w:ind w:left="2127" w:hanging="1333"/>
        <w:rPr>
          <w:color w:val="000000"/>
          <w:sz w:val="23"/>
          <w:szCs w:val="23"/>
        </w:rPr>
      </w:pPr>
      <w:r>
        <w:rPr>
          <w:color w:val="000000"/>
          <w:sz w:val="23"/>
          <w:szCs w:val="23"/>
        </w:rPr>
        <w:tab/>
        <w:t>(c)</w:t>
      </w:r>
      <w:r>
        <w:rPr>
          <w:color w:val="000000"/>
          <w:sz w:val="23"/>
          <w:szCs w:val="23"/>
        </w:rPr>
        <w:tab/>
        <w:t>the submissions made to the Tribunal by the parties to the review; and</w:t>
      </w:r>
    </w:p>
    <w:p>
      <w:pPr>
        <w:tabs>
          <w:tab w:val="center" w:pos="1750"/>
          <w:tab w:val="left" w:pos="2127"/>
        </w:tabs>
        <w:autoSpaceDE w:val="0"/>
        <w:autoSpaceDN w:val="0"/>
        <w:adjustRightInd w:val="0"/>
        <w:spacing w:before="120"/>
        <w:ind w:left="2127" w:hanging="1333"/>
        <w:rPr>
          <w:color w:val="000000"/>
          <w:sz w:val="23"/>
          <w:szCs w:val="23"/>
        </w:rPr>
      </w:pPr>
      <w:r>
        <w:rPr>
          <w:color w:val="000000"/>
          <w:sz w:val="23"/>
          <w:szCs w:val="23"/>
        </w:rPr>
        <w:tab/>
        <w:t>(d)</w:t>
      </w:r>
      <w:r>
        <w:rPr>
          <w:color w:val="000000"/>
          <w:sz w:val="23"/>
          <w:szCs w:val="23"/>
        </w:rPr>
        <w:tab/>
        <w:t xml:space="preserve"> — </w:t>
      </w:r>
    </w:p>
    <w:p>
      <w:pPr>
        <w:tabs>
          <w:tab w:val="center" w:pos="2338"/>
          <w:tab w:val="left" w:pos="2694"/>
        </w:tabs>
        <w:autoSpaceDE w:val="0"/>
        <w:autoSpaceDN w:val="0"/>
        <w:adjustRightInd w:val="0"/>
        <w:spacing w:before="120"/>
        <w:ind w:left="2694" w:hanging="1900"/>
        <w:rPr>
          <w:color w:val="000000"/>
          <w:sz w:val="23"/>
          <w:szCs w:val="23"/>
        </w:rPr>
      </w:pPr>
      <w:r>
        <w:rPr>
          <w:color w:val="000000"/>
          <w:sz w:val="23"/>
          <w:szCs w:val="23"/>
        </w:rPr>
        <w:tab/>
        <w:t>(i)</w:t>
      </w:r>
      <w:r>
        <w:rPr>
          <w:color w:val="000000"/>
          <w:sz w:val="23"/>
          <w:szCs w:val="23"/>
        </w:rPr>
        <w:tab/>
        <w:t>in the case of a designated reviewable regulatory decision — decision related matter under section 68C; or</w:t>
      </w:r>
    </w:p>
    <w:p>
      <w:pPr>
        <w:tabs>
          <w:tab w:val="center" w:pos="2338"/>
          <w:tab w:val="left" w:pos="2694"/>
        </w:tabs>
        <w:autoSpaceDE w:val="0"/>
        <w:autoSpaceDN w:val="0"/>
        <w:adjustRightInd w:val="0"/>
        <w:spacing w:before="120"/>
        <w:ind w:left="2694" w:hanging="1900"/>
        <w:rPr>
          <w:color w:val="000000"/>
          <w:sz w:val="23"/>
          <w:szCs w:val="23"/>
        </w:rPr>
      </w:pPr>
      <w:r>
        <w:rPr>
          <w:color w:val="000000"/>
          <w:sz w:val="23"/>
          <w:szCs w:val="23"/>
        </w:rPr>
        <w:tab/>
        <w:t>(ii)</w:t>
      </w:r>
      <w:r>
        <w:rPr>
          <w:color w:val="000000"/>
          <w:sz w:val="23"/>
          <w:szCs w:val="23"/>
        </w:rPr>
        <w:tab/>
        <w:t xml:space="preserve">in any other case — </w:t>
      </w:r>
    </w:p>
    <w:p>
      <w:pPr>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(A)</w:t>
      </w:r>
      <w:r>
        <w:rPr>
          <w:color w:val="000000"/>
          <w:sz w:val="23"/>
          <w:szCs w:val="23"/>
        </w:rPr>
        <w:tab/>
        <w:t>the reviewable regulatory decision and the written record of it and any written reasons for it; and</w:t>
      </w:r>
    </w:p>
    <w:p>
      <w:pPr>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(B)</w:t>
      </w:r>
      <w:r>
        <w:rPr>
          <w:color w:val="000000"/>
          <w:sz w:val="23"/>
          <w:szCs w:val="23"/>
        </w:rPr>
        <w:tab/>
        <w:t>any written submissions made to the original decision maker before the reviewable regulatory decision was made or the NCC before the making of an NCC recommendation; and</w:t>
      </w:r>
    </w:p>
    <w:p>
      <w:pPr>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(C)</w:t>
      </w:r>
      <w:r>
        <w:rPr>
          <w:color w:val="000000"/>
          <w:sz w:val="23"/>
          <w:szCs w:val="23"/>
        </w:rPr>
        <w:tab/>
        <w:t>any reports and materials relied on by the original decision maker in making the reviewable regulatory decision or the NCC in making an NCC recommendation; and</w:t>
      </w:r>
    </w:p>
    <w:p>
      <w:pPr>
        <w:keepLines/>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(D)</w:t>
      </w:r>
      <w:r>
        <w:rPr>
          <w:color w:val="000000"/>
          <w:sz w:val="23"/>
          <w:szCs w:val="23"/>
        </w:rPr>
        <w:tab/>
        <w:t>any draft of the reviewable regulatory decision or NCC recommendation; and</w:t>
      </w:r>
    </w:p>
    <w:p>
      <w:pPr>
        <w:keepLines/>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(E)</w:t>
      </w:r>
      <w:r>
        <w:rPr>
          <w:color w:val="000000"/>
          <w:sz w:val="23"/>
          <w:szCs w:val="23"/>
        </w:rPr>
        <w:tab/>
        <w:t xml:space="preserve">any submissions on — </w:t>
      </w:r>
    </w:p>
    <w:p>
      <w:pPr>
        <w:keepLines/>
        <w:tabs>
          <w:tab w:val="center" w:pos="3430"/>
          <w:tab w:val="left" w:pos="3878"/>
        </w:tabs>
        <w:autoSpaceDE w:val="0"/>
        <w:autoSpaceDN w:val="0"/>
        <w:adjustRightInd w:val="0"/>
        <w:spacing w:before="120"/>
        <w:ind w:left="3878" w:hanging="3084"/>
        <w:rPr>
          <w:color w:val="000000"/>
          <w:sz w:val="23"/>
          <w:szCs w:val="23"/>
        </w:rPr>
      </w:pPr>
      <w:r>
        <w:rPr>
          <w:color w:val="000000"/>
          <w:sz w:val="23"/>
          <w:szCs w:val="23"/>
        </w:rPr>
        <w:tab/>
        <w:t>•</w:t>
      </w:r>
      <w:r>
        <w:rPr>
          <w:color w:val="000000"/>
          <w:sz w:val="23"/>
          <w:szCs w:val="23"/>
        </w:rPr>
        <w:tab/>
        <w:t>the draft of the reviewable regulatory decision or the reviewable regulatory decision itself considered by the original decision maker; or</w:t>
      </w:r>
    </w:p>
    <w:p>
      <w:pPr>
        <w:keepLines/>
        <w:tabs>
          <w:tab w:val="center" w:pos="3430"/>
          <w:tab w:val="left" w:pos="3878"/>
        </w:tabs>
        <w:autoSpaceDE w:val="0"/>
        <w:autoSpaceDN w:val="0"/>
        <w:adjustRightInd w:val="0"/>
        <w:spacing w:before="120"/>
        <w:ind w:left="3878" w:hanging="3084"/>
        <w:rPr>
          <w:color w:val="000000"/>
          <w:sz w:val="23"/>
          <w:szCs w:val="23"/>
        </w:rPr>
      </w:pPr>
      <w:r>
        <w:rPr>
          <w:color w:val="000000"/>
          <w:sz w:val="23"/>
          <w:szCs w:val="23"/>
        </w:rPr>
        <w:tab/>
        <w:t>•</w:t>
      </w:r>
      <w:r>
        <w:rPr>
          <w:color w:val="000000"/>
          <w:sz w:val="23"/>
          <w:szCs w:val="23"/>
        </w:rPr>
        <w:tab/>
        <w:t>the draft of an NCC recommendation or the NCC recommendation itself considered by the NCC; and</w:t>
      </w:r>
    </w:p>
    <w:p>
      <w:pPr>
        <w:keepLines/>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(F)</w:t>
      </w:r>
      <w:r>
        <w:rPr>
          <w:color w:val="000000"/>
          <w:sz w:val="23"/>
          <w:szCs w:val="23"/>
        </w:rPr>
        <w:tab/>
        <w:t>the transcript of any hearing (if any) conducted by the original decision maker for the purpose of making the reviewable regulatory decision; and</w:t>
      </w:r>
    </w:p>
    <w:p>
      <w:pPr>
        <w:keepLines/>
        <w:tabs>
          <w:tab w:val="center" w:pos="1750"/>
          <w:tab w:val="left" w:pos="2127"/>
        </w:tabs>
        <w:autoSpaceDE w:val="0"/>
        <w:autoSpaceDN w:val="0"/>
        <w:adjustRightInd w:val="0"/>
        <w:spacing w:before="120"/>
        <w:ind w:left="2127" w:hanging="1333"/>
        <w:rPr>
          <w:color w:val="000000"/>
          <w:sz w:val="23"/>
          <w:szCs w:val="23"/>
        </w:rPr>
      </w:pPr>
      <w:r>
        <w:rPr>
          <w:color w:val="000000"/>
          <w:sz w:val="23"/>
          <w:szCs w:val="23"/>
        </w:rPr>
        <w:tab/>
        <w:t>(e)</w:t>
      </w:r>
      <w:r>
        <w:rPr>
          <w:color w:val="000000"/>
          <w:sz w:val="23"/>
          <w:szCs w:val="23"/>
        </w:rPr>
        <w:tab/>
        <w:t>any other matter properly before the Tribunal in connection with the relevant proceedings.</w:t>
      </w:r>
    </w:p>
    <w:p>
      <w:pPr>
        <w:pStyle w:val="Footnotesection"/>
        <w:rPr>
          <w:sz w:val="23"/>
          <w:szCs w:val="23"/>
        </w:rPr>
      </w:pPr>
      <w:r>
        <w:tab/>
      </w:r>
      <w:r>
        <w:rPr>
          <w:sz w:val="23"/>
          <w:szCs w:val="23"/>
        </w:rPr>
        <w:t>[Section 261 amended see SA Act No. 79 of 2013 s. 31</w:t>
      </w:r>
      <w:r>
        <w:t xml:space="preserve"> and WA Gazette 14 Mar 2014 p. 632</w:t>
      </w:r>
      <w:r>
        <w:rPr>
          <w:sz w:val="23"/>
          <w:szCs w:val="23"/>
        </w:rPr>
        <w:t>.]</w:t>
      </w:r>
    </w:p>
    <w:p>
      <w:pPr>
        <w:pStyle w:val="Heading5"/>
      </w:pPr>
      <w:bookmarkStart w:id="761" w:name="_Toc536782308"/>
      <w:r>
        <w:rPr>
          <w:rStyle w:val="CharSectno"/>
        </w:rPr>
        <w:t>262</w:t>
      </w:r>
      <w:r>
        <w:t>.</w:t>
      </w:r>
      <w:r>
        <w:tab/>
        <w:t>Assistance from NCC in certain cases</w:t>
      </w:r>
      <w:bookmarkEnd w:id="76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reviewable regulatory decision being reviewed under this Division is a Ministerial coverage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member of the Tribunal presiding in the review may require the NCC to give information and other assistance and to make reports, as specified, by the member for the purposes of the review.</w:t>
      </w:r>
    </w:p>
    <w:p>
      <w:pPr>
        <w:pStyle w:val="Heading4"/>
      </w:pPr>
      <w:bookmarkStart w:id="762" w:name="_Toc501634188"/>
      <w:bookmarkStart w:id="763" w:name="_Toc501713084"/>
      <w:bookmarkStart w:id="764" w:name="_Toc536782309"/>
      <w:r>
        <w:t>Division 3 — Tribunal review of AER information disclosure decisions under section 329</w:t>
      </w:r>
      <w:bookmarkEnd w:id="762"/>
      <w:bookmarkEnd w:id="763"/>
      <w:bookmarkEnd w:id="764"/>
    </w:p>
    <w:p>
      <w:pPr>
        <w:pStyle w:val="Heading5"/>
      </w:pPr>
      <w:bookmarkStart w:id="765" w:name="_Toc536782310"/>
      <w:r>
        <w:rPr>
          <w:rStyle w:val="CharSectno"/>
        </w:rPr>
        <w:t>263</w:t>
      </w:r>
      <w:r>
        <w:t>.</w:t>
      </w:r>
      <w:r>
        <w:tab/>
        <w:t>Application for review</w:t>
      </w:r>
      <w:bookmarkEnd w:id="76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whose interests are adversely affected by an AER information disclosure decision may apply to the Tribunal for a review of the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must be made in the form and manner determined by the Tribunal.</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application may only be made on the ground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decision was not made in accordance with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decision is unreasonable having regard to all relevant circumstances.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person must lodge the application with the Tribunal no later than 5 business days after the date of the notice given under section 329(2), (3) or (6) to which the AER information disclosure decision relates (whichever is the later).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An application under this section stays the operation of the decision until the earlier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20 business days;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making of a determination by the Tribunal in respect of the application.</w:t>
      </w:r>
    </w:p>
    <w:p>
      <w:pPr>
        <w:pStyle w:val="Heading5"/>
      </w:pPr>
      <w:bookmarkStart w:id="766" w:name="_Toc536782311"/>
      <w:r>
        <w:rPr>
          <w:rStyle w:val="CharSectno"/>
        </w:rPr>
        <w:t>264</w:t>
      </w:r>
      <w:r>
        <w:t>.</w:t>
      </w:r>
      <w:r>
        <w:tab/>
        <w:t>Exclusion of public in certain cases</w:t>
      </w:r>
      <w:bookmarkEnd w:id="766"/>
    </w:p>
    <w:p>
      <w:pPr>
        <w:keepLines/>
        <w:autoSpaceDE w:val="0"/>
        <w:autoSpaceDN w:val="0"/>
        <w:adjustRightInd w:val="0"/>
        <w:spacing w:before="120"/>
        <w:ind w:left="1588"/>
        <w:rPr>
          <w:color w:val="000000"/>
          <w:sz w:val="23"/>
          <w:szCs w:val="23"/>
        </w:rPr>
      </w:pPr>
      <w:r>
        <w:rPr>
          <w:color w:val="000000"/>
          <w:sz w:val="23"/>
          <w:szCs w:val="23"/>
        </w:rPr>
        <w:t>On the application of a party to a review under this Division, the Tribunal may conduct the review in the absence of the public.</w:t>
      </w:r>
    </w:p>
    <w:p>
      <w:pPr>
        <w:pStyle w:val="Heading5"/>
      </w:pPr>
      <w:bookmarkStart w:id="767" w:name="_Toc536782312"/>
      <w:r>
        <w:rPr>
          <w:rStyle w:val="CharSectno"/>
        </w:rPr>
        <w:t>265</w:t>
      </w:r>
      <w:r>
        <w:t>.</w:t>
      </w:r>
      <w:r>
        <w:tab/>
        <w:t>Determination in the review</w:t>
      </w:r>
      <w:bookmarkEnd w:id="76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Part, on receipt of an application under section 263, the Tribunal must make a determination in respect of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determination under this section must only—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affirm the AER information disclosure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forbid disclosure by the AER of the information or document to which the AER information disclosure decision the subject of the review relates;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restrict, as specified in the determination, the intended disclosure by the AER of the information or document to which the AER information disclosure decision the subject of the review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purposes of making a determination of the kind in subsection (2)(a), the Tribunal may perform all the functions and exercise all the powers of the AER under this Law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determination by the Tribunal affirming, forbidding or restricting the AER information disclosure decision is, for the purposes of this Law (other than this Part), to be taken to be a decision of the AER.</w:t>
      </w:r>
    </w:p>
    <w:p>
      <w:pPr>
        <w:pStyle w:val="Heading5"/>
      </w:pPr>
      <w:bookmarkStart w:id="768" w:name="_Toc536782313"/>
      <w:r>
        <w:rPr>
          <w:rStyle w:val="CharSectno"/>
        </w:rPr>
        <w:t>266</w:t>
      </w:r>
      <w:r>
        <w:t>.</w:t>
      </w:r>
      <w:r>
        <w:tab/>
        <w:t>Tribunal must be taken to have affirmed decision if decision not made within time</w:t>
      </w:r>
      <w:bookmarkEnd w:id="76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Tribunal does not make a determination under section 265 within 20 business days after an application is lodged under section 263.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Tribunal must be taken to have made a determination under section 265 affirming the AER information disclosure decision to which the application relates.</w:t>
      </w:r>
    </w:p>
    <w:p>
      <w:pPr>
        <w:pStyle w:val="Heading5"/>
      </w:pPr>
      <w:bookmarkStart w:id="769" w:name="_Toc536782314"/>
      <w:r>
        <w:rPr>
          <w:rStyle w:val="CharSectno"/>
        </w:rPr>
        <w:t>267</w:t>
      </w:r>
      <w:r>
        <w:t>.</w:t>
      </w:r>
      <w:r>
        <w:tab/>
        <w:t>Assistance from the AER in certain cases</w:t>
      </w:r>
      <w:bookmarkEnd w:id="769"/>
    </w:p>
    <w:p>
      <w:pPr>
        <w:keepLines/>
        <w:autoSpaceDE w:val="0"/>
        <w:autoSpaceDN w:val="0"/>
        <w:adjustRightInd w:val="0"/>
        <w:spacing w:before="120"/>
        <w:ind w:left="1588"/>
        <w:rPr>
          <w:color w:val="000000"/>
          <w:sz w:val="23"/>
          <w:szCs w:val="23"/>
        </w:rPr>
      </w:pPr>
      <w:r>
        <w:rPr>
          <w:color w:val="000000"/>
          <w:sz w:val="23"/>
          <w:szCs w:val="23"/>
        </w:rPr>
        <w:t>The member of the Tribunal presiding in the review may require the AER to give information and other assistance and to make reports, as specified, by the member for the purposes of the review.</w:t>
      </w:r>
    </w:p>
    <w:p>
      <w:pPr>
        <w:pStyle w:val="Heading4"/>
      </w:pPr>
      <w:bookmarkStart w:id="770" w:name="_Toc501634194"/>
      <w:bookmarkStart w:id="771" w:name="_Toc501713090"/>
      <w:bookmarkStart w:id="772" w:name="_Toc536782315"/>
      <w:r>
        <w:t>Division 4 — General</w:t>
      </w:r>
      <w:bookmarkEnd w:id="770"/>
      <w:bookmarkEnd w:id="771"/>
      <w:bookmarkEnd w:id="772"/>
    </w:p>
    <w:p>
      <w:pPr>
        <w:pStyle w:val="Heading5"/>
      </w:pPr>
      <w:bookmarkStart w:id="773" w:name="_Toc536782316"/>
      <w:r>
        <w:rPr>
          <w:rStyle w:val="CharSectno"/>
        </w:rPr>
        <w:t>268</w:t>
      </w:r>
      <w:r>
        <w:t>.</w:t>
      </w:r>
      <w:r>
        <w:tab/>
        <w:t>Costs in a review</w:t>
      </w:r>
      <w:bookmarkEnd w:id="77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the Tribunal may order that a party to a review under this Part pay all or a specified part of the costs of another party to the review.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Tribunal must not make an order requiring an original decision maker or small/medium user or consumer intervener to pay the costs of another party to the review unless the Tribunal considers that the original decision maker or intervener has conducted their case in the review without due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costs that would have to be incurred by another party to the review as a result of that conduct;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time required by—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Tribunal to hear the review as a result of that conduct;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another party to prepare their case as a result of that conduct;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the case of the AER in a review of a designated reviewable regulatory decision — the submissions or arguments made to the Tribunal by another party.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Tribunal may make an order requiring a user or consumer intervener (that is not a small/medium user or consumer intervener) that has intervened in the review to pay all or part of the costs of another party to the review if the Tribunal considers that the intervener has conducted their case in the review without due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costs that would have to be incurred by another party to the review as a result of that conduct;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time required by—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Tribunal to hear the review as a result of that conduct;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another party to prepare their case as a result of that conduct;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submissions or arguments made to the Tribunal by another party.</w:t>
      </w:r>
    </w:p>
    <w:p>
      <w:pPr>
        <w:pStyle w:val="Footnotesection"/>
      </w:pPr>
      <w:r>
        <w:tab/>
        <w:t>[Section 268 amended see SA Act No. 79 of 2013 s. 32 and WA Gazette 14 Mar 2014 p. 632.]</w:t>
      </w:r>
    </w:p>
    <w:p>
      <w:pPr>
        <w:pStyle w:val="Heading5"/>
      </w:pPr>
      <w:bookmarkStart w:id="774" w:name="_Toc536782317"/>
      <w:r>
        <w:rPr>
          <w:rStyle w:val="CharSectno"/>
        </w:rPr>
        <w:t>269</w:t>
      </w:r>
      <w:r>
        <w:t>.</w:t>
      </w:r>
      <w:r>
        <w:tab/>
        <w:t>Amount of costs</w:t>
      </w:r>
      <w:bookmarkEnd w:id="77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Tribunal makes an order for costs in a review under this Part, the Tribunal may in that order fix the amount of costs payable by a party to the review 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party and party basis;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solicitor and client basis;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indemnity basis;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other basis as the Tribunal may decide.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However, in the case of a review that relates to a designated reviewable regulatory decision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subsection (1) does not apply in relation to an order for costs against a small/medium user or consumer intervener;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Tribunal makes an order for costs against a small/medium user or consumer intervener in favour of another party, the costs must be limited to the payment of reasonable administrative costs (as determined by the Tribunal) of that other party.</w:t>
      </w:r>
    </w:p>
    <w:p>
      <w:pPr>
        <w:pStyle w:val="Footnotesection"/>
      </w:pPr>
      <w:r>
        <w:tab/>
        <w:t>[Section 269 amended see SA Act No. 79 of 2013 s. 33 and WA Gazette 14 Mar 2014 p. 632.]</w:t>
      </w:r>
    </w:p>
    <w:p>
      <w:pPr>
        <w:pStyle w:val="Heading5"/>
      </w:pPr>
      <w:bookmarkStart w:id="775" w:name="_Toc536782318"/>
      <w:r>
        <w:rPr>
          <w:rStyle w:val="CharSectno"/>
        </w:rPr>
        <w:t>269A</w:t>
      </w:r>
      <w:r>
        <w:t>.</w:t>
      </w:r>
      <w:r>
        <w:tab/>
        <w:t>Costs not to be passed on</w:t>
      </w:r>
      <w:bookmarkEnd w:id="77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to any expenditure or cost that a service provider incurs, or is forecast to incur, as a result of or incidental to a review that relates to a designated reviewable regulatory decision under this Part, including costs awarded under section 268.</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A service provider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not, for the purposes of an applicable access arrangement decision, include as part of its capital expenditure or operating expenditure any expenditure or cost to which this section applies;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not recover from end users or seek a pass through of any expenditure or cost to which this section applies.</w:t>
      </w:r>
    </w:p>
    <w:p>
      <w:pPr>
        <w:keepLines/>
        <w:tabs>
          <w:tab w:val="center" w:pos="1191"/>
          <w:tab w:val="left" w:pos="1588"/>
        </w:tabs>
        <w:autoSpaceDE w:val="0"/>
        <w:autoSpaceDN w:val="0"/>
        <w:adjustRightInd w:val="0"/>
        <w:spacing w:before="120"/>
        <w:ind w:left="1588" w:hanging="794"/>
        <w:rPr>
          <w:b/>
          <w:color w:val="000000"/>
          <w:sz w:val="23"/>
          <w:szCs w:val="23"/>
        </w:rPr>
      </w:pPr>
      <w:r>
        <w:rPr>
          <w:color w:val="000000"/>
          <w:sz w:val="23"/>
          <w:szCs w:val="23"/>
        </w:rPr>
        <w:tab/>
        <w:t>(3)</w:t>
      </w:r>
      <w:r>
        <w:rPr>
          <w:color w:val="000000"/>
          <w:sz w:val="23"/>
          <w:szCs w:val="23"/>
        </w:rPr>
        <w:tab/>
        <w:t>This section applies despite any provision to the contrary in this Law, the Rules, an applicable access arrangement or an applicable access arrangement decision (and this section prevails to the extent of any inconsistency between such a provision and this section).</w:t>
      </w:r>
    </w:p>
    <w:p>
      <w:pPr>
        <w:pStyle w:val="Footnotesection"/>
      </w:pPr>
      <w:r>
        <w:tab/>
        <w:t>[Section 269A inserted see SA Act No. 79 of 2013 s. 34 and WA Gazette 14 Mar 2014 p. 632.]</w:t>
      </w:r>
    </w:p>
    <w:p>
      <w:pPr>
        <w:pStyle w:val="Heading5"/>
        <w:spacing w:before="120"/>
      </w:pPr>
      <w:bookmarkStart w:id="776" w:name="_Toc536782319"/>
      <w:r>
        <w:rPr>
          <w:rStyle w:val="CharSectno"/>
        </w:rPr>
        <w:t>270</w:t>
      </w:r>
      <w:r>
        <w:t>.</w:t>
      </w:r>
      <w:r>
        <w:tab/>
        <w:t>Review of Part</w:t>
      </w:r>
      <w:bookmarkEnd w:id="77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MCE must initiate a review of the Tribunal's role under this Part by 1 December 2016.</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(1a)</w:t>
      </w:r>
      <w:r>
        <w:rPr>
          <w:color w:val="000000"/>
          <w:sz w:val="23"/>
          <w:szCs w:val="23"/>
        </w:rPr>
        <w:tab/>
        <w:t>The review will be undertaken by a person nominated by the MCE.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MCE must specify the matters to be addressed in the review.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person undertaking the review must, during the review, invite public comment and submissions about the matters to be addressed in the review.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person undertaking the review must report, in writing, to the MCE on the outcome of the review by the date specified by the MCE.</w:t>
      </w:r>
    </w:p>
    <w:p>
      <w:pPr>
        <w:pStyle w:val="Footnotesection"/>
      </w:pPr>
      <w:r>
        <w:tab/>
        <w:t>[Section 270 amended see SA Act No. 79 of 2013 s. 35 and WA Gazette 14 Mar 2014 p. 632.]</w:t>
      </w:r>
    </w:p>
    <w:p>
      <w:pPr>
        <w:pStyle w:val="Heading3"/>
        <w:spacing w:before="120"/>
      </w:pPr>
      <w:bookmarkStart w:id="777" w:name="_Toc501634199"/>
      <w:bookmarkStart w:id="778" w:name="_Toc501713095"/>
      <w:bookmarkStart w:id="779" w:name="_Toc536782320"/>
      <w:r>
        <w:rPr>
          <w:rStyle w:val="CharDivNo"/>
        </w:rPr>
        <w:t>Part 6</w:t>
      </w:r>
      <w:r>
        <w:t xml:space="preserve"> — </w:t>
      </w:r>
      <w:r>
        <w:rPr>
          <w:rStyle w:val="CharDivText"/>
        </w:rPr>
        <w:t>Enforcement of access determinations</w:t>
      </w:r>
      <w:bookmarkEnd w:id="777"/>
      <w:bookmarkEnd w:id="778"/>
      <w:bookmarkEnd w:id="779"/>
    </w:p>
    <w:p>
      <w:pPr>
        <w:pStyle w:val="Heading5"/>
        <w:spacing w:before="120"/>
      </w:pPr>
      <w:bookmarkStart w:id="780" w:name="_Toc536782321"/>
      <w:r>
        <w:rPr>
          <w:rStyle w:val="CharSectno"/>
        </w:rPr>
        <w:t>271</w:t>
      </w:r>
      <w:r>
        <w:t>.</w:t>
      </w:r>
      <w:r>
        <w:tab/>
        <w:t>Enforcement of access determinations</w:t>
      </w:r>
      <w:bookmarkEnd w:id="78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Court is satisfied, on the application of a party to an access determination, that another party to the determination has engaged, is engaging, or is proposing to engage in conduct that constitutes a contravention of the determination, the Court may make all or any of the following orders: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order granting an injunction on such terms as the Court thinks appropriate—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restraining the other party from engaging in the conduct;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if the conduct involves refusing or failing to do something—requiring the other party to do that thing;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order directing the other party to compensate the applicant for loss or damage suffered as a result of the contravention;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order that the Court thinks appropriate.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revocation of an access determination does not affect any remedy under subsection (1) in respect of a contravention of the determination that occurred when the determination was in force.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Court has power under subsection (1) to grant an injunction restraining a person from engaging in particular conduct, or requiring a person to do anything, the Court may make any other orders (including granting an injunction) that it thinks appropriate against any other person who was involved in the contravention concerned.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reference in this section to a person involved in the contravention is a reference to a person who has—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aided, abetted, counselled or procured the contravention;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induced the contravention, whether through threats or promises or otherwise;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been in any way (directly or indirectly) knowingly concerned in or a party to the contravention;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conspired with others to effect the contravention.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reference in this section to an access determination includes a reference to an access determination under Chapter 6A.</w:t>
      </w:r>
    </w:p>
    <w:p>
      <w:pPr>
        <w:pStyle w:val="Footnotesection"/>
      </w:pPr>
      <w:r>
        <w:tab/>
        <w:t>[Section 271 amended: see SA Act No. 23 of 2017 s. 7 and WA Gazette 22 Dec 2017 p. 5984.]</w:t>
      </w:r>
    </w:p>
    <w:p>
      <w:pPr>
        <w:pStyle w:val="Heading5"/>
      </w:pPr>
      <w:bookmarkStart w:id="781" w:name="_Toc536782322"/>
      <w:r>
        <w:rPr>
          <w:rStyle w:val="CharSectno"/>
        </w:rPr>
        <w:t>272</w:t>
      </w:r>
      <w:r>
        <w:t>.</w:t>
      </w:r>
      <w:r>
        <w:tab/>
        <w:t>Consent injunctions</w:t>
      </w:r>
      <w:bookmarkEnd w:id="781"/>
    </w:p>
    <w:p>
      <w:pPr>
        <w:keepLines/>
        <w:autoSpaceDE w:val="0"/>
        <w:autoSpaceDN w:val="0"/>
        <w:adjustRightInd w:val="0"/>
        <w:spacing w:before="120"/>
        <w:ind w:left="1588"/>
        <w:rPr>
          <w:color w:val="000000"/>
          <w:sz w:val="23"/>
          <w:szCs w:val="23"/>
        </w:rPr>
      </w:pPr>
      <w:r>
        <w:rPr>
          <w:color w:val="000000"/>
          <w:sz w:val="23"/>
          <w:szCs w:val="23"/>
        </w:rPr>
        <w:t>On an application for an injunction under section 271, the Court may grant an injunction by consent of all of the parties to the proceedings, whether or not the Court is satisfied that the section applies.</w:t>
      </w:r>
    </w:p>
    <w:p>
      <w:pPr>
        <w:pStyle w:val="Heading5"/>
      </w:pPr>
      <w:bookmarkStart w:id="782" w:name="_Toc536782323"/>
      <w:r>
        <w:rPr>
          <w:rStyle w:val="CharSectno"/>
        </w:rPr>
        <w:t>273</w:t>
      </w:r>
      <w:r>
        <w:t>.</w:t>
      </w:r>
      <w:r>
        <w:tab/>
        <w:t>Interim injunctions</w:t>
      </w:r>
      <w:bookmarkEnd w:id="782"/>
    </w:p>
    <w:p>
      <w:pPr>
        <w:keepLines/>
        <w:autoSpaceDE w:val="0"/>
        <w:autoSpaceDN w:val="0"/>
        <w:adjustRightInd w:val="0"/>
        <w:spacing w:before="120"/>
        <w:ind w:left="1588"/>
        <w:rPr>
          <w:color w:val="000000"/>
          <w:sz w:val="23"/>
          <w:szCs w:val="23"/>
        </w:rPr>
      </w:pPr>
      <w:r>
        <w:rPr>
          <w:color w:val="000000"/>
          <w:sz w:val="23"/>
          <w:szCs w:val="23"/>
        </w:rPr>
        <w:t>The Court may grant an interim injunction pending determination of an application under section 271.</w:t>
      </w:r>
    </w:p>
    <w:p>
      <w:pPr>
        <w:pStyle w:val="Heading5"/>
      </w:pPr>
      <w:bookmarkStart w:id="783" w:name="_Toc536782324"/>
      <w:r>
        <w:rPr>
          <w:rStyle w:val="CharSectno"/>
        </w:rPr>
        <w:t>274</w:t>
      </w:r>
      <w:r>
        <w:t>.</w:t>
      </w:r>
      <w:r>
        <w:tab/>
        <w:t>Factors relevant to granting a restraining injunction</w:t>
      </w:r>
      <w:bookmarkEnd w:id="783"/>
    </w:p>
    <w:p>
      <w:pPr>
        <w:keepNext/>
        <w:keepLines/>
        <w:autoSpaceDE w:val="0"/>
        <w:autoSpaceDN w:val="0"/>
        <w:adjustRightInd w:val="0"/>
        <w:spacing w:before="120"/>
        <w:ind w:left="1588"/>
        <w:rPr>
          <w:color w:val="000000"/>
          <w:sz w:val="23"/>
          <w:szCs w:val="23"/>
        </w:rPr>
      </w:pPr>
      <w:r>
        <w:rPr>
          <w:color w:val="000000"/>
          <w:sz w:val="23"/>
          <w:szCs w:val="23"/>
        </w:rPr>
        <w:t>The power of the Court to grant an injunction under section 271 restraining a person from engaging in conduct may be exercised whether or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appears to the Court that the person intends to engage again, or to continue to engage, in conduct of that kind;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person has previously engaged in conduct of that kind;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there is an imminent danger of substantial damage to any person if the first mentioned person engages in conduct of that kind.</w:t>
      </w:r>
    </w:p>
    <w:p>
      <w:pPr>
        <w:pStyle w:val="Heading5"/>
      </w:pPr>
      <w:bookmarkStart w:id="784" w:name="_Toc536782325"/>
      <w:r>
        <w:rPr>
          <w:rStyle w:val="CharSectno"/>
        </w:rPr>
        <w:t>275</w:t>
      </w:r>
      <w:r>
        <w:t>.</w:t>
      </w:r>
      <w:r>
        <w:tab/>
        <w:t>Factors relevant to granting a mandatory injunction</w:t>
      </w:r>
      <w:bookmarkEnd w:id="784"/>
    </w:p>
    <w:p>
      <w:pPr>
        <w:keepNext/>
        <w:keepLines/>
        <w:autoSpaceDE w:val="0"/>
        <w:autoSpaceDN w:val="0"/>
        <w:adjustRightInd w:val="0"/>
        <w:spacing w:before="120"/>
        <w:ind w:left="1588"/>
        <w:rPr>
          <w:color w:val="000000"/>
          <w:sz w:val="23"/>
          <w:szCs w:val="23"/>
        </w:rPr>
      </w:pPr>
      <w:r>
        <w:rPr>
          <w:color w:val="000000"/>
          <w:sz w:val="23"/>
          <w:szCs w:val="23"/>
        </w:rPr>
        <w:t>The power of the Court to grant an injunction under section 271 requiring a person to do a thing may be exercised whether or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appears to the Court that the person intends to refuse or fail again, or to continue to refuse or fail, to do that thing;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person has previously refused or failed to do that thing;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there is an imminent danger of substantial damage to any person if the first mentioned person refuses or fails to do that thing.</w:t>
      </w:r>
    </w:p>
    <w:p>
      <w:pPr>
        <w:pStyle w:val="Heading5"/>
      </w:pPr>
      <w:bookmarkStart w:id="785" w:name="_Toc536782326"/>
      <w:r>
        <w:rPr>
          <w:rStyle w:val="CharSectno"/>
        </w:rPr>
        <w:t>276</w:t>
      </w:r>
      <w:r>
        <w:t>.</w:t>
      </w:r>
      <w:r>
        <w:tab/>
        <w:t>Discharge or variation of injunction or other order</w:t>
      </w:r>
      <w:bookmarkEnd w:id="785"/>
    </w:p>
    <w:p>
      <w:pPr>
        <w:keepLines/>
        <w:autoSpaceDE w:val="0"/>
        <w:autoSpaceDN w:val="0"/>
        <w:adjustRightInd w:val="0"/>
        <w:spacing w:before="120"/>
        <w:ind w:left="1588"/>
        <w:rPr>
          <w:color w:val="000000"/>
          <w:sz w:val="23"/>
          <w:szCs w:val="23"/>
        </w:rPr>
      </w:pPr>
      <w:r>
        <w:rPr>
          <w:color w:val="000000"/>
          <w:sz w:val="23"/>
          <w:szCs w:val="23"/>
        </w:rPr>
        <w:t>The Court may discharge or vary an injunction or order granted under this Part.</w:t>
      </w:r>
    </w:p>
    <w:p>
      <w:pPr>
        <w:pStyle w:val="Heading3"/>
      </w:pPr>
      <w:bookmarkStart w:id="786" w:name="_Toc501634206"/>
      <w:bookmarkStart w:id="787" w:name="_Toc501713102"/>
      <w:bookmarkStart w:id="788" w:name="_Toc536782327"/>
      <w:r>
        <w:rPr>
          <w:rStyle w:val="CharDivNo"/>
        </w:rPr>
        <w:t>Part 7</w:t>
      </w:r>
      <w:r>
        <w:t xml:space="preserve"> — </w:t>
      </w:r>
      <w:r>
        <w:rPr>
          <w:rStyle w:val="CharDivText"/>
        </w:rPr>
        <w:t>Infringement notices</w:t>
      </w:r>
      <w:bookmarkEnd w:id="786"/>
      <w:bookmarkEnd w:id="787"/>
      <w:bookmarkEnd w:id="788"/>
    </w:p>
    <w:p>
      <w:pPr>
        <w:pStyle w:val="Heading5"/>
        <w:spacing w:before="120"/>
      </w:pPr>
      <w:bookmarkStart w:id="789" w:name="_Toc536782328"/>
      <w:r>
        <w:rPr>
          <w:rStyle w:val="CharSectno"/>
        </w:rPr>
        <w:t>277</w:t>
      </w:r>
      <w:r>
        <w:t>.</w:t>
      </w:r>
      <w:r>
        <w:tab/>
        <w:t>Power to serve notice</w:t>
      </w:r>
      <w:bookmarkEnd w:id="78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serve an infringement notice on a person that the AER has reason to believe has breached a civil penalty provision.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must, however, serve an infringement notice not later than 12 months after the date on which the AER forms a belief that there has been a breach of a civil penalty provision.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infringement notice may be served on a natural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delivering it personally to the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sending it by post addressed to the person to their usual or last known place of residence or business.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infringement notice may be served on a person that is a body corporate—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delivering it personally to the registered office or usual or last known place of business of the body corporate;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sending it by post addressed to the body corporate to its registered office or usual or last known place of business.</w:t>
      </w:r>
    </w:p>
    <w:p>
      <w:pPr>
        <w:pStyle w:val="Heading5"/>
        <w:spacing w:before="120"/>
      </w:pPr>
      <w:bookmarkStart w:id="790" w:name="_Toc536782329"/>
      <w:r>
        <w:rPr>
          <w:rStyle w:val="CharSectno"/>
        </w:rPr>
        <w:t>278</w:t>
      </w:r>
      <w:r>
        <w:t>.</w:t>
      </w:r>
      <w:r>
        <w:tab/>
        <w:t>Form of notice</w:t>
      </w:r>
      <w:bookmarkEnd w:id="790"/>
    </w:p>
    <w:p>
      <w:pPr>
        <w:keepNext/>
        <w:keepLines/>
        <w:autoSpaceDE w:val="0"/>
        <w:autoSpaceDN w:val="0"/>
        <w:adjustRightInd w:val="0"/>
        <w:spacing w:before="120"/>
        <w:ind w:left="1588"/>
        <w:rPr>
          <w:color w:val="000000"/>
          <w:sz w:val="23"/>
          <w:szCs w:val="23"/>
        </w:rPr>
      </w:pPr>
      <w:r>
        <w:rPr>
          <w:color w:val="000000"/>
          <w:sz w:val="23"/>
          <w:szCs w:val="23"/>
        </w:rPr>
        <w:t>An infringement notice must state—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date of the notice;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the alleged breach is a breach of the civil penalty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nature, and a brief description, of the alleged breach;</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date, time and place of the alleged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infringement penalty for the alleged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manner in which the infringement penalty may be paid;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the time (being not less than 28 days after the date on which the notice is served) within which the infringement penalty must be paid;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that, if the amount of the infringement penalty is paid before the end of the time specified in the notice, proceedings will not be instituted in respect of the alleged breach by the AER unless the notice is withdrawn before the end of that time in accordance with section 282;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(i)</w:t>
      </w:r>
      <w:r>
        <w:rPr>
          <w:color w:val="000000"/>
          <w:sz w:val="23"/>
          <w:szCs w:val="23"/>
        </w:rPr>
        <w:tab/>
        <w:t>that the person is entitled to disregard the notice and defend any proceedings in respect of the civil penalty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(j)</w:t>
      </w:r>
      <w:r>
        <w:rPr>
          <w:color w:val="000000"/>
          <w:sz w:val="23"/>
          <w:szCs w:val="23"/>
        </w:rPr>
        <w:tab/>
        <w:t>any other particulars prescribed by the Regulations.</w:t>
      </w:r>
    </w:p>
    <w:p>
      <w:pPr>
        <w:pStyle w:val="Heading5"/>
      </w:pPr>
      <w:bookmarkStart w:id="791" w:name="_Toc536782330"/>
      <w:r>
        <w:rPr>
          <w:rStyle w:val="CharSectno"/>
        </w:rPr>
        <w:t>279</w:t>
      </w:r>
      <w:r>
        <w:t>.</w:t>
      </w:r>
      <w:r>
        <w:tab/>
        <w:t>Infringement penalty</w:t>
      </w:r>
      <w:bookmarkEnd w:id="791"/>
    </w:p>
    <w:p>
      <w:pPr>
        <w:keepNext/>
        <w:keepLines/>
        <w:autoSpaceDE w:val="0"/>
        <w:autoSpaceDN w:val="0"/>
        <w:adjustRightInd w:val="0"/>
        <w:spacing w:before="120"/>
        <w:ind w:left="1588"/>
        <w:rPr>
          <w:color w:val="000000"/>
          <w:sz w:val="23"/>
          <w:szCs w:val="23"/>
        </w:rPr>
      </w:pPr>
      <w:r>
        <w:rPr>
          <w:color w:val="000000"/>
          <w:sz w:val="23"/>
          <w:szCs w:val="23"/>
        </w:rPr>
        <w:t>The infringement penalty for a breach of a civil penalty provision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breach is alleged to have been committed by a natural person—$4 000 or any lesser amount that is prescribed by the Regulations in relation to the civil penalty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breach is alleged to have been committed by a body corporate—$20 000 or any lesser amount that is prescribed by the Regulations in relation to the civil penalty provision.</w:t>
      </w:r>
    </w:p>
    <w:p>
      <w:pPr>
        <w:pStyle w:val="Heading5"/>
        <w:keepLines w:val="0"/>
      </w:pPr>
      <w:bookmarkStart w:id="792" w:name="_Toc536782331"/>
      <w:r>
        <w:rPr>
          <w:rStyle w:val="CharSectno"/>
        </w:rPr>
        <w:t>280</w:t>
      </w:r>
      <w:r>
        <w:t>.</w:t>
      </w:r>
      <w:r>
        <w:tab/>
        <w:t>AER cannot institute proceedings while infringement notice on foot</w:t>
      </w:r>
      <w:bookmarkEnd w:id="792"/>
    </w:p>
    <w:p>
      <w:pPr>
        <w:keepLines/>
        <w:autoSpaceDE w:val="0"/>
        <w:autoSpaceDN w:val="0"/>
        <w:adjustRightInd w:val="0"/>
        <w:spacing w:before="160"/>
        <w:ind w:left="1588"/>
        <w:rPr>
          <w:color w:val="000000"/>
          <w:sz w:val="23"/>
          <w:szCs w:val="23"/>
        </w:rPr>
      </w:pPr>
      <w:r>
        <w:rPr>
          <w:color w:val="000000"/>
          <w:sz w:val="23"/>
          <w:szCs w:val="23"/>
        </w:rPr>
        <w:t>On serving an infringement notice under this Part, the AER must not institute a proceeding in respect of the breach for which the infringement notice was served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time for payment stated in the infringement notice has not expired;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infringement notice has not been withdrawn by the AER in accordance with section 282.</w:t>
      </w:r>
    </w:p>
    <w:p>
      <w:pPr>
        <w:pStyle w:val="Heading5"/>
      </w:pPr>
      <w:bookmarkStart w:id="793" w:name="_Toc536782332"/>
      <w:r>
        <w:rPr>
          <w:rStyle w:val="CharSectno"/>
        </w:rPr>
        <w:t>281</w:t>
      </w:r>
      <w:r>
        <w:t>.</w:t>
      </w:r>
      <w:r>
        <w:tab/>
        <w:t>Late payment of penalty</w:t>
      </w:r>
      <w:bookmarkEnd w:id="793"/>
    </w:p>
    <w:p>
      <w:pPr>
        <w:keepNext/>
        <w:keepLines/>
        <w:autoSpaceDE w:val="0"/>
        <w:autoSpaceDN w:val="0"/>
        <w:adjustRightInd w:val="0"/>
        <w:spacing w:before="160"/>
        <w:ind w:left="1588"/>
        <w:rPr>
          <w:color w:val="000000"/>
          <w:sz w:val="23"/>
          <w:szCs w:val="23"/>
        </w:rPr>
      </w:pPr>
      <w:r>
        <w:rPr>
          <w:color w:val="000000"/>
          <w:sz w:val="23"/>
          <w:szCs w:val="23"/>
        </w:rPr>
        <w:t>The AER may accept payment of the infringement penalty even after the expiration of the time for payment stated in the infringement notice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proceeding has not been instituted in respect of the breach to which the infringement penalty relates;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infringement notice has not been withdrawn by the AER in accordance with section 282.</w:t>
      </w:r>
    </w:p>
    <w:p>
      <w:pPr>
        <w:pStyle w:val="Heading5"/>
      </w:pPr>
      <w:bookmarkStart w:id="794" w:name="_Toc536782333"/>
      <w:r>
        <w:rPr>
          <w:rStyle w:val="CharSectno"/>
        </w:rPr>
        <w:t>282</w:t>
      </w:r>
      <w:r>
        <w:t>.</w:t>
      </w:r>
      <w:r>
        <w:tab/>
        <w:t>Withdrawal of notice</w:t>
      </w:r>
      <w:bookmarkEnd w:id="794"/>
    </w:p>
    <w:p>
      <w:pPr>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(1)</w:t>
      </w:r>
      <w:r>
        <w:rPr>
          <w:color w:val="000000"/>
          <w:sz w:val="23"/>
          <w:szCs w:val="23"/>
        </w:rPr>
        <w:tab/>
        <w:t>The AER may withdraw an infringement notice at any time before the end of the time for payment specified in the notice by serving a withdrawal notice on the person served with the infringement notice.</w:t>
      </w:r>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(2)</w:t>
      </w:r>
      <w:r>
        <w:rPr>
          <w:color w:val="000000"/>
          <w:sz w:val="23"/>
          <w:szCs w:val="23"/>
        </w:rPr>
        <w:tab/>
        <w:t>A withdrawal notice may be served on a natural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delivering it personally to the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sending it by post addressed to the person to their usual or last known place of residence or business.</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withdrawal notice may be served on a person that is a body corporate—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delivering it personally to the registered office or usual or last known place of business of the body corporate;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sending it by post addressed to the body corporate to its registered office or usual or last known place of business.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infringement notice may be withdrawn even if the infringement penalty has been paid.</w:t>
      </w:r>
    </w:p>
    <w:p>
      <w:pPr>
        <w:pStyle w:val="Heading5"/>
      </w:pPr>
      <w:bookmarkStart w:id="795" w:name="_Toc536782334"/>
      <w:r>
        <w:rPr>
          <w:rStyle w:val="CharSectno"/>
        </w:rPr>
        <w:t>283</w:t>
      </w:r>
      <w:r>
        <w:t>.</w:t>
      </w:r>
      <w:r>
        <w:tab/>
        <w:t>Refund of infringement penalty</w:t>
      </w:r>
      <w:bookmarkEnd w:id="795"/>
    </w:p>
    <w:p>
      <w:pPr>
        <w:keepLines/>
        <w:autoSpaceDE w:val="0"/>
        <w:autoSpaceDN w:val="0"/>
        <w:adjustRightInd w:val="0"/>
        <w:spacing w:before="120"/>
        <w:ind w:left="1588"/>
        <w:rPr>
          <w:color w:val="000000"/>
          <w:sz w:val="23"/>
          <w:szCs w:val="23"/>
        </w:rPr>
      </w:pPr>
      <w:r>
        <w:rPr>
          <w:color w:val="000000"/>
          <w:sz w:val="23"/>
          <w:szCs w:val="23"/>
        </w:rPr>
        <w:t>If an infringement notice is withdrawn in accordance with section 282, the amount of any infringement penalty paid must be refunded by the AER.</w:t>
      </w:r>
    </w:p>
    <w:p>
      <w:pPr>
        <w:pStyle w:val="Heading5"/>
      </w:pPr>
      <w:bookmarkStart w:id="796" w:name="_Toc536782335"/>
      <w:r>
        <w:rPr>
          <w:rStyle w:val="CharSectno"/>
        </w:rPr>
        <w:t>284</w:t>
      </w:r>
      <w:r>
        <w:t>.</w:t>
      </w:r>
      <w:r>
        <w:tab/>
        <w:t>Payment expiates breach of civil penalty provision</w:t>
      </w:r>
      <w:bookmarkEnd w:id="796"/>
    </w:p>
    <w:p>
      <w:pPr>
        <w:keepNext/>
        <w:keepLines/>
        <w:autoSpaceDE w:val="0"/>
        <w:autoSpaceDN w:val="0"/>
        <w:adjustRightInd w:val="0"/>
        <w:spacing w:before="120"/>
        <w:ind w:left="1588"/>
        <w:rPr>
          <w:color w:val="000000"/>
          <w:sz w:val="23"/>
          <w:szCs w:val="23"/>
        </w:rPr>
      </w:pPr>
      <w:r>
        <w:rPr>
          <w:color w:val="000000"/>
          <w:sz w:val="23"/>
          <w:szCs w:val="23"/>
        </w:rPr>
        <w:t>No proceedings may be taken by the AER against a person on whom an infringement notice was served in respect of an alleged breach of a civil penalty provision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infringement penalty is—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paid within the time for payment stated in the notice;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not withdrawn by the AER within the time for payment stated in the notice in accordance with section 282;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infringement penalty is accepted in accordance with section 281.</w:t>
      </w:r>
    </w:p>
    <w:p>
      <w:pPr>
        <w:pStyle w:val="Heading5"/>
      </w:pPr>
      <w:bookmarkStart w:id="797" w:name="_Toc536782336"/>
      <w:r>
        <w:rPr>
          <w:rStyle w:val="CharSectno"/>
        </w:rPr>
        <w:t>285</w:t>
      </w:r>
      <w:r>
        <w:t>.</w:t>
      </w:r>
      <w:r>
        <w:tab/>
        <w:t>Payment not to have certain consequences</w:t>
      </w:r>
      <w:bookmarkEnd w:id="797"/>
    </w:p>
    <w:p>
      <w:pPr>
        <w:keepLines/>
        <w:autoSpaceDE w:val="0"/>
        <w:autoSpaceDN w:val="0"/>
        <w:adjustRightInd w:val="0"/>
        <w:spacing w:before="120"/>
        <w:ind w:left="1588"/>
        <w:rPr>
          <w:color w:val="000000"/>
          <w:sz w:val="23"/>
          <w:szCs w:val="23"/>
        </w:rPr>
      </w:pPr>
      <w:r>
        <w:rPr>
          <w:color w:val="000000"/>
          <w:sz w:val="23"/>
          <w:szCs w:val="23"/>
        </w:rPr>
        <w:t>The payment of an infringement penalty under this Part is not and must not be taken to be an admission of a breach of a civil penalty provision or an admission of liability for the purpose of any proceeding instituted in respect of the breach.</w:t>
      </w:r>
    </w:p>
    <w:p>
      <w:pPr>
        <w:pStyle w:val="Heading5"/>
      </w:pPr>
      <w:bookmarkStart w:id="798" w:name="_Toc536782337"/>
      <w:r>
        <w:rPr>
          <w:rStyle w:val="CharSectno"/>
        </w:rPr>
        <w:t>286</w:t>
      </w:r>
      <w:r>
        <w:t>.</w:t>
      </w:r>
      <w:r>
        <w:tab/>
        <w:t>Conduct in breach of more than 1 civil penalty provision</w:t>
      </w:r>
      <w:bookmarkEnd w:id="79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conduct of a person constitutes a breach of 2 or more civil penalty provisions, an infringement notice may be served on the person under this Part in relation to the breach of any 1 or more of those provisions.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However, the person is not liable to pay more than 1 infringement penalty in respect of the same conduct.</w:t>
      </w:r>
    </w:p>
    <w:p>
      <w:pPr>
        <w:pStyle w:val="Heading3"/>
        <w:rPr>
          <w:szCs w:val="32"/>
        </w:rPr>
      </w:pPr>
      <w:bookmarkStart w:id="799" w:name="_Toc501634217"/>
      <w:bookmarkStart w:id="800" w:name="_Toc501713113"/>
      <w:bookmarkStart w:id="801" w:name="_Toc536782338"/>
      <w:r>
        <w:rPr>
          <w:rStyle w:val="CharDivNo"/>
        </w:rPr>
        <w:t>Part 8</w:t>
      </w:r>
      <w:r>
        <w:t xml:space="preserve"> </w:t>
      </w:r>
      <w:r>
        <w:rPr>
          <w:szCs w:val="32"/>
        </w:rPr>
        <w:t>—</w:t>
      </w:r>
      <w:r>
        <w:t xml:space="preserve"> </w:t>
      </w:r>
      <w:r>
        <w:rPr>
          <w:rStyle w:val="CharDivText"/>
        </w:rPr>
        <w:t>Further provision for corporate liability for breaches of this Law etc</w:t>
      </w:r>
      <w:bookmarkEnd w:id="799"/>
      <w:bookmarkEnd w:id="800"/>
      <w:bookmarkEnd w:id="801"/>
    </w:p>
    <w:p>
      <w:pPr>
        <w:pStyle w:val="Heading5"/>
      </w:pPr>
      <w:bookmarkStart w:id="802" w:name="_Toc536782339"/>
      <w:r>
        <w:rPr>
          <w:rStyle w:val="CharSectno"/>
        </w:rPr>
        <w:t>287</w:t>
      </w:r>
      <w:r>
        <w:t>.</w:t>
      </w:r>
      <w:r>
        <w:tab/>
        <w:t>Definition</w:t>
      </w:r>
      <w:bookmarkEnd w:id="802"/>
    </w:p>
    <w:p>
      <w:pPr>
        <w:keepNext/>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rPr>
          <w:color w:val="000000"/>
          <w:sz w:val="23"/>
          <w:szCs w:val="23"/>
        </w:rPr>
      </w:pPr>
      <w:r>
        <w:rPr>
          <w:rStyle w:val="CharDefText"/>
          <w:bCs/>
          <w:sz w:val="23"/>
        </w:rPr>
        <w:t>breach provision</w:t>
      </w:r>
      <w:r>
        <w:rPr>
          <w:bCs/>
          <w:i/>
          <w:iCs/>
          <w:color w:val="000000"/>
          <w:sz w:val="23"/>
          <w:szCs w:val="23"/>
        </w:rPr>
        <w:t xml:space="preserve"> </w:t>
      </w:r>
      <w:r>
        <w:rPr>
          <w:color w:val="000000"/>
          <w:sz w:val="23"/>
          <w:szCs w:val="23"/>
        </w:rPr>
        <w:t>means an offence provision, a civil penalty provision or a conduct provision.</w:t>
      </w:r>
    </w:p>
    <w:p>
      <w:pPr>
        <w:pStyle w:val="Heading5"/>
      </w:pPr>
      <w:bookmarkStart w:id="803" w:name="_Toc536782340"/>
      <w:r>
        <w:rPr>
          <w:rStyle w:val="CharSectno"/>
        </w:rPr>
        <w:t>288</w:t>
      </w:r>
      <w:r>
        <w:t>.</w:t>
      </w:r>
      <w:r>
        <w:tab/>
        <w:t>Offences and breaches by corporations</w:t>
      </w:r>
      <w:bookmarkEnd w:id="80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corporation contravenes a breach provision, each officer of the corporation is to be taken to have contravened the breach provision if the officer knowingly authorised or permitted the contravention or breach.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officer of a corporation may be proceeded against under a breach provision pursuant to this section whether or not the corporation has been proceeded against under the provision.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Nothing in this section affects the liability of a corporation for a contravention of a breach provision.</w:t>
      </w:r>
    </w:p>
    <w:p>
      <w:pPr>
        <w:pStyle w:val="Heading5"/>
        <w:keepNext w:val="0"/>
        <w:keepLines w:val="0"/>
      </w:pPr>
      <w:bookmarkStart w:id="804" w:name="_Toc536782341"/>
      <w:r>
        <w:rPr>
          <w:rStyle w:val="CharSectno"/>
        </w:rPr>
        <w:t>289</w:t>
      </w:r>
      <w:r>
        <w:t>.</w:t>
      </w:r>
      <w:r>
        <w:tab/>
        <w:t>Corporations also in breach if officers and employees are in breach</w:t>
      </w:r>
      <w:bookmarkEnd w:id="804"/>
    </w:p>
    <w:p>
      <w:pPr>
        <w:autoSpaceDE w:val="0"/>
        <w:autoSpaceDN w:val="0"/>
        <w:adjustRightInd w:val="0"/>
        <w:spacing w:before="120"/>
        <w:ind w:left="1588"/>
        <w:rPr>
          <w:color w:val="000000"/>
          <w:sz w:val="23"/>
          <w:szCs w:val="23"/>
        </w:rPr>
      </w:pPr>
      <w:r>
        <w:rPr>
          <w:color w:val="000000"/>
          <w:sz w:val="23"/>
          <w:szCs w:val="23"/>
        </w:rPr>
        <w:t>If an officer or employee of a corporation commits an act in their capacity as officer or employee of the corporation that would, if that act were committed by the corporation, constitute a breach of a provision of this Law, the Regulations or the Rules, that corporation is to be taken to have contravened that provision.</w:t>
      </w:r>
    </w:p>
    <w:p>
      <w:pPr>
        <w:pStyle w:val="Heading2"/>
      </w:pPr>
      <w:bookmarkStart w:id="805" w:name="_Toc501634221"/>
      <w:bookmarkStart w:id="806" w:name="_Toc501713117"/>
      <w:bookmarkStart w:id="807" w:name="_Toc536782342"/>
      <w:r>
        <w:rPr>
          <w:rStyle w:val="CharPartNo"/>
        </w:rPr>
        <w:t>Chapter 9</w:t>
      </w:r>
      <w:r>
        <w:t xml:space="preserve"> — </w:t>
      </w:r>
      <w:r>
        <w:rPr>
          <w:rStyle w:val="CharPartText"/>
        </w:rPr>
        <w:t>The making of the National Gas Rules</w:t>
      </w:r>
      <w:bookmarkEnd w:id="805"/>
      <w:bookmarkEnd w:id="806"/>
      <w:bookmarkEnd w:id="807"/>
    </w:p>
    <w:p>
      <w:pPr>
        <w:pStyle w:val="Heading3"/>
      </w:pPr>
      <w:bookmarkStart w:id="808" w:name="_Toc501634222"/>
      <w:bookmarkStart w:id="809" w:name="_Toc501713118"/>
      <w:bookmarkStart w:id="810" w:name="_Toc536782343"/>
      <w:r>
        <w:rPr>
          <w:rStyle w:val="CharDivNo"/>
        </w:rPr>
        <w:t>Part 1</w:t>
      </w:r>
      <w:r>
        <w:t xml:space="preserve"> — </w:t>
      </w:r>
      <w:r>
        <w:rPr>
          <w:rStyle w:val="CharDivText"/>
        </w:rPr>
        <w:t>General</w:t>
      </w:r>
      <w:bookmarkEnd w:id="808"/>
      <w:bookmarkEnd w:id="809"/>
      <w:bookmarkEnd w:id="810"/>
    </w:p>
    <w:p>
      <w:pPr>
        <w:pStyle w:val="Heading4"/>
      </w:pPr>
      <w:bookmarkStart w:id="811" w:name="_Toc501634223"/>
      <w:bookmarkStart w:id="812" w:name="_Toc501713119"/>
      <w:bookmarkStart w:id="813" w:name="_Toc536782344"/>
      <w:r>
        <w:t>Division 1 — Interpretation</w:t>
      </w:r>
      <w:bookmarkEnd w:id="811"/>
      <w:bookmarkEnd w:id="812"/>
      <w:bookmarkEnd w:id="813"/>
    </w:p>
    <w:p>
      <w:pPr>
        <w:pStyle w:val="Heading5"/>
      </w:pPr>
      <w:bookmarkStart w:id="814" w:name="_Toc536782345"/>
      <w:r>
        <w:rPr>
          <w:rStyle w:val="CharSectno"/>
        </w:rPr>
        <w:t>290</w:t>
      </w:r>
      <w:r>
        <w:t>.</w:t>
      </w:r>
      <w:r>
        <w:tab/>
        <w:t>Definitions</w:t>
      </w:r>
      <w:bookmarkEnd w:id="814"/>
    </w:p>
    <w:p>
      <w:pPr>
        <w:keepNext/>
        <w:keepLines/>
        <w:autoSpaceDE w:val="0"/>
        <w:autoSpaceDN w:val="0"/>
        <w:adjustRightInd w:val="0"/>
        <w:spacing w:before="120"/>
        <w:ind w:left="1588"/>
        <w:rPr>
          <w:color w:val="000000"/>
          <w:sz w:val="23"/>
          <w:szCs w:val="23"/>
        </w:rPr>
      </w:pPr>
      <w:r>
        <w:rPr>
          <w:color w:val="000000"/>
          <w:sz w:val="23"/>
          <w:szCs w:val="23"/>
        </w:rPr>
        <w:t>In this Chapter—</w:t>
      </w:r>
    </w:p>
    <w:p>
      <w:pPr>
        <w:keepLines/>
        <w:autoSpaceDE w:val="0"/>
        <w:autoSpaceDN w:val="0"/>
        <w:adjustRightInd w:val="0"/>
        <w:spacing w:before="120"/>
        <w:ind w:left="1588"/>
        <w:rPr>
          <w:color w:val="000000"/>
          <w:sz w:val="23"/>
          <w:szCs w:val="23"/>
        </w:rPr>
      </w:pPr>
      <w:r>
        <w:rPr>
          <w:rStyle w:val="CharDefText"/>
          <w:bCs/>
          <w:sz w:val="23"/>
        </w:rPr>
        <w:t>AEMC initiated Rule</w:t>
      </w:r>
      <w:r>
        <w:rPr>
          <w:bCs/>
          <w:i/>
          <w:iCs/>
          <w:color w:val="000000"/>
          <w:sz w:val="23"/>
          <w:szCs w:val="23"/>
        </w:rPr>
        <w:t xml:space="preserve"> </w:t>
      </w:r>
      <w:r>
        <w:rPr>
          <w:color w:val="000000"/>
          <w:sz w:val="23"/>
          <w:szCs w:val="23"/>
        </w:rPr>
        <w:t>means a Rule of the kind referred to in section 295(2);</w:t>
      </w:r>
    </w:p>
    <w:p>
      <w:pPr>
        <w:keepLines/>
        <w:autoSpaceDE w:val="0"/>
        <w:autoSpaceDN w:val="0"/>
        <w:adjustRightInd w:val="0"/>
        <w:spacing w:before="120"/>
        <w:ind w:left="1588"/>
        <w:rPr>
          <w:color w:val="000000"/>
          <w:sz w:val="23"/>
          <w:szCs w:val="23"/>
        </w:rPr>
      </w:pPr>
      <w:r>
        <w:rPr>
          <w:rStyle w:val="CharDefText"/>
          <w:bCs/>
          <w:sz w:val="23"/>
        </w:rPr>
        <w:t>AEMC Rule review</w:t>
      </w:r>
      <w:r>
        <w:rPr>
          <w:bCs/>
          <w:i/>
          <w:iCs/>
          <w:color w:val="000000"/>
          <w:sz w:val="23"/>
          <w:szCs w:val="23"/>
        </w:rPr>
        <w:t xml:space="preserve"> </w:t>
      </w:r>
      <w:r>
        <w:rPr>
          <w:color w:val="000000"/>
          <w:sz w:val="23"/>
          <w:szCs w:val="23"/>
        </w:rPr>
        <w:t>means a review conducted by the AEMC under Chapter 2 Part 2 Division 5;</w:t>
      </w:r>
    </w:p>
    <w:p>
      <w:pPr>
        <w:keepNext/>
        <w:keepLines/>
        <w:autoSpaceDE w:val="0"/>
        <w:autoSpaceDN w:val="0"/>
        <w:adjustRightInd w:val="0"/>
        <w:spacing w:before="120"/>
        <w:ind w:left="1588"/>
        <w:rPr>
          <w:color w:val="000000"/>
          <w:sz w:val="23"/>
          <w:szCs w:val="23"/>
        </w:rPr>
      </w:pPr>
      <w:r>
        <w:rPr>
          <w:rStyle w:val="CharDefText"/>
          <w:bCs/>
          <w:sz w:val="23"/>
        </w:rPr>
        <w:t>gas market regulatory body</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ERA;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VENCorp;</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GMCo;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REMCo;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person or body prescribed by Regulation to be a gas market regulatory body;</w:t>
      </w:r>
    </w:p>
    <w:p>
      <w:pPr>
        <w:keepLines/>
        <w:autoSpaceDE w:val="0"/>
        <w:autoSpaceDN w:val="0"/>
        <w:adjustRightInd w:val="0"/>
        <w:spacing w:before="120"/>
        <w:ind w:left="1588"/>
        <w:rPr>
          <w:color w:val="000000"/>
          <w:sz w:val="23"/>
          <w:szCs w:val="23"/>
        </w:rPr>
      </w:pPr>
      <w:r>
        <w:rPr>
          <w:rStyle w:val="CharDefText"/>
          <w:bCs/>
          <w:sz w:val="23"/>
        </w:rPr>
        <w:t>GMCo</w:t>
      </w:r>
      <w:r>
        <w:rPr>
          <w:color w:val="000000"/>
          <w:sz w:val="23"/>
          <w:szCs w:val="23"/>
        </w:rPr>
        <w:t xml:space="preserve"> means the Gas Market Company Ltd (ACN 095 400 258);</w:t>
      </w:r>
    </w:p>
    <w:p>
      <w:pPr>
        <w:keepLines/>
        <w:autoSpaceDE w:val="0"/>
        <w:autoSpaceDN w:val="0"/>
        <w:adjustRightInd w:val="0"/>
        <w:spacing w:before="120"/>
        <w:ind w:left="1588"/>
        <w:rPr>
          <w:color w:val="000000"/>
          <w:sz w:val="23"/>
          <w:szCs w:val="23"/>
        </w:rPr>
      </w:pPr>
      <w:r>
        <w:rPr>
          <w:rStyle w:val="CharDefText"/>
          <w:bCs/>
          <w:sz w:val="23"/>
        </w:rPr>
        <w:t>market initiated proposed Rule</w:t>
      </w:r>
      <w:r>
        <w:rPr>
          <w:bCs/>
          <w:i/>
          <w:iCs/>
          <w:color w:val="000000"/>
          <w:sz w:val="23"/>
          <w:szCs w:val="23"/>
        </w:rPr>
        <w:t xml:space="preserve"> </w:t>
      </w:r>
      <w:r>
        <w:rPr>
          <w:color w:val="000000"/>
          <w:sz w:val="23"/>
          <w:szCs w:val="23"/>
        </w:rPr>
        <w:t>means a request for a Rule made under section 295(1) in respect of which the AEMC publishes a notice under section 303;</w:t>
      </w:r>
    </w:p>
    <w:p>
      <w:pPr>
        <w:keepLines/>
        <w:autoSpaceDE w:val="0"/>
        <w:autoSpaceDN w:val="0"/>
        <w:adjustRightInd w:val="0"/>
        <w:spacing w:before="120"/>
        <w:ind w:left="1588"/>
        <w:rPr>
          <w:color w:val="000000"/>
          <w:sz w:val="23"/>
          <w:szCs w:val="23"/>
        </w:rPr>
      </w:pPr>
      <w:r>
        <w:rPr>
          <w:rStyle w:val="CharDefText"/>
          <w:bCs/>
          <w:sz w:val="23"/>
        </w:rPr>
        <w:t>more preferable Rule</w:t>
      </w:r>
      <w:r>
        <w:rPr>
          <w:bCs/>
          <w:i/>
          <w:iCs/>
          <w:color w:val="000000"/>
          <w:sz w:val="23"/>
          <w:szCs w:val="23"/>
        </w:rPr>
        <w:t xml:space="preserve"> </w:t>
      </w:r>
      <w:r>
        <w:rPr>
          <w:color w:val="000000"/>
          <w:sz w:val="23"/>
          <w:szCs w:val="23"/>
        </w:rPr>
        <w:t>has the meaning given by section 296;</w:t>
      </w:r>
    </w:p>
    <w:p>
      <w:pPr>
        <w:keepLines/>
        <w:autoSpaceDE w:val="0"/>
        <w:autoSpaceDN w:val="0"/>
        <w:adjustRightInd w:val="0"/>
        <w:spacing w:before="120"/>
        <w:ind w:left="1588"/>
        <w:rPr>
          <w:color w:val="000000"/>
          <w:sz w:val="23"/>
          <w:szCs w:val="23"/>
        </w:rPr>
      </w:pPr>
      <w:r>
        <w:rPr>
          <w:rStyle w:val="CharDefText"/>
          <w:sz w:val="23"/>
        </w:rPr>
        <w:t>non</w:t>
      </w:r>
      <w:r>
        <w:rPr>
          <w:rStyle w:val="CharDefText"/>
          <w:sz w:val="23"/>
        </w:rPr>
        <w:noBreakHyphen/>
        <w:t>controversial Rule</w:t>
      </w:r>
      <w:r>
        <w:rPr>
          <w:color w:val="000000"/>
          <w:sz w:val="23"/>
          <w:szCs w:val="23"/>
        </w:rPr>
        <w:t xml:space="preserve"> means a Rule that is unlikely to have a significant effect on a market for gas or the regulation of pipeline services;</w:t>
      </w:r>
    </w:p>
    <w:p>
      <w:pPr>
        <w:keepNext/>
        <w:keepLines/>
        <w:autoSpaceDE w:val="0"/>
        <w:autoSpaceDN w:val="0"/>
        <w:adjustRightInd w:val="0"/>
        <w:spacing w:before="120"/>
        <w:ind w:left="1588"/>
        <w:rPr>
          <w:color w:val="000000"/>
          <w:sz w:val="23"/>
          <w:szCs w:val="23"/>
        </w:rPr>
      </w:pPr>
      <w:r>
        <w:rPr>
          <w:rStyle w:val="CharDefText"/>
          <w:bCs/>
          <w:sz w:val="23"/>
        </w:rPr>
        <w:t>proposed Rule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market initiated proposed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proposal for an AEMC initiated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proposed more preferable Rule;</w:t>
      </w:r>
    </w:p>
    <w:p>
      <w:pPr>
        <w:keepNext/>
        <w:keepLines/>
        <w:autoSpaceDE w:val="0"/>
        <w:autoSpaceDN w:val="0"/>
        <w:adjustRightInd w:val="0"/>
        <w:spacing w:before="120"/>
        <w:ind w:left="1588"/>
        <w:rPr>
          <w:color w:val="000000"/>
          <w:sz w:val="23"/>
          <w:szCs w:val="23"/>
        </w:rPr>
      </w:pPr>
      <w:r>
        <w:rPr>
          <w:rStyle w:val="CharDefText"/>
          <w:bCs/>
          <w:sz w:val="23"/>
        </w:rPr>
        <w:t>publish</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a notice required to be published under this Chapter (except section 315)—publish in the South Australian Government Gazette, on the AEMC’s website and in a newspaper circulating generally throughout Australia;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relation to a decision under section 301(2)—publish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relation to a proposed Rule referred to in section 303 and any other documents prescribed by the Regulations in relation to a proposed Rule referred to in section 303—publish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 relation to a draft Rule determination or final Rule determination—publish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in relation to any submissions or comments received by the AEMC under this Chapter—subject to section 319, 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in relation to a report prepared under section 320—publish on the AEMC’s website and make available at the offices of the AEMC;</w:t>
      </w:r>
    </w:p>
    <w:p>
      <w:pPr>
        <w:keepLines/>
        <w:autoSpaceDE w:val="0"/>
        <w:autoSpaceDN w:val="0"/>
        <w:adjustRightInd w:val="0"/>
        <w:spacing w:before="120"/>
        <w:ind w:left="1588"/>
        <w:rPr>
          <w:color w:val="000000"/>
          <w:sz w:val="23"/>
          <w:szCs w:val="23"/>
        </w:rPr>
      </w:pPr>
      <w:r>
        <w:rPr>
          <w:rStyle w:val="CharDefText"/>
          <w:bCs/>
          <w:sz w:val="23"/>
        </w:rPr>
        <w:t>REMCo</w:t>
      </w:r>
      <w:r>
        <w:rPr>
          <w:color w:val="000000"/>
          <w:sz w:val="23"/>
          <w:szCs w:val="23"/>
        </w:rPr>
        <w:t xml:space="preserve"> means the Retail Energy Market Company Ltd (ACN 103 318 556);</w:t>
      </w:r>
    </w:p>
    <w:p>
      <w:pPr>
        <w:keepLines/>
        <w:autoSpaceDE w:val="0"/>
        <w:autoSpaceDN w:val="0"/>
        <w:adjustRightInd w:val="0"/>
        <w:spacing w:before="120"/>
        <w:ind w:left="1588"/>
        <w:rPr>
          <w:color w:val="000000"/>
          <w:sz w:val="23"/>
          <w:szCs w:val="23"/>
        </w:rPr>
      </w:pPr>
      <w:r>
        <w:rPr>
          <w:rStyle w:val="CharDefText"/>
          <w:bCs/>
          <w:sz w:val="23"/>
        </w:rPr>
        <w:t>urgent Rule</w:t>
      </w:r>
      <w:r>
        <w:rPr>
          <w:bCs/>
          <w:color w:val="000000"/>
          <w:sz w:val="23"/>
          <w:szCs w:val="23"/>
        </w:rPr>
        <w:t xml:space="preserve"> </w:t>
      </w:r>
      <w:r>
        <w:rPr>
          <w:color w:val="000000"/>
          <w:sz w:val="23"/>
          <w:szCs w:val="23"/>
        </w:rPr>
        <w:t>means a Rule relating to any matter or thing that, if not made as a matter of urgency, will result in that matter or thing imminently prejudicing or threatening the supply of gas.</w:t>
      </w:r>
    </w:p>
    <w:p>
      <w:pPr>
        <w:pStyle w:val="Footnotesection"/>
      </w:pPr>
      <w:r>
        <w:tab/>
        <w:t>[Section 290 modified: WA Act Sch. 1 cl. 12.]</w:t>
      </w:r>
    </w:p>
    <w:p>
      <w:pPr>
        <w:pStyle w:val="Heading4"/>
      </w:pPr>
      <w:bookmarkStart w:id="815" w:name="_Toc501634225"/>
      <w:bookmarkStart w:id="816" w:name="_Toc501713121"/>
      <w:bookmarkStart w:id="817" w:name="_Toc536782346"/>
      <w:r>
        <w:t>Division 2 — Rule making tests</w:t>
      </w:r>
      <w:bookmarkEnd w:id="815"/>
      <w:bookmarkEnd w:id="816"/>
      <w:bookmarkEnd w:id="817"/>
    </w:p>
    <w:p>
      <w:pPr>
        <w:pStyle w:val="Heading5"/>
        <w:spacing w:before="120"/>
      </w:pPr>
      <w:bookmarkStart w:id="818" w:name="_Toc536782347"/>
      <w:r>
        <w:rPr>
          <w:rStyle w:val="CharSectno"/>
        </w:rPr>
        <w:t>291</w:t>
      </w:r>
      <w:r>
        <w:t>.</w:t>
      </w:r>
      <w:r>
        <w:tab/>
        <w:t>Application of national gas objective</w:t>
      </w:r>
      <w:bookmarkEnd w:id="81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only make a Rule if it is satisfied that the Rule will or is likely to contribute to the achievement of the national gas objective.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the AEMC may give such weight to any aspect of the national gas objective as it considers appropriate in all the circumstances, having regard to any relevant MCE statement of policy principles.</w:t>
      </w:r>
    </w:p>
    <w:p>
      <w:pPr>
        <w:pStyle w:val="Heading5"/>
      </w:pPr>
      <w:bookmarkStart w:id="819" w:name="_Toc536782348"/>
      <w:r>
        <w:t>292.</w:t>
      </w:r>
      <w:r>
        <w:tab/>
        <w:t>AEMC must take into account form of regulation factors in certain cases</w:t>
      </w:r>
      <w:bookmarkEnd w:id="819"/>
    </w:p>
    <w:p>
      <w:pPr>
        <w:keepNext/>
        <w:keepLines/>
        <w:autoSpaceDE w:val="0"/>
        <w:autoSpaceDN w:val="0"/>
        <w:adjustRightInd w:val="0"/>
        <w:spacing w:before="120"/>
        <w:ind w:left="1588"/>
        <w:rPr>
          <w:color w:val="000000"/>
          <w:sz w:val="23"/>
          <w:szCs w:val="23"/>
        </w:rPr>
      </w:pPr>
      <w:r>
        <w:rPr>
          <w:color w:val="000000"/>
          <w:sz w:val="23"/>
          <w:szCs w:val="23"/>
        </w:rPr>
        <w:t>In addition to complying with sections 291 and 293, the AEMC must take into account the form of regulation factors and any other matter the AEMC considers relevant—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making a Rule that—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specifies a pipeline service as a reference service;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confers a function or power on the AER to specify under a full access arrangement decision approving or making an access arrangement a pipeline service (to which the relevant applicable access arrangement applies) as a reference service;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revoking a Rule that has been made or is in force that—</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specifies a pipeline service as a reference service;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confers a function or power on the AER to specify under a full access arrangement decision approving or making an access arrangement a pipeline service (to which the relevant applicable access arrangement applies) as a reference service.</w:t>
      </w:r>
    </w:p>
    <w:p>
      <w:pPr>
        <w:pStyle w:val="Heading5"/>
      </w:pPr>
      <w:bookmarkStart w:id="820" w:name="_Toc536782349"/>
      <w:r>
        <w:rPr>
          <w:rStyle w:val="CharSectno"/>
        </w:rPr>
        <w:t>293</w:t>
      </w:r>
      <w:r>
        <w:t>.</w:t>
      </w:r>
      <w:r>
        <w:tab/>
        <w:t>AEMC must take into account revenue and pricing principles in certain cases</w:t>
      </w:r>
      <w:bookmarkEnd w:id="820"/>
    </w:p>
    <w:p>
      <w:pPr>
        <w:keepLines/>
        <w:autoSpaceDE w:val="0"/>
        <w:autoSpaceDN w:val="0"/>
        <w:adjustRightInd w:val="0"/>
        <w:spacing w:before="120"/>
        <w:ind w:left="1588"/>
        <w:rPr>
          <w:color w:val="000000"/>
          <w:sz w:val="23"/>
          <w:szCs w:val="23"/>
        </w:rPr>
      </w:pPr>
      <w:r>
        <w:rPr>
          <w:color w:val="000000"/>
          <w:sz w:val="23"/>
          <w:szCs w:val="23"/>
        </w:rPr>
        <w:t>In addition to complying with sections 291 and 292, the AEMC must take into account the revenue and pricing principles in making a Rule for or with respect to any matter or thing specified in items 40 to 48 of Schedule 1 to this Law.</w:t>
      </w:r>
    </w:p>
    <w:p>
      <w:pPr>
        <w:pStyle w:val="Heading3"/>
      </w:pPr>
      <w:bookmarkStart w:id="821" w:name="_Toc501634229"/>
      <w:bookmarkStart w:id="822" w:name="_Toc501713125"/>
      <w:bookmarkStart w:id="823" w:name="_Toc536782350"/>
      <w:r>
        <w:rPr>
          <w:rStyle w:val="CharDivNo"/>
        </w:rPr>
        <w:t>Part 2</w:t>
      </w:r>
      <w:r>
        <w:t xml:space="preserve"> — </w:t>
      </w:r>
      <w:r>
        <w:rPr>
          <w:rStyle w:val="CharDivText"/>
        </w:rPr>
        <w:t>Initial National Gas Rules</w:t>
      </w:r>
      <w:bookmarkEnd w:id="821"/>
      <w:bookmarkEnd w:id="822"/>
      <w:bookmarkEnd w:id="823"/>
    </w:p>
    <w:p>
      <w:pPr>
        <w:pStyle w:val="Heading5"/>
        <w:keepNext w:val="0"/>
      </w:pPr>
      <w:bookmarkStart w:id="824" w:name="_Toc536782351"/>
      <w:r>
        <w:rPr>
          <w:rStyle w:val="CharSectno"/>
        </w:rPr>
        <w:t>294</w:t>
      </w:r>
      <w:r>
        <w:t>.</w:t>
      </w:r>
      <w:r>
        <w:tab/>
        <w:t>Initial National Gas Rules for WA</w:t>
      </w:r>
      <w:bookmarkEnd w:id="82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National Gas Rules that apply upon </w:t>
      </w:r>
      <w:r>
        <w:rPr>
          <w:sz w:val="23"/>
        </w:rPr>
        <w:t xml:space="preserve">section 30 of the </w:t>
      </w:r>
      <w:r>
        <w:rPr>
          <w:i/>
          <w:iCs/>
          <w:sz w:val="23"/>
        </w:rPr>
        <w:t>National Gas Access (WA) Act 2009</w:t>
      </w:r>
      <w:r>
        <w:rPr>
          <w:sz w:val="23"/>
        </w:rPr>
        <w:t xml:space="preserve"> coming into operation are as set out in the document called the </w:t>
      </w:r>
      <w:r>
        <w:rPr>
          <w:i/>
          <w:iCs/>
          <w:sz w:val="23"/>
        </w:rPr>
        <w:t>National Gas Rules 2008,</w:t>
      </w:r>
      <w:r>
        <w:rPr>
          <w:sz w:val="23"/>
        </w:rPr>
        <w:t xml:space="preserve"> signed on 1 July 2008 by the </w:t>
      </w:r>
      <w:r>
        <w:rPr>
          <w:color w:val="000000"/>
          <w:sz w:val="23"/>
          <w:szCs w:val="23"/>
        </w:rPr>
        <w:t>Minister for Energy of South Australia, as affected, if applicable, by any amendments made by the AEMC under national gas legislation before the coming into operation of that 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prevent the AEMC from making Rules under this Chapter that amend or revoke the rules referred to in it.</w:t>
      </w:r>
    </w:p>
    <w:p>
      <w:pPr>
        <w:pStyle w:val="Footnotesection"/>
      </w:pPr>
      <w:r>
        <w:tab/>
        <w:t>[Section 294 inserted and modified: WA Act Sch. 1 cl. 13.]</w:t>
      </w:r>
    </w:p>
    <w:p>
      <w:pPr>
        <w:pStyle w:val="Heading5"/>
      </w:pPr>
      <w:bookmarkStart w:id="825" w:name="_Toc536782352"/>
      <w:bookmarkStart w:id="826" w:name="_Toc501634231"/>
      <w:bookmarkStart w:id="827" w:name="_Toc501713127"/>
      <w:r>
        <w:rPr>
          <w:rStyle w:val="CharSectno"/>
        </w:rPr>
        <w:t>294F</w:t>
      </w:r>
      <w:r>
        <w:t>.</w:t>
      </w:r>
      <w:r>
        <w:tab/>
        <w:t>South Australian Minister to make initial Rules relating to access to non</w:t>
      </w:r>
      <w:r>
        <w:noBreakHyphen/>
        <w:t>scheme pipelines</w:t>
      </w:r>
      <w:bookmarkEnd w:id="825"/>
    </w:p>
    <w:p>
      <w:pPr>
        <w:keepLines/>
        <w:tabs>
          <w:tab w:val="center" w:pos="1191"/>
          <w:tab w:val="left" w:pos="1588"/>
        </w:tabs>
        <w:autoSpaceDE w:val="0"/>
        <w:autoSpaceDN w:val="0"/>
        <w:adjustRightInd w:val="0"/>
        <w:spacing w:before="120"/>
        <w:ind w:left="1588" w:hanging="794"/>
        <w:rPr>
          <w:color w:val="000000"/>
          <w:sz w:val="23"/>
          <w:szCs w:val="23"/>
        </w:rPr>
      </w:pPr>
      <w:bookmarkStart w:id="828" w:name="id2a8d962a_bad0_42dd_9386_54821ec565"/>
      <w:r>
        <w:rPr>
          <w:color w:val="000000"/>
          <w:sz w:val="23"/>
          <w:szCs w:val="23"/>
        </w:rPr>
        <w:tab/>
        <w:t>(1)</w:t>
      </w:r>
      <w:r>
        <w:rPr>
          <w:color w:val="000000"/>
          <w:sz w:val="23"/>
          <w:szCs w:val="23"/>
        </w:rPr>
        <w:tab/>
        <w:t xml:space="preserve">The Minister in right of the Crown of South Australia administering Part 2 of the </w:t>
      </w:r>
      <w:hyperlink r:id="rId32" w:history="1">
        <w:r>
          <w:rPr>
            <w:i/>
            <w:iCs/>
            <w:color w:val="000000"/>
            <w:sz w:val="23"/>
            <w:szCs w:val="23"/>
          </w:rPr>
          <w:t>National Gas (South Australia) Act 2008</w:t>
        </w:r>
      </w:hyperlink>
      <w:r>
        <w:rPr>
          <w:color w:val="000000"/>
          <w:sz w:val="23"/>
          <w:szCs w:val="23"/>
        </w:rPr>
        <w:t xml:space="preserve"> of South Australia (the </w:t>
      </w:r>
      <w:r>
        <w:rPr>
          <w:b/>
          <w:bCs/>
          <w:i/>
          <w:iCs/>
          <w:color w:val="000000"/>
          <w:sz w:val="23"/>
          <w:szCs w:val="23"/>
        </w:rPr>
        <w:t>South Australian Minister</w:t>
      </w:r>
      <w:r>
        <w:rPr>
          <w:color w:val="000000"/>
          <w:sz w:val="23"/>
          <w:szCs w:val="23"/>
        </w:rPr>
        <w:t>) may make Rules on any 1 or more of the following subjects:</w:t>
      </w:r>
      <w:bookmarkEnd w:id="828"/>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access proposals, access disputes and arbitrations under Chapter 6A;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subject matter of a new head power added to Schedule 1 by the Pipelines Access/Arbitration amendments;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subject contemplated by, or consequential on, the Pipelines Access/Arbitration amendments.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Rules may only be made under </w:t>
      </w:r>
      <w:hyperlink w:anchor="id2a8d962a_bad0_42dd_9386_54821ec565" w:history="1">
        <w:r>
          <w:rPr>
            <w:color w:val="000000"/>
            <w:sz w:val="23"/>
            <w:szCs w:val="23"/>
          </w:rPr>
          <w:t>subsection (1)</w:t>
        </w:r>
      </w:hyperlink>
      <w:r>
        <w:rPr>
          <w:color w:val="000000"/>
          <w:sz w:val="23"/>
          <w:szCs w:val="23"/>
        </w:rPr>
        <w:t xml:space="preserve"> on the recommendation of the MCE.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 xml:space="preserve">Section 74(3) applies to Rules made under </w:t>
      </w:r>
      <w:hyperlink w:anchor="id2a8d962a_bad0_42dd_9386_54821ec565" w:history="1">
        <w:r>
          <w:rPr>
            <w:color w:val="000000"/>
            <w:sz w:val="23"/>
            <w:szCs w:val="23"/>
          </w:rPr>
          <w:t>subsection (1)</w:t>
        </w:r>
      </w:hyperlink>
      <w:r>
        <w:rPr>
          <w:color w:val="000000"/>
          <w:sz w:val="23"/>
          <w:szCs w:val="23"/>
        </w:rPr>
        <w:t xml:space="preserve"> in the same way as it applies to Rules made by the AEMC.</w:t>
      </w:r>
    </w:p>
    <w:p>
      <w:pPr>
        <w:keepLines/>
        <w:tabs>
          <w:tab w:val="center" w:pos="1191"/>
          <w:tab w:val="left" w:pos="1588"/>
        </w:tabs>
        <w:autoSpaceDE w:val="0"/>
        <w:autoSpaceDN w:val="0"/>
        <w:adjustRightInd w:val="0"/>
        <w:spacing w:before="120"/>
        <w:ind w:left="1588" w:hanging="794"/>
        <w:rPr>
          <w:color w:val="000000"/>
          <w:sz w:val="23"/>
          <w:szCs w:val="23"/>
        </w:rPr>
      </w:pPr>
      <w:bookmarkStart w:id="829" w:name="idb626c5e9_5e85_4a57_9b3c_bc5fd5331d"/>
      <w:r>
        <w:rPr>
          <w:color w:val="000000"/>
          <w:sz w:val="23"/>
          <w:szCs w:val="23"/>
        </w:rPr>
        <w:tab/>
        <w:t>(4)</w:t>
      </w:r>
      <w:r>
        <w:rPr>
          <w:color w:val="000000"/>
          <w:sz w:val="23"/>
          <w:szCs w:val="23"/>
        </w:rPr>
        <w:tab/>
        <w:t xml:space="preserve">As soon as practicable after making Rules under </w:t>
      </w:r>
      <w:hyperlink w:anchor="id2a8d962a_bad0_42dd_9386_54821ec565" w:history="1">
        <w:r>
          <w:rPr>
            <w:color w:val="000000"/>
            <w:sz w:val="23"/>
            <w:szCs w:val="23"/>
          </w:rPr>
          <w:t>subsection (1)</w:t>
        </w:r>
      </w:hyperlink>
      <w:r>
        <w:rPr>
          <w:color w:val="000000"/>
          <w:sz w:val="23"/>
          <w:szCs w:val="23"/>
        </w:rPr>
        <w:t>, the South Australian Minister must—</w:t>
      </w:r>
      <w:bookmarkEnd w:id="829"/>
    </w:p>
    <w:p>
      <w:pPr>
        <w:keepLines/>
        <w:tabs>
          <w:tab w:val="center" w:pos="1985"/>
          <w:tab w:val="left" w:pos="2382"/>
        </w:tabs>
        <w:autoSpaceDE w:val="0"/>
        <w:autoSpaceDN w:val="0"/>
        <w:adjustRightInd w:val="0"/>
        <w:spacing w:before="120"/>
        <w:ind w:left="2382" w:hanging="794"/>
        <w:rPr>
          <w:color w:val="000000"/>
          <w:sz w:val="23"/>
          <w:szCs w:val="23"/>
        </w:rPr>
      </w:pPr>
      <w:bookmarkStart w:id="830" w:name="id0a8503f4_0144_4ab9_bb7b_b3c8df7780"/>
      <w:r>
        <w:rPr>
          <w:color w:val="000000"/>
          <w:sz w:val="23"/>
          <w:szCs w:val="23"/>
        </w:rPr>
        <w:tab/>
        <w:t>(a)</w:t>
      </w:r>
      <w:r>
        <w:rPr>
          <w:color w:val="000000"/>
          <w:sz w:val="23"/>
          <w:szCs w:val="23"/>
        </w:rPr>
        <w:tab/>
        <w:t>publish notice of the making of the Rules in the South Australian Government Gazette stating the date of commencement or, if they commence at different times, various dates of commencement; and</w:t>
      </w:r>
      <w:bookmarkEnd w:id="830"/>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making the Rules publicly available.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 xml:space="preserve">The South Australian Minister may, by a later notice published in the South Australian Government Gazette, vary a commencement date fixed under </w:t>
      </w:r>
      <w:hyperlink w:anchor="id0a8503f4_0144_4ab9_bb7b_b3c8df7780" w:history="1">
        <w:r>
          <w:rPr>
            <w:color w:val="000000"/>
            <w:sz w:val="23"/>
            <w:szCs w:val="23"/>
          </w:rPr>
          <w:t>subsection (4)(a)</w:t>
        </w:r>
      </w:hyperlink>
      <w:r>
        <w:rPr>
          <w:color w:val="000000"/>
          <w:sz w:val="23"/>
          <w:szCs w:val="23"/>
        </w:rPr>
        <w:t xml:space="preserve"> or this subsection.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 xml:space="preserve">Once the first Rules have been made under </w:t>
      </w:r>
      <w:hyperlink w:anchor="id2a8d962a_bad0_42dd_9386_54821ec565" w:history="1">
        <w:r>
          <w:rPr>
            <w:color w:val="000000"/>
            <w:sz w:val="23"/>
            <w:szCs w:val="23"/>
          </w:rPr>
          <w:t>subsection (1)</w:t>
        </w:r>
      </w:hyperlink>
      <w:r>
        <w:rPr>
          <w:color w:val="000000"/>
          <w:sz w:val="23"/>
          <w:szCs w:val="23"/>
        </w:rPr>
        <w:t>, no further Rules can be made under that subsection.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Rules in the nature of a derogation may be made under this section even though no request has been made for the derogation.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iCs/>
          <w:sz w:val="23"/>
        </w:rPr>
        <w:t>Pipelines Access/Arbitration amendments</w:t>
      </w:r>
      <w:r>
        <w:rPr>
          <w:color w:val="000000"/>
          <w:sz w:val="23"/>
          <w:szCs w:val="23"/>
        </w:rPr>
        <w:t xml:space="preserve"> means the amendments made to this Law by the </w:t>
      </w:r>
      <w:r>
        <w:rPr>
          <w:i/>
          <w:iCs/>
          <w:color w:val="000000"/>
          <w:sz w:val="23"/>
          <w:szCs w:val="23"/>
        </w:rPr>
        <w:t>National Gas (South Australia) (Pipelines Access—Arbitration) Amendment Act 2017</w:t>
      </w:r>
      <w:r>
        <w:rPr>
          <w:color w:val="000000"/>
          <w:sz w:val="23"/>
          <w:szCs w:val="23"/>
        </w:rPr>
        <w:t>.</w:t>
      </w:r>
    </w:p>
    <w:p>
      <w:pPr>
        <w:pStyle w:val="Footnotesection"/>
      </w:pPr>
      <w:r>
        <w:tab/>
        <w:t>[Section 294F inserted: see SA Act No. 23 of 2017 s. 8 and WA Gazette 22 Dec 2017 p. 5984.]</w:t>
      </w:r>
    </w:p>
    <w:p>
      <w:pPr>
        <w:pStyle w:val="Heading3"/>
      </w:pPr>
      <w:bookmarkStart w:id="831" w:name="_Toc536782353"/>
      <w:r>
        <w:rPr>
          <w:rStyle w:val="CharDivNo"/>
        </w:rPr>
        <w:t>Part 3</w:t>
      </w:r>
      <w:r>
        <w:t> — </w:t>
      </w:r>
      <w:r>
        <w:rPr>
          <w:rStyle w:val="CharDivText"/>
        </w:rPr>
        <w:t>Procedure for the making of a Rule by the AEMC</w:t>
      </w:r>
      <w:bookmarkEnd w:id="826"/>
      <w:bookmarkEnd w:id="827"/>
      <w:bookmarkEnd w:id="831"/>
    </w:p>
    <w:p>
      <w:pPr>
        <w:pStyle w:val="Heading5"/>
      </w:pPr>
      <w:bookmarkStart w:id="832" w:name="_Toc536782354"/>
      <w:r>
        <w:rPr>
          <w:rStyle w:val="CharSectno"/>
        </w:rPr>
        <w:t>295</w:t>
      </w:r>
      <w:r>
        <w:t>.</w:t>
      </w:r>
      <w:r>
        <w:tab/>
        <w:t>Initiation of making of a Rule</w:t>
      </w:r>
      <w:bookmarkEnd w:id="83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make a Rule at the request of any person or the MCE.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Section 74 and Schedule 1 to this Law specify the subject matter for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must not make a Rule without a request under subsection (1)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considers the Rule corrects a minor error in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it considers the Rule involves a non</w:t>
      </w:r>
      <w:r>
        <w:rPr>
          <w:color w:val="000000"/>
          <w:sz w:val="23"/>
          <w:szCs w:val="23"/>
        </w:rPr>
        <w:noBreakHyphen/>
        <w:t>material change to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Rule is in respect of any matter that is prescribed by the Regulations as a matter on which it may make a Rule on its own initiative.</w:t>
      </w:r>
    </w:p>
    <w:p>
      <w:pPr>
        <w:pStyle w:val="Heading5"/>
      </w:pPr>
      <w:bookmarkStart w:id="833" w:name="_Toc536782355"/>
      <w:r>
        <w:rPr>
          <w:rStyle w:val="CharSectno"/>
        </w:rPr>
        <w:t>296</w:t>
      </w:r>
      <w:r>
        <w:t>.</w:t>
      </w:r>
      <w:r>
        <w:tab/>
        <w:t>AEMC may make more preferable Rule in certain cases</w:t>
      </w:r>
      <w:bookmarkEnd w:id="833"/>
    </w:p>
    <w:p>
      <w:pPr>
        <w:keepLines/>
        <w:autoSpaceDE w:val="0"/>
        <w:autoSpaceDN w:val="0"/>
        <w:adjustRightInd w:val="0"/>
        <w:spacing w:before="120"/>
        <w:ind w:left="1588"/>
        <w:rPr>
          <w:color w:val="000000"/>
          <w:sz w:val="23"/>
          <w:szCs w:val="23"/>
        </w:rPr>
      </w:pPr>
      <w:r>
        <w:rPr>
          <w:color w:val="000000"/>
          <w:sz w:val="23"/>
          <w:szCs w:val="23"/>
        </w:rPr>
        <w:t xml:space="preserve">The AEMC may make a Rule that is different (including materially different) from a market initiated proposed Rule (a </w:t>
      </w:r>
      <w:r>
        <w:rPr>
          <w:rStyle w:val="CharDefText"/>
          <w:bCs/>
          <w:sz w:val="23"/>
        </w:rPr>
        <w:t>more preferable Rule</w:t>
      </w:r>
      <w:r>
        <w:rPr>
          <w:color w:val="000000"/>
          <w:sz w:val="23"/>
          <w:szCs w:val="23"/>
        </w:rPr>
        <w:t>) if the AEMC is satisfied that, having regard to the issue or issues that were raised by the market initiated proposed Rule (to which the more preferable Rule relates), the more preferable Rule will or is likely to better contribute to the achievement of the national gas objective.</w:t>
      </w:r>
    </w:p>
    <w:p>
      <w:pPr>
        <w:pStyle w:val="Heading5"/>
      </w:pPr>
      <w:bookmarkStart w:id="834" w:name="_Toc536782356"/>
      <w:r>
        <w:rPr>
          <w:rStyle w:val="CharSectno"/>
        </w:rPr>
        <w:t>297</w:t>
      </w:r>
      <w:r>
        <w:t>.</w:t>
      </w:r>
      <w:r>
        <w:tab/>
        <w:t>AEMC may make Rules that are consequential to a Rule request</w:t>
      </w:r>
      <w:bookmarkEnd w:id="83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section 295(2), the AEMC may, having regard to a request to make a Rule under section 295(1), make a Rule that is necessary or consequential to the Rule that is to be made on that request.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this Chapter, the AEMC must treat a Rule it may make under subsection (1) as if it were part of the Rule to be made on that request.</w:t>
      </w:r>
    </w:p>
    <w:p>
      <w:pPr>
        <w:pStyle w:val="Heading5"/>
      </w:pPr>
      <w:bookmarkStart w:id="835" w:name="_Toc536782357"/>
      <w:r>
        <w:rPr>
          <w:rStyle w:val="CharSectno"/>
        </w:rPr>
        <w:t>298</w:t>
      </w:r>
      <w:r>
        <w:t>.</w:t>
      </w:r>
      <w:r>
        <w:tab/>
        <w:t>Content of requests for a Rule</w:t>
      </w:r>
      <w:bookmarkEnd w:id="835"/>
    </w:p>
    <w:p>
      <w:pPr>
        <w:keepNext/>
        <w:keepLines/>
        <w:autoSpaceDE w:val="0"/>
        <w:autoSpaceDN w:val="0"/>
        <w:adjustRightInd w:val="0"/>
        <w:spacing w:before="120"/>
        <w:ind w:left="1588"/>
        <w:rPr>
          <w:color w:val="000000"/>
          <w:sz w:val="23"/>
          <w:szCs w:val="23"/>
        </w:rPr>
      </w:pPr>
      <w:r>
        <w:rPr>
          <w:color w:val="000000"/>
          <w:sz w:val="23"/>
          <w:szCs w:val="23"/>
        </w:rPr>
        <w:t>A request for the making of a Rule—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contain the information prescribed by the Regulations;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subject to section 299, be accompanied by the fee prescribed by the Regulations (if any);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be accompanied by a draft of the Rule to be made.</w:t>
      </w:r>
    </w:p>
    <w:p>
      <w:pPr>
        <w:pStyle w:val="Heading5"/>
      </w:pPr>
      <w:bookmarkStart w:id="836" w:name="_Toc536782358"/>
      <w:r>
        <w:rPr>
          <w:rStyle w:val="CharSectno"/>
        </w:rPr>
        <w:t>299</w:t>
      </w:r>
      <w:r>
        <w:t>.</w:t>
      </w:r>
      <w:r>
        <w:tab/>
        <w:t>Waiver of fee for Rule requests</w:t>
      </w:r>
      <w:bookmarkEnd w:id="836"/>
    </w:p>
    <w:p>
      <w:pPr>
        <w:keepLines/>
        <w:autoSpaceDE w:val="0"/>
        <w:autoSpaceDN w:val="0"/>
        <w:adjustRightInd w:val="0"/>
        <w:spacing w:before="120"/>
        <w:ind w:left="1588"/>
        <w:rPr>
          <w:color w:val="000000"/>
          <w:sz w:val="23"/>
          <w:szCs w:val="23"/>
        </w:rPr>
      </w:pPr>
      <w:r>
        <w:rPr>
          <w:color w:val="000000"/>
          <w:sz w:val="23"/>
          <w:szCs w:val="23"/>
        </w:rPr>
        <w:t>The AEMC may waive the payment of any fee prescribed by the Regulations for the purposes of section 298.</w:t>
      </w:r>
    </w:p>
    <w:p>
      <w:pPr>
        <w:pStyle w:val="Heading5"/>
      </w:pPr>
      <w:bookmarkStart w:id="837" w:name="_Toc536782359"/>
      <w:r>
        <w:rPr>
          <w:rStyle w:val="CharSectno"/>
        </w:rPr>
        <w:t>300</w:t>
      </w:r>
      <w:r>
        <w:t>.</w:t>
      </w:r>
      <w:r>
        <w:tab/>
        <w:t>Consolidation of 2 or more Rule requests</w:t>
      </w:r>
      <w:bookmarkEnd w:id="83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AEMC considers it necessary or desirable that 2 or more requests for the making of a Rule should be dealt with together, the AEMC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treat those requests as 1 request for the purposes of this Chapter (a </w:t>
      </w:r>
      <w:r>
        <w:rPr>
          <w:rStyle w:val="CharDefText"/>
          <w:bCs/>
          <w:sz w:val="23"/>
        </w:rPr>
        <w:t>consolidated Rule request</w:t>
      </w:r>
      <w:r>
        <w:rPr>
          <w:color w:val="000000"/>
          <w:sz w:val="23"/>
          <w:szCs w:val="23"/>
        </w:rPr>
        <w: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treat any later request as a submission in relation to the earliest Rule request.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this Chapter, the AEMC may treat a consolidated Rule request as being received by it on the day it receives either the first or last of the Rule requests forming part of the consolidated Rule request.</w:t>
      </w:r>
    </w:p>
    <w:p>
      <w:pPr>
        <w:pStyle w:val="Heading5"/>
      </w:pPr>
      <w:bookmarkStart w:id="838" w:name="_Toc536782360"/>
      <w:r>
        <w:rPr>
          <w:rStyle w:val="CharSectno"/>
        </w:rPr>
        <w:t>301</w:t>
      </w:r>
      <w:r>
        <w:t>.</w:t>
      </w:r>
      <w:r>
        <w:tab/>
        <w:t>Initial consideration of request for Rule</w:t>
      </w:r>
      <w:bookmarkEnd w:id="83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Subject to this Chapter, as soon as practicable after receiving a request for the making of a Rule (an </w:t>
      </w:r>
      <w:r>
        <w:rPr>
          <w:rStyle w:val="CharDefText"/>
          <w:bCs/>
          <w:sz w:val="23"/>
        </w:rPr>
        <w:t>active request</w:t>
      </w:r>
      <w:r>
        <w:rPr>
          <w:color w:val="000000"/>
          <w:sz w:val="23"/>
          <w:szCs w:val="23"/>
        </w:rPr>
        <w:t>), the AEMC must consider whether—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active request appears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contain the information prescribed by the Regulations;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not be misconceived or lacking in substance;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subject matter of the active request appears to be for or with respect to a matter in respect of which the AEMC may make a Rule under this Law;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Section 74 and Schedule 1 to this Law specify the subject matter for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subject matter of the active request appears to relate to the subject matter of—</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Rule made, or a request for the making of a Rule under section 295(1) not proceeded with, in the 12 months immediately before the date of receipt of the active request;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another request for the making of a Rule under section 295(1) in respect of which the AEMC is taking action under this Part.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AEMC considers that, having regard to the matters set out in subsection (1), it should not take any action under this Part in respect of the active request, the AEMC must make a decision to that effect and inform the person or body, in writing, that requested the Rule of that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Despite subsection (1) or (2), the AEMC may make a decision to the effect that it should not take any action under this Part in respect of the active request if the person or body that made the active request has not complied with a notice in accordance with section 302.</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making a decision under subsection (3), the AEMC must have regard to any representation it receives under section 302(4).</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decision under subsection (2) or (3)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set out the reasons for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given to the person or body that made the active request without delay;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the case where the decision was made only because of the matters set out in subsection (1)(c)—be published.</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Subject to this Chapter, if the AEMC considers that, having regard to the matters set out in subsection (1), it should take action under this Part in respect of an active request the AEMC must publish notice of that active request in accordance with section 303.</w:t>
      </w:r>
    </w:p>
    <w:p>
      <w:pPr>
        <w:pStyle w:val="Heading5"/>
      </w:pPr>
      <w:bookmarkStart w:id="839" w:name="_Toc536782361"/>
      <w:r>
        <w:rPr>
          <w:rStyle w:val="CharSectno"/>
        </w:rPr>
        <w:t>302</w:t>
      </w:r>
      <w:r>
        <w:t>.</w:t>
      </w:r>
      <w:r>
        <w:tab/>
        <w:t>AEMC may request further information from Rule proponent in certain cases</w:t>
      </w:r>
      <w:bookmarkEnd w:id="83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receives a request for the making of a Rule under section 295(1);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considers, having regard to the nature and content of the request, that further information is required from the person or body that has made the request to assist it to understand the request’s purpose or content.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may, by notice in writing, request the person or body that made the request under section 295(1) to provide the AEMC further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notice under subsection (2) must specify—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kind of information the AEMC requires from the person or body;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time within which that information must be provided to the AEMC.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person or body given a notice under this section may make a written representation to the AEMC as to why it cannot provide the information specified in the notice within the time specified in the notice.</w:t>
      </w:r>
    </w:p>
    <w:p>
      <w:pPr>
        <w:pStyle w:val="Heading5"/>
      </w:pPr>
      <w:bookmarkStart w:id="840" w:name="_Toc536782362"/>
      <w:r>
        <w:rPr>
          <w:rStyle w:val="CharSectno"/>
        </w:rPr>
        <w:t>303</w:t>
      </w:r>
      <w:r>
        <w:t>.</w:t>
      </w:r>
      <w:r>
        <w:tab/>
        <w:t>Notice of proposed Rule</w:t>
      </w:r>
      <w:bookmarkEnd w:id="84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considers that it should take action under this Part in respect of a request for the making of a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forms an intention to make an AEMC initiated Rule.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must publish—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notice of the request or intention (as the case requires);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draft of the proposed Rule;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document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notice published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invite written submissions and comments from any person or body in relation to the proposed Rule by the date specified in the notice by the AEMC, being a date that is not less than 4 weeks from the date the notice is published;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any other information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Nothing in this Part is to be taken as requiring the AEMC to publish notices under this section in the same order as it—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considers that it should take action under this Part in respect of a request for the making of a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forms an intention to make an AEMC initiated Rule.</w:t>
      </w:r>
    </w:p>
    <w:p>
      <w:pPr>
        <w:pStyle w:val="Heading5"/>
      </w:pPr>
      <w:bookmarkStart w:id="841" w:name="_Toc536782363"/>
      <w:r>
        <w:rPr>
          <w:rStyle w:val="CharSectno"/>
        </w:rPr>
        <w:t>304</w:t>
      </w:r>
      <w:r>
        <w:t>.</w:t>
      </w:r>
      <w:r>
        <w:tab/>
        <w:t>Publication of non</w:t>
      </w:r>
      <w:r>
        <w:noBreakHyphen/>
        <w:t>controversial or urgent final Rule determination</w:t>
      </w:r>
      <w:bookmarkEnd w:id="84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if the AEMC considers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AEMC initiated Rule is a non</w:t>
      </w:r>
      <w:r>
        <w:rPr>
          <w:color w:val="000000"/>
          <w:sz w:val="23"/>
          <w:szCs w:val="23"/>
        </w:rPr>
        <w:noBreakHyphen/>
        <w:t xml:space="preserve">controversial Rule; or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request for a Rule is a request for a non</w:t>
      </w:r>
      <w:r>
        <w:rPr>
          <w:color w:val="000000"/>
          <w:sz w:val="23"/>
          <w:szCs w:val="23"/>
        </w:rPr>
        <w:noBreakHyphen/>
        <w:t>controversial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request for a Rule is a request for an urgent Rule,</w:t>
      </w:r>
    </w:p>
    <w:p>
      <w:pPr>
        <w:autoSpaceDE w:val="0"/>
        <w:autoSpaceDN w:val="0"/>
        <w:adjustRightInd w:val="0"/>
        <w:spacing w:before="120"/>
        <w:ind w:left="1588"/>
        <w:rPr>
          <w:color w:val="000000"/>
          <w:sz w:val="23"/>
          <w:szCs w:val="23"/>
        </w:rPr>
      </w:pPr>
      <w:r>
        <w:rPr>
          <w:color w:val="000000"/>
          <w:sz w:val="23"/>
          <w:szCs w:val="23"/>
        </w:rPr>
        <w:t>the AEMC may make the relevant Rule in accordance with this Part (except sections 307 to 310) and as if the period of time within which the final Rule determination in respect of the relevant Rule must be published were 6 weeks from the date of publication of the notice under section 303.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Before making a Rule as set out in subsection (1), the AEMC must include in a notice under section 303 a statement to the effect that the AEMC may make the relevant Rule if the AEMC does not receive a written request, and reasons, not to do so from any person or body within 2 weeks of publication of that notice.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AEMC must not make a Rule in accordance with this section if, following publication of a notice under section 303 containing a statement to the effect set out in subsection (2)—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AEMC receives a written request not to do so;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reasons set out in that request are not, in its opinion, misconceived or lacking in substance.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the AEMC is of the opinion that the reasons given by a person or body in a written request for it not to make the non</w:t>
      </w:r>
      <w:r>
        <w:rPr>
          <w:color w:val="000000"/>
          <w:sz w:val="23"/>
          <w:szCs w:val="23"/>
        </w:rPr>
        <w:noBreakHyphen/>
        <w:t>controversial Rule or urgent Rule are misconceived or lacking in substance, the AEMC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make a decision to that effect;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 the person or body its reasons, in writing, for that decision without delay.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AEMC is of the opinion that the reasons given by a person or body in a written request for it not to make the non</w:t>
      </w:r>
      <w:r>
        <w:rPr>
          <w:color w:val="000000"/>
          <w:sz w:val="23"/>
          <w:szCs w:val="23"/>
        </w:rPr>
        <w:noBreakHyphen/>
        <w:t>controversial Rule or urgent Rule, are not misconceived or lacking in substance, the AEMC must publish a notice to the effect that it will make the relevant Rule in accordance with this Part (other than this section).</w:t>
      </w:r>
    </w:p>
    <w:p>
      <w:pPr>
        <w:pStyle w:val="Heading5"/>
      </w:pPr>
      <w:bookmarkStart w:id="842" w:name="_Toc536782364"/>
      <w:r>
        <w:rPr>
          <w:rStyle w:val="CharSectno"/>
        </w:rPr>
        <w:t>305</w:t>
      </w:r>
      <w:r>
        <w:t>.</w:t>
      </w:r>
      <w:r>
        <w:tab/>
        <w:t>“Fast track” Rules where previous public consultation by gas market regulatory body or an AEMC review</w:t>
      </w:r>
      <w:bookmarkEnd w:id="84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gas market regulatory body has—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made a request for the making of a Rule under section 295(1);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consulted with the public on the nature and content of the request before making that request;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or the MCE has made a request for the making of a Rule under section 295(1) on the basis of—</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recommendation for the making of a Rule contained in a MCE directed review;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conclusion for the making of a Rule contained in an AEMC Rule review.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may take action under this Part in respect of the request without complying with section 303(3)(a) or 307 if it is of the opinion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where the request has been made by a gas market regulatory body in the circumstances described in subsection (1)(a)—the consultation conducted by the gas market regulatory body was adequate, having regard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nature and content of that request;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kind of consultation conducted by the gas market regulatory body;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where a request has been made by a person or the MCE in the circumstances described in subsection (1)(b)—</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request reflects, or is consistent with, the relevant recommendation contained in the MCE directed review or relevant conclusion in the AEMC Rule review (as the case requires);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there was adequate consultation with the public by it on the content of the relevant recommendation or relevant conclusion during the MCE directed review or AEMC Rule review (as the case requires).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To avoid doubt—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section 301 applies to a request for the making of a Rule to which this section applies;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section 306 does not apply to a request for the making of a Rule to which this section applies.</w:t>
      </w:r>
    </w:p>
    <w:p>
      <w:pPr>
        <w:pStyle w:val="Heading5"/>
      </w:pPr>
      <w:bookmarkStart w:id="843" w:name="_Toc536782365"/>
      <w:r>
        <w:rPr>
          <w:rStyle w:val="CharSectno"/>
        </w:rPr>
        <w:t>306</w:t>
      </w:r>
      <w:r>
        <w:t>.</w:t>
      </w:r>
      <w:r>
        <w:tab/>
        <w:t>Right to make written submissions and comments</w:t>
      </w:r>
      <w:bookmarkEnd w:id="843"/>
    </w:p>
    <w:p>
      <w:pPr>
        <w:keepLines/>
        <w:autoSpaceDE w:val="0"/>
        <w:autoSpaceDN w:val="0"/>
        <w:adjustRightInd w:val="0"/>
        <w:spacing w:before="120"/>
        <w:ind w:left="1588"/>
        <w:rPr>
          <w:color w:val="000000"/>
          <w:sz w:val="23"/>
          <w:szCs w:val="23"/>
        </w:rPr>
      </w:pPr>
      <w:r>
        <w:rPr>
          <w:color w:val="000000"/>
          <w:sz w:val="23"/>
          <w:szCs w:val="23"/>
        </w:rPr>
        <w:t>Any person or body, within the period specified in a notice under section 303, may make a written submission or comment in relation to the proposed Rule to which the notice relates.</w:t>
      </w:r>
    </w:p>
    <w:p>
      <w:pPr>
        <w:pStyle w:val="Heading5"/>
      </w:pPr>
      <w:bookmarkStart w:id="844" w:name="_Toc536782366"/>
      <w:r>
        <w:rPr>
          <w:rStyle w:val="CharSectno"/>
        </w:rPr>
        <w:t>307</w:t>
      </w:r>
      <w:r>
        <w:t>.</w:t>
      </w:r>
      <w:r>
        <w:tab/>
        <w:t>AEMC may hold public hearings before draft Rule determination</w:t>
      </w:r>
      <w:bookmarkEnd w:id="84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(but need not), at any time after publication of a notice under section 303 and before making a draft Rule determination, hold a hearing in relation to any proposed Rule.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Notice of a hearing held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published;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prescribed by the Regulations (if any).</w:t>
      </w:r>
    </w:p>
    <w:p>
      <w:pPr>
        <w:pStyle w:val="Heading5"/>
      </w:pPr>
      <w:bookmarkStart w:id="845" w:name="_Toc536782367"/>
      <w:r>
        <w:rPr>
          <w:rStyle w:val="CharSectno"/>
        </w:rPr>
        <w:t>308</w:t>
      </w:r>
      <w:r>
        <w:t>.</w:t>
      </w:r>
      <w:r>
        <w:tab/>
        <w:t>Draft Rule determination</w:t>
      </w:r>
      <w:bookmarkEnd w:id="84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must make a draft Rule determination before making a final Rule determination in relation to the proposed Rule.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this Chapter, the AEMC must, within 10 weeks after the date specified in a notice under section 303, publish—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draft Rule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notice of the making of the draft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the case of a proposed Rule to which section 305 applies, the AEMC must publish the draft Rule determination and notice of the making of the draft Rule determination within 5 weeks after the date notice under section 303(2) is published.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draft Rule determination must contain—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reasons of the AEMC as to whether or not it should make the proposed Rule, including—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the case where the proposed Rule is not a proposed more preferable Rule, the reasons of the AEMC as to whether it is satisfied the proposed Rule will or is likely to contribute to the achievement of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of a proposed more preferable Rule, the reasons of the AEMC as to whether it is satisfied the proposed more preferable Rule will or is likely to better contribute to the achievement of the national gas objective than the market initiated Rule request to which the more preferable Rule relates;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if the AEMC is required to take into account the form of regulation factors or the revenue and pricing principles, the reasons of the AEMC taking those factors or principles (as the case requires) into account;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the reasons of the AEMC having regard to any relevant MCE statement of policy principles;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the reasons of the AEMC having regard to any other matters the AEMC considers relevant;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AEMC determines to make a Rule, a draft of the Rule to be made;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matters that are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notice referred to in subsection (2)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invite written submissions and comments from any person or body in relation to the determination within a period specified by the AEMC, being a period not less than 6 weeks from the date of publication of the notice;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include a statement to the effect that any person or body may request, in writing within 1 week after the publication of the notice, the AEMC to hold a hearing in accordance with section 310;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any other information prescribed by the Regulations.</w:t>
      </w:r>
    </w:p>
    <w:p>
      <w:pPr>
        <w:pStyle w:val="Heading5"/>
      </w:pPr>
      <w:bookmarkStart w:id="846" w:name="_Toc536782368"/>
      <w:r>
        <w:rPr>
          <w:rStyle w:val="CharSectno"/>
        </w:rPr>
        <w:t>309</w:t>
      </w:r>
      <w:r>
        <w:t>.</w:t>
      </w:r>
      <w:r>
        <w:tab/>
        <w:t>Right to make written submissions and comments in relation to draft Rule determination</w:t>
      </w:r>
      <w:bookmarkEnd w:id="846"/>
    </w:p>
    <w:p>
      <w:pPr>
        <w:keepLines/>
        <w:autoSpaceDE w:val="0"/>
        <w:autoSpaceDN w:val="0"/>
        <w:adjustRightInd w:val="0"/>
        <w:spacing w:before="120"/>
        <w:ind w:left="1588"/>
        <w:rPr>
          <w:color w:val="000000"/>
          <w:sz w:val="23"/>
          <w:szCs w:val="23"/>
        </w:rPr>
      </w:pPr>
      <w:r>
        <w:rPr>
          <w:color w:val="000000"/>
          <w:sz w:val="23"/>
          <w:szCs w:val="23"/>
        </w:rPr>
        <w:t>Any person or body, within the period specified in a notice under section 308(1), may make a written submission or comment in relation to a draft Rule determination to which the notice relates.</w:t>
      </w:r>
    </w:p>
    <w:p>
      <w:pPr>
        <w:pStyle w:val="Heading5"/>
      </w:pPr>
      <w:bookmarkStart w:id="847" w:name="_Toc536782369"/>
      <w:r>
        <w:rPr>
          <w:rStyle w:val="CharSectno"/>
        </w:rPr>
        <w:t>310</w:t>
      </w:r>
      <w:r>
        <w:t>.</w:t>
      </w:r>
      <w:r>
        <w:tab/>
        <w:t>Pre</w:t>
      </w:r>
      <w:r>
        <w:noBreakHyphen/>
        <w:t>final Rule determination hearing may be held</w:t>
      </w:r>
      <w:bookmarkEnd w:id="84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(but need not), at any time after publication of a notice under section 308(2) and before making a final Rule determination, hold a hearing in relation to a draft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any person or body may request, in writing, within 1 week after the publication of a notice under section 308(2), the AEMC to hold a hearing in relation to a draft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Despite subsection (2), the AEMC may decide not to a hold a hearing in relation to a draft Rule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Without limiting the reasons why the AEMC may decide not to a hold a hearing following a request under subsection (2) in relation to a draft Rule determination, the AEMC may decide not to hold a hearing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or body that requests the AEMC to hold a hearing does not make a written submission or comment in accordance with section 309;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 other person or body requests the AEMC to hold a hearing.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AEMC decides not to hold a hearing after a request under subsection (2), it must give the person or body that requested the hearing its reasons, in writing, for declining that person’s or body’s request.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the AEMC decides to hold a hearing, or agrees to hold a hearing after a request under subsection (2), the AEMC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appoint a date (being not later than 3 weeks after the date of publication of the notice under section 308), time and place for the holding of the hearing;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publish a notice of that date, time and place.</w:t>
      </w:r>
    </w:p>
    <w:p>
      <w:pPr>
        <w:pStyle w:val="Heading5"/>
      </w:pPr>
      <w:bookmarkStart w:id="848" w:name="_Toc536782370"/>
      <w:r>
        <w:rPr>
          <w:rStyle w:val="CharSectno"/>
        </w:rPr>
        <w:t>311</w:t>
      </w:r>
      <w:r>
        <w:t>.</w:t>
      </w:r>
      <w:r>
        <w:tab/>
        <w:t>Final Rule determination</w:t>
      </w:r>
      <w:bookmarkEnd w:id="84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section 312, the AEMC must make a final Rule determination as to whether to make a proposed Rule.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this Chapter, the AEMC must, within 6 weeks after the period for written submissions or comments in relation to the draft Rule determination ends, publish—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final Rule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notice of the making of the final Rule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final Rule determination must contain—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reasons of the AEMC as to whether or not it should make a Rule, including—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the case where the Rule to be made is not a more preferable Rule, the reasons of the AEMC as to whether it is satisfied the Rule will or is likely to contribute to the achievement of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where the Rule to be made is a more preferable Rule, the reasons of the AEMC as to whether it is satisfied the more preferable Rule to be made will or is likely to better contribute to the achievement of the national gas objective than the market initiated Rule request to which the more preferable Rule relates;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if the AEMC is required to take into account the form of regulation factors or the revenue and pricing principles, the reasons of the AEMC taking those factors or principles (as the case requires) into account;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the reasons of the AEMC having regard to any relevant MCE statement of policy principles;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the reasons of the AEMC having regard to any other matters the AEMC considers relevant;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other matters that are prescribed by the Regulations.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notice referred to in subsection (2) must contain the information prescribed by the Regulations.</w:t>
      </w:r>
    </w:p>
    <w:p>
      <w:pPr>
        <w:pStyle w:val="Heading5"/>
      </w:pPr>
      <w:bookmarkStart w:id="849" w:name="_Toc536782371"/>
      <w:r>
        <w:rPr>
          <w:rStyle w:val="CharSectno"/>
        </w:rPr>
        <w:t>312</w:t>
      </w:r>
      <w:r>
        <w:t>.</w:t>
      </w:r>
      <w:r>
        <w:tab/>
        <w:t>Further draft Rule determination may be made where proposed Rule is a proposed more preferable Rule</w:t>
      </w:r>
      <w:bookmarkEnd w:id="84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AEMC proposes to make a more preferable Rule.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this Chapter, the AEMC may take action again under sections 308 to 310 in respect of the proposed more preferable Rule before making a final Rule determination in respect of that Rule.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Sections 308 to 310 apply as if, in section 308(2), for “the date specified in a notice under section 303” there were substituted “the date of the previous draft Rule determination”.</w:t>
      </w:r>
    </w:p>
    <w:p>
      <w:pPr>
        <w:pStyle w:val="Heading5"/>
      </w:pPr>
      <w:bookmarkStart w:id="850" w:name="_Toc536782372"/>
      <w:r>
        <w:rPr>
          <w:rStyle w:val="CharSectno"/>
        </w:rPr>
        <w:t>313</w:t>
      </w:r>
      <w:r>
        <w:t>.</w:t>
      </w:r>
      <w:r>
        <w:tab/>
        <w:t>Making of Rule</w:t>
      </w:r>
      <w:bookmarkEnd w:id="85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if the AEMC, in its final Rule determination, determines to make a Rule, the AEMC must make the relevant Rule as soon as practicable after the publication of the final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Notice of the making of the Rule must be published in the South Australian Government Gazette as soon as practicable after the making of the Rule.</w:t>
      </w:r>
    </w:p>
    <w:p>
      <w:pPr>
        <w:pStyle w:val="Heading5"/>
      </w:pPr>
      <w:bookmarkStart w:id="851" w:name="_Toc536782373"/>
      <w:r>
        <w:rPr>
          <w:rStyle w:val="CharSectno"/>
        </w:rPr>
        <w:t>314</w:t>
      </w:r>
      <w:r>
        <w:t>.</w:t>
      </w:r>
      <w:r>
        <w:tab/>
        <w:t>Operation and commencement of Rule</w:t>
      </w:r>
      <w:bookmarkEnd w:id="851"/>
    </w:p>
    <w:p>
      <w:pPr>
        <w:keepLines/>
        <w:autoSpaceDE w:val="0"/>
        <w:autoSpaceDN w:val="0"/>
        <w:adjustRightInd w:val="0"/>
        <w:spacing w:before="120"/>
        <w:ind w:left="1588"/>
        <w:rPr>
          <w:color w:val="000000"/>
          <w:sz w:val="23"/>
          <w:szCs w:val="23"/>
        </w:rPr>
      </w:pPr>
      <w:r>
        <w:rPr>
          <w:color w:val="000000"/>
          <w:sz w:val="23"/>
          <w:szCs w:val="23"/>
        </w:rPr>
        <w:t>A Rule made under section 313 commences operation on the day the relevant notice is published in the South Australian Government Gazette or on any day after that day that is provided for in the relevant notice or the Rule.</w:t>
      </w:r>
    </w:p>
    <w:p>
      <w:pPr>
        <w:pStyle w:val="Heading5"/>
      </w:pPr>
      <w:bookmarkStart w:id="852" w:name="_Toc536782374"/>
      <w:r>
        <w:rPr>
          <w:rStyle w:val="CharSectno"/>
        </w:rPr>
        <w:t>315</w:t>
      </w:r>
      <w:r>
        <w:t>.</w:t>
      </w:r>
      <w:r>
        <w:tab/>
        <w:t>Rule that is made to be published on website and made available to the public</w:t>
      </w:r>
      <w:bookmarkEnd w:id="852"/>
    </w:p>
    <w:p>
      <w:pPr>
        <w:keepNext/>
        <w:keepLines/>
        <w:autoSpaceDE w:val="0"/>
        <w:autoSpaceDN w:val="0"/>
        <w:adjustRightInd w:val="0"/>
        <w:spacing w:before="120"/>
        <w:ind w:left="1588"/>
        <w:rPr>
          <w:color w:val="000000"/>
          <w:sz w:val="23"/>
          <w:szCs w:val="23"/>
        </w:rPr>
      </w:pPr>
      <w:r>
        <w:rPr>
          <w:color w:val="000000"/>
          <w:sz w:val="23"/>
          <w:szCs w:val="23"/>
        </w:rPr>
        <w:t>On publication of a notice in accordance with section 313(2), the AEMC must, without delay—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publish the Rule on its website;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copies of the Rule available to the public at its offices.</w:t>
      </w:r>
    </w:p>
    <w:p>
      <w:pPr>
        <w:pStyle w:val="Heading5"/>
      </w:pPr>
      <w:bookmarkStart w:id="853" w:name="_Toc536782375"/>
      <w:r>
        <w:rPr>
          <w:rStyle w:val="CharSectno"/>
        </w:rPr>
        <w:t>316</w:t>
      </w:r>
      <w:r>
        <w:t>.</w:t>
      </w:r>
      <w:r>
        <w:tab/>
        <w:t>Evidence of the National Gas Rules</w:t>
      </w:r>
      <w:bookmarkEnd w:id="853"/>
    </w:p>
    <w:p>
      <w:pPr>
        <w:keepNext/>
        <w:keepLines/>
        <w:autoSpaceDE w:val="0"/>
        <w:autoSpaceDN w:val="0"/>
        <w:adjustRightInd w:val="0"/>
        <w:spacing w:before="120"/>
        <w:ind w:left="1588"/>
        <w:rPr>
          <w:color w:val="000000"/>
          <w:sz w:val="23"/>
          <w:szCs w:val="23"/>
        </w:rPr>
      </w:pPr>
      <w:r>
        <w:rPr>
          <w:color w:val="000000"/>
          <w:sz w:val="23"/>
          <w:szCs w:val="23"/>
        </w:rPr>
        <w:t>A document purporting to be a copy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National Gas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initial National Gas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amendment to the initial National Gas Rules or the National Gas Rules,</w:t>
      </w:r>
    </w:p>
    <w:p>
      <w:pPr>
        <w:keepLines/>
        <w:autoSpaceDE w:val="0"/>
        <w:autoSpaceDN w:val="0"/>
        <w:adjustRightInd w:val="0"/>
        <w:spacing w:before="120"/>
        <w:ind w:left="1588"/>
        <w:rPr>
          <w:color w:val="000000"/>
          <w:sz w:val="23"/>
          <w:szCs w:val="23"/>
        </w:rPr>
      </w:pPr>
      <w:r>
        <w:rPr>
          <w:color w:val="000000"/>
          <w:sz w:val="23"/>
          <w:szCs w:val="23"/>
        </w:rPr>
        <w:t>endorsed with a certificate to which the seal of the AEMC has been duly affixed certifying the document is such a copy, is evidence that the document is such a copy.</w:t>
      </w:r>
    </w:p>
    <w:p>
      <w:pPr>
        <w:pStyle w:val="Heading3"/>
      </w:pPr>
      <w:bookmarkStart w:id="854" w:name="_Toc501634254"/>
      <w:bookmarkStart w:id="855" w:name="_Toc501713150"/>
      <w:bookmarkStart w:id="856" w:name="_Toc536782376"/>
      <w:r>
        <w:rPr>
          <w:rStyle w:val="CharDivNo"/>
        </w:rPr>
        <w:t>Part 4</w:t>
      </w:r>
      <w:r>
        <w:t> — </w:t>
      </w:r>
      <w:r>
        <w:rPr>
          <w:rStyle w:val="CharDivText"/>
        </w:rPr>
        <w:t>Miscellaneous provisions relating to rule making by the AEMC</w:t>
      </w:r>
      <w:bookmarkEnd w:id="854"/>
      <w:bookmarkEnd w:id="855"/>
      <w:bookmarkEnd w:id="856"/>
    </w:p>
    <w:p>
      <w:pPr>
        <w:pStyle w:val="Heading5"/>
      </w:pPr>
      <w:bookmarkStart w:id="857" w:name="_Toc536782377"/>
      <w:r>
        <w:rPr>
          <w:rStyle w:val="CharSectno"/>
        </w:rPr>
        <w:t>317</w:t>
      </w:r>
      <w:r>
        <w:t>.</w:t>
      </w:r>
      <w:r>
        <w:tab/>
        <w:t>Extension of periods of time in Rule making procedure</w:t>
      </w:r>
      <w:bookmarkEnd w:id="85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anything to the contrary in this Chapter and without limiting section 318, the AEMC may, by notice, extend a period of time specified in Chapter 9 Part 3 if the AEMC considers that a request for a Rule raises issues of sufficient complexity or difficulty or there is a material change in circumstances such that it is necessary that the relevant period of time specified in Chapter 9 Part 3 be extended.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notice under subsection (1)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published;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set out the period of time specified in Chapter 9 Part 3 to be extended;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specify a new period of time to apply in the place of the period of time specified in Chapter 9 Part 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notice under subsection (1) may be published at the same time as a notice under section 303.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AEMC may only extend a period of time under this section before the expiry of that time.</w:t>
      </w:r>
    </w:p>
    <w:p>
      <w:pPr>
        <w:pStyle w:val="Heading5"/>
      </w:pPr>
      <w:bookmarkStart w:id="858" w:name="_Toc536782378"/>
      <w:r>
        <w:rPr>
          <w:rStyle w:val="CharSectno"/>
        </w:rPr>
        <w:t>318</w:t>
      </w:r>
      <w:r>
        <w:t>.</w:t>
      </w:r>
      <w:r>
        <w:tab/>
        <w:t>AEMC may extend period of time for making of final Rule determination for further consultation</w:t>
      </w:r>
      <w:bookmarkEnd w:id="85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person or body raises an issue in—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submission or comment in relation to a draft Rule determination;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hearing held under section 307 or 310;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AEMC considers the issue raised by the person or body requires further public consultation in relation to the proposed Rule or draft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Despite anything to the contrary in this Chapter and without limiting section 317, the AEMC may, by notice, extend the period of time specified in section 311 within which it must make a final Rule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notice under subsection (2)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published;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a new period of time to apply in the place of the period of time specified in section 311;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specify the issue on which the AEMC requires further public submissions and comments;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invite written submissions and comments from any person or body by the date specified in the notice.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new period of time must not have the effect of extending the relevant period of the time specified in section 311 by more than 4 weeks.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AEMC may only extend the period of time under this section before the expiry of time specified in section 311.</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Any person or body, within the period specified in a notice under subsection (2), may make a written submission or comment in relation to the issue specified in the notice.</w:t>
      </w:r>
    </w:p>
    <w:p>
      <w:pPr>
        <w:pStyle w:val="Heading5"/>
      </w:pPr>
      <w:bookmarkStart w:id="859" w:name="_Toc536782379"/>
      <w:r>
        <w:rPr>
          <w:rStyle w:val="CharSectno"/>
        </w:rPr>
        <w:t>319</w:t>
      </w:r>
      <w:r>
        <w:t>.</w:t>
      </w:r>
      <w:r>
        <w:tab/>
        <w:t>AEMC may publish written submissions and comments unless confidential</w:t>
      </w:r>
      <w:bookmarkEnd w:id="85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the AEMC may publish any information in any written submission or comment given to it under this Chapter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or body who gave the information, claims, when giving it to the AEMC, that it contains confidential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AEMC decides that the written submission or comment contains confidential information.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written submission or comment given to the AEMC under this Chapter that has been claimed under this section to contain confidential information, and that the AEMC has decided contains confidential information, may be published if that information is omitted.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information is omitted from a published written submission or comment given to the AEMC under this Chapter as being confidential information, a note to that effect must be included in the submission or comment at the place in the submission or comment from which the information is omitted.</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 xml:space="preserve">See also section 71 of this Law and section 24 of the </w:t>
      </w:r>
      <w:r>
        <w:rPr>
          <w:i/>
          <w:iCs/>
          <w:color w:val="000000"/>
          <w:sz w:val="20"/>
        </w:rPr>
        <w:t>Australian Energy Market Commission Establishment Act 2004</w:t>
      </w:r>
      <w:r>
        <w:rPr>
          <w:color w:val="000000"/>
          <w:sz w:val="20"/>
        </w:rPr>
        <w:t xml:space="preserve"> of South Australia.</w:t>
      </w:r>
    </w:p>
    <w:p>
      <w:pPr>
        <w:pStyle w:val="Heading5"/>
      </w:pPr>
      <w:bookmarkStart w:id="860" w:name="_Toc536782380"/>
      <w:r>
        <w:rPr>
          <w:rStyle w:val="CharSectno"/>
        </w:rPr>
        <w:t>320</w:t>
      </w:r>
      <w:r>
        <w:t>.</w:t>
      </w:r>
      <w:r>
        <w:tab/>
        <w:t>AEMC must publicly report on Rules not made within 12 months of public notification of requests</w:t>
      </w:r>
      <w:bookmarkEnd w:id="86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publishes a notice under section 303 in respect of a request for the making of a Rule;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does not make a final Rule determination in respect of that request within 12 months after the publication of that notice (the </w:t>
      </w:r>
      <w:r>
        <w:rPr>
          <w:rStyle w:val="CharDefText"/>
          <w:bCs/>
          <w:sz w:val="23"/>
        </w:rPr>
        <w:t>report trigger date</w:t>
      </w:r>
      <w:r>
        <w:rPr>
          <w:color w:val="000000"/>
          <w:sz w:val="23"/>
          <w:szCs w:val="23"/>
        </w:rPr>
        <w: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must prepare a report on the request as soon as practicable after the report trigger date.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report prepared under this section—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contain the reasons why the final Rule determination has not been made within 12 months after the publication of the notice under section 303;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specify when the AEMC considers it will make the final Rule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be published.</w:t>
      </w:r>
    </w:p>
    <w:p>
      <w:pPr>
        <w:pStyle w:val="Heading2"/>
      </w:pPr>
      <w:bookmarkStart w:id="861" w:name="_Toc501634259"/>
      <w:bookmarkStart w:id="862" w:name="_Toc501713155"/>
      <w:bookmarkStart w:id="863" w:name="_Toc536782381"/>
      <w:r>
        <w:rPr>
          <w:rStyle w:val="CharPartNo"/>
        </w:rPr>
        <w:t>Chapter 10</w:t>
      </w:r>
      <w:r>
        <w:t xml:space="preserve"> — </w:t>
      </w:r>
      <w:r>
        <w:rPr>
          <w:rStyle w:val="CharPartText"/>
        </w:rPr>
        <w:t>General</w:t>
      </w:r>
      <w:bookmarkEnd w:id="861"/>
      <w:bookmarkEnd w:id="862"/>
      <w:bookmarkEnd w:id="863"/>
    </w:p>
    <w:p>
      <w:pPr>
        <w:pStyle w:val="Heading3"/>
      </w:pPr>
      <w:bookmarkStart w:id="864" w:name="_Toc501634260"/>
      <w:bookmarkStart w:id="865" w:name="_Toc501713156"/>
      <w:bookmarkStart w:id="866" w:name="_Toc536782382"/>
      <w:r>
        <w:rPr>
          <w:rStyle w:val="CharDivNo"/>
        </w:rPr>
        <w:t>Part 1</w:t>
      </w:r>
      <w:r>
        <w:t xml:space="preserve"> — </w:t>
      </w:r>
      <w:r>
        <w:rPr>
          <w:rStyle w:val="CharDivText"/>
        </w:rPr>
        <w:t>Provisions relating to applicable access arrangements</w:t>
      </w:r>
      <w:bookmarkEnd w:id="864"/>
      <w:bookmarkEnd w:id="865"/>
      <w:bookmarkEnd w:id="866"/>
    </w:p>
    <w:p>
      <w:pPr>
        <w:pStyle w:val="Heading5"/>
      </w:pPr>
      <w:bookmarkStart w:id="867" w:name="_Toc536782383"/>
      <w:r>
        <w:rPr>
          <w:rStyle w:val="CharSectno"/>
        </w:rPr>
        <w:t>321</w:t>
      </w:r>
      <w:r>
        <w:t>.</w:t>
      </w:r>
      <w:r>
        <w:tab/>
        <w:t>Protection of certain pre</w:t>
      </w:r>
      <w:r>
        <w:noBreakHyphen/>
        <w:t>existing contractual rights</w:t>
      </w:r>
      <w:bookmarkEnd w:id="86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applicable access arrangement must not have the effect of depriving a person of a relevant protected contractual right.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relevant exclusivity right</w:t>
      </w:r>
      <w:r>
        <w:rPr>
          <w:bCs/>
          <w:i/>
          <w:iCs/>
          <w:color w:val="000000"/>
          <w:sz w:val="23"/>
          <w:szCs w:val="23"/>
        </w:rPr>
        <w:t xml:space="preserve"> </w:t>
      </w:r>
      <w:r>
        <w:rPr>
          <w:color w:val="000000"/>
          <w:sz w:val="23"/>
          <w:szCs w:val="23"/>
        </w:rPr>
        <w:t>means an express contractual right that arose on or after 30 March 1995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prevents a service provider supplying pipeline services to persons who are not parties to the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limits or controls a service provider’s ability to supply pipeline services to persons who are not parties to the contract,</w:t>
      </w:r>
    </w:p>
    <w:p>
      <w:pPr>
        <w:keepLines/>
        <w:autoSpaceDE w:val="0"/>
        <w:autoSpaceDN w:val="0"/>
        <w:adjustRightInd w:val="0"/>
        <w:spacing w:before="120"/>
        <w:ind w:left="1588"/>
        <w:rPr>
          <w:color w:val="000000"/>
          <w:sz w:val="23"/>
          <w:szCs w:val="23"/>
        </w:rPr>
      </w:pPr>
      <w:r>
        <w:rPr>
          <w:color w:val="000000"/>
          <w:sz w:val="23"/>
          <w:szCs w:val="23"/>
        </w:rPr>
        <w:t>but does not include a user’s contractual right to obtain a certain amount of pipeline services;</w:t>
      </w:r>
    </w:p>
    <w:p>
      <w:pPr>
        <w:keepNext/>
        <w:keepLines/>
        <w:autoSpaceDE w:val="0"/>
        <w:autoSpaceDN w:val="0"/>
        <w:adjustRightInd w:val="0"/>
        <w:spacing w:before="120"/>
        <w:ind w:left="1588"/>
        <w:rPr>
          <w:color w:val="000000"/>
          <w:sz w:val="23"/>
          <w:szCs w:val="23"/>
        </w:rPr>
      </w:pPr>
      <w:r>
        <w:rPr>
          <w:rStyle w:val="CharDefText"/>
          <w:bCs/>
          <w:sz w:val="23"/>
        </w:rPr>
        <w:t>relevant protected contractual right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an applicable access arrangement approved under an applicable arrangement decision—a right under a contract (other than a relevant exclusivity right) in force immediately before that access arrangement was submitted for approval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an applicable access arrangement made under an applicable arrangement decision because—</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full access arrangement was not submitted for approval as required under section 132—a right under a contract (other than a relevant exclusivity right) in force immediately before the date on which an access arrangement was required to be submitted for approval;</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access arrangement was not approved under an applicable arrangement decision—a right under a contract (other than a relevant exclusivity right) in force immediately before the date on which that access arrangement was submitted for approval.</w:t>
      </w:r>
    </w:p>
    <w:p>
      <w:pPr>
        <w:pStyle w:val="Heading5"/>
      </w:pPr>
      <w:bookmarkStart w:id="868" w:name="_Toc536782384"/>
      <w:r>
        <w:rPr>
          <w:rStyle w:val="CharSectno"/>
        </w:rPr>
        <w:t>322</w:t>
      </w:r>
      <w:r>
        <w:t>.</w:t>
      </w:r>
      <w:r>
        <w:tab/>
        <w:t>Service provider may enter into agreement for access different from applicable access arrangement</w:t>
      </w:r>
      <w:bookmarkEnd w:id="868"/>
    </w:p>
    <w:p>
      <w:pPr>
        <w:keepLines/>
        <w:autoSpaceDE w:val="0"/>
        <w:autoSpaceDN w:val="0"/>
        <w:adjustRightInd w:val="0"/>
        <w:spacing w:before="120"/>
        <w:ind w:left="1588"/>
        <w:rPr>
          <w:color w:val="000000"/>
          <w:sz w:val="23"/>
          <w:szCs w:val="23"/>
        </w:rPr>
      </w:pPr>
      <w:r>
        <w:rPr>
          <w:color w:val="000000"/>
          <w:sz w:val="23"/>
          <w:szCs w:val="23"/>
        </w:rPr>
        <w:t>Subject to section 135, nothing in this Law is to be taken as preventing a service provider from entering into an agreement with a user or a prospective user about access to a pipeline service provided by means of a scheme pipeline that is different from an applicable access arrangement that applies to that pipeline service.</w:t>
      </w:r>
    </w:p>
    <w:p>
      <w:pPr>
        <w:pStyle w:val="Heading5"/>
      </w:pPr>
      <w:bookmarkStart w:id="869" w:name="_Toc536782385"/>
      <w:r>
        <w:rPr>
          <w:rStyle w:val="CharSectno"/>
        </w:rPr>
        <w:t>323</w:t>
      </w:r>
      <w:r>
        <w:t>.</w:t>
      </w:r>
      <w:r>
        <w:tab/>
        <w:t>Applicable access arrangements continue to apply regardless of who provides pipeline service</w:t>
      </w:r>
      <w:bookmarkEnd w:id="869"/>
    </w:p>
    <w:p>
      <w:pPr>
        <w:keepLines/>
        <w:autoSpaceDE w:val="0"/>
        <w:autoSpaceDN w:val="0"/>
        <w:adjustRightInd w:val="0"/>
        <w:spacing w:before="120"/>
        <w:ind w:left="1588"/>
        <w:rPr>
          <w:color w:val="000000"/>
          <w:sz w:val="23"/>
          <w:szCs w:val="23"/>
        </w:rPr>
      </w:pPr>
      <w:r>
        <w:rPr>
          <w:color w:val="000000"/>
          <w:sz w:val="23"/>
          <w:szCs w:val="23"/>
        </w:rPr>
        <w:t>An applicable access arrangement applies to a pipeline service provided, or to be provided, by means of a pipeline regardless of who provides that pipeline service.</w:t>
      </w:r>
    </w:p>
    <w:p>
      <w:pPr>
        <w:pStyle w:val="Heading3"/>
      </w:pPr>
      <w:bookmarkStart w:id="870" w:name="_Toc501634264"/>
      <w:bookmarkStart w:id="871" w:name="_Toc501713160"/>
      <w:bookmarkStart w:id="872" w:name="_Toc536782386"/>
      <w:r>
        <w:rPr>
          <w:rStyle w:val="CharDivNo"/>
        </w:rPr>
        <w:t>Part 2</w:t>
      </w:r>
      <w:r>
        <w:t xml:space="preserve"> — </w:t>
      </w:r>
      <w:r>
        <w:rPr>
          <w:rStyle w:val="CharDivText"/>
        </w:rPr>
        <w:t>Handling of confidential information</w:t>
      </w:r>
      <w:bookmarkEnd w:id="870"/>
      <w:bookmarkEnd w:id="871"/>
      <w:bookmarkEnd w:id="872"/>
    </w:p>
    <w:p>
      <w:pPr>
        <w:pStyle w:val="Heading4"/>
      </w:pPr>
      <w:bookmarkStart w:id="873" w:name="_Toc501634265"/>
      <w:bookmarkStart w:id="874" w:name="_Toc501713161"/>
      <w:bookmarkStart w:id="875" w:name="_Toc536782387"/>
      <w:r>
        <w:t>Division 1 — Disclosure of confidential information held by AER</w:t>
      </w:r>
      <w:bookmarkEnd w:id="873"/>
      <w:bookmarkEnd w:id="874"/>
      <w:bookmarkEnd w:id="875"/>
    </w:p>
    <w:p>
      <w:pPr>
        <w:pStyle w:val="Heading5"/>
      </w:pPr>
      <w:bookmarkStart w:id="876" w:name="_Toc536782388"/>
      <w:r>
        <w:rPr>
          <w:rStyle w:val="CharSectno"/>
        </w:rPr>
        <w:t>324</w:t>
      </w:r>
      <w:r>
        <w:t>.</w:t>
      </w:r>
      <w:r>
        <w:tab/>
        <w:t>Authorised disclosure of information given to the AER in confidence</w:t>
      </w:r>
      <w:bookmarkEnd w:id="876"/>
    </w:p>
    <w:p>
      <w:pPr>
        <w:keepNext/>
        <w:keepLines/>
        <w:autoSpaceDE w:val="0"/>
        <w:autoSpaceDN w:val="0"/>
        <w:adjustRightInd w:val="0"/>
        <w:spacing w:before="120"/>
        <w:ind w:left="1588"/>
        <w:rPr>
          <w:color w:val="000000"/>
          <w:sz w:val="23"/>
          <w:szCs w:val="23"/>
        </w:rPr>
      </w:pPr>
      <w:r>
        <w:rPr>
          <w:color w:val="000000"/>
          <w:sz w:val="23"/>
          <w:szCs w:val="23"/>
        </w:rPr>
        <w:t>The AER is authorised to disclose information given to it in confidence in, or in connection with, the performance or exercise of its functions or powers under this Law or the Rules subject to and in accordance with—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this Division;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section 205.</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 xml:space="preserve">See also section 30 of this Law and section 44AAF of the </w:t>
      </w:r>
      <w:r>
        <w:rPr>
          <w:i/>
          <w:iCs/>
          <w:color w:val="000000"/>
          <w:sz w:val="20"/>
        </w:rPr>
        <w:t>Trade Practices Act 1974</w:t>
      </w:r>
      <w:r>
        <w:rPr>
          <w:color w:val="000000"/>
          <w:sz w:val="20"/>
        </w:rPr>
        <w:t xml:space="preserve"> of the Commonwealth.</w:t>
      </w:r>
    </w:p>
    <w:p>
      <w:pPr>
        <w:pStyle w:val="Heading5"/>
      </w:pPr>
      <w:bookmarkStart w:id="877" w:name="_Toc536782389"/>
      <w:r>
        <w:rPr>
          <w:rStyle w:val="CharSectno"/>
        </w:rPr>
        <w:t>325</w:t>
      </w:r>
      <w:r>
        <w:t>.</w:t>
      </w:r>
      <w:r>
        <w:tab/>
        <w:t>Disclosure with prior written consent is authorised</w:t>
      </w:r>
      <w:bookmarkEnd w:id="877"/>
    </w:p>
    <w:p>
      <w:pPr>
        <w:keepNext/>
        <w:keepLines/>
        <w:autoSpaceDE w:val="0"/>
        <w:autoSpaceDN w:val="0"/>
        <w:adjustRightInd w:val="0"/>
        <w:spacing w:before="120"/>
        <w:ind w:left="1588"/>
        <w:rPr>
          <w:color w:val="000000"/>
          <w:sz w:val="23"/>
          <w:szCs w:val="23"/>
        </w:rPr>
      </w:pPr>
      <w:r>
        <w:rPr>
          <w:color w:val="000000"/>
          <w:sz w:val="23"/>
          <w:szCs w:val="23"/>
        </w:rPr>
        <w:t>The AER is authorised to disclose information given to it in confidence if the AER has the written consent to do so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who gave the information;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person from whom the person referred to in paragraph (a) received that information.</w:t>
      </w:r>
    </w:p>
    <w:p>
      <w:pPr>
        <w:pStyle w:val="Heading5"/>
      </w:pPr>
      <w:bookmarkStart w:id="878" w:name="_Toc536782390"/>
      <w:r>
        <w:rPr>
          <w:rStyle w:val="CharSectno"/>
        </w:rPr>
        <w:t>326</w:t>
      </w:r>
      <w:r>
        <w:t>.</w:t>
      </w:r>
      <w:r>
        <w:tab/>
        <w:t>Disclosure for purposes of court and tribunal proceedings and to accord natural justice</w:t>
      </w:r>
      <w:bookmarkEnd w:id="878"/>
    </w:p>
    <w:p>
      <w:pPr>
        <w:keepNext/>
        <w:keepLines/>
        <w:autoSpaceDE w:val="0"/>
        <w:autoSpaceDN w:val="0"/>
        <w:adjustRightInd w:val="0"/>
        <w:spacing w:before="120"/>
        <w:ind w:left="1588"/>
        <w:rPr>
          <w:color w:val="000000"/>
          <w:sz w:val="23"/>
          <w:szCs w:val="23"/>
        </w:rPr>
      </w:pPr>
      <w:r>
        <w:rPr>
          <w:color w:val="000000"/>
          <w:sz w:val="23"/>
          <w:szCs w:val="23"/>
        </w:rPr>
        <w:t>The AER is authorised to disclose information given to it in confidence—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for the purposes of civil or criminal proceedings;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for the purposes of a proceeding before the Tribunal or a tribunal established by or under a law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for the purposes of according natural justice to a person affected by a decision (however described) of the AER under this Law or the Rules.</w:t>
      </w:r>
    </w:p>
    <w:p>
      <w:pPr>
        <w:pStyle w:val="Heading5"/>
      </w:pPr>
      <w:bookmarkStart w:id="879" w:name="_Toc536782391"/>
      <w:r>
        <w:rPr>
          <w:rStyle w:val="CharSectno"/>
        </w:rPr>
        <w:t>327</w:t>
      </w:r>
      <w:r>
        <w:t>.</w:t>
      </w:r>
      <w:r>
        <w:tab/>
        <w:t>Disclosure of information given to the AER with confidential information omitted</w:t>
      </w:r>
      <w:bookmarkEnd w:id="87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compliance with this Law or the Rules or voluntarily, a person gives the AER information in confidence;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information is contained in a document with other information.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may disclose the document with the information given in confidence omitted.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AER must include a note at the place in the document from which the information given in confidence is omitted to the effect that that information has been omitted from the document.</w:t>
      </w:r>
    </w:p>
    <w:p>
      <w:pPr>
        <w:pStyle w:val="Heading5"/>
      </w:pPr>
      <w:bookmarkStart w:id="880" w:name="_Toc536782392"/>
      <w:r>
        <w:rPr>
          <w:rStyle w:val="CharSectno"/>
        </w:rPr>
        <w:t>328</w:t>
      </w:r>
      <w:r>
        <w:t>.</w:t>
      </w:r>
      <w:r>
        <w:tab/>
        <w:t>Disclosure of information given in confidence does not identify anyone</w:t>
      </w:r>
      <w:bookmarkEnd w:id="880"/>
    </w:p>
    <w:p>
      <w:pPr>
        <w:keepNext/>
        <w:keepLines/>
        <w:autoSpaceDE w:val="0"/>
        <w:autoSpaceDN w:val="0"/>
        <w:adjustRightInd w:val="0"/>
        <w:spacing w:before="120"/>
        <w:ind w:left="1588"/>
        <w:rPr>
          <w:color w:val="000000"/>
          <w:sz w:val="23"/>
          <w:szCs w:val="23"/>
        </w:rPr>
      </w:pPr>
      <w:r>
        <w:rPr>
          <w:color w:val="000000"/>
          <w:sz w:val="23"/>
          <w:szCs w:val="23"/>
        </w:rPr>
        <w:t>The AER is authorised to disclose information given to it in confidence, in compliance with this Law or the Rules or voluntarily,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does not disclose any elements of the information that could lead to the identification of the person to whom that information relates;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manner in which it discloses the information does not identify the person to whom that information relates.</w:t>
      </w:r>
    </w:p>
    <w:p>
      <w:pPr>
        <w:keepNext/>
        <w:keepLines/>
        <w:autoSpaceDE w:val="0"/>
        <w:autoSpaceDN w:val="0"/>
        <w:adjustRightInd w:val="0"/>
        <w:spacing w:before="120"/>
        <w:ind w:left="1588" w:hanging="567"/>
        <w:rPr>
          <w:b/>
          <w:bCs/>
          <w:color w:val="000000"/>
          <w:sz w:val="20"/>
        </w:rPr>
      </w:pPr>
      <w:r>
        <w:rPr>
          <w:b/>
          <w:bCs/>
          <w:color w:val="000000"/>
          <w:sz w:val="20"/>
        </w:rPr>
        <w:t>Example—</w:t>
      </w:r>
    </w:p>
    <w:p>
      <w:pPr>
        <w:keepLines/>
        <w:autoSpaceDE w:val="0"/>
        <w:autoSpaceDN w:val="0"/>
        <w:adjustRightInd w:val="0"/>
        <w:spacing w:before="120"/>
        <w:ind w:left="1588"/>
        <w:rPr>
          <w:color w:val="000000"/>
          <w:sz w:val="20"/>
        </w:rPr>
      </w:pPr>
      <w:r>
        <w:rPr>
          <w:color w:val="000000"/>
          <w:sz w:val="20"/>
        </w:rPr>
        <w:t>Information disclosed under this section may be combined or arranged with other information provided that the manner in which that information is combined or arranged will not lead to the identification of the person to whom the information relates.</w:t>
      </w:r>
    </w:p>
    <w:p>
      <w:pPr>
        <w:pStyle w:val="Heading5"/>
      </w:pPr>
      <w:bookmarkStart w:id="881" w:name="_Toc536782393"/>
      <w:r>
        <w:rPr>
          <w:rStyle w:val="CharSectno"/>
        </w:rPr>
        <w:t>329</w:t>
      </w:r>
      <w:r>
        <w:t>.</w:t>
      </w:r>
      <w:r>
        <w:tab/>
        <w:t>Disclosure of confidential information authorised if detriment does not outweigh public benefit</w:t>
      </w:r>
      <w:bookmarkEnd w:id="88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section 327 or 328 but subject to this section, the AER is authorised to disclose information given to it in confidence after the restricted period if the AER is of the opinion—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the disclosure of the information would not cause detriment to the person who has given it or to the person from whom that person received it;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although the disclosure of the information would cause detriment to such a person, the public benefit in disclosing it outweighs that detriment.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Before disclosing the information, the AER must give the person who gave the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written notice (an </w:t>
      </w:r>
      <w:r>
        <w:rPr>
          <w:rStyle w:val="CharDefText"/>
          <w:bCs/>
          <w:sz w:val="23"/>
        </w:rPr>
        <w:t>initial disclosure notice</w:t>
      </w:r>
      <w:r>
        <w:rPr>
          <w:color w:val="000000"/>
          <w:sz w:val="23"/>
          <w:szCs w:val="23"/>
        </w:rPr>
        <w:t>) stating—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that the AER wishes to disclose the information, specifying the nature of the intended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the AER is of the opinion required by subsection (1);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that the person, within the period specified in the notice, may make representations to the AER not to disclose the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AER’s decision, in writing, setting out the reasons why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wishes to make the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of the opinion required by subsection (1).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AER is aware that the person who gave the information in turn received the information from another person and is aware of that other person’s identity and address, the AER must, before disclosing the information give that other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written notice (an </w:t>
      </w:r>
      <w:r>
        <w:rPr>
          <w:rStyle w:val="CharDefText"/>
          <w:sz w:val="23"/>
        </w:rPr>
        <w:t>initial disclosure notice</w:t>
      </w:r>
      <w:r>
        <w:rPr>
          <w:color w:val="000000"/>
          <w:sz w:val="23"/>
          <w:szCs w:val="23"/>
        </w:rPr>
        <w:t>) stating—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that the AER wishes to disclose the information, specifying the nature of the intended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the AER is of the opinion required by subsection (1);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that the person, within the period specified in the notice, may make representations to the AER not to disclose the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AER’s decision, in writing, setting out the reasons why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wishes to make the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of the opinion required by subsection (1).</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AER must consider every representation made to it by a person given an initial disclosure notice under this section within the time specified in the notice.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period of time specified in an initial disclosure notice must not be less than 5 business days after the date the initial disclosure notice is given to the person.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after considering the representations, the AER wishes to disclose the information, the AER must give the person given the initial disclosure notice—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written notice (a </w:t>
      </w:r>
      <w:r>
        <w:rPr>
          <w:rStyle w:val="CharDefText"/>
          <w:bCs/>
          <w:sz w:val="23"/>
        </w:rPr>
        <w:t>further disclosure notice</w:t>
      </w:r>
      <w:r>
        <w:rPr>
          <w:color w:val="000000"/>
          <w:sz w:val="23"/>
          <w:szCs w:val="23"/>
        </w:rPr>
        <w:t>) stating—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that the AER wishes to disclose the information, specifying the nature of the intended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the AER is of the opinion required by subsection (1);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AER’s decision, in writing, setting out the reasons why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wishes to make the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of the opinion required by subsection (1).</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For the purposes of this section, the disclosure of anything that is already in the public domain at the time the AER wishes to disclose it cannot cause detriment to any person referred to in subsection (2) or (3).</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restricted period</w:t>
      </w:r>
      <w:r>
        <w:rPr>
          <w:bCs/>
          <w:i/>
          <w:iCs/>
          <w:color w:val="000000"/>
          <w:sz w:val="23"/>
          <w:szCs w:val="23"/>
        </w:rPr>
        <w:t xml:space="preserve"> </w:t>
      </w:r>
      <w:r>
        <w:rPr>
          <w:color w:val="000000"/>
          <w:sz w:val="23"/>
          <w:szCs w:val="23"/>
        </w:rPr>
        <w:t>means a period of 5 business days after—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initial disclosure notice has been given under this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further disclosure notice has been given under this section,</w:t>
      </w:r>
    </w:p>
    <w:p>
      <w:pPr>
        <w:keepLines/>
        <w:autoSpaceDE w:val="0"/>
        <w:autoSpaceDN w:val="0"/>
        <w:adjustRightInd w:val="0"/>
        <w:spacing w:before="120"/>
        <w:ind w:left="1588"/>
        <w:rPr>
          <w:color w:val="000000"/>
          <w:sz w:val="23"/>
          <w:szCs w:val="23"/>
        </w:rPr>
      </w:pPr>
      <w:r>
        <w:rPr>
          <w:color w:val="000000"/>
          <w:sz w:val="23"/>
          <w:szCs w:val="23"/>
        </w:rPr>
        <w:t>whichever is the later.</w:t>
      </w:r>
    </w:p>
    <w:p>
      <w:pPr>
        <w:pStyle w:val="Heading4"/>
      </w:pPr>
      <w:bookmarkStart w:id="882" w:name="_Toc501634272"/>
      <w:bookmarkStart w:id="883" w:name="_Toc501713168"/>
      <w:bookmarkStart w:id="884" w:name="_Toc536782394"/>
      <w:r>
        <w:t>Division 2 — Disclosure of confidential information held by relevant Ministers, NCC and AEMC</w:t>
      </w:r>
      <w:bookmarkEnd w:id="882"/>
      <w:bookmarkEnd w:id="883"/>
      <w:bookmarkEnd w:id="884"/>
    </w:p>
    <w:p>
      <w:pPr>
        <w:pStyle w:val="Heading5"/>
      </w:pPr>
      <w:bookmarkStart w:id="885" w:name="_Toc536782395"/>
      <w:r>
        <w:rPr>
          <w:rStyle w:val="CharSectno"/>
        </w:rPr>
        <w:t>330</w:t>
      </w:r>
      <w:r>
        <w:t>.</w:t>
      </w:r>
      <w:r>
        <w:tab/>
        <w:t>Definitions</w:t>
      </w:r>
      <w:bookmarkEnd w:id="885"/>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Next/>
        <w:keepLines/>
        <w:autoSpaceDE w:val="0"/>
        <w:autoSpaceDN w:val="0"/>
        <w:adjustRightInd w:val="0"/>
        <w:spacing w:before="120"/>
        <w:ind w:left="1588"/>
        <w:rPr>
          <w:color w:val="000000"/>
          <w:sz w:val="23"/>
          <w:szCs w:val="23"/>
        </w:rPr>
      </w:pPr>
      <w:r>
        <w:rPr>
          <w:rStyle w:val="CharDefText"/>
          <w:bCs/>
          <w:sz w:val="23"/>
        </w:rPr>
        <w:t>relevant decision maker</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Commonwealth Minister in the case of decisions relating to applications for price regulation exemptions;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AEMC;</w:t>
      </w:r>
    </w:p>
    <w:p>
      <w:pPr>
        <w:keepNext/>
        <w:keepLines/>
        <w:autoSpaceDE w:val="0"/>
        <w:autoSpaceDN w:val="0"/>
        <w:adjustRightInd w:val="0"/>
        <w:spacing w:before="120"/>
        <w:ind w:left="1588"/>
        <w:rPr>
          <w:color w:val="000000"/>
          <w:sz w:val="23"/>
          <w:szCs w:val="23"/>
        </w:rPr>
      </w:pPr>
      <w:r>
        <w:rPr>
          <w:rStyle w:val="CharDefText"/>
          <w:bCs/>
          <w:sz w:val="23"/>
        </w:rPr>
        <w:t>scheme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a relevant Minister or the Commonwealth Minister, a Ministerial coverage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relation to the NCC, an NCC recommendation or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relation to the AEMC, a report published under Division 4 or Division 5 of Chapter 2 Part 2;</w:t>
      </w:r>
    </w:p>
    <w:p>
      <w:pPr>
        <w:keepNext/>
        <w:keepLines/>
        <w:autoSpaceDE w:val="0"/>
        <w:autoSpaceDN w:val="0"/>
        <w:adjustRightInd w:val="0"/>
        <w:spacing w:before="120"/>
        <w:ind w:left="1588"/>
        <w:rPr>
          <w:color w:val="000000"/>
          <w:sz w:val="23"/>
          <w:szCs w:val="23"/>
        </w:rPr>
      </w:pPr>
      <w:r>
        <w:rPr>
          <w:rStyle w:val="CharDefText"/>
          <w:bCs/>
          <w:sz w:val="23"/>
        </w:rPr>
        <w:t>scheme procedure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relevant Minister or the Commonwealth Minister, the procedure to be followed by the relevant Minister or Commonwealth Minister under this Law for the purpose of making a Ministerial coverage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the NCC, the procedure to be followed by the NCC under this Law and the Rules for the purpose of making an NCC recommendation or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the case of the AEMC, an MCE directed review or a review conducted by the AEMC under section 83.</w:t>
      </w:r>
    </w:p>
    <w:p>
      <w:pPr>
        <w:pStyle w:val="Heading5"/>
      </w:pPr>
      <w:bookmarkStart w:id="886" w:name="_Toc536782396"/>
      <w:r>
        <w:rPr>
          <w:rStyle w:val="CharSectno"/>
        </w:rPr>
        <w:t>331</w:t>
      </w:r>
      <w:r>
        <w:t>.</w:t>
      </w:r>
      <w:r>
        <w:tab/>
        <w:t>Confidentiality of information received for scheme procedure purpose and for making of scheme decision</w:t>
      </w:r>
      <w:bookmarkEnd w:id="88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Information provided to a relevant decision maker for the purposes of a scheme procedure is confidential information for the purposes of that procedure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who provides it claims, when providing it to the relevant decision maker, that it is confidential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decision maker decides that the information is confidential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However, subject to this section, nothing prevents the disclosure of confidential information by the relevant decision maker (the </w:t>
      </w:r>
      <w:r>
        <w:rPr>
          <w:rStyle w:val="CharDefText"/>
          <w:sz w:val="23"/>
        </w:rPr>
        <w:t>principal decision maker</w:t>
      </w:r>
      <w:r>
        <w:rPr>
          <w:color w:val="000000"/>
          <w:sz w:val="23"/>
          <w:szCs w:val="23"/>
        </w:rPr>
        <w:t>) in a scheme decision or to another relevant decision maker or the MCE, but the principal decision maker must ensure that the information is identified as such—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scheme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when the principal decision maker discloses that information to another relevant decision maker or MCE.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the case of where the AEMC publishes a report under Division 4 or Division 5 of Chapter 2 Part 2, nothing prevents the disclosure of confidential information in a report to the MCE or a Minister of a participating jurisdiction, but the AEMC must ensure that the information is identified as such in the report.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the AEMC decides that information provided to it for the purposes of a MCE directed review or a review conducted by the AEMC under section 83, is confidential information, the AEMC, the MCE or a Minister of a participating jurisdiction may only publish a version of the report from which the information has been omitted.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NCC decides that information provided to it for the purposes of an NCC recommendation or decision is confidential information, the NCC and the relevant Minister may only publish a version of (as the case requires) an NCC recommendation or decision or Ministerial coverage decision from which the information has been omitted.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information is omitted from a published version of a scheme decision as being confidential information, a note to that effect must be included in the decision at the place in the decision from which the information is omitted.</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 xml:space="preserve">In relation to the AEMC, see section 71 of this Law and section 24 of the </w:t>
      </w:r>
      <w:r>
        <w:rPr>
          <w:i/>
          <w:iCs/>
          <w:color w:val="000000"/>
          <w:sz w:val="20"/>
        </w:rPr>
        <w:t>Australian Energy Market Commission Establishment Act 2004</w:t>
      </w:r>
      <w:r>
        <w:rPr>
          <w:color w:val="000000"/>
          <w:sz w:val="20"/>
        </w:rPr>
        <w:t xml:space="preserve"> of South Australia.</w:t>
      </w:r>
    </w:p>
    <w:p>
      <w:pPr>
        <w:pStyle w:val="Heading3"/>
      </w:pPr>
      <w:bookmarkStart w:id="887" w:name="_Toc501634275"/>
      <w:bookmarkStart w:id="888" w:name="_Toc501713171"/>
      <w:bookmarkStart w:id="889" w:name="_Toc536782397"/>
      <w:r>
        <w:rPr>
          <w:rStyle w:val="CharDivNo"/>
        </w:rPr>
        <w:t>Part 3</w:t>
      </w:r>
      <w:r>
        <w:t xml:space="preserve"> — </w:t>
      </w:r>
      <w:r>
        <w:rPr>
          <w:rStyle w:val="CharDivText"/>
        </w:rPr>
        <w:t>Miscellaneous</w:t>
      </w:r>
      <w:bookmarkEnd w:id="887"/>
      <w:bookmarkEnd w:id="888"/>
      <w:bookmarkEnd w:id="889"/>
    </w:p>
    <w:p>
      <w:pPr>
        <w:pStyle w:val="Heading5"/>
      </w:pPr>
      <w:bookmarkStart w:id="890" w:name="_Toc536782398"/>
      <w:r>
        <w:rPr>
          <w:rStyle w:val="CharSectno"/>
        </w:rPr>
        <w:t>332</w:t>
      </w:r>
      <w:r>
        <w:t>.</w:t>
      </w:r>
      <w:r>
        <w:tab/>
        <w:t>Failure to make a decision under this Law or the Rules within time does not invalidate the decision</w:t>
      </w:r>
      <w:bookmarkEnd w:id="89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decision (however described) made under this Law or the Rules by a regulatory scheme decision maker after the expiry of the period of time specified by this Law or Rules for the making of that decision is not to be taken to be an invalid decision only because the decision is not made within the specified period of time.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decision to which subsection (1) applies takes effect on and from—</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day it is made;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specifies a date for operation or effect that is after the day it is made, that specified date.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regulatory scheme decision maker</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Commonwealth Minister in the case of decisions relating to price regulation exemptions;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Bulletin Board operator.</w:t>
      </w:r>
    </w:p>
    <w:p>
      <w:pPr>
        <w:pStyle w:val="Heading5"/>
      </w:pPr>
      <w:bookmarkStart w:id="891" w:name="_Toc536782399"/>
      <w:r>
        <w:rPr>
          <w:rStyle w:val="CharSectno"/>
        </w:rPr>
        <w:t>333</w:t>
      </w:r>
      <w:r>
        <w:t>.</w:t>
      </w:r>
      <w:r>
        <w:tab/>
        <w:t>Withdrawal of applications relating to coverage or reclassification</w:t>
      </w:r>
      <w:bookmarkEnd w:id="89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 has made an application for a Ministerial or NCC scheme decision may withdraw the application at any time before the Ministerial or NCC scheme decision is made.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withdrawal of an application in accordance with this section must be—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writing;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given to, as the case requires, the relevant Minister, Commonwealth Minister or the NCC.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Ministerial or NCC scheme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of a relevant Minister under section 99, 106 or 156;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of the Commonwealth Minister under section 164;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reclassification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decision of the NCC relating to the making or revoking of a light regulation determination under Chapter 3 Part 2.</w:t>
      </w:r>
    </w:p>
    <w:p>
      <w:pPr>
        <w:pStyle w:val="Heading5"/>
      </w:pPr>
      <w:bookmarkStart w:id="892" w:name="_Toc536782400"/>
      <w:r>
        <w:rPr>
          <w:rStyle w:val="CharSectno"/>
        </w:rPr>
        <w:t>334</w:t>
      </w:r>
      <w:r>
        <w:t>.</w:t>
      </w:r>
      <w:r>
        <w:tab/>
        <w:t>Notification of Ministers of participating jurisdictions of receipt of application</w:t>
      </w:r>
      <w:bookmarkEnd w:id="892"/>
    </w:p>
    <w:p>
      <w:pPr>
        <w:keepLines/>
        <w:autoSpaceDE w:val="0"/>
        <w:autoSpaceDN w:val="0"/>
        <w:adjustRightInd w:val="0"/>
        <w:spacing w:before="120"/>
        <w:ind w:left="1588"/>
        <w:rPr>
          <w:color w:val="000000"/>
          <w:sz w:val="23"/>
          <w:szCs w:val="23"/>
        </w:rPr>
      </w:pPr>
      <w:r>
        <w:rPr>
          <w:color w:val="000000"/>
          <w:sz w:val="23"/>
          <w:szCs w:val="23"/>
        </w:rPr>
        <w:t>If the NCC receives an application for a coverage determination, a 15</w:t>
      </w:r>
      <w:r>
        <w:rPr>
          <w:color w:val="000000"/>
          <w:sz w:val="23"/>
          <w:szCs w:val="23"/>
        </w:rPr>
        <w:noBreakHyphen/>
        <w:t>year no</w:t>
      </w:r>
      <w:r>
        <w:rPr>
          <w:color w:val="000000"/>
          <w:sz w:val="23"/>
          <w:szCs w:val="23"/>
        </w:rPr>
        <w:noBreakHyphen/>
        <w:t>coverage determination, a coverage revocation determination or a reclassification decision, it must, without delay, notify the Ministers of the participating jurisdictions of receipt of the application.</w:t>
      </w:r>
    </w:p>
    <w:p>
      <w:pPr>
        <w:pStyle w:val="Heading5"/>
      </w:pPr>
      <w:bookmarkStart w:id="893" w:name="_Toc536782401"/>
      <w:r>
        <w:rPr>
          <w:rStyle w:val="CharSectno"/>
        </w:rPr>
        <w:t>335</w:t>
      </w:r>
      <w:r>
        <w:t>.</w:t>
      </w:r>
      <w:r>
        <w:tab/>
        <w:t>Relevant Minister may request NCC to give information or assistance</w:t>
      </w:r>
      <w:bookmarkEnd w:id="89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relevant Minister may request the NCC, in writing, to give to him or her information or assistance that the Minister may require for the purpose of making—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coverage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15</w:t>
      </w:r>
      <w:r>
        <w:rPr>
          <w:color w:val="000000"/>
          <w:sz w:val="23"/>
          <w:szCs w:val="23"/>
        </w:rPr>
        <w:noBreakHyphen/>
        <w:t>year no</w:t>
      </w:r>
      <w:r>
        <w:rPr>
          <w:color w:val="000000"/>
          <w:sz w:val="23"/>
          <w:szCs w:val="23"/>
        </w:rPr>
        <w:noBreakHyphen/>
        <w:t>coverage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coverage revocation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must comply with a request.</w:t>
      </w:r>
    </w:p>
    <w:p>
      <w:pPr>
        <w:pStyle w:val="Heading5"/>
      </w:pPr>
      <w:bookmarkStart w:id="894" w:name="_Toc536782402"/>
      <w:r>
        <w:rPr>
          <w:rStyle w:val="CharSectno"/>
        </w:rPr>
        <w:t>336</w:t>
      </w:r>
      <w:r>
        <w:t>.</w:t>
      </w:r>
      <w:r>
        <w:tab/>
        <w:t>Savings and transitionals</w:t>
      </w:r>
      <w:bookmarkEnd w:id="894"/>
    </w:p>
    <w:p>
      <w:pPr>
        <w:keepLines/>
        <w:autoSpaceDE w:val="0"/>
        <w:autoSpaceDN w:val="0"/>
        <w:adjustRightInd w:val="0"/>
        <w:spacing w:before="120"/>
        <w:ind w:left="1588"/>
        <w:rPr>
          <w:color w:val="000000"/>
          <w:sz w:val="23"/>
          <w:szCs w:val="23"/>
        </w:rPr>
      </w:pPr>
      <w:r>
        <w:rPr>
          <w:color w:val="000000"/>
          <w:sz w:val="23"/>
          <w:szCs w:val="23"/>
        </w:rPr>
        <w:t>Schedule 3 to this Law has effect.</w:t>
      </w:r>
    </w:p>
    <w:p>
      <w:pPr>
        <w:sectPr>
          <w:headerReference w:type="even" r:id="rId33"/>
          <w:headerReference w:type="default" r:id="rId34"/>
          <w:headerReference w:type="first" r:id="rId35"/>
          <w:endnotePr>
            <w:numFmt w:val="decimal"/>
          </w:endnotePr>
          <w:pgSz w:w="11907" w:h="16840" w:code="9"/>
          <w:pgMar w:top="2381" w:right="2410" w:bottom="3544" w:left="2410" w:header="720" w:footer="3380" w:gutter="0"/>
          <w:cols w:space="720"/>
          <w:docGrid w:linePitch="326"/>
        </w:sectPr>
      </w:pPr>
    </w:p>
    <w:p>
      <w:pPr>
        <w:pStyle w:val="Heading2"/>
      </w:pPr>
      <w:bookmarkStart w:id="895" w:name="_Toc501634281"/>
      <w:bookmarkStart w:id="896" w:name="_Toc501713177"/>
      <w:bookmarkStart w:id="897" w:name="_Toc536782403"/>
      <w:r>
        <w:rPr>
          <w:rStyle w:val="CharPartNo"/>
        </w:rPr>
        <w:t>Schedule 1</w:t>
      </w:r>
      <w:r>
        <w:rPr>
          <w:rStyle w:val="CharDivNo"/>
        </w:rPr>
        <w:t> </w:t>
      </w:r>
      <w:r>
        <w:t>—</w:t>
      </w:r>
      <w:r>
        <w:rPr>
          <w:rStyle w:val="CharDivText"/>
        </w:rPr>
        <w:t> </w:t>
      </w:r>
      <w:r>
        <w:rPr>
          <w:rStyle w:val="CharPartText"/>
        </w:rPr>
        <w:t>Subject matter for the National Gas Rules</w:t>
      </w:r>
      <w:bookmarkEnd w:id="895"/>
      <w:bookmarkEnd w:id="896"/>
      <w:bookmarkEnd w:id="897"/>
    </w:p>
    <w:p>
      <w:pPr>
        <w:keepNext/>
        <w:keepLines/>
        <w:autoSpaceDE w:val="0"/>
        <w:autoSpaceDN w:val="0"/>
        <w:adjustRightInd w:val="0"/>
        <w:spacing w:before="120"/>
        <w:ind w:left="794"/>
        <w:rPr>
          <w:color w:val="000000"/>
          <w:sz w:val="23"/>
          <w:szCs w:val="23"/>
        </w:rPr>
      </w:pPr>
      <w:r>
        <w:rPr>
          <w:color w:val="000000"/>
          <w:sz w:val="23"/>
          <w:szCs w:val="23"/>
        </w:rPr>
        <w:t>Section 74</w:t>
      </w:r>
    </w:p>
    <w:p>
      <w:pPr>
        <w:keepNext/>
        <w:keepLines/>
        <w:autoSpaceDE w:val="0"/>
        <w:autoSpaceDN w:val="0"/>
        <w:adjustRightInd w:val="0"/>
        <w:spacing w:before="120"/>
        <w:ind w:left="794"/>
        <w:rPr>
          <w:color w:val="000000"/>
          <w:sz w:val="2"/>
          <w:szCs w:val="2"/>
        </w:rPr>
      </w:pPr>
    </w:p>
    <w:tbl>
      <w:tblPr>
        <w:tblW w:w="7284" w:type="dxa"/>
        <w:tblInd w:w="-24" w:type="dxa"/>
        <w:tblLayout w:type="fixed"/>
        <w:tblCellMar>
          <w:left w:w="60" w:type="dxa"/>
          <w:right w:w="60" w:type="dxa"/>
        </w:tblCellMar>
        <w:tblLook w:val="0000" w:firstRow="0" w:lastRow="0" w:firstColumn="0" w:lastColumn="0" w:noHBand="0" w:noVBand="0"/>
      </w:tblPr>
      <w:tblGrid>
        <w:gridCol w:w="924"/>
        <w:gridCol w:w="6360"/>
      </w:tblGrid>
      <w:tr>
        <w:trPr>
          <w:cantSplit/>
        </w:trPr>
        <w:tc>
          <w:tcPr>
            <w:tcW w:w="7284" w:type="dxa"/>
            <w:gridSpan w:val="2"/>
            <w:vAlign w:val="center"/>
          </w:tcPr>
          <w:p>
            <w:pPr>
              <w:keepLines/>
              <w:autoSpaceDE w:val="0"/>
              <w:autoSpaceDN w:val="0"/>
              <w:adjustRightInd w:val="0"/>
              <w:spacing w:before="120"/>
              <w:rPr>
                <w:color w:val="000000"/>
                <w:sz w:val="20"/>
              </w:rPr>
            </w:pPr>
            <w:r>
              <w:rPr>
                <w:b/>
                <w:bCs/>
                <w:color w:val="000000"/>
                <w:sz w:val="20"/>
              </w:rPr>
              <w:t>Classification and coverage of pipelines</w:t>
            </w:r>
          </w:p>
        </w:tc>
      </w:tr>
      <w:tr>
        <w:trPr>
          <w:cantSplit/>
        </w:trPr>
        <w:tc>
          <w:tcPr>
            <w:tcW w:w="924" w:type="dxa"/>
          </w:tcPr>
          <w:p>
            <w:pPr>
              <w:keepLines/>
              <w:autoSpaceDE w:val="0"/>
              <w:autoSpaceDN w:val="0"/>
              <w:adjustRightInd w:val="0"/>
              <w:spacing w:before="120"/>
              <w:rPr>
                <w:color w:val="000000"/>
                <w:sz w:val="20"/>
              </w:rPr>
            </w:pPr>
            <w:r>
              <w:rPr>
                <w:color w:val="000000"/>
                <w:sz w:val="20"/>
              </w:rPr>
              <w:t>1</w:t>
            </w:r>
          </w:p>
        </w:tc>
        <w:tc>
          <w:tcPr>
            <w:tcW w:w="6360" w:type="dxa"/>
            <w:vAlign w:val="center"/>
          </w:tcPr>
          <w:p>
            <w:pPr>
              <w:keepLines/>
              <w:autoSpaceDE w:val="0"/>
              <w:autoSpaceDN w:val="0"/>
              <w:adjustRightInd w:val="0"/>
              <w:spacing w:before="120"/>
              <w:rPr>
                <w:color w:val="000000"/>
                <w:sz w:val="20"/>
              </w:rPr>
            </w:pPr>
            <w:r>
              <w:rPr>
                <w:color w:val="000000"/>
                <w:sz w:val="20"/>
              </w:rPr>
              <w:t>The content of applications for coverage determinations, coverage revocation determinations and 15</w:t>
            </w:r>
            <w:r>
              <w:rPr>
                <w:color w:val="000000"/>
                <w:sz w:val="20"/>
              </w:rPr>
              <w:noBreakHyphen/>
              <w:t>year no</w:t>
            </w:r>
            <w:r>
              <w:rPr>
                <w:color w:val="000000"/>
                <w:sz w:val="20"/>
              </w:rPr>
              <w:noBreakHyphen/>
              <w:t>coverage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2</w:t>
            </w:r>
          </w:p>
        </w:tc>
        <w:tc>
          <w:tcPr>
            <w:tcW w:w="6360" w:type="dxa"/>
            <w:vAlign w:val="center"/>
          </w:tcPr>
          <w:p>
            <w:pPr>
              <w:keepLines/>
              <w:autoSpaceDE w:val="0"/>
              <w:autoSpaceDN w:val="0"/>
              <w:adjustRightInd w:val="0"/>
              <w:spacing w:before="120"/>
              <w:rPr>
                <w:color w:val="000000"/>
                <w:sz w:val="20"/>
              </w:rPr>
            </w:pPr>
            <w:r>
              <w:rPr>
                <w:color w:val="000000"/>
                <w:sz w:val="20"/>
              </w:rPr>
              <w:t>The content of coverage recommendations, coverage revocation recommendations and no</w:t>
            </w:r>
            <w:r>
              <w:rPr>
                <w:color w:val="000000"/>
                <w:sz w:val="20"/>
              </w:rPr>
              <w:noBreakHyphen/>
              <w:t>coverage recommendations.</w:t>
            </w:r>
          </w:p>
        </w:tc>
      </w:tr>
      <w:tr>
        <w:trPr>
          <w:cantSplit/>
        </w:trPr>
        <w:tc>
          <w:tcPr>
            <w:tcW w:w="924" w:type="dxa"/>
          </w:tcPr>
          <w:p>
            <w:pPr>
              <w:keepLines/>
              <w:autoSpaceDE w:val="0"/>
              <w:autoSpaceDN w:val="0"/>
              <w:adjustRightInd w:val="0"/>
              <w:spacing w:before="120"/>
              <w:rPr>
                <w:color w:val="000000"/>
                <w:sz w:val="20"/>
              </w:rPr>
            </w:pPr>
            <w:r>
              <w:rPr>
                <w:color w:val="000000"/>
                <w:sz w:val="20"/>
              </w:rPr>
              <w:t>3</w:t>
            </w:r>
          </w:p>
        </w:tc>
        <w:tc>
          <w:tcPr>
            <w:tcW w:w="6360" w:type="dxa"/>
            <w:vAlign w:val="center"/>
          </w:tcPr>
          <w:p>
            <w:pPr>
              <w:keepLines/>
              <w:autoSpaceDE w:val="0"/>
              <w:autoSpaceDN w:val="0"/>
              <w:adjustRightInd w:val="0"/>
              <w:spacing w:before="120"/>
              <w:rPr>
                <w:color w:val="000000"/>
                <w:sz w:val="20"/>
              </w:rPr>
            </w:pPr>
            <w:r>
              <w:rPr>
                <w:color w:val="000000"/>
                <w:sz w:val="20"/>
              </w:rPr>
              <w:t>The content of decisions about coverage determinations, coverage revocation determinations and 15</w:t>
            </w:r>
            <w:r>
              <w:rPr>
                <w:color w:val="000000"/>
                <w:sz w:val="20"/>
              </w:rPr>
              <w:noBreakHyphen/>
              <w:t>year no</w:t>
            </w:r>
            <w:r>
              <w:rPr>
                <w:color w:val="000000"/>
                <w:sz w:val="20"/>
              </w:rPr>
              <w:noBreakHyphen/>
              <w:t>coverage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4</w:t>
            </w:r>
          </w:p>
        </w:tc>
        <w:tc>
          <w:tcPr>
            <w:tcW w:w="6360" w:type="dxa"/>
            <w:vAlign w:val="center"/>
          </w:tcPr>
          <w:p>
            <w:pPr>
              <w:keepLines/>
              <w:autoSpaceDE w:val="0"/>
              <w:autoSpaceDN w:val="0"/>
              <w:adjustRightInd w:val="0"/>
              <w:spacing w:before="120"/>
              <w:rPr>
                <w:color w:val="000000"/>
                <w:sz w:val="20"/>
              </w:rPr>
            </w:pPr>
            <w:r>
              <w:rPr>
                <w:color w:val="000000"/>
                <w:sz w:val="20"/>
              </w:rPr>
              <w:t>The classification of pipelines by the NCC—</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after a tender approval decision becomes irrevocable;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during the process the approval of a voluntarily submitted access arrangement.</w:t>
            </w:r>
          </w:p>
        </w:tc>
      </w:tr>
      <w:tr>
        <w:trPr>
          <w:cantSplit/>
        </w:trPr>
        <w:tc>
          <w:tcPr>
            <w:tcW w:w="924" w:type="dxa"/>
          </w:tcPr>
          <w:p>
            <w:pPr>
              <w:keepLines/>
              <w:autoSpaceDE w:val="0"/>
              <w:autoSpaceDN w:val="0"/>
              <w:adjustRightInd w:val="0"/>
              <w:spacing w:before="120"/>
              <w:rPr>
                <w:color w:val="000000"/>
                <w:sz w:val="20"/>
              </w:rPr>
            </w:pPr>
            <w:r>
              <w:rPr>
                <w:color w:val="000000"/>
                <w:sz w:val="20"/>
              </w:rPr>
              <w:t>5</w:t>
            </w:r>
          </w:p>
        </w:tc>
        <w:tc>
          <w:tcPr>
            <w:tcW w:w="6360" w:type="dxa"/>
            <w:vAlign w:val="center"/>
          </w:tcPr>
          <w:p>
            <w:pPr>
              <w:keepLines/>
              <w:autoSpaceDE w:val="0"/>
              <w:autoSpaceDN w:val="0"/>
              <w:adjustRightInd w:val="0"/>
              <w:spacing w:before="120"/>
              <w:rPr>
                <w:color w:val="000000"/>
                <w:sz w:val="20"/>
              </w:rPr>
            </w:pPr>
            <w:r>
              <w:rPr>
                <w:color w:val="000000"/>
                <w:sz w:val="20"/>
              </w:rPr>
              <w:t>The content of applications for the reclassification of pipelines and reclassification decisions.</w:t>
            </w:r>
          </w:p>
        </w:tc>
      </w:tr>
      <w:tr>
        <w:trPr>
          <w:cantSplit/>
        </w:trPr>
        <w:tc>
          <w:tcPr>
            <w:tcW w:w="7284" w:type="dxa"/>
            <w:gridSpan w:val="2"/>
            <w:vAlign w:val="center"/>
          </w:tcPr>
          <w:p>
            <w:pPr>
              <w:keepLines/>
              <w:autoSpaceDE w:val="0"/>
              <w:autoSpaceDN w:val="0"/>
              <w:adjustRightInd w:val="0"/>
              <w:spacing w:before="120"/>
              <w:rPr>
                <w:color w:val="000000"/>
                <w:sz w:val="20"/>
              </w:rPr>
            </w:pPr>
            <w:r>
              <w:rPr>
                <w:b/>
                <w:bCs/>
                <w:color w:val="000000"/>
                <w:sz w:val="20"/>
              </w:rPr>
              <w:t>Price regulation exemptions</w:t>
            </w:r>
          </w:p>
        </w:tc>
      </w:tr>
      <w:tr>
        <w:trPr>
          <w:cantSplit/>
        </w:trPr>
        <w:tc>
          <w:tcPr>
            <w:tcW w:w="924" w:type="dxa"/>
          </w:tcPr>
          <w:p>
            <w:pPr>
              <w:keepLines/>
              <w:autoSpaceDE w:val="0"/>
              <w:autoSpaceDN w:val="0"/>
              <w:adjustRightInd w:val="0"/>
              <w:spacing w:before="120"/>
              <w:rPr>
                <w:color w:val="000000"/>
                <w:sz w:val="20"/>
              </w:rPr>
            </w:pPr>
            <w:r>
              <w:rPr>
                <w:color w:val="000000"/>
                <w:sz w:val="20"/>
              </w:rPr>
              <w:t>6</w:t>
            </w:r>
          </w:p>
        </w:tc>
        <w:tc>
          <w:tcPr>
            <w:tcW w:w="6360" w:type="dxa"/>
            <w:vAlign w:val="center"/>
          </w:tcPr>
          <w:p>
            <w:pPr>
              <w:keepLines/>
              <w:autoSpaceDE w:val="0"/>
              <w:autoSpaceDN w:val="0"/>
              <w:adjustRightInd w:val="0"/>
              <w:spacing w:before="120"/>
              <w:rPr>
                <w:color w:val="000000"/>
                <w:sz w:val="20"/>
              </w:rPr>
            </w:pPr>
            <w:r>
              <w:rPr>
                <w:color w:val="000000"/>
                <w:sz w:val="20"/>
              </w:rPr>
              <w:t>The content of applications for price regulation exemptions.</w:t>
            </w:r>
          </w:p>
        </w:tc>
      </w:tr>
      <w:tr>
        <w:trPr>
          <w:cantSplit/>
        </w:trPr>
        <w:tc>
          <w:tcPr>
            <w:tcW w:w="924" w:type="dxa"/>
          </w:tcPr>
          <w:p>
            <w:pPr>
              <w:keepLines/>
              <w:autoSpaceDE w:val="0"/>
              <w:autoSpaceDN w:val="0"/>
              <w:adjustRightInd w:val="0"/>
              <w:spacing w:before="120"/>
              <w:rPr>
                <w:color w:val="000000"/>
                <w:sz w:val="20"/>
              </w:rPr>
            </w:pPr>
            <w:r>
              <w:rPr>
                <w:color w:val="000000"/>
                <w:sz w:val="20"/>
              </w:rPr>
              <w:t>7</w:t>
            </w:r>
          </w:p>
        </w:tc>
        <w:tc>
          <w:tcPr>
            <w:tcW w:w="6360" w:type="dxa"/>
            <w:vAlign w:val="center"/>
          </w:tcPr>
          <w:p>
            <w:pPr>
              <w:keepLines/>
              <w:autoSpaceDE w:val="0"/>
              <w:autoSpaceDN w:val="0"/>
              <w:adjustRightInd w:val="0"/>
              <w:spacing w:before="120"/>
              <w:rPr>
                <w:color w:val="000000"/>
                <w:sz w:val="20"/>
              </w:rPr>
            </w:pPr>
            <w:r>
              <w:rPr>
                <w:color w:val="000000"/>
                <w:sz w:val="20"/>
              </w:rPr>
              <w:t>The content of recommendations by the NCC in relation to price regulation exemptions.</w:t>
            </w:r>
          </w:p>
        </w:tc>
      </w:tr>
      <w:tr>
        <w:trPr>
          <w:cantSplit/>
        </w:trPr>
        <w:tc>
          <w:tcPr>
            <w:tcW w:w="924" w:type="dxa"/>
          </w:tcPr>
          <w:p>
            <w:pPr>
              <w:keepLines/>
              <w:autoSpaceDE w:val="0"/>
              <w:autoSpaceDN w:val="0"/>
              <w:adjustRightInd w:val="0"/>
              <w:spacing w:before="120"/>
              <w:rPr>
                <w:color w:val="000000"/>
                <w:sz w:val="20"/>
              </w:rPr>
            </w:pPr>
            <w:r>
              <w:rPr>
                <w:color w:val="000000"/>
                <w:sz w:val="20"/>
              </w:rPr>
              <w:t>8</w:t>
            </w:r>
          </w:p>
        </w:tc>
        <w:tc>
          <w:tcPr>
            <w:tcW w:w="6360" w:type="dxa"/>
            <w:vAlign w:val="center"/>
          </w:tcPr>
          <w:p>
            <w:pPr>
              <w:keepLines/>
              <w:autoSpaceDE w:val="0"/>
              <w:autoSpaceDN w:val="0"/>
              <w:adjustRightInd w:val="0"/>
              <w:spacing w:before="120"/>
              <w:rPr>
                <w:color w:val="000000"/>
                <w:sz w:val="20"/>
              </w:rPr>
            </w:pPr>
            <w:r>
              <w:rPr>
                <w:color w:val="000000"/>
                <w:sz w:val="20"/>
              </w:rPr>
              <w:t>The content of decisions about price regulation exemptions.</w:t>
            </w:r>
          </w:p>
        </w:tc>
      </w:tr>
      <w:tr>
        <w:trPr>
          <w:cantSplit/>
        </w:trPr>
        <w:tc>
          <w:tcPr>
            <w:tcW w:w="7284" w:type="dxa"/>
            <w:gridSpan w:val="2"/>
            <w:vAlign w:val="center"/>
          </w:tcPr>
          <w:p>
            <w:pPr>
              <w:keepLines/>
              <w:autoSpaceDE w:val="0"/>
              <w:autoSpaceDN w:val="0"/>
              <w:adjustRightInd w:val="0"/>
              <w:spacing w:before="120"/>
              <w:rPr>
                <w:color w:val="000000"/>
                <w:sz w:val="20"/>
              </w:rPr>
            </w:pPr>
            <w:r>
              <w:rPr>
                <w:b/>
                <w:bCs/>
                <w:color w:val="000000"/>
                <w:sz w:val="20"/>
              </w:rPr>
              <w:t>Light regulation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9</w:t>
            </w:r>
          </w:p>
        </w:tc>
        <w:tc>
          <w:tcPr>
            <w:tcW w:w="6360" w:type="dxa"/>
            <w:vAlign w:val="center"/>
          </w:tcPr>
          <w:p>
            <w:pPr>
              <w:keepLines/>
              <w:autoSpaceDE w:val="0"/>
              <w:autoSpaceDN w:val="0"/>
              <w:adjustRightInd w:val="0"/>
              <w:spacing w:before="120"/>
              <w:rPr>
                <w:color w:val="000000"/>
                <w:sz w:val="20"/>
              </w:rPr>
            </w:pPr>
            <w:r>
              <w:rPr>
                <w:color w:val="000000"/>
                <w:sz w:val="20"/>
              </w:rPr>
              <w:t>The content of applications for light regulation determinations or the revocation of light regulation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10</w:t>
            </w:r>
          </w:p>
        </w:tc>
        <w:tc>
          <w:tcPr>
            <w:tcW w:w="6360" w:type="dxa"/>
            <w:vAlign w:val="center"/>
          </w:tcPr>
          <w:p>
            <w:pPr>
              <w:keepLines/>
              <w:autoSpaceDE w:val="0"/>
              <w:autoSpaceDN w:val="0"/>
              <w:adjustRightInd w:val="0"/>
              <w:spacing w:before="120"/>
              <w:rPr>
                <w:color w:val="000000"/>
                <w:sz w:val="20"/>
              </w:rPr>
            </w:pPr>
            <w:r>
              <w:rPr>
                <w:color w:val="000000"/>
                <w:sz w:val="20"/>
              </w:rPr>
              <w:t>The content of decisions about light regulation determinations or the revocation of light regulation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11</w:t>
            </w:r>
          </w:p>
        </w:tc>
        <w:tc>
          <w:tcPr>
            <w:tcW w:w="6360" w:type="dxa"/>
            <w:vAlign w:val="center"/>
          </w:tcPr>
          <w:p>
            <w:pPr>
              <w:keepLines/>
              <w:autoSpaceDE w:val="0"/>
              <w:autoSpaceDN w:val="0"/>
              <w:adjustRightInd w:val="0"/>
              <w:spacing w:before="120"/>
              <w:rPr>
                <w:color w:val="000000"/>
                <w:sz w:val="20"/>
              </w:rPr>
            </w:pPr>
            <w:r>
              <w:rPr>
                <w:color w:val="000000"/>
                <w:sz w:val="20"/>
              </w:rPr>
              <w:t>The matters to be addressed by the NCC in making decisions about light regulation determinations or the revocation of light regulation determinations.</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Tender approvals for the construction of pipelines</w:t>
            </w:r>
          </w:p>
        </w:tc>
      </w:tr>
      <w:tr>
        <w:trPr>
          <w:cantSplit/>
        </w:trPr>
        <w:tc>
          <w:tcPr>
            <w:tcW w:w="924" w:type="dxa"/>
          </w:tcPr>
          <w:p>
            <w:pPr>
              <w:keepLines/>
              <w:autoSpaceDE w:val="0"/>
              <w:autoSpaceDN w:val="0"/>
              <w:adjustRightInd w:val="0"/>
              <w:spacing w:before="120"/>
              <w:rPr>
                <w:color w:val="000000"/>
                <w:sz w:val="20"/>
              </w:rPr>
            </w:pPr>
            <w:r>
              <w:rPr>
                <w:color w:val="000000"/>
                <w:sz w:val="20"/>
              </w:rPr>
              <w:t>12</w:t>
            </w:r>
          </w:p>
        </w:tc>
        <w:tc>
          <w:tcPr>
            <w:tcW w:w="6360" w:type="dxa"/>
            <w:vAlign w:val="center"/>
          </w:tcPr>
          <w:p>
            <w:pPr>
              <w:keepLines/>
              <w:autoSpaceDE w:val="0"/>
              <w:autoSpaceDN w:val="0"/>
              <w:adjustRightInd w:val="0"/>
              <w:spacing w:before="120"/>
              <w:rPr>
                <w:color w:val="000000"/>
                <w:sz w:val="20"/>
              </w:rPr>
            </w:pPr>
            <w:r>
              <w:rPr>
                <w:color w:val="000000"/>
                <w:sz w:val="20"/>
              </w:rPr>
              <w:t>Applications for and the approval by the AER of a tender for the construction of a pipeline (by means of which pipeline services are intended to be provided) as a competitive tender process.</w:t>
            </w:r>
          </w:p>
        </w:tc>
      </w:tr>
      <w:tr>
        <w:trPr>
          <w:cantSplit/>
        </w:trPr>
        <w:tc>
          <w:tcPr>
            <w:tcW w:w="924" w:type="dxa"/>
          </w:tcPr>
          <w:p>
            <w:pPr>
              <w:keepLines/>
              <w:autoSpaceDE w:val="0"/>
              <w:autoSpaceDN w:val="0"/>
              <w:adjustRightInd w:val="0"/>
              <w:spacing w:before="120"/>
              <w:rPr>
                <w:color w:val="000000"/>
                <w:sz w:val="20"/>
              </w:rPr>
            </w:pPr>
            <w:r>
              <w:rPr>
                <w:color w:val="000000"/>
                <w:sz w:val="20"/>
              </w:rPr>
              <w:t>13</w:t>
            </w:r>
          </w:p>
        </w:tc>
        <w:tc>
          <w:tcPr>
            <w:tcW w:w="6360" w:type="dxa"/>
            <w:vAlign w:val="center"/>
          </w:tcPr>
          <w:p>
            <w:pPr>
              <w:keepLines/>
              <w:autoSpaceDE w:val="0"/>
              <w:autoSpaceDN w:val="0"/>
              <w:adjustRightInd w:val="0"/>
              <w:spacing w:before="120"/>
              <w:rPr>
                <w:color w:val="000000"/>
                <w:sz w:val="20"/>
              </w:rPr>
            </w:pPr>
            <w:r>
              <w:rPr>
                <w:color w:val="000000"/>
                <w:sz w:val="20"/>
              </w:rPr>
              <w:t>The content of tender approval decisions.</w:t>
            </w:r>
          </w:p>
        </w:tc>
      </w:tr>
      <w:tr>
        <w:trPr>
          <w:cantSplit/>
        </w:trPr>
        <w:tc>
          <w:tcPr>
            <w:tcW w:w="924" w:type="dxa"/>
          </w:tcPr>
          <w:p>
            <w:pPr>
              <w:keepLines/>
              <w:autoSpaceDE w:val="0"/>
              <w:autoSpaceDN w:val="0"/>
              <w:adjustRightInd w:val="0"/>
              <w:spacing w:before="120"/>
              <w:rPr>
                <w:color w:val="000000"/>
                <w:sz w:val="20"/>
              </w:rPr>
            </w:pPr>
            <w:r>
              <w:rPr>
                <w:color w:val="000000"/>
                <w:sz w:val="20"/>
              </w:rPr>
              <w:t>14</w:t>
            </w:r>
          </w:p>
        </w:tc>
        <w:tc>
          <w:tcPr>
            <w:tcW w:w="6360" w:type="dxa"/>
            <w:vAlign w:val="center"/>
          </w:tcPr>
          <w:p>
            <w:pPr>
              <w:keepLines/>
              <w:autoSpaceDE w:val="0"/>
              <w:autoSpaceDN w:val="0"/>
              <w:adjustRightInd w:val="0"/>
              <w:spacing w:before="120"/>
              <w:rPr>
                <w:color w:val="000000"/>
                <w:sz w:val="20"/>
              </w:rPr>
            </w:pPr>
            <w:r>
              <w:rPr>
                <w:color w:val="000000"/>
                <w:sz w:val="20"/>
              </w:rPr>
              <w:t>The procedure for the making and the publication of a tender approval decision.</w:t>
            </w:r>
          </w:p>
        </w:tc>
      </w:tr>
      <w:tr>
        <w:trPr>
          <w:cantSplit/>
        </w:trPr>
        <w:tc>
          <w:tcPr>
            <w:tcW w:w="924" w:type="dxa"/>
          </w:tcPr>
          <w:p>
            <w:pPr>
              <w:keepLines/>
              <w:autoSpaceDE w:val="0"/>
              <w:autoSpaceDN w:val="0"/>
              <w:adjustRightInd w:val="0"/>
              <w:spacing w:before="120"/>
              <w:rPr>
                <w:color w:val="000000"/>
                <w:sz w:val="20"/>
              </w:rPr>
            </w:pPr>
            <w:r>
              <w:rPr>
                <w:color w:val="000000"/>
                <w:sz w:val="20"/>
              </w:rPr>
              <w:t>15</w:t>
            </w:r>
          </w:p>
        </w:tc>
        <w:tc>
          <w:tcPr>
            <w:tcW w:w="6360" w:type="dxa"/>
            <w:vAlign w:val="center"/>
          </w:tcPr>
          <w:p>
            <w:pPr>
              <w:keepLines/>
              <w:autoSpaceDE w:val="0"/>
              <w:autoSpaceDN w:val="0"/>
              <w:adjustRightInd w:val="0"/>
              <w:spacing w:before="120"/>
              <w:rPr>
                <w:color w:val="000000"/>
                <w:sz w:val="20"/>
              </w:rPr>
            </w:pPr>
            <w:r>
              <w:rPr>
                <w:color w:val="000000"/>
                <w:sz w:val="20"/>
              </w:rPr>
              <w:t>Reports on the conduct of tender processes approved under tender approval decisions.</w:t>
            </w:r>
          </w:p>
        </w:tc>
      </w:tr>
      <w:tr>
        <w:trPr>
          <w:cantSplit/>
        </w:trPr>
        <w:tc>
          <w:tcPr>
            <w:tcW w:w="924" w:type="dxa"/>
          </w:tcPr>
          <w:p>
            <w:pPr>
              <w:keepLines/>
              <w:autoSpaceDE w:val="0"/>
              <w:autoSpaceDN w:val="0"/>
              <w:adjustRightInd w:val="0"/>
              <w:spacing w:before="120"/>
              <w:rPr>
                <w:color w:val="000000"/>
                <w:sz w:val="20"/>
              </w:rPr>
            </w:pPr>
            <w:r>
              <w:rPr>
                <w:color w:val="000000"/>
                <w:sz w:val="20"/>
              </w:rPr>
              <w:t>16</w:t>
            </w:r>
          </w:p>
        </w:tc>
        <w:tc>
          <w:tcPr>
            <w:tcW w:w="6360" w:type="dxa"/>
            <w:vAlign w:val="center"/>
          </w:tcPr>
          <w:p>
            <w:pPr>
              <w:keepLines/>
              <w:autoSpaceDE w:val="0"/>
              <w:autoSpaceDN w:val="0"/>
              <w:adjustRightInd w:val="0"/>
              <w:spacing w:before="120"/>
              <w:rPr>
                <w:color w:val="000000"/>
                <w:sz w:val="20"/>
              </w:rPr>
            </w:pPr>
            <w:r>
              <w:rPr>
                <w:color w:val="000000"/>
                <w:sz w:val="20"/>
              </w:rPr>
              <w:t>The lapsing or revocation of tender approval decisions.</w:t>
            </w:r>
          </w:p>
        </w:tc>
      </w:tr>
      <w:tr>
        <w:trPr>
          <w:cantSplit/>
        </w:trPr>
        <w:tc>
          <w:tcPr>
            <w:tcW w:w="7284" w:type="dxa"/>
            <w:gridSpan w:val="2"/>
            <w:vAlign w:val="center"/>
          </w:tcPr>
          <w:p>
            <w:pPr>
              <w:keepNext/>
              <w:keepLines/>
              <w:autoSpaceDE w:val="0"/>
              <w:autoSpaceDN w:val="0"/>
              <w:adjustRightInd w:val="0"/>
              <w:spacing w:before="120"/>
              <w:rPr>
                <w:color w:val="000000"/>
                <w:sz w:val="20"/>
              </w:rPr>
            </w:pPr>
            <w:r>
              <w:rPr>
                <w:b/>
                <w:bCs/>
                <w:color w:val="000000"/>
                <w:sz w:val="20"/>
              </w:rPr>
              <w:t>Access to pipeline services</w:t>
            </w:r>
          </w:p>
        </w:tc>
      </w:tr>
      <w:tr>
        <w:trPr>
          <w:cantSplit/>
        </w:trPr>
        <w:tc>
          <w:tcPr>
            <w:tcW w:w="924" w:type="dxa"/>
          </w:tcPr>
          <w:p>
            <w:pPr>
              <w:keepLines/>
              <w:autoSpaceDE w:val="0"/>
              <w:autoSpaceDN w:val="0"/>
              <w:adjustRightInd w:val="0"/>
              <w:spacing w:before="120"/>
              <w:rPr>
                <w:color w:val="000000"/>
                <w:sz w:val="20"/>
              </w:rPr>
            </w:pPr>
            <w:r>
              <w:rPr>
                <w:color w:val="000000"/>
                <w:sz w:val="20"/>
              </w:rPr>
              <w:t>17</w:t>
            </w:r>
          </w:p>
        </w:tc>
        <w:tc>
          <w:tcPr>
            <w:tcW w:w="6360" w:type="dxa"/>
            <w:vAlign w:val="center"/>
          </w:tcPr>
          <w:p>
            <w:pPr>
              <w:keepLines/>
              <w:autoSpaceDE w:val="0"/>
              <w:autoSpaceDN w:val="0"/>
              <w:adjustRightInd w:val="0"/>
              <w:spacing w:before="120"/>
              <w:rPr>
                <w:color w:val="000000"/>
                <w:sz w:val="20"/>
              </w:rPr>
            </w:pPr>
            <w:r>
              <w:rPr>
                <w:color w:val="000000"/>
                <w:sz w:val="20"/>
              </w:rPr>
              <w:t>Access to pipeline services provided or that may be provided by means of a scheme pipeline.</w:t>
            </w:r>
          </w:p>
        </w:tc>
      </w:tr>
      <w:tr>
        <w:trPr>
          <w:cantSplit/>
        </w:trPr>
        <w:tc>
          <w:tcPr>
            <w:tcW w:w="924" w:type="dxa"/>
          </w:tcPr>
          <w:p>
            <w:pPr>
              <w:keepLines/>
              <w:autoSpaceDE w:val="0"/>
              <w:autoSpaceDN w:val="0"/>
              <w:adjustRightInd w:val="0"/>
              <w:spacing w:before="120"/>
              <w:rPr>
                <w:color w:val="000000"/>
                <w:sz w:val="20"/>
              </w:rPr>
            </w:pPr>
            <w:r>
              <w:rPr>
                <w:color w:val="000000"/>
                <w:sz w:val="20"/>
              </w:rPr>
              <w:t>18</w:t>
            </w:r>
          </w:p>
        </w:tc>
        <w:tc>
          <w:tcPr>
            <w:tcW w:w="6360" w:type="dxa"/>
            <w:vAlign w:val="center"/>
          </w:tcPr>
          <w:p>
            <w:pPr>
              <w:keepLines/>
              <w:autoSpaceDE w:val="0"/>
              <w:autoSpaceDN w:val="0"/>
              <w:adjustRightInd w:val="0"/>
              <w:spacing w:before="120"/>
              <w:rPr>
                <w:color w:val="000000"/>
                <w:sz w:val="20"/>
              </w:rPr>
            </w:pPr>
            <w:r>
              <w:rPr>
                <w:color w:val="000000"/>
                <w:sz w:val="20"/>
              </w:rPr>
              <w:t>The facilitation of requests for access to pipeline services provided by means of a scheme pipeline.</w:t>
            </w:r>
          </w:p>
        </w:tc>
      </w:tr>
      <w:tr>
        <w:trPr>
          <w:cantSplit/>
        </w:trPr>
        <w:tc>
          <w:tcPr>
            <w:tcW w:w="924" w:type="dxa"/>
          </w:tcPr>
          <w:p>
            <w:pPr>
              <w:keepLines/>
              <w:autoSpaceDE w:val="0"/>
              <w:autoSpaceDN w:val="0"/>
              <w:adjustRightInd w:val="0"/>
              <w:spacing w:before="120"/>
              <w:rPr>
                <w:color w:val="000000"/>
                <w:sz w:val="20"/>
              </w:rPr>
            </w:pPr>
            <w:r>
              <w:rPr>
                <w:color w:val="000000"/>
                <w:sz w:val="20"/>
              </w:rPr>
              <w:t>19</w:t>
            </w:r>
          </w:p>
        </w:tc>
        <w:tc>
          <w:tcPr>
            <w:tcW w:w="6360" w:type="dxa"/>
            <w:vAlign w:val="center"/>
          </w:tcPr>
          <w:p>
            <w:pPr>
              <w:keepLines/>
              <w:autoSpaceDE w:val="0"/>
              <w:autoSpaceDN w:val="0"/>
              <w:adjustRightInd w:val="0"/>
              <w:spacing w:before="120"/>
              <w:rPr>
                <w:color w:val="000000"/>
                <w:sz w:val="20"/>
              </w:rPr>
            </w:pPr>
            <w:r>
              <w:rPr>
                <w:color w:val="000000"/>
                <w:sz w:val="20"/>
              </w:rPr>
              <w:t>The transfer of capacity of a pipeline to deliver pipeline services, including—</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circumstances when and how it is to happen;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legal consequences of a transfer of that capacity.</w:t>
            </w:r>
          </w:p>
        </w:tc>
      </w:tr>
      <w:tr>
        <w:trPr>
          <w:cantSplit/>
        </w:trPr>
        <w:tc>
          <w:tcPr>
            <w:tcW w:w="924" w:type="dxa"/>
          </w:tcPr>
          <w:p>
            <w:pPr>
              <w:keepLines/>
              <w:autoSpaceDE w:val="0"/>
              <w:autoSpaceDN w:val="0"/>
              <w:adjustRightInd w:val="0"/>
              <w:spacing w:before="120"/>
              <w:rPr>
                <w:color w:val="000000"/>
                <w:sz w:val="20"/>
              </w:rPr>
            </w:pPr>
            <w:r>
              <w:rPr>
                <w:color w:val="000000"/>
                <w:sz w:val="20"/>
              </w:rPr>
              <w:t>20</w:t>
            </w:r>
          </w:p>
        </w:tc>
        <w:tc>
          <w:tcPr>
            <w:tcW w:w="6360" w:type="dxa"/>
            <w:vAlign w:val="center"/>
          </w:tcPr>
          <w:p>
            <w:pPr>
              <w:keepLines/>
              <w:autoSpaceDE w:val="0"/>
              <w:autoSpaceDN w:val="0"/>
              <w:adjustRightInd w:val="0"/>
              <w:spacing w:before="120"/>
              <w:rPr>
                <w:color w:val="000000"/>
                <w:sz w:val="20"/>
              </w:rPr>
            </w:pPr>
            <w:r>
              <w:rPr>
                <w:color w:val="000000"/>
                <w:sz w:val="20"/>
              </w:rPr>
              <w:t>The establishment and maintenance of registers of unutilised capacity of pipelines to deliver pipeline services, including the information to be included in such registers.</w:t>
            </w:r>
          </w:p>
        </w:tc>
      </w:tr>
      <w:tr>
        <w:trPr>
          <w:cantSplit/>
        </w:trPr>
        <w:tc>
          <w:tcPr>
            <w:tcW w:w="924" w:type="dxa"/>
          </w:tcPr>
          <w:p>
            <w:pPr>
              <w:keepLines/>
              <w:autoSpaceDE w:val="0"/>
              <w:autoSpaceDN w:val="0"/>
              <w:adjustRightInd w:val="0"/>
              <w:spacing w:before="120"/>
              <w:rPr>
                <w:color w:val="000000"/>
                <w:sz w:val="20"/>
              </w:rPr>
            </w:pPr>
            <w:r>
              <w:rPr>
                <w:color w:val="000000"/>
                <w:sz w:val="20"/>
              </w:rPr>
              <w:t>21</w:t>
            </w:r>
          </w:p>
        </w:tc>
        <w:tc>
          <w:tcPr>
            <w:tcW w:w="6360" w:type="dxa"/>
            <w:vAlign w:val="center"/>
          </w:tcPr>
          <w:p>
            <w:pPr>
              <w:keepLines/>
              <w:autoSpaceDE w:val="0"/>
              <w:autoSpaceDN w:val="0"/>
              <w:adjustRightInd w:val="0"/>
              <w:spacing w:before="120"/>
              <w:rPr>
                <w:color w:val="000000"/>
                <w:sz w:val="20"/>
              </w:rPr>
            </w:pPr>
            <w:r>
              <w:rPr>
                <w:color w:val="000000"/>
                <w:sz w:val="20"/>
              </w:rPr>
              <w:t>The public availability of information on registers referred to in item 20.</w:t>
            </w:r>
          </w:p>
        </w:tc>
      </w:tr>
      <w:tr>
        <w:trPr>
          <w:cantSplit/>
        </w:trPr>
        <w:tc>
          <w:tcPr>
            <w:tcW w:w="924" w:type="dxa"/>
          </w:tcPr>
          <w:p>
            <w:pPr>
              <w:keepLines/>
              <w:autoSpaceDE w:val="0"/>
              <w:autoSpaceDN w:val="0"/>
              <w:adjustRightInd w:val="0"/>
              <w:spacing w:before="120"/>
              <w:rPr>
                <w:color w:val="000000"/>
                <w:sz w:val="20"/>
              </w:rPr>
            </w:pPr>
            <w:r>
              <w:rPr>
                <w:color w:val="000000"/>
                <w:sz w:val="20"/>
              </w:rPr>
              <w:t>22</w:t>
            </w:r>
          </w:p>
        </w:tc>
        <w:tc>
          <w:tcPr>
            <w:tcW w:w="6360" w:type="dxa"/>
            <w:vAlign w:val="center"/>
          </w:tcPr>
          <w:p>
            <w:pPr>
              <w:keepLines/>
              <w:autoSpaceDE w:val="0"/>
              <w:autoSpaceDN w:val="0"/>
              <w:adjustRightInd w:val="0"/>
              <w:spacing w:before="120"/>
              <w:rPr>
                <w:color w:val="000000"/>
                <w:sz w:val="20"/>
              </w:rPr>
            </w:pPr>
            <w:r>
              <w:rPr>
                <w:color w:val="000000"/>
                <w:sz w:val="20"/>
              </w:rPr>
              <w:t>The provision of information to users of information about unutilised capacity of pipelines to deliver pipeline services.</w:t>
            </w:r>
          </w:p>
        </w:tc>
      </w:tr>
      <w:tr>
        <w:trPr>
          <w:cantSplit/>
        </w:trPr>
        <w:tc>
          <w:tcPr>
            <w:tcW w:w="924" w:type="dxa"/>
          </w:tcPr>
          <w:p>
            <w:pPr>
              <w:keepLines/>
              <w:autoSpaceDE w:val="0"/>
              <w:autoSpaceDN w:val="0"/>
              <w:adjustRightInd w:val="0"/>
              <w:spacing w:before="120"/>
              <w:rPr>
                <w:color w:val="000000"/>
                <w:sz w:val="20"/>
              </w:rPr>
            </w:pPr>
            <w:r>
              <w:rPr>
                <w:color w:val="000000"/>
                <w:sz w:val="20"/>
              </w:rPr>
              <w:t>23</w:t>
            </w:r>
          </w:p>
        </w:tc>
        <w:tc>
          <w:tcPr>
            <w:tcW w:w="6360" w:type="dxa"/>
            <w:vAlign w:val="center"/>
          </w:tcPr>
          <w:p>
            <w:pPr>
              <w:keepLines/>
              <w:autoSpaceDE w:val="0"/>
              <w:autoSpaceDN w:val="0"/>
              <w:adjustRightInd w:val="0"/>
              <w:spacing w:before="120"/>
              <w:rPr>
                <w:color w:val="000000"/>
                <w:sz w:val="20"/>
              </w:rPr>
            </w:pPr>
            <w:r>
              <w:rPr>
                <w:color w:val="000000"/>
                <w:sz w:val="20"/>
              </w:rPr>
              <w:t>The disclosure to the AER of information relating to access to light regulation services.</w:t>
            </w:r>
          </w:p>
        </w:tc>
      </w:tr>
      <w:tr>
        <w:trPr>
          <w:cantSplit/>
        </w:trPr>
        <w:tc>
          <w:tcPr>
            <w:tcW w:w="924" w:type="dxa"/>
          </w:tcPr>
          <w:p>
            <w:pPr>
              <w:keepLines/>
              <w:autoSpaceDE w:val="0"/>
              <w:autoSpaceDN w:val="0"/>
              <w:adjustRightInd w:val="0"/>
              <w:spacing w:before="120"/>
              <w:rPr>
                <w:color w:val="000000"/>
                <w:sz w:val="20"/>
              </w:rPr>
            </w:pPr>
            <w:r>
              <w:rPr>
                <w:color w:val="000000"/>
                <w:sz w:val="20"/>
              </w:rPr>
              <w:t>24</w:t>
            </w:r>
          </w:p>
        </w:tc>
        <w:tc>
          <w:tcPr>
            <w:tcW w:w="6360" w:type="dxa"/>
            <w:vAlign w:val="center"/>
          </w:tcPr>
          <w:p>
            <w:pPr>
              <w:keepLines/>
              <w:autoSpaceDE w:val="0"/>
              <w:autoSpaceDN w:val="0"/>
              <w:adjustRightInd w:val="0"/>
              <w:spacing w:before="120"/>
              <w:rPr>
                <w:color w:val="000000"/>
                <w:sz w:val="20"/>
              </w:rPr>
            </w:pPr>
            <w:r>
              <w:rPr>
                <w:color w:val="000000"/>
                <w:sz w:val="20"/>
              </w:rPr>
              <w:t>Reports on negotiations relating to access to light regulation services.</w:t>
            </w:r>
          </w:p>
        </w:tc>
      </w:tr>
      <w:tr>
        <w:trPr>
          <w:cantSplit/>
        </w:trPr>
        <w:tc>
          <w:tcPr>
            <w:tcW w:w="924" w:type="dxa"/>
          </w:tcPr>
          <w:p>
            <w:pPr>
              <w:keepLines/>
              <w:autoSpaceDE w:val="0"/>
              <w:autoSpaceDN w:val="0"/>
              <w:adjustRightInd w:val="0"/>
              <w:spacing w:before="120"/>
              <w:rPr>
                <w:color w:val="000000"/>
                <w:sz w:val="20"/>
              </w:rPr>
            </w:pPr>
            <w:r>
              <w:rPr>
                <w:color w:val="000000"/>
                <w:sz w:val="20"/>
              </w:rPr>
              <w:t>25</w:t>
            </w:r>
          </w:p>
        </w:tc>
        <w:tc>
          <w:tcPr>
            <w:tcW w:w="6360" w:type="dxa"/>
            <w:vAlign w:val="center"/>
          </w:tcPr>
          <w:p>
            <w:pPr>
              <w:keepLines/>
              <w:autoSpaceDE w:val="0"/>
              <w:autoSpaceDN w:val="0"/>
              <w:adjustRightInd w:val="0"/>
              <w:spacing w:before="120"/>
              <w:rPr>
                <w:color w:val="000000"/>
                <w:sz w:val="20"/>
              </w:rPr>
            </w:pPr>
            <w:r>
              <w:rPr>
                <w:color w:val="000000"/>
                <w:sz w:val="20"/>
              </w:rPr>
              <w:t>The publication of prices and other terms and conditions of access to light regulation services.</w:t>
            </w:r>
          </w:p>
        </w:tc>
      </w:tr>
      <w:tr>
        <w:trPr>
          <w:cantSplit/>
        </w:trPr>
        <w:tc>
          <w:tcPr>
            <w:tcW w:w="924" w:type="dxa"/>
          </w:tcPr>
          <w:p>
            <w:pPr>
              <w:keepLines/>
              <w:autoSpaceDE w:val="0"/>
              <w:autoSpaceDN w:val="0"/>
              <w:adjustRightInd w:val="0"/>
              <w:spacing w:before="120"/>
              <w:rPr>
                <w:color w:val="000000"/>
                <w:sz w:val="20"/>
              </w:rPr>
            </w:pPr>
            <w:r>
              <w:rPr>
                <w:color w:val="000000"/>
                <w:sz w:val="20"/>
              </w:rPr>
              <w:t>26</w:t>
            </w:r>
          </w:p>
        </w:tc>
        <w:tc>
          <w:tcPr>
            <w:tcW w:w="6360" w:type="dxa"/>
            <w:vAlign w:val="center"/>
          </w:tcPr>
          <w:p>
            <w:pPr>
              <w:keepLines/>
              <w:autoSpaceDE w:val="0"/>
              <w:autoSpaceDN w:val="0"/>
              <w:adjustRightInd w:val="0"/>
              <w:spacing w:before="120"/>
              <w:rPr>
                <w:color w:val="000000"/>
                <w:sz w:val="20"/>
              </w:rPr>
            </w:pPr>
            <w:r>
              <w:rPr>
                <w:color w:val="000000"/>
                <w:sz w:val="20"/>
              </w:rPr>
              <w:t>The conditions a service provider may impose for the provision of pipeline services.</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27</w:t>
            </w:r>
          </w:p>
        </w:tc>
        <w:tc>
          <w:tcPr>
            <w:tcW w:w="6360" w:type="dxa"/>
            <w:vAlign w:val="center"/>
          </w:tcPr>
          <w:p>
            <w:pPr>
              <w:keepLines/>
              <w:autoSpaceDE w:val="0"/>
              <w:autoSpaceDN w:val="0"/>
              <w:adjustRightInd w:val="0"/>
              <w:spacing w:before="120"/>
              <w:rPr>
                <w:color w:val="000000"/>
                <w:sz w:val="20"/>
              </w:rPr>
            </w:pPr>
            <w:r>
              <w:rPr>
                <w:color w:val="000000"/>
                <w:sz w:val="20"/>
              </w:rPr>
              <w:t>The submission to the AER, by service providers, of access arrangements or revisions to applicable access arrangements for approval by the AER including requiring service providers to—</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submit full access arrangements for pipeline services (that are not light regulation services) provided by means of covered pipelines;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submit limited access arrangements for pipeline services provided by means of international pipelines to which price regulation exemptions apply;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submit more than 1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to consolidate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28</w:t>
            </w:r>
          </w:p>
        </w:tc>
        <w:tc>
          <w:tcPr>
            <w:tcW w:w="6360" w:type="dxa"/>
            <w:vAlign w:val="center"/>
          </w:tcPr>
          <w:p>
            <w:pPr>
              <w:keepLines/>
              <w:autoSpaceDE w:val="0"/>
              <w:autoSpaceDN w:val="0"/>
              <w:adjustRightInd w:val="0"/>
              <w:spacing w:before="120"/>
              <w:rPr>
                <w:color w:val="000000"/>
                <w:sz w:val="20"/>
              </w:rPr>
            </w:pPr>
            <w:r>
              <w:rPr>
                <w:color w:val="000000"/>
                <w:sz w:val="20"/>
              </w:rPr>
              <w:t>The content of access arrangements and applicable access arrangements including—</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 description of pipeline services provided or that may be provided by means of scheme pipelines, including reference services;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content of expansion and extension requirements;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the content of queuing requirements;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review submission dates, expiry dates and dates when revisions to access arrangements and applicable access arrangements are to take effect.</w:t>
            </w:r>
          </w:p>
        </w:tc>
      </w:tr>
      <w:tr>
        <w:trPr>
          <w:cantSplit/>
        </w:trPr>
        <w:tc>
          <w:tcPr>
            <w:tcW w:w="924" w:type="dxa"/>
          </w:tcPr>
          <w:p>
            <w:pPr>
              <w:keepLines/>
              <w:autoSpaceDE w:val="0"/>
              <w:autoSpaceDN w:val="0"/>
              <w:adjustRightInd w:val="0"/>
              <w:spacing w:before="120"/>
              <w:rPr>
                <w:color w:val="000000"/>
                <w:sz w:val="20"/>
              </w:rPr>
            </w:pPr>
            <w:r>
              <w:rPr>
                <w:color w:val="000000"/>
                <w:sz w:val="20"/>
              </w:rPr>
              <w:t>29</w:t>
            </w:r>
          </w:p>
        </w:tc>
        <w:tc>
          <w:tcPr>
            <w:tcW w:w="6360" w:type="dxa"/>
            <w:vAlign w:val="center"/>
          </w:tcPr>
          <w:p>
            <w:pPr>
              <w:keepLines/>
              <w:autoSpaceDE w:val="0"/>
              <w:autoSpaceDN w:val="0"/>
              <w:adjustRightInd w:val="0"/>
              <w:spacing w:before="120"/>
              <w:rPr>
                <w:color w:val="000000"/>
                <w:sz w:val="20"/>
              </w:rPr>
            </w:pPr>
            <w:r>
              <w:rPr>
                <w:color w:val="000000"/>
                <w:sz w:val="20"/>
              </w:rPr>
              <w:t>Variations to applicable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30</w:t>
            </w:r>
          </w:p>
        </w:tc>
        <w:tc>
          <w:tcPr>
            <w:tcW w:w="6360" w:type="dxa"/>
            <w:vAlign w:val="center"/>
          </w:tcPr>
          <w:p>
            <w:pPr>
              <w:keepLines/>
              <w:autoSpaceDE w:val="0"/>
              <w:autoSpaceDN w:val="0"/>
              <w:adjustRightInd w:val="0"/>
              <w:spacing w:before="120"/>
              <w:rPr>
                <w:color w:val="000000"/>
                <w:sz w:val="20"/>
              </w:rPr>
            </w:pPr>
            <w:r>
              <w:rPr>
                <w:color w:val="000000"/>
                <w:sz w:val="20"/>
              </w:rPr>
              <w:t>Information to accompany access arrangements submitted for approval, or proposals for revisions or variations to access arrangements, including information to enable a person to understand the background or basis or derivation of the access arrangement or proposal.</w:t>
            </w:r>
          </w:p>
        </w:tc>
      </w:tr>
      <w:tr>
        <w:trPr>
          <w:cantSplit/>
        </w:trPr>
        <w:tc>
          <w:tcPr>
            <w:tcW w:w="924" w:type="dxa"/>
          </w:tcPr>
          <w:p>
            <w:pPr>
              <w:keepLines/>
              <w:autoSpaceDE w:val="0"/>
              <w:autoSpaceDN w:val="0"/>
              <w:adjustRightInd w:val="0"/>
              <w:spacing w:before="120"/>
              <w:rPr>
                <w:color w:val="000000"/>
                <w:sz w:val="20"/>
              </w:rPr>
            </w:pPr>
            <w:r>
              <w:rPr>
                <w:color w:val="000000"/>
                <w:sz w:val="20"/>
              </w:rPr>
              <w:t>31</w:t>
            </w:r>
          </w:p>
        </w:tc>
        <w:tc>
          <w:tcPr>
            <w:tcW w:w="6360" w:type="dxa"/>
            <w:vAlign w:val="center"/>
          </w:tcPr>
          <w:p>
            <w:pPr>
              <w:keepLines/>
              <w:autoSpaceDE w:val="0"/>
              <w:autoSpaceDN w:val="0"/>
              <w:adjustRightInd w:val="0"/>
              <w:spacing w:before="120"/>
              <w:rPr>
                <w:color w:val="000000"/>
                <w:sz w:val="20"/>
              </w:rPr>
            </w:pPr>
            <w:r>
              <w:rPr>
                <w:color w:val="000000"/>
                <w:sz w:val="20"/>
              </w:rPr>
              <w:t>The provision and publication of information referred to in item 30.</w:t>
            </w:r>
          </w:p>
        </w:tc>
      </w:tr>
      <w:tr>
        <w:trPr>
          <w:cantSplit/>
        </w:trPr>
        <w:tc>
          <w:tcPr>
            <w:tcW w:w="924" w:type="dxa"/>
          </w:tcPr>
          <w:p>
            <w:pPr>
              <w:keepLines/>
              <w:autoSpaceDE w:val="0"/>
              <w:autoSpaceDN w:val="0"/>
              <w:adjustRightInd w:val="0"/>
              <w:spacing w:before="120"/>
              <w:rPr>
                <w:color w:val="000000"/>
                <w:sz w:val="20"/>
              </w:rPr>
            </w:pPr>
            <w:r>
              <w:rPr>
                <w:color w:val="000000"/>
                <w:sz w:val="20"/>
              </w:rPr>
              <w:t>32</w:t>
            </w:r>
          </w:p>
        </w:tc>
        <w:tc>
          <w:tcPr>
            <w:tcW w:w="6360" w:type="dxa"/>
            <w:vAlign w:val="center"/>
          </w:tcPr>
          <w:p>
            <w:pPr>
              <w:keepLines/>
              <w:autoSpaceDE w:val="0"/>
              <w:autoSpaceDN w:val="0"/>
              <w:adjustRightInd w:val="0"/>
              <w:spacing w:before="120"/>
              <w:rPr>
                <w:color w:val="000000"/>
                <w:sz w:val="20"/>
              </w:rPr>
            </w:pPr>
            <w:r>
              <w:rPr>
                <w:color w:val="000000"/>
                <w:sz w:val="20"/>
              </w:rPr>
              <w:t>Decisions of the AER that approve (with or without revisions or modifications) or not approve access arrangements or proposals for revisions or variations to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33</w:t>
            </w:r>
          </w:p>
        </w:tc>
        <w:tc>
          <w:tcPr>
            <w:tcW w:w="6360" w:type="dxa"/>
            <w:vAlign w:val="center"/>
          </w:tcPr>
          <w:p>
            <w:pPr>
              <w:keepLines/>
              <w:autoSpaceDE w:val="0"/>
              <w:autoSpaceDN w:val="0"/>
              <w:adjustRightInd w:val="0"/>
              <w:spacing w:before="120"/>
              <w:rPr>
                <w:color w:val="000000"/>
                <w:sz w:val="20"/>
              </w:rPr>
            </w:pPr>
            <w:r>
              <w:rPr>
                <w:color w:val="000000"/>
                <w:sz w:val="20"/>
              </w:rPr>
              <w:t>The making of access arrangements by the AER when it does not approve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34</w:t>
            </w:r>
          </w:p>
        </w:tc>
        <w:tc>
          <w:tcPr>
            <w:tcW w:w="6360" w:type="dxa"/>
            <w:vAlign w:val="center"/>
          </w:tcPr>
          <w:p>
            <w:pPr>
              <w:keepLines/>
              <w:autoSpaceDE w:val="0"/>
              <w:autoSpaceDN w:val="0"/>
              <w:adjustRightInd w:val="0"/>
              <w:spacing w:before="120"/>
              <w:rPr>
                <w:color w:val="000000"/>
                <w:sz w:val="20"/>
              </w:rPr>
            </w:pPr>
            <w:r>
              <w:rPr>
                <w:color w:val="000000"/>
                <w:sz w:val="20"/>
              </w:rPr>
              <w:t>The contents of decisions of the AER that—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approve or do not approve access arrangements or proposals for revisions or variations to access arrangements;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make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35</w:t>
            </w:r>
          </w:p>
        </w:tc>
        <w:tc>
          <w:tcPr>
            <w:tcW w:w="6360" w:type="dxa"/>
            <w:vAlign w:val="center"/>
          </w:tcPr>
          <w:p>
            <w:pPr>
              <w:keepLines/>
              <w:autoSpaceDE w:val="0"/>
              <w:autoSpaceDN w:val="0"/>
              <w:adjustRightInd w:val="0"/>
              <w:spacing w:before="120"/>
              <w:rPr>
                <w:color w:val="000000"/>
                <w:sz w:val="20"/>
              </w:rPr>
            </w:pPr>
            <w:r>
              <w:rPr>
                <w:color w:val="000000"/>
                <w:sz w:val="20"/>
              </w:rPr>
              <w:t>The procedure for the approval or making by the AER of access arrangements, or approval by the AER of proposals for revisions or variations to applicable access arrangements, including the publication and giving of—</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access arrangements and proposals;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decisions of the AER;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applicable access arrangements;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drafts of decisions of access arrangements and proposals and decisions of the AER.</w:t>
            </w:r>
          </w:p>
        </w:tc>
      </w:tr>
      <w:tr>
        <w:trPr>
          <w:cantSplit/>
        </w:trPr>
        <w:tc>
          <w:tcPr>
            <w:tcW w:w="924" w:type="dxa"/>
          </w:tcPr>
          <w:p>
            <w:pPr>
              <w:keepLines/>
              <w:autoSpaceDE w:val="0"/>
              <w:autoSpaceDN w:val="0"/>
              <w:adjustRightInd w:val="0"/>
              <w:spacing w:before="120"/>
              <w:rPr>
                <w:color w:val="000000"/>
                <w:sz w:val="20"/>
              </w:rPr>
            </w:pPr>
            <w:r>
              <w:rPr>
                <w:color w:val="000000"/>
                <w:sz w:val="20"/>
              </w:rPr>
              <w:t>36</w:t>
            </w:r>
          </w:p>
        </w:tc>
        <w:tc>
          <w:tcPr>
            <w:tcW w:w="6360" w:type="dxa"/>
            <w:vAlign w:val="center"/>
          </w:tcPr>
          <w:p>
            <w:pPr>
              <w:keepLines/>
              <w:autoSpaceDE w:val="0"/>
              <w:autoSpaceDN w:val="0"/>
              <w:adjustRightInd w:val="0"/>
              <w:spacing w:before="120"/>
              <w:rPr>
                <w:color w:val="000000"/>
                <w:sz w:val="20"/>
              </w:rPr>
            </w:pPr>
            <w:r>
              <w:rPr>
                <w:color w:val="000000"/>
                <w:sz w:val="20"/>
              </w:rPr>
              <w:t>Matters to be addressed by the AER in approving or not approving an access arrangement, or making an access arrangement, or approving or not approving revisions or variations to an applicable access arrangement.</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Access disputes</w:t>
            </w:r>
          </w:p>
        </w:tc>
      </w:tr>
      <w:tr>
        <w:trPr>
          <w:cantSplit/>
        </w:trPr>
        <w:tc>
          <w:tcPr>
            <w:tcW w:w="924" w:type="dxa"/>
          </w:tcPr>
          <w:p>
            <w:pPr>
              <w:keepLines/>
              <w:autoSpaceDE w:val="0"/>
              <w:autoSpaceDN w:val="0"/>
              <w:adjustRightInd w:val="0"/>
              <w:spacing w:before="120"/>
              <w:rPr>
                <w:color w:val="000000"/>
                <w:sz w:val="20"/>
              </w:rPr>
            </w:pPr>
            <w:r>
              <w:rPr>
                <w:color w:val="000000"/>
                <w:sz w:val="20"/>
              </w:rPr>
              <w:t>37</w:t>
            </w:r>
          </w:p>
        </w:tc>
        <w:tc>
          <w:tcPr>
            <w:tcW w:w="6360" w:type="dxa"/>
            <w:vAlign w:val="center"/>
          </w:tcPr>
          <w:p>
            <w:pPr>
              <w:keepLines/>
              <w:autoSpaceDE w:val="0"/>
              <w:autoSpaceDN w:val="0"/>
              <w:adjustRightInd w:val="0"/>
              <w:spacing w:before="120"/>
              <w:rPr>
                <w:color w:val="000000"/>
                <w:sz w:val="20"/>
              </w:rPr>
            </w:pPr>
            <w:r>
              <w:rPr>
                <w:color w:val="000000"/>
                <w:sz w:val="20"/>
              </w:rPr>
              <w:t>The procedure and time limits for the making of access determinations under Chapter 6 or 6A.</w:t>
            </w:r>
          </w:p>
        </w:tc>
      </w:tr>
      <w:tr>
        <w:trPr>
          <w:cantSplit/>
        </w:trPr>
        <w:tc>
          <w:tcPr>
            <w:tcW w:w="924" w:type="dxa"/>
          </w:tcPr>
          <w:p>
            <w:pPr>
              <w:keepLines/>
              <w:autoSpaceDE w:val="0"/>
              <w:autoSpaceDN w:val="0"/>
              <w:adjustRightInd w:val="0"/>
              <w:spacing w:before="120"/>
              <w:rPr>
                <w:color w:val="000000"/>
                <w:sz w:val="20"/>
              </w:rPr>
            </w:pPr>
            <w:r>
              <w:rPr>
                <w:color w:val="000000"/>
                <w:sz w:val="20"/>
              </w:rPr>
              <w:t>38</w:t>
            </w:r>
          </w:p>
        </w:tc>
        <w:tc>
          <w:tcPr>
            <w:tcW w:w="6360" w:type="dxa"/>
            <w:vAlign w:val="center"/>
          </w:tcPr>
          <w:p>
            <w:pPr>
              <w:keepLines/>
              <w:autoSpaceDE w:val="0"/>
              <w:autoSpaceDN w:val="0"/>
              <w:adjustRightInd w:val="0"/>
              <w:spacing w:before="120"/>
              <w:rPr>
                <w:color w:val="000000"/>
                <w:sz w:val="20"/>
              </w:rPr>
            </w:pPr>
            <w:r>
              <w:rPr>
                <w:color w:val="000000"/>
                <w:sz w:val="20"/>
              </w:rPr>
              <w:t>The appointment of persons to inquire into and report on the safe operation of pipelines for the purpose of enabling the dispute resolution body to make an access determination under Chapter 6 or an arbitrator to make an access determination under Chapter 6A.</w:t>
            </w:r>
          </w:p>
        </w:tc>
      </w:tr>
      <w:tr>
        <w:trPr>
          <w:cantSplit/>
        </w:trPr>
        <w:tc>
          <w:tcPr>
            <w:tcW w:w="924" w:type="dxa"/>
          </w:tcPr>
          <w:p>
            <w:pPr>
              <w:keepLines/>
              <w:autoSpaceDE w:val="0"/>
              <w:autoSpaceDN w:val="0"/>
              <w:adjustRightInd w:val="0"/>
              <w:spacing w:before="120"/>
              <w:rPr>
                <w:color w:val="000000"/>
                <w:sz w:val="20"/>
              </w:rPr>
            </w:pPr>
            <w:r>
              <w:rPr>
                <w:color w:val="000000"/>
                <w:sz w:val="20"/>
              </w:rPr>
              <w:t>39</w:t>
            </w:r>
          </w:p>
        </w:tc>
        <w:tc>
          <w:tcPr>
            <w:tcW w:w="6360" w:type="dxa"/>
            <w:vAlign w:val="center"/>
          </w:tcPr>
          <w:p>
            <w:pPr>
              <w:keepLines/>
              <w:autoSpaceDE w:val="0"/>
              <w:autoSpaceDN w:val="0"/>
              <w:adjustRightInd w:val="0"/>
              <w:spacing w:before="120"/>
              <w:rPr>
                <w:color w:val="000000"/>
                <w:sz w:val="20"/>
              </w:rPr>
            </w:pPr>
            <w:r>
              <w:rPr>
                <w:color w:val="000000"/>
                <w:sz w:val="20"/>
              </w:rPr>
              <w:t>The kinds of access determinations that may be made under Chapter 6 or 6A including determinations—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requiring prospective users or users to make capital contributions towards a service provider’s capital expenditure for the installation or construction of new facilities for the expansion of the capacity of pipelines;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that enable service providers to charge prospective users or users surcharges to recover capital expenditure for the installation or construction of new facilities for the expansion of the capacity of pipelines.</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Regulatory economic methodologies</w:t>
            </w:r>
          </w:p>
        </w:tc>
      </w:tr>
      <w:tr>
        <w:trPr>
          <w:cantSplit/>
        </w:trPr>
        <w:tc>
          <w:tcPr>
            <w:tcW w:w="924" w:type="dxa"/>
          </w:tcPr>
          <w:p>
            <w:pPr>
              <w:keepLines/>
              <w:autoSpaceDE w:val="0"/>
              <w:autoSpaceDN w:val="0"/>
              <w:adjustRightInd w:val="0"/>
              <w:spacing w:before="120"/>
              <w:rPr>
                <w:color w:val="000000"/>
                <w:sz w:val="20"/>
              </w:rPr>
            </w:pPr>
            <w:r>
              <w:rPr>
                <w:color w:val="000000"/>
                <w:sz w:val="20"/>
              </w:rPr>
              <w:t>40</w:t>
            </w:r>
          </w:p>
        </w:tc>
        <w:tc>
          <w:tcPr>
            <w:tcW w:w="6360" w:type="dxa"/>
            <w:vAlign w:val="center"/>
          </w:tcPr>
          <w:p>
            <w:pPr>
              <w:keepLines/>
              <w:autoSpaceDE w:val="0"/>
              <w:autoSpaceDN w:val="0"/>
              <w:adjustRightInd w:val="0"/>
              <w:spacing w:before="120"/>
              <w:rPr>
                <w:color w:val="000000"/>
                <w:sz w:val="20"/>
              </w:rPr>
            </w:pPr>
            <w:r>
              <w:rPr>
                <w:color w:val="000000"/>
                <w:sz w:val="20"/>
              </w:rPr>
              <w:t>The regulatory economic methodologies (including the use of the methodology known as the “building block approach”) to be applied by—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AER in approving or making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AER in approving revisions or a variation to an applicable access arrangement that is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the dispute resolution body in making an access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41</w:t>
            </w:r>
          </w:p>
        </w:tc>
        <w:tc>
          <w:tcPr>
            <w:tcW w:w="6360" w:type="dxa"/>
            <w:vAlign w:val="center"/>
          </w:tcPr>
          <w:p>
            <w:pPr>
              <w:keepLines/>
              <w:autoSpaceDE w:val="0"/>
              <w:autoSpaceDN w:val="0"/>
              <w:adjustRightInd w:val="0"/>
              <w:spacing w:before="120"/>
              <w:rPr>
                <w:color w:val="000000"/>
                <w:sz w:val="20"/>
              </w:rPr>
            </w:pPr>
            <w:r>
              <w:rPr>
                <w:color w:val="000000"/>
                <w:sz w:val="20"/>
              </w:rPr>
              <w:t>If the Rules provide for the regulatory economic methodology known as the “building block approach” to be applied by—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AER for the purpose of approving or making a full access arrangement;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AER for the purpose of approving revisions or a variation to an applicable access arrangement that is a full access arrangement;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the dispute resolution body for the purpose of making an access determination,</w:t>
            </w:r>
          </w:p>
          <w:p>
            <w:pPr>
              <w:keepLines/>
              <w:autoSpaceDE w:val="0"/>
              <w:autoSpaceDN w:val="0"/>
              <w:adjustRightInd w:val="0"/>
              <w:spacing w:before="120"/>
              <w:rPr>
                <w:color w:val="000000"/>
                <w:sz w:val="20"/>
              </w:rPr>
            </w:pPr>
            <w:r>
              <w:rPr>
                <w:color w:val="000000"/>
                <w:sz w:val="20"/>
              </w:rPr>
              <w:t>the determination by the AER or the dispute resolution body (as the case requires) of allowances for—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depreciation;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(e)</w:t>
            </w:r>
            <w:r>
              <w:rPr>
                <w:color w:val="000000"/>
                <w:sz w:val="20"/>
              </w:rPr>
              <w:tab/>
              <w:t>the operating costs of a service provider;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(f)</w:t>
            </w:r>
            <w:r>
              <w:rPr>
                <w:color w:val="000000"/>
                <w:sz w:val="20"/>
              </w:rPr>
              <w:tab/>
              <w:t>if the service provider is a corporation, the income tax payable by corporations;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(g)</w:t>
            </w:r>
            <w:r>
              <w:rPr>
                <w:color w:val="000000"/>
                <w:sz w:val="20"/>
              </w:rPr>
              <w:tab/>
              <w:t>a rate of return on assets.</w:t>
            </w:r>
          </w:p>
        </w:tc>
      </w:tr>
      <w:tr>
        <w:trPr>
          <w:cantSplit/>
        </w:trPr>
        <w:tc>
          <w:tcPr>
            <w:tcW w:w="924" w:type="dxa"/>
          </w:tcPr>
          <w:p>
            <w:pPr>
              <w:keepLines/>
              <w:autoSpaceDE w:val="0"/>
              <w:autoSpaceDN w:val="0"/>
              <w:adjustRightInd w:val="0"/>
              <w:spacing w:before="120"/>
              <w:rPr>
                <w:color w:val="000000"/>
                <w:sz w:val="20"/>
              </w:rPr>
            </w:pPr>
            <w:r>
              <w:rPr>
                <w:color w:val="000000"/>
                <w:sz w:val="20"/>
              </w:rPr>
              <w:t>42</w:t>
            </w:r>
          </w:p>
        </w:tc>
        <w:tc>
          <w:tcPr>
            <w:tcW w:w="6360" w:type="dxa"/>
            <w:vAlign w:val="center"/>
          </w:tcPr>
          <w:p>
            <w:pPr>
              <w:keepLines/>
              <w:autoSpaceDE w:val="0"/>
              <w:autoSpaceDN w:val="0"/>
              <w:adjustRightInd w:val="0"/>
              <w:spacing w:before="120"/>
              <w:rPr>
                <w:color w:val="000000"/>
                <w:sz w:val="20"/>
              </w:rPr>
            </w:pPr>
            <w:r>
              <w:rPr>
                <w:color w:val="000000"/>
                <w:sz w:val="20"/>
              </w:rPr>
              <w:t>The methodology known as “total factor productivity”—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as a regulatory economic methodology to be applied by—</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w:t>
            </w:r>
            <w:r>
              <w:rPr>
                <w:color w:val="000000"/>
                <w:sz w:val="20"/>
              </w:rPr>
              <w:tab/>
              <w:t>the AER for the purpose of approving or making a full access arrangement;</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(ii)</w:t>
            </w:r>
            <w:r>
              <w:rPr>
                <w:color w:val="000000"/>
                <w:sz w:val="20"/>
              </w:rPr>
              <w:tab/>
              <w:t>the AER for the purpose of approving revisions or a variation to an applicable access arrangement that is a full access arrangement;</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(iii)</w:t>
            </w:r>
            <w:r>
              <w:rPr>
                <w:color w:val="000000"/>
                <w:sz w:val="20"/>
              </w:rPr>
              <w:tab/>
              <w:t>the dispute resolution body for the purpose of making an access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as an economic regulatory tool to inform and assist the AER in applying, or analysing the application of, the regulatory economic methodology known as the “building block approach” by the AER for the purpose of—</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w:t>
            </w:r>
            <w:r>
              <w:rPr>
                <w:color w:val="000000"/>
                <w:sz w:val="20"/>
              </w:rPr>
              <w:tab/>
              <w:t>approving or making a full access arrangement; or</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(ii)</w:t>
            </w:r>
            <w:r>
              <w:rPr>
                <w:color w:val="000000"/>
                <w:sz w:val="20"/>
              </w:rPr>
              <w:tab/>
              <w:t>approving revisions or a variation to an applicable access arrangement that is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as an economic regulatory tool to inform and assist the dispute resolution body in applying, or analysing the application of, the regulatory economic methodology known as the “building block approach” by the dispute resolution body for the purpose of making an access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43</w:t>
            </w:r>
          </w:p>
        </w:tc>
        <w:tc>
          <w:tcPr>
            <w:tcW w:w="6360" w:type="dxa"/>
            <w:vAlign w:val="center"/>
          </w:tcPr>
          <w:p>
            <w:pPr>
              <w:keepLines/>
              <w:autoSpaceDE w:val="0"/>
              <w:autoSpaceDN w:val="0"/>
              <w:adjustRightInd w:val="0"/>
              <w:spacing w:before="120"/>
              <w:rPr>
                <w:color w:val="000000"/>
                <w:sz w:val="20"/>
              </w:rPr>
            </w:pPr>
            <w:r>
              <w:rPr>
                <w:color w:val="000000"/>
                <w:sz w:val="20"/>
              </w:rPr>
              <w:t>The capital base with respect to a covered pipeline, and of a new facility for the purposes of—</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approving or making a full access arrangement;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approving revisions or a variation to an applicable access arrangement that is a full access arrangement;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making an access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44</w:t>
            </w:r>
          </w:p>
        </w:tc>
        <w:tc>
          <w:tcPr>
            <w:tcW w:w="6360" w:type="dxa"/>
            <w:vAlign w:val="center"/>
          </w:tcPr>
          <w:p>
            <w:pPr>
              <w:keepLines/>
              <w:autoSpaceDE w:val="0"/>
              <w:autoSpaceDN w:val="0"/>
              <w:adjustRightInd w:val="0"/>
              <w:spacing w:before="120"/>
              <w:rPr>
                <w:color w:val="000000"/>
                <w:sz w:val="20"/>
              </w:rPr>
            </w:pPr>
            <w:r>
              <w:rPr>
                <w:color w:val="000000"/>
                <w:sz w:val="20"/>
              </w:rPr>
              <w:t>The assessment, or treatment of, investment in covered pipelines and new facilities by—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AER for the purposes of approving or making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AER for the purposes of approving revisions or a variation to an applicable access arrangement that is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the dispute resolution body for the purposes of making an access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45</w:t>
            </w:r>
          </w:p>
        </w:tc>
        <w:tc>
          <w:tcPr>
            <w:tcW w:w="6360" w:type="dxa"/>
            <w:vAlign w:val="center"/>
          </w:tcPr>
          <w:p>
            <w:pPr>
              <w:keepLines/>
              <w:autoSpaceDE w:val="0"/>
              <w:autoSpaceDN w:val="0"/>
              <w:adjustRightInd w:val="0"/>
              <w:spacing w:before="120"/>
              <w:rPr>
                <w:color w:val="000000"/>
                <w:sz w:val="20"/>
              </w:rPr>
            </w:pPr>
            <w:r>
              <w:rPr>
                <w:color w:val="000000"/>
                <w:sz w:val="20"/>
              </w:rPr>
              <w:t>The economic framework and methodologies to be applied by the AER or the dispute resolution body for the purposes of item 44.</w:t>
            </w:r>
          </w:p>
        </w:tc>
      </w:tr>
      <w:tr>
        <w:trPr>
          <w:cantSplit/>
        </w:trPr>
        <w:tc>
          <w:tcPr>
            <w:tcW w:w="924" w:type="dxa"/>
          </w:tcPr>
          <w:p>
            <w:pPr>
              <w:keepLines/>
              <w:autoSpaceDE w:val="0"/>
              <w:autoSpaceDN w:val="0"/>
              <w:adjustRightInd w:val="0"/>
              <w:spacing w:before="120"/>
              <w:rPr>
                <w:color w:val="000000"/>
                <w:sz w:val="20"/>
              </w:rPr>
            </w:pPr>
            <w:r>
              <w:rPr>
                <w:color w:val="000000"/>
                <w:sz w:val="20"/>
              </w:rPr>
              <w:t>46</w:t>
            </w:r>
          </w:p>
        </w:tc>
        <w:tc>
          <w:tcPr>
            <w:tcW w:w="6360" w:type="dxa"/>
            <w:vAlign w:val="center"/>
          </w:tcPr>
          <w:p>
            <w:pPr>
              <w:keepLines/>
              <w:autoSpaceDE w:val="0"/>
              <w:autoSpaceDN w:val="0"/>
              <w:adjustRightInd w:val="0"/>
              <w:spacing w:before="120"/>
              <w:rPr>
                <w:color w:val="000000"/>
                <w:sz w:val="20"/>
              </w:rPr>
            </w:pPr>
            <w:r>
              <w:rPr>
                <w:color w:val="000000"/>
                <w:sz w:val="20"/>
              </w:rPr>
              <w:t>Incentives for service providers to make efficient operating and investment decisions including, where applicable, service performance incentive schemes.</w:t>
            </w:r>
          </w:p>
        </w:tc>
      </w:tr>
      <w:tr>
        <w:trPr>
          <w:cantSplit/>
        </w:trPr>
        <w:tc>
          <w:tcPr>
            <w:tcW w:w="924" w:type="dxa"/>
          </w:tcPr>
          <w:p>
            <w:pPr>
              <w:keepLines/>
              <w:autoSpaceDE w:val="0"/>
              <w:autoSpaceDN w:val="0"/>
              <w:adjustRightInd w:val="0"/>
              <w:spacing w:before="120"/>
              <w:rPr>
                <w:color w:val="000000"/>
                <w:sz w:val="20"/>
              </w:rPr>
            </w:pPr>
            <w:r>
              <w:rPr>
                <w:color w:val="000000"/>
                <w:sz w:val="20"/>
              </w:rPr>
              <w:t>47</w:t>
            </w:r>
          </w:p>
        </w:tc>
        <w:tc>
          <w:tcPr>
            <w:tcW w:w="6360" w:type="dxa"/>
            <w:vAlign w:val="center"/>
          </w:tcPr>
          <w:p>
            <w:pPr>
              <w:keepLines/>
              <w:autoSpaceDE w:val="0"/>
              <w:autoSpaceDN w:val="0"/>
              <w:adjustRightInd w:val="0"/>
              <w:spacing w:before="120"/>
              <w:rPr>
                <w:color w:val="000000"/>
                <w:sz w:val="20"/>
              </w:rPr>
            </w:pPr>
            <w:r>
              <w:rPr>
                <w:color w:val="000000"/>
                <w:sz w:val="20"/>
              </w:rPr>
              <w:t>The treatment of capital contributions referred to in item 39(a) when determining the capital base with respect to a covered pipeline.</w:t>
            </w:r>
          </w:p>
        </w:tc>
      </w:tr>
      <w:tr>
        <w:trPr>
          <w:cantSplit/>
        </w:trPr>
        <w:tc>
          <w:tcPr>
            <w:tcW w:w="924" w:type="dxa"/>
          </w:tcPr>
          <w:p>
            <w:pPr>
              <w:keepLines/>
              <w:autoSpaceDE w:val="0"/>
              <w:autoSpaceDN w:val="0"/>
              <w:adjustRightInd w:val="0"/>
              <w:spacing w:before="120"/>
              <w:rPr>
                <w:color w:val="000000"/>
                <w:sz w:val="20"/>
              </w:rPr>
            </w:pPr>
            <w:r>
              <w:rPr>
                <w:color w:val="000000"/>
                <w:sz w:val="20"/>
              </w:rPr>
              <w:t>48</w:t>
            </w:r>
          </w:p>
        </w:tc>
        <w:tc>
          <w:tcPr>
            <w:tcW w:w="6360" w:type="dxa"/>
            <w:vAlign w:val="center"/>
          </w:tcPr>
          <w:p>
            <w:pPr>
              <w:keepLines/>
              <w:autoSpaceDE w:val="0"/>
              <w:autoSpaceDN w:val="0"/>
              <w:adjustRightInd w:val="0"/>
              <w:spacing w:before="120"/>
              <w:rPr>
                <w:color w:val="000000"/>
                <w:sz w:val="20"/>
              </w:rPr>
            </w:pPr>
            <w:r>
              <w:rPr>
                <w:color w:val="000000"/>
                <w:sz w:val="20"/>
              </w:rPr>
              <w:t>The handling of surcharges referred to in item 39(b).</w:t>
            </w:r>
          </w:p>
        </w:tc>
      </w:tr>
      <w:tr>
        <w:trPr>
          <w:cantSplit/>
        </w:trPr>
        <w:tc>
          <w:tcPr>
            <w:tcW w:w="924" w:type="dxa"/>
          </w:tcPr>
          <w:p>
            <w:pPr>
              <w:keepLines/>
              <w:autoSpaceDE w:val="0"/>
              <w:autoSpaceDN w:val="0"/>
              <w:adjustRightInd w:val="0"/>
              <w:spacing w:before="120"/>
              <w:rPr>
                <w:color w:val="000000"/>
                <w:sz w:val="20"/>
              </w:rPr>
            </w:pPr>
            <w:r>
              <w:rPr>
                <w:color w:val="000000"/>
                <w:sz w:val="20"/>
              </w:rPr>
              <w:t>48A</w:t>
            </w:r>
          </w:p>
        </w:tc>
        <w:tc>
          <w:tcPr>
            <w:tcW w:w="6360" w:type="dxa"/>
            <w:vAlign w:val="center"/>
          </w:tcPr>
          <w:p>
            <w:pPr>
              <w:keepLines/>
              <w:autoSpaceDE w:val="0"/>
              <w:autoSpaceDN w:val="0"/>
              <w:adjustRightInd w:val="0"/>
              <w:spacing w:before="120"/>
              <w:rPr>
                <w:color w:val="000000"/>
                <w:sz w:val="20"/>
              </w:rPr>
            </w:pPr>
            <w:r>
              <w:rPr>
                <w:color w:val="000000"/>
                <w:sz w:val="20"/>
              </w:rPr>
              <w:t>For the purposes of items 40 to 47 (inclusive)—</w:t>
            </w:r>
          </w:p>
          <w:p>
            <w:pPr>
              <w:keepLines/>
              <w:tabs>
                <w:tab w:val="left" w:pos="281"/>
                <w:tab w:val="left" w:pos="716"/>
              </w:tabs>
              <w:autoSpaceDE w:val="0"/>
              <w:autoSpaceDN w:val="0"/>
              <w:adjustRightInd w:val="0"/>
              <w:spacing w:before="120"/>
              <w:ind w:left="716" w:hanging="716"/>
              <w:rPr>
                <w:color w:val="000000"/>
                <w:sz w:val="20"/>
              </w:rPr>
            </w:pPr>
            <w:r>
              <w:rPr>
                <w:color w:val="000000"/>
                <w:sz w:val="20"/>
              </w:rPr>
              <w:tab/>
              <w:t>(a)</w:t>
            </w:r>
            <w:r>
              <w:rPr>
                <w:color w:val="000000"/>
                <w:sz w:val="20"/>
              </w:rPr>
              <w:tab/>
              <w:t>a reference to the dispute resolution body will be taken to include a reference to an arbitrator under Chapter 6A; and</w:t>
            </w:r>
          </w:p>
          <w:p>
            <w:pPr>
              <w:keepLines/>
              <w:tabs>
                <w:tab w:val="left" w:pos="281"/>
                <w:tab w:val="left" w:pos="716"/>
              </w:tabs>
              <w:autoSpaceDE w:val="0"/>
              <w:autoSpaceDN w:val="0"/>
              <w:adjustRightInd w:val="0"/>
              <w:spacing w:before="120"/>
              <w:ind w:left="716" w:hanging="716"/>
              <w:rPr>
                <w:color w:val="000000"/>
                <w:sz w:val="20"/>
              </w:rPr>
            </w:pPr>
            <w:r>
              <w:rPr>
                <w:color w:val="000000"/>
                <w:sz w:val="20"/>
              </w:rPr>
              <w:tab/>
              <w:t>(b)</w:t>
            </w:r>
            <w:r>
              <w:rPr>
                <w:color w:val="000000"/>
                <w:sz w:val="20"/>
              </w:rPr>
              <w:tab/>
              <w:t>a reference to an access determination will be taken to include a reference to an access determination under Chapter 6A; and</w:t>
            </w:r>
          </w:p>
          <w:p>
            <w:pPr>
              <w:keepLines/>
              <w:tabs>
                <w:tab w:val="left" w:pos="281"/>
                <w:tab w:val="left" w:pos="716"/>
              </w:tabs>
              <w:autoSpaceDE w:val="0"/>
              <w:autoSpaceDN w:val="0"/>
              <w:adjustRightInd w:val="0"/>
              <w:spacing w:before="120"/>
              <w:ind w:left="716" w:hanging="716"/>
              <w:rPr>
                <w:color w:val="000000"/>
                <w:sz w:val="20"/>
              </w:rPr>
            </w:pPr>
            <w:r>
              <w:rPr>
                <w:color w:val="000000"/>
                <w:sz w:val="20"/>
              </w:rPr>
              <w:tab/>
              <w:t>(c)</w:t>
            </w:r>
            <w:r>
              <w:rPr>
                <w:color w:val="000000"/>
                <w:sz w:val="20"/>
              </w:rPr>
              <w:tab/>
              <w:t>a reference to a covered pipeline will be taken to include a reference to a non</w:t>
            </w:r>
            <w:r>
              <w:rPr>
                <w:color w:val="000000"/>
                <w:sz w:val="20"/>
              </w:rPr>
              <w:noBreakHyphen/>
              <w:t>scheme pipeline under Chapter 6A.</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AER economic regulatory function or powers</w:t>
            </w:r>
          </w:p>
        </w:tc>
      </w:tr>
      <w:tr>
        <w:trPr>
          <w:cantSplit/>
        </w:trPr>
        <w:tc>
          <w:tcPr>
            <w:tcW w:w="924" w:type="dxa"/>
          </w:tcPr>
          <w:p>
            <w:pPr>
              <w:keepLines/>
              <w:autoSpaceDE w:val="0"/>
              <w:autoSpaceDN w:val="0"/>
              <w:adjustRightInd w:val="0"/>
              <w:spacing w:before="120"/>
              <w:rPr>
                <w:color w:val="000000"/>
                <w:sz w:val="20"/>
              </w:rPr>
            </w:pPr>
            <w:r>
              <w:rPr>
                <w:color w:val="000000"/>
                <w:sz w:val="20"/>
              </w:rPr>
              <w:t>49</w:t>
            </w:r>
          </w:p>
        </w:tc>
        <w:tc>
          <w:tcPr>
            <w:tcW w:w="6360" w:type="dxa"/>
            <w:vAlign w:val="center"/>
          </w:tcPr>
          <w:p>
            <w:pPr>
              <w:keepLines/>
              <w:autoSpaceDE w:val="0"/>
              <w:autoSpaceDN w:val="0"/>
              <w:adjustRightInd w:val="0"/>
              <w:spacing w:before="120"/>
              <w:rPr>
                <w:color w:val="000000"/>
                <w:sz w:val="20"/>
              </w:rPr>
            </w:pPr>
            <w:r>
              <w:rPr>
                <w:color w:val="000000"/>
                <w:sz w:val="20"/>
              </w:rPr>
              <w:t>The way in which the AER performs or exercises an AER economic regulatory function or power, including the basis on which the AER makes an AER economic regulatory decision.</w:t>
            </w:r>
          </w:p>
        </w:tc>
      </w:tr>
      <w:tr>
        <w:trPr>
          <w:cantSplit/>
        </w:trPr>
        <w:tc>
          <w:tcPr>
            <w:tcW w:w="924" w:type="dxa"/>
          </w:tcPr>
          <w:p>
            <w:pPr>
              <w:keepLines/>
              <w:autoSpaceDE w:val="0"/>
              <w:autoSpaceDN w:val="0"/>
              <w:adjustRightInd w:val="0"/>
              <w:spacing w:before="120"/>
              <w:rPr>
                <w:color w:val="000000"/>
                <w:sz w:val="20"/>
              </w:rPr>
            </w:pPr>
            <w:r>
              <w:rPr>
                <w:color w:val="000000"/>
                <w:sz w:val="20"/>
              </w:rPr>
              <w:t>50</w:t>
            </w:r>
          </w:p>
        </w:tc>
        <w:tc>
          <w:tcPr>
            <w:tcW w:w="6360" w:type="dxa"/>
            <w:vAlign w:val="center"/>
          </w:tcPr>
          <w:p>
            <w:pPr>
              <w:keepLines/>
              <w:autoSpaceDE w:val="0"/>
              <w:autoSpaceDN w:val="0"/>
              <w:adjustRightInd w:val="0"/>
              <w:spacing w:before="120"/>
              <w:rPr>
                <w:color w:val="000000"/>
                <w:sz w:val="20"/>
              </w:rPr>
            </w:pPr>
            <w:r>
              <w:rPr>
                <w:color w:val="000000"/>
                <w:sz w:val="20"/>
              </w:rPr>
              <w:t>Principles to be applied, and procedures to be followed, by the AER in exercising or performing an AER economic regulatory function or power.</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Ring fencing requirements</w:t>
            </w:r>
          </w:p>
        </w:tc>
      </w:tr>
      <w:tr>
        <w:trPr>
          <w:cantSplit/>
        </w:trPr>
        <w:tc>
          <w:tcPr>
            <w:tcW w:w="924" w:type="dxa"/>
          </w:tcPr>
          <w:p>
            <w:pPr>
              <w:keepLines/>
              <w:autoSpaceDE w:val="0"/>
              <w:autoSpaceDN w:val="0"/>
              <w:adjustRightInd w:val="0"/>
              <w:spacing w:before="120"/>
              <w:rPr>
                <w:color w:val="000000"/>
                <w:sz w:val="20"/>
              </w:rPr>
            </w:pPr>
            <w:r>
              <w:rPr>
                <w:color w:val="000000"/>
                <w:sz w:val="20"/>
              </w:rPr>
              <w:t>51</w:t>
            </w:r>
          </w:p>
        </w:tc>
        <w:tc>
          <w:tcPr>
            <w:tcW w:w="6360" w:type="dxa"/>
            <w:vAlign w:val="center"/>
          </w:tcPr>
          <w:p>
            <w:pPr>
              <w:keepLines/>
              <w:autoSpaceDE w:val="0"/>
              <w:autoSpaceDN w:val="0"/>
              <w:adjustRightInd w:val="0"/>
              <w:spacing w:before="120"/>
              <w:rPr>
                <w:color w:val="000000"/>
                <w:sz w:val="20"/>
              </w:rPr>
            </w:pPr>
            <w:r>
              <w:rPr>
                <w:color w:val="000000"/>
                <w:sz w:val="20"/>
              </w:rPr>
              <w:t>The content of a minimum ring fencing requirement.</w:t>
            </w:r>
          </w:p>
        </w:tc>
      </w:tr>
      <w:tr>
        <w:trPr>
          <w:cantSplit/>
        </w:trPr>
        <w:tc>
          <w:tcPr>
            <w:tcW w:w="924" w:type="dxa"/>
          </w:tcPr>
          <w:p>
            <w:pPr>
              <w:keepLines/>
              <w:autoSpaceDE w:val="0"/>
              <w:autoSpaceDN w:val="0"/>
              <w:adjustRightInd w:val="0"/>
              <w:spacing w:before="120"/>
              <w:rPr>
                <w:color w:val="000000"/>
                <w:sz w:val="20"/>
              </w:rPr>
            </w:pPr>
            <w:r>
              <w:rPr>
                <w:color w:val="000000"/>
                <w:sz w:val="20"/>
              </w:rPr>
              <w:t>52</w:t>
            </w:r>
          </w:p>
        </w:tc>
        <w:tc>
          <w:tcPr>
            <w:tcW w:w="6360" w:type="dxa"/>
            <w:vAlign w:val="center"/>
          </w:tcPr>
          <w:p>
            <w:pPr>
              <w:keepLines/>
              <w:autoSpaceDE w:val="0"/>
              <w:autoSpaceDN w:val="0"/>
              <w:adjustRightInd w:val="0"/>
              <w:spacing w:before="120"/>
              <w:rPr>
                <w:color w:val="000000"/>
                <w:sz w:val="20"/>
              </w:rPr>
            </w:pPr>
            <w:r>
              <w:rPr>
                <w:color w:val="000000"/>
                <w:sz w:val="20"/>
              </w:rPr>
              <w:t>AER ring fencing determinations and additional ring fencing requirements.</w:t>
            </w:r>
          </w:p>
        </w:tc>
      </w:tr>
      <w:tr>
        <w:trPr>
          <w:cantSplit/>
        </w:trPr>
        <w:tc>
          <w:tcPr>
            <w:tcW w:w="924" w:type="dxa"/>
          </w:tcPr>
          <w:p>
            <w:pPr>
              <w:keepLines/>
              <w:autoSpaceDE w:val="0"/>
              <w:autoSpaceDN w:val="0"/>
              <w:adjustRightInd w:val="0"/>
              <w:spacing w:before="120"/>
              <w:rPr>
                <w:color w:val="000000"/>
                <w:sz w:val="20"/>
              </w:rPr>
            </w:pPr>
            <w:r>
              <w:rPr>
                <w:color w:val="000000"/>
                <w:sz w:val="20"/>
              </w:rPr>
              <w:t>53</w:t>
            </w:r>
          </w:p>
        </w:tc>
        <w:tc>
          <w:tcPr>
            <w:tcW w:w="6360" w:type="dxa"/>
            <w:vAlign w:val="center"/>
          </w:tcPr>
          <w:p>
            <w:pPr>
              <w:keepLines/>
              <w:autoSpaceDE w:val="0"/>
              <w:autoSpaceDN w:val="0"/>
              <w:adjustRightInd w:val="0"/>
              <w:spacing w:before="120"/>
              <w:rPr>
                <w:color w:val="000000"/>
                <w:sz w:val="20"/>
              </w:rPr>
            </w:pPr>
            <w:r>
              <w:rPr>
                <w:color w:val="000000"/>
                <w:sz w:val="20"/>
              </w:rPr>
              <w:t>Exemptions from a minimum ring fencing requirement.</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Associate contracts</w:t>
            </w:r>
          </w:p>
        </w:tc>
      </w:tr>
      <w:tr>
        <w:trPr>
          <w:cantSplit/>
        </w:trPr>
        <w:tc>
          <w:tcPr>
            <w:tcW w:w="924" w:type="dxa"/>
          </w:tcPr>
          <w:p>
            <w:pPr>
              <w:keepLines/>
              <w:autoSpaceDE w:val="0"/>
              <w:autoSpaceDN w:val="0"/>
              <w:adjustRightInd w:val="0"/>
              <w:spacing w:before="120"/>
              <w:rPr>
                <w:color w:val="000000"/>
                <w:sz w:val="20"/>
              </w:rPr>
            </w:pPr>
            <w:r>
              <w:rPr>
                <w:color w:val="000000"/>
                <w:sz w:val="20"/>
              </w:rPr>
              <w:t>54</w:t>
            </w:r>
          </w:p>
        </w:tc>
        <w:tc>
          <w:tcPr>
            <w:tcW w:w="6360" w:type="dxa"/>
            <w:vAlign w:val="center"/>
          </w:tcPr>
          <w:p>
            <w:pPr>
              <w:keepLines/>
              <w:autoSpaceDE w:val="0"/>
              <w:autoSpaceDN w:val="0"/>
              <w:adjustRightInd w:val="0"/>
              <w:spacing w:before="120"/>
              <w:rPr>
                <w:color w:val="000000"/>
                <w:sz w:val="20"/>
              </w:rPr>
            </w:pPr>
            <w:r>
              <w:rPr>
                <w:color w:val="000000"/>
                <w:sz w:val="20"/>
              </w:rPr>
              <w:t>The approval by the AER of associate contracts and variations to associate contracts.</w:t>
            </w:r>
          </w:p>
        </w:tc>
      </w:tr>
      <w:tr>
        <w:trPr>
          <w:cantSplit/>
        </w:trPr>
        <w:tc>
          <w:tcPr>
            <w:tcW w:w="924" w:type="dxa"/>
          </w:tcPr>
          <w:p>
            <w:pPr>
              <w:keepLines/>
              <w:autoSpaceDE w:val="0"/>
              <w:autoSpaceDN w:val="0"/>
              <w:adjustRightInd w:val="0"/>
              <w:spacing w:before="120"/>
              <w:rPr>
                <w:color w:val="000000"/>
                <w:sz w:val="20"/>
              </w:rPr>
            </w:pPr>
            <w:r>
              <w:rPr>
                <w:color w:val="000000"/>
                <w:sz w:val="20"/>
              </w:rPr>
              <w:t>55</w:t>
            </w:r>
          </w:p>
        </w:tc>
        <w:tc>
          <w:tcPr>
            <w:tcW w:w="6360" w:type="dxa"/>
            <w:vAlign w:val="center"/>
          </w:tcPr>
          <w:p>
            <w:pPr>
              <w:keepLines/>
              <w:autoSpaceDE w:val="0"/>
              <w:autoSpaceDN w:val="0"/>
              <w:adjustRightInd w:val="0"/>
              <w:spacing w:before="120"/>
              <w:rPr>
                <w:color w:val="000000"/>
                <w:sz w:val="20"/>
              </w:rPr>
            </w:pPr>
            <w:r>
              <w:rPr>
                <w:color w:val="000000"/>
                <w:sz w:val="20"/>
              </w:rPr>
              <w:t>The grounds on which the AER may approve associate contracts and variations to associate contracts, including grounds different from those specified in section 147 or section 148.</w:t>
            </w:r>
          </w:p>
        </w:tc>
      </w:tr>
      <w:tr>
        <w:trPr>
          <w:cantSplit/>
        </w:trPr>
        <w:tc>
          <w:tcPr>
            <w:tcW w:w="7284" w:type="dxa"/>
            <w:gridSpan w:val="2"/>
            <w:vAlign w:val="center"/>
          </w:tcPr>
          <w:p>
            <w:pPr>
              <w:keepNext/>
              <w:keepLines/>
              <w:autoSpaceDE w:val="0"/>
              <w:autoSpaceDN w:val="0"/>
              <w:adjustRightInd w:val="0"/>
              <w:spacing w:before="120"/>
              <w:rPr>
                <w:color w:val="000000"/>
                <w:sz w:val="20"/>
              </w:rPr>
            </w:pPr>
            <w:r>
              <w:rPr>
                <w:b/>
                <w:bCs/>
                <w:color w:val="000000"/>
                <w:sz w:val="20"/>
              </w:rPr>
              <w:t>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56</w:t>
            </w:r>
          </w:p>
        </w:tc>
        <w:tc>
          <w:tcPr>
            <w:tcW w:w="6360" w:type="dxa"/>
            <w:vAlign w:val="center"/>
          </w:tcPr>
          <w:p>
            <w:pPr>
              <w:keepLines/>
              <w:autoSpaceDE w:val="0"/>
              <w:autoSpaceDN w:val="0"/>
              <w:adjustRightInd w:val="0"/>
              <w:spacing w:before="120"/>
              <w:rPr>
                <w:color w:val="000000"/>
                <w:sz w:val="20"/>
              </w:rPr>
            </w:pPr>
            <w:r>
              <w:rPr>
                <w:color w:val="000000"/>
                <w:sz w:val="20"/>
              </w:rPr>
              <w:t>The establishment and maintenance of a website that contains information in relation to natural gas services.</w:t>
            </w:r>
          </w:p>
        </w:tc>
      </w:tr>
      <w:tr>
        <w:trPr>
          <w:cantSplit/>
        </w:trPr>
        <w:tc>
          <w:tcPr>
            <w:tcW w:w="924" w:type="dxa"/>
          </w:tcPr>
          <w:p>
            <w:pPr>
              <w:keepLines/>
              <w:autoSpaceDE w:val="0"/>
              <w:autoSpaceDN w:val="0"/>
              <w:adjustRightInd w:val="0"/>
              <w:spacing w:before="120"/>
              <w:rPr>
                <w:color w:val="000000"/>
                <w:sz w:val="20"/>
              </w:rPr>
            </w:pPr>
            <w:r>
              <w:rPr>
                <w:color w:val="000000"/>
                <w:sz w:val="20"/>
              </w:rPr>
              <w:t>57</w:t>
            </w:r>
          </w:p>
        </w:tc>
        <w:tc>
          <w:tcPr>
            <w:tcW w:w="6360" w:type="dxa"/>
            <w:vAlign w:val="center"/>
          </w:tcPr>
          <w:p>
            <w:pPr>
              <w:keepLines/>
              <w:autoSpaceDE w:val="0"/>
              <w:autoSpaceDN w:val="0"/>
              <w:adjustRightInd w:val="0"/>
              <w:spacing w:before="120"/>
              <w:rPr>
                <w:color w:val="000000"/>
                <w:sz w:val="20"/>
              </w:rPr>
            </w:pPr>
            <w:r>
              <w:rPr>
                <w:color w:val="000000"/>
                <w:sz w:val="20"/>
              </w:rPr>
              <w:t>Principles to be applied, and procedures to be followed, by the Bulletin Board operator in exercising a power or performing a function in relation to the 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58</w:t>
            </w:r>
          </w:p>
        </w:tc>
        <w:tc>
          <w:tcPr>
            <w:tcW w:w="6360" w:type="dxa"/>
            <w:vAlign w:val="center"/>
          </w:tcPr>
          <w:p>
            <w:pPr>
              <w:keepLines/>
              <w:autoSpaceDE w:val="0"/>
              <w:autoSpaceDN w:val="0"/>
              <w:adjustRightInd w:val="0"/>
              <w:spacing w:before="120"/>
              <w:rPr>
                <w:color w:val="000000"/>
                <w:sz w:val="20"/>
              </w:rPr>
            </w:pPr>
            <w:r>
              <w:rPr>
                <w:color w:val="000000"/>
                <w:sz w:val="20"/>
              </w:rPr>
              <w:t>The kinds of information that may or must be given to the Bulletin Board operator, the circumstances in which the information may or must be given, and the procedure for giving the information.</w:t>
            </w:r>
          </w:p>
        </w:tc>
      </w:tr>
      <w:tr>
        <w:trPr>
          <w:cantSplit/>
        </w:trPr>
        <w:tc>
          <w:tcPr>
            <w:tcW w:w="924" w:type="dxa"/>
          </w:tcPr>
          <w:p>
            <w:pPr>
              <w:keepLines/>
              <w:autoSpaceDE w:val="0"/>
              <w:autoSpaceDN w:val="0"/>
              <w:adjustRightInd w:val="0"/>
              <w:spacing w:before="120"/>
              <w:rPr>
                <w:color w:val="000000"/>
                <w:sz w:val="20"/>
              </w:rPr>
            </w:pPr>
            <w:r>
              <w:rPr>
                <w:color w:val="000000"/>
                <w:sz w:val="20"/>
              </w:rPr>
              <w:t>59</w:t>
            </w:r>
          </w:p>
        </w:tc>
        <w:tc>
          <w:tcPr>
            <w:tcW w:w="6360" w:type="dxa"/>
            <w:vAlign w:val="center"/>
          </w:tcPr>
          <w:p>
            <w:pPr>
              <w:keepLines/>
              <w:autoSpaceDE w:val="0"/>
              <w:autoSpaceDN w:val="0"/>
              <w:adjustRightInd w:val="0"/>
              <w:spacing w:before="120"/>
              <w:rPr>
                <w:color w:val="000000"/>
                <w:sz w:val="20"/>
              </w:rPr>
            </w:pPr>
            <w:r>
              <w:rPr>
                <w:color w:val="000000"/>
                <w:sz w:val="20"/>
              </w:rPr>
              <w:t>The kinds of information that may or must be included on the Natural Gas Services Bulletin Board and the manner in which information is to be dealt with before being put on the Natural Gas Services Bulletin Board, including, but not limited to, the removal of information that would identify the person who gave the information.</w:t>
            </w:r>
          </w:p>
        </w:tc>
      </w:tr>
      <w:tr>
        <w:trPr>
          <w:cantSplit/>
        </w:trPr>
        <w:tc>
          <w:tcPr>
            <w:tcW w:w="924" w:type="dxa"/>
          </w:tcPr>
          <w:p>
            <w:pPr>
              <w:keepLines/>
              <w:autoSpaceDE w:val="0"/>
              <w:autoSpaceDN w:val="0"/>
              <w:adjustRightInd w:val="0"/>
              <w:spacing w:before="120"/>
              <w:rPr>
                <w:color w:val="000000"/>
                <w:sz w:val="20"/>
              </w:rPr>
            </w:pPr>
            <w:r>
              <w:rPr>
                <w:color w:val="000000"/>
                <w:sz w:val="20"/>
              </w:rPr>
              <w:t>60</w:t>
            </w:r>
          </w:p>
        </w:tc>
        <w:tc>
          <w:tcPr>
            <w:tcW w:w="6360" w:type="dxa"/>
            <w:vAlign w:val="center"/>
          </w:tcPr>
          <w:p>
            <w:pPr>
              <w:keepLines/>
              <w:autoSpaceDE w:val="0"/>
              <w:autoSpaceDN w:val="0"/>
              <w:adjustRightInd w:val="0"/>
              <w:spacing w:before="120"/>
              <w:rPr>
                <w:color w:val="000000"/>
                <w:sz w:val="20"/>
              </w:rPr>
            </w:pPr>
            <w:r>
              <w:rPr>
                <w:color w:val="000000"/>
                <w:sz w:val="20"/>
              </w:rPr>
              <w:t>Persons, or classes of persons, to whom the requirement to give information does not apply and the circumstances in which the requirement does not apply, including, but not limited to, the grant of power to the Bulletin Board operator to exempt persons, or classes of persons, from that requirement.</w:t>
            </w:r>
          </w:p>
        </w:tc>
      </w:tr>
      <w:tr>
        <w:trPr>
          <w:cantSplit/>
        </w:trPr>
        <w:tc>
          <w:tcPr>
            <w:tcW w:w="924" w:type="dxa"/>
          </w:tcPr>
          <w:p>
            <w:pPr>
              <w:keepLines/>
              <w:autoSpaceDE w:val="0"/>
              <w:autoSpaceDN w:val="0"/>
              <w:adjustRightInd w:val="0"/>
              <w:spacing w:before="120"/>
              <w:rPr>
                <w:color w:val="000000"/>
                <w:sz w:val="20"/>
              </w:rPr>
            </w:pPr>
            <w:r>
              <w:rPr>
                <w:color w:val="000000"/>
                <w:sz w:val="20"/>
              </w:rPr>
              <w:t>61</w:t>
            </w:r>
          </w:p>
        </w:tc>
        <w:tc>
          <w:tcPr>
            <w:tcW w:w="6360" w:type="dxa"/>
            <w:vAlign w:val="center"/>
          </w:tcPr>
          <w:p>
            <w:pPr>
              <w:keepLines/>
              <w:autoSpaceDE w:val="0"/>
              <w:autoSpaceDN w:val="0"/>
              <w:adjustRightInd w:val="0"/>
              <w:spacing w:before="120"/>
              <w:rPr>
                <w:color w:val="000000"/>
                <w:sz w:val="20"/>
              </w:rPr>
            </w:pPr>
            <w:r>
              <w:rPr>
                <w:color w:val="000000"/>
                <w:sz w:val="20"/>
              </w:rPr>
              <w:t>The circumstances in which the requirement to give information may start to apply again to the persons, or classes of persons, mentioned in item 60.</w:t>
            </w:r>
          </w:p>
        </w:tc>
      </w:tr>
      <w:tr>
        <w:trPr>
          <w:cantSplit/>
        </w:trPr>
        <w:tc>
          <w:tcPr>
            <w:tcW w:w="924" w:type="dxa"/>
          </w:tcPr>
          <w:p>
            <w:pPr>
              <w:keepLines/>
              <w:autoSpaceDE w:val="0"/>
              <w:autoSpaceDN w:val="0"/>
              <w:adjustRightInd w:val="0"/>
              <w:spacing w:before="120"/>
              <w:rPr>
                <w:color w:val="000000"/>
                <w:sz w:val="20"/>
              </w:rPr>
            </w:pPr>
            <w:r>
              <w:rPr>
                <w:color w:val="000000"/>
                <w:sz w:val="20"/>
              </w:rPr>
              <w:t>62</w:t>
            </w:r>
          </w:p>
        </w:tc>
        <w:tc>
          <w:tcPr>
            <w:tcW w:w="6360" w:type="dxa"/>
            <w:vAlign w:val="center"/>
          </w:tcPr>
          <w:p>
            <w:pPr>
              <w:keepLines/>
              <w:autoSpaceDE w:val="0"/>
              <w:autoSpaceDN w:val="0"/>
              <w:adjustRightInd w:val="0"/>
              <w:spacing w:before="120"/>
              <w:rPr>
                <w:color w:val="000000"/>
                <w:sz w:val="20"/>
              </w:rPr>
            </w:pPr>
            <w:r>
              <w:rPr>
                <w:color w:val="000000"/>
                <w:sz w:val="20"/>
              </w:rPr>
              <w:t>Persons, or classes of persons, who may access the Natural Gas Services Bulletin Board and the class, or classes, of information to which they may have access.</w:t>
            </w:r>
          </w:p>
        </w:tc>
      </w:tr>
      <w:tr>
        <w:trPr>
          <w:cantSplit/>
        </w:trPr>
        <w:tc>
          <w:tcPr>
            <w:tcW w:w="924" w:type="dxa"/>
          </w:tcPr>
          <w:p>
            <w:pPr>
              <w:keepLines/>
              <w:autoSpaceDE w:val="0"/>
              <w:autoSpaceDN w:val="0"/>
              <w:adjustRightInd w:val="0"/>
              <w:spacing w:before="120"/>
              <w:rPr>
                <w:color w:val="000000"/>
                <w:sz w:val="20"/>
              </w:rPr>
            </w:pPr>
            <w:r>
              <w:rPr>
                <w:color w:val="000000"/>
                <w:sz w:val="20"/>
              </w:rPr>
              <w:t>63</w:t>
            </w:r>
          </w:p>
        </w:tc>
        <w:tc>
          <w:tcPr>
            <w:tcW w:w="6360" w:type="dxa"/>
            <w:vAlign w:val="center"/>
          </w:tcPr>
          <w:p>
            <w:pPr>
              <w:keepLines/>
              <w:autoSpaceDE w:val="0"/>
              <w:autoSpaceDN w:val="0"/>
              <w:adjustRightInd w:val="0"/>
              <w:spacing w:before="120"/>
              <w:rPr>
                <w:color w:val="000000"/>
                <w:sz w:val="20"/>
              </w:rPr>
            </w:pPr>
            <w:r>
              <w:rPr>
                <w:color w:val="000000"/>
                <w:sz w:val="20"/>
              </w:rPr>
              <w:t>The terms and conditions on which the persons, or classes of persons, mentioned in item 62 may access the 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64</w:t>
            </w:r>
          </w:p>
        </w:tc>
        <w:tc>
          <w:tcPr>
            <w:tcW w:w="6360" w:type="dxa"/>
            <w:vAlign w:val="center"/>
          </w:tcPr>
          <w:p>
            <w:pPr>
              <w:keepLines/>
              <w:autoSpaceDE w:val="0"/>
              <w:autoSpaceDN w:val="0"/>
              <w:adjustRightInd w:val="0"/>
              <w:spacing w:before="120"/>
              <w:rPr>
                <w:color w:val="000000"/>
                <w:sz w:val="20"/>
              </w:rPr>
            </w:pPr>
            <w:r>
              <w:rPr>
                <w:color w:val="000000"/>
                <w:sz w:val="20"/>
              </w:rPr>
              <w:t>The procedure for dealing with information that was, but is no longer, on the 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65</w:t>
            </w:r>
          </w:p>
        </w:tc>
        <w:tc>
          <w:tcPr>
            <w:tcW w:w="6360" w:type="dxa"/>
            <w:vAlign w:val="center"/>
          </w:tcPr>
          <w:p>
            <w:pPr>
              <w:keepLines/>
              <w:autoSpaceDE w:val="0"/>
              <w:autoSpaceDN w:val="0"/>
              <w:adjustRightInd w:val="0"/>
              <w:spacing w:before="120"/>
              <w:rPr>
                <w:color w:val="000000"/>
                <w:sz w:val="20"/>
              </w:rPr>
            </w:pPr>
            <w:r>
              <w:rPr>
                <w:color w:val="000000"/>
                <w:sz w:val="20"/>
              </w:rPr>
              <w:t>Persons, or classes of persons, who may have access to information that was, but is no longer on the Natural Gas Services Bulletin Board and the class, or classes, of information to which they may have access.</w:t>
            </w:r>
          </w:p>
        </w:tc>
      </w:tr>
      <w:tr>
        <w:trPr>
          <w:cantSplit/>
        </w:trPr>
        <w:tc>
          <w:tcPr>
            <w:tcW w:w="924" w:type="dxa"/>
          </w:tcPr>
          <w:p>
            <w:pPr>
              <w:keepLines/>
              <w:autoSpaceDE w:val="0"/>
              <w:autoSpaceDN w:val="0"/>
              <w:adjustRightInd w:val="0"/>
              <w:spacing w:before="120"/>
              <w:rPr>
                <w:color w:val="000000"/>
                <w:sz w:val="20"/>
              </w:rPr>
            </w:pPr>
            <w:r>
              <w:rPr>
                <w:color w:val="000000"/>
                <w:sz w:val="20"/>
              </w:rPr>
              <w:t>66</w:t>
            </w:r>
          </w:p>
        </w:tc>
        <w:tc>
          <w:tcPr>
            <w:tcW w:w="6360" w:type="dxa"/>
            <w:vAlign w:val="center"/>
          </w:tcPr>
          <w:p>
            <w:pPr>
              <w:keepLines/>
              <w:autoSpaceDE w:val="0"/>
              <w:autoSpaceDN w:val="0"/>
              <w:adjustRightInd w:val="0"/>
              <w:spacing w:before="120"/>
              <w:rPr>
                <w:color w:val="000000"/>
                <w:sz w:val="20"/>
              </w:rPr>
            </w:pPr>
            <w:r>
              <w:rPr>
                <w:color w:val="000000"/>
                <w:sz w:val="20"/>
              </w:rPr>
              <w:t>The terms and conditions on which the persons, or classes of persons, mentioned in item 65 may have access to information that was, but is no longer on the 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67</w:t>
            </w:r>
          </w:p>
        </w:tc>
        <w:tc>
          <w:tcPr>
            <w:tcW w:w="6360" w:type="dxa"/>
            <w:vAlign w:val="center"/>
          </w:tcPr>
          <w:p>
            <w:pPr>
              <w:keepLines/>
              <w:autoSpaceDE w:val="0"/>
              <w:autoSpaceDN w:val="0"/>
              <w:adjustRightInd w:val="0"/>
              <w:spacing w:before="120"/>
              <w:rPr>
                <w:color w:val="000000"/>
                <w:sz w:val="20"/>
              </w:rPr>
            </w:pPr>
            <w:r>
              <w:rPr>
                <w:color w:val="000000"/>
                <w:sz w:val="20"/>
              </w:rPr>
              <w:t>The terms and conditions on which service providers, or classes of service providers, may recover amounts from the Bulletin Board operator for aggregating Bulletin Board information for the Bulletin Board operator.</w:t>
            </w:r>
          </w:p>
        </w:tc>
      </w:tr>
      <w:tr>
        <w:trPr>
          <w:cantSplit/>
        </w:trPr>
        <w:tc>
          <w:tcPr>
            <w:tcW w:w="924" w:type="dxa"/>
          </w:tcPr>
          <w:p>
            <w:pPr>
              <w:keepLines/>
              <w:autoSpaceDE w:val="0"/>
              <w:autoSpaceDN w:val="0"/>
              <w:adjustRightInd w:val="0"/>
              <w:spacing w:before="120"/>
              <w:rPr>
                <w:color w:val="000000"/>
                <w:sz w:val="20"/>
              </w:rPr>
            </w:pPr>
            <w:r>
              <w:rPr>
                <w:color w:val="000000"/>
                <w:sz w:val="20"/>
              </w:rPr>
              <w:t>68</w:t>
            </w:r>
          </w:p>
        </w:tc>
        <w:tc>
          <w:tcPr>
            <w:tcW w:w="6360" w:type="dxa"/>
            <w:vAlign w:val="center"/>
          </w:tcPr>
          <w:p>
            <w:pPr>
              <w:keepLines/>
              <w:autoSpaceDE w:val="0"/>
              <w:autoSpaceDN w:val="0"/>
              <w:adjustRightInd w:val="0"/>
              <w:spacing w:before="120"/>
              <w:rPr>
                <w:color w:val="000000"/>
                <w:sz w:val="20"/>
              </w:rPr>
            </w:pPr>
            <w:r>
              <w:rPr>
                <w:color w:val="000000"/>
                <w:sz w:val="20"/>
              </w:rPr>
              <w:t>Matters mentioned in items 56 to 67, in so far as they relate to emergency situations.</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Miscellaneous</w:t>
            </w:r>
          </w:p>
        </w:tc>
      </w:tr>
      <w:tr>
        <w:trPr>
          <w:cantSplit/>
        </w:trPr>
        <w:tc>
          <w:tcPr>
            <w:tcW w:w="924" w:type="dxa"/>
          </w:tcPr>
          <w:p>
            <w:pPr>
              <w:keepLines/>
              <w:autoSpaceDE w:val="0"/>
              <w:autoSpaceDN w:val="0"/>
              <w:adjustRightInd w:val="0"/>
              <w:spacing w:before="120"/>
              <w:rPr>
                <w:color w:val="000000"/>
                <w:sz w:val="20"/>
              </w:rPr>
            </w:pPr>
            <w:r>
              <w:rPr>
                <w:color w:val="000000"/>
                <w:sz w:val="20"/>
              </w:rPr>
              <w:t>69</w:t>
            </w:r>
          </w:p>
        </w:tc>
        <w:tc>
          <w:tcPr>
            <w:tcW w:w="6360" w:type="dxa"/>
            <w:vAlign w:val="center"/>
          </w:tcPr>
          <w:p>
            <w:pPr>
              <w:keepLines/>
              <w:autoSpaceDE w:val="0"/>
              <w:autoSpaceDN w:val="0"/>
              <w:adjustRightInd w:val="0"/>
              <w:spacing w:before="120"/>
              <w:rPr>
                <w:color w:val="000000"/>
                <w:sz w:val="20"/>
              </w:rPr>
            </w:pPr>
            <w:r>
              <w:rPr>
                <w:color w:val="000000"/>
                <w:sz w:val="20"/>
              </w:rPr>
              <w:t>Specification of pipeline services as reference services.</w:t>
            </w:r>
          </w:p>
        </w:tc>
      </w:tr>
      <w:tr>
        <w:trPr>
          <w:cantSplit/>
        </w:trPr>
        <w:tc>
          <w:tcPr>
            <w:tcW w:w="924" w:type="dxa"/>
          </w:tcPr>
          <w:p>
            <w:pPr>
              <w:keepLines/>
              <w:autoSpaceDE w:val="0"/>
              <w:autoSpaceDN w:val="0"/>
              <w:adjustRightInd w:val="0"/>
              <w:spacing w:before="120"/>
              <w:rPr>
                <w:color w:val="000000"/>
                <w:sz w:val="20"/>
              </w:rPr>
            </w:pPr>
            <w:r>
              <w:rPr>
                <w:color w:val="000000"/>
                <w:sz w:val="20"/>
              </w:rPr>
              <w:t>70</w:t>
            </w:r>
          </w:p>
        </w:tc>
        <w:tc>
          <w:tcPr>
            <w:tcW w:w="6360" w:type="dxa"/>
            <w:vAlign w:val="center"/>
          </w:tcPr>
          <w:p>
            <w:pPr>
              <w:keepLines/>
              <w:autoSpaceDE w:val="0"/>
              <w:autoSpaceDN w:val="0"/>
              <w:adjustRightInd w:val="0"/>
              <w:spacing w:before="120"/>
              <w:rPr>
                <w:color w:val="000000"/>
                <w:sz w:val="20"/>
              </w:rPr>
            </w:pPr>
            <w:r>
              <w:rPr>
                <w:color w:val="000000"/>
                <w:sz w:val="20"/>
              </w:rPr>
              <w:t>The preparation (including public consultation) and publication by the AER of discussion papers relating to the AER’s functions and powers under this Law and the Rules.</w:t>
            </w:r>
          </w:p>
        </w:tc>
      </w:tr>
      <w:tr>
        <w:trPr>
          <w:cantSplit/>
        </w:trPr>
        <w:tc>
          <w:tcPr>
            <w:tcW w:w="924" w:type="dxa"/>
          </w:tcPr>
          <w:p>
            <w:pPr>
              <w:keepLines/>
              <w:autoSpaceDE w:val="0"/>
              <w:autoSpaceDN w:val="0"/>
              <w:adjustRightInd w:val="0"/>
              <w:spacing w:before="120"/>
              <w:rPr>
                <w:color w:val="000000"/>
                <w:sz w:val="20"/>
              </w:rPr>
            </w:pPr>
            <w:r>
              <w:rPr>
                <w:color w:val="000000"/>
                <w:sz w:val="20"/>
              </w:rPr>
              <w:t>71</w:t>
            </w:r>
          </w:p>
        </w:tc>
        <w:tc>
          <w:tcPr>
            <w:tcW w:w="6360" w:type="dxa"/>
            <w:vAlign w:val="center"/>
          </w:tcPr>
          <w:p>
            <w:pPr>
              <w:keepLines/>
              <w:autoSpaceDE w:val="0"/>
              <w:autoSpaceDN w:val="0"/>
              <w:adjustRightInd w:val="0"/>
              <w:spacing w:before="120"/>
              <w:rPr>
                <w:color w:val="000000"/>
                <w:sz w:val="20"/>
              </w:rPr>
            </w:pPr>
            <w:r>
              <w:rPr>
                <w:color w:val="000000"/>
                <w:sz w:val="20"/>
              </w:rPr>
              <w:t>Reviews by or on behalf of—</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AER or the AEMC;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any other person appointed, in accordance with the Rules.</w:t>
            </w:r>
          </w:p>
        </w:tc>
      </w:tr>
      <w:tr>
        <w:trPr>
          <w:cantSplit/>
        </w:trPr>
        <w:tc>
          <w:tcPr>
            <w:tcW w:w="924" w:type="dxa"/>
          </w:tcPr>
          <w:p>
            <w:pPr>
              <w:keepLines/>
              <w:autoSpaceDE w:val="0"/>
              <w:autoSpaceDN w:val="0"/>
              <w:adjustRightInd w:val="0"/>
              <w:spacing w:before="120"/>
              <w:rPr>
                <w:color w:val="000000"/>
                <w:sz w:val="20"/>
              </w:rPr>
            </w:pPr>
            <w:r>
              <w:rPr>
                <w:color w:val="000000"/>
                <w:sz w:val="20"/>
              </w:rPr>
              <w:t>72</w:t>
            </w:r>
          </w:p>
        </w:tc>
        <w:tc>
          <w:tcPr>
            <w:tcW w:w="6360" w:type="dxa"/>
            <w:vAlign w:val="center"/>
          </w:tcPr>
          <w:p>
            <w:pPr>
              <w:keepLines/>
              <w:autoSpaceDE w:val="0"/>
              <w:autoSpaceDN w:val="0"/>
              <w:adjustRightInd w:val="0"/>
              <w:spacing w:before="120"/>
              <w:rPr>
                <w:color w:val="000000"/>
                <w:sz w:val="20"/>
              </w:rPr>
            </w:pPr>
            <w:r>
              <w:rPr>
                <w:color w:val="000000"/>
                <w:sz w:val="20"/>
              </w:rPr>
              <w:t>Reporting and disclosing information to the AER.</w:t>
            </w:r>
          </w:p>
        </w:tc>
      </w:tr>
      <w:tr>
        <w:trPr>
          <w:cantSplit/>
        </w:trPr>
        <w:tc>
          <w:tcPr>
            <w:tcW w:w="924" w:type="dxa"/>
          </w:tcPr>
          <w:p>
            <w:pPr>
              <w:keepLines/>
              <w:autoSpaceDE w:val="0"/>
              <w:autoSpaceDN w:val="0"/>
              <w:adjustRightInd w:val="0"/>
              <w:spacing w:before="120"/>
              <w:rPr>
                <w:color w:val="000000"/>
                <w:sz w:val="20"/>
              </w:rPr>
            </w:pPr>
            <w:r>
              <w:rPr>
                <w:color w:val="000000"/>
                <w:sz w:val="20"/>
              </w:rPr>
              <w:t>73</w:t>
            </w:r>
          </w:p>
        </w:tc>
        <w:tc>
          <w:tcPr>
            <w:tcW w:w="6360" w:type="dxa"/>
            <w:vAlign w:val="center"/>
          </w:tcPr>
          <w:p>
            <w:pPr>
              <w:keepLines/>
              <w:autoSpaceDE w:val="0"/>
              <w:autoSpaceDN w:val="0"/>
              <w:adjustRightInd w:val="0"/>
              <w:spacing w:before="120"/>
              <w:rPr>
                <w:color w:val="000000"/>
                <w:sz w:val="20"/>
              </w:rPr>
            </w:pPr>
            <w:r>
              <w:rPr>
                <w:color w:val="000000"/>
                <w:sz w:val="20"/>
              </w:rPr>
              <w:t>Procedure to be followed by the NCC or a relevant Minister in dealing with an application for—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 coverage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 coverage revocation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a 15</w:t>
            </w:r>
            <w:r>
              <w:rPr>
                <w:color w:val="000000"/>
                <w:sz w:val="20"/>
              </w:rPr>
              <w:noBreakHyphen/>
              <w:t>year no</w:t>
            </w:r>
            <w:r>
              <w:rPr>
                <w:color w:val="000000"/>
                <w:sz w:val="20"/>
              </w:rPr>
              <w:noBreakHyphen/>
              <w:t>coverage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a price regulation exemption;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(e)</w:t>
            </w:r>
            <w:r>
              <w:rPr>
                <w:color w:val="000000"/>
                <w:sz w:val="20"/>
              </w:rPr>
              <w:tab/>
              <w:t>a reclassification decision;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(f)</w:t>
            </w:r>
            <w:r>
              <w:rPr>
                <w:color w:val="000000"/>
                <w:sz w:val="20"/>
              </w:rPr>
              <w:tab/>
              <w:t>a light regulation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(g)</w:t>
            </w:r>
            <w:r>
              <w:rPr>
                <w:color w:val="000000"/>
                <w:sz w:val="20"/>
              </w:rPr>
              <w:tab/>
              <w:t>a determination to revoke a light regulation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74</w:t>
            </w:r>
          </w:p>
        </w:tc>
        <w:tc>
          <w:tcPr>
            <w:tcW w:w="6360" w:type="dxa"/>
            <w:vAlign w:val="center"/>
          </w:tcPr>
          <w:p>
            <w:pPr>
              <w:keepLines/>
              <w:autoSpaceDE w:val="0"/>
              <w:autoSpaceDN w:val="0"/>
              <w:adjustRightInd w:val="0"/>
              <w:spacing w:before="120"/>
              <w:rPr>
                <w:color w:val="000000"/>
                <w:sz w:val="20"/>
              </w:rPr>
            </w:pPr>
            <w:r>
              <w:rPr>
                <w:color w:val="000000"/>
                <w:sz w:val="20"/>
              </w:rPr>
              <w:t>The publication and the giving of NCC recommendations or decisions or Ministerial coverage decisions.</w:t>
            </w:r>
          </w:p>
        </w:tc>
      </w:tr>
      <w:tr>
        <w:trPr>
          <w:cantSplit/>
        </w:trPr>
        <w:tc>
          <w:tcPr>
            <w:tcW w:w="924" w:type="dxa"/>
          </w:tcPr>
          <w:p>
            <w:pPr>
              <w:keepLines/>
              <w:autoSpaceDE w:val="0"/>
              <w:autoSpaceDN w:val="0"/>
              <w:adjustRightInd w:val="0"/>
              <w:spacing w:before="120"/>
              <w:rPr>
                <w:color w:val="000000"/>
                <w:sz w:val="20"/>
              </w:rPr>
            </w:pPr>
            <w:r>
              <w:rPr>
                <w:color w:val="000000"/>
                <w:sz w:val="20"/>
              </w:rPr>
              <w:t>75</w:t>
            </w:r>
          </w:p>
        </w:tc>
        <w:tc>
          <w:tcPr>
            <w:tcW w:w="6360" w:type="dxa"/>
            <w:vAlign w:val="center"/>
          </w:tcPr>
          <w:p>
            <w:pPr>
              <w:keepLines/>
              <w:autoSpaceDE w:val="0"/>
              <w:autoSpaceDN w:val="0"/>
              <w:adjustRightInd w:val="0"/>
              <w:spacing w:before="120"/>
              <w:rPr>
                <w:color w:val="000000"/>
                <w:sz w:val="20"/>
              </w:rPr>
            </w:pPr>
            <w:r>
              <w:rPr>
                <w:color w:val="000000"/>
                <w:sz w:val="20"/>
              </w:rPr>
              <w:t>The establishment and maintenance of a register by the AEMC of all previous and current—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coverage determinations;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coverage revocation determinations;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greenfields pipeline incentives;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decisions under section 99 not to make a coverage determination;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(e)</w:t>
            </w:r>
            <w:r>
              <w:rPr>
                <w:color w:val="000000"/>
                <w:sz w:val="20"/>
              </w:rPr>
              <w:tab/>
              <w:t>decisions under section 106 not to make a coverage revocation determination;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(f)</w:t>
            </w:r>
            <w:r>
              <w:rPr>
                <w:color w:val="000000"/>
                <w:sz w:val="20"/>
              </w:rPr>
              <w:tab/>
              <w:t>decisions under section 156 not to make a 15</w:t>
            </w:r>
            <w:r>
              <w:rPr>
                <w:color w:val="000000"/>
                <w:sz w:val="20"/>
              </w:rPr>
              <w:noBreakHyphen/>
              <w:t>year no</w:t>
            </w:r>
            <w:r>
              <w:rPr>
                <w:color w:val="000000"/>
                <w:sz w:val="20"/>
              </w:rPr>
              <w:noBreakHyphen/>
              <w:t>coverage determination;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(g)</w:t>
            </w:r>
            <w:r>
              <w:rPr>
                <w:color w:val="000000"/>
                <w:sz w:val="20"/>
              </w:rPr>
              <w:tab/>
              <w:t>decisions under section 1.13 of the Gas Code that a pipeline is not covered under the old access law and Gas Code;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(h)</w:t>
            </w:r>
            <w:r>
              <w:rPr>
                <w:color w:val="000000"/>
                <w:sz w:val="20"/>
              </w:rPr>
              <w:tab/>
              <w:t>decisions under section 1.34 of the Gas Code that coverage of a covered pipeline under the old access law and Gas Code is not revoked;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(i)</w:t>
            </w:r>
            <w:r>
              <w:rPr>
                <w:color w:val="000000"/>
                <w:sz w:val="20"/>
              </w:rPr>
              <w:tab/>
              <w:t>tender approval decisions;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(j)</w:t>
            </w:r>
            <w:r>
              <w:rPr>
                <w:color w:val="000000"/>
                <w:sz w:val="20"/>
              </w:rPr>
              <w:tab/>
              <w:t>light regulation determinations;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(k)</w:t>
            </w:r>
            <w:r>
              <w:rPr>
                <w:color w:val="000000"/>
                <w:sz w:val="20"/>
              </w:rPr>
              <w:tab/>
              <w:t>decisions revoking light regulation determinations;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(l)</w:t>
            </w:r>
            <w:r>
              <w:rPr>
                <w:color w:val="000000"/>
                <w:sz w:val="20"/>
              </w:rPr>
              <w:tab/>
              <w:t>covered pipelines, including their description and classification as transmission pipelines or distribution pipelines;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(m)</w:t>
            </w:r>
            <w:r>
              <w:rPr>
                <w:color w:val="000000"/>
                <w:sz w:val="20"/>
              </w:rPr>
              <w:tab/>
              <w:t>covered pipelines by means of which light regulation services are or intended to be provided;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(n)</w:t>
            </w:r>
            <w:r>
              <w:rPr>
                <w:color w:val="000000"/>
                <w:sz w:val="20"/>
              </w:rPr>
              <w:tab/>
              <w:t>international pipelines;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(o)</w:t>
            </w:r>
            <w:r>
              <w:rPr>
                <w:color w:val="000000"/>
                <w:sz w:val="20"/>
              </w:rPr>
              <w:tab/>
              <w:t>applicable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76</w:t>
            </w:r>
          </w:p>
        </w:tc>
        <w:tc>
          <w:tcPr>
            <w:tcW w:w="6360" w:type="dxa"/>
            <w:vAlign w:val="center"/>
          </w:tcPr>
          <w:p>
            <w:pPr>
              <w:keepLines/>
              <w:autoSpaceDE w:val="0"/>
              <w:autoSpaceDN w:val="0"/>
              <w:adjustRightInd w:val="0"/>
              <w:spacing w:before="120"/>
              <w:rPr>
                <w:color w:val="000000"/>
                <w:sz w:val="20"/>
              </w:rPr>
            </w:pPr>
            <w:r>
              <w:rPr>
                <w:color w:val="000000"/>
                <w:sz w:val="20"/>
              </w:rPr>
              <w:t>The inclusion on the register referred to in item 75 of descriptions of—</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all old scheme transmission pipelines and old scheme distribution pipelines;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all old scheme classifications or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77</w:t>
            </w:r>
          </w:p>
        </w:tc>
        <w:tc>
          <w:tcPr>
            <w:tcW w:w="6360" w:type="dxa"/>
            <w:vAlign w:val="center"/>
          </w:tcPr>
          <w:p>
            <w:pPr>
              <w:keepLines/>
              <w:autoSpaceDE w:val="0"/>
              <w:autoSpaceDN w:val="0"/>
              <w:adjustRightInd w:val="0"/>
              <w:spacing w:before="120"/>
              <w:rPr>
                <w:color w:val="000000"/>
                <w:sz w:val="20"/>
              </w:rPr>
            </w:pPr>
            <w:r>
              <w:rPr>
                <w:color w:val="000000"/>
                <w:sz w:val="20"/>
              </w:rPr>
              <w:t>Time periods within which—</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NCC must make an NCC recommendation or decision;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AER must make a decision (including an AER economic regulatory decision).</w:t>
            </w:r>
          </w:p>
        </w:tc>
      </w:tr>
      <w:tr>
        <w:trPr>
          <w:cantSplit/>
        </w:trPr>
        <w:tc>
          <w:tcPr>
            <w:tcW w:w="924" w:type="dxa"/>
          </w:tcPr>
          <w:p>
            <w:pPr>
              <w:keepLines/>
              <w:autoSpaceDE w:val="0"/>
              <w:autoSpaceDN w:val="0"/>
              <w:adjustRightInd w:val="0"/>
              <w:spacing w:before="120"/>
              <w:rPr>
                <w:color w:val="000000"/>
                <w:sz w:val="20"/>
              </w:rPr>
            </w:pPr>
            <w:r>
              <w:rPr>
                <w:color w:val="000000"/>
                <w:sz w:val="20"/>
              </w:rPr>
              <w:t>78</w:t>
            </w:r>
          </w:p>
        </w:tc>
        <w:tc>
          <w:tcPr>
            <w:tcW w:w="6360" w:type="dxa"/>
            <w:vAlign w:val="center"/>
          </w:tcPr>
          <w:p>
            <w:pPr>
              <w:keepLines/>
              <w:autoSpaceDE w:val="0"/>
              <w:autoSpaceDN w:val="0"/>
              <w:adjustRightInd w:val="0"/>
              <w:spacing w:before="120"/>
              <w:rPr>
                <w:color w:val="000000"/>
                <w:sz w:val="20"/>
              </w:rPr>
            </w:pPr>
            <w:r>
              <w:rPr>
                <w:color w:val="000000"/>
                <w:sz w:val="20"/>
              </w:rPr>
              <w:t>Extensions to periods of time referred to in item 77.</w:t>
            </w:r>
          </w:p>
        </w:tc>
      </w:tr>
      <w:tr>
        <w:trPr>
          <w:cantSplit/>
        </w:trPr>
        <w:tc>
          <w:tcPr>
            <w:tcW w:w="924" w:type="dxa"/>
          </w:tcPr>
          <w:p>
            <w:pPr>
              <w:keepLines/>
              <w:autoSpaceDE w:val="0"/>
              <w:autoSpaceDN w:val="0"/>
              <w:adjustRightInd w:val="0"/>
              <w:spacing w:before="120"/>
              <w:rPr>
                <w:color w:val="000000"/>
                <w:sz w:val="20"/>
              </w:rPr>
            </w:pPr>
            <w:r>
              <w:rPr>
                <w:color w:val="000000"/>
                <w:sz w:val="20"/>
              </w:rPr>
              <w:t>79</w:t>
            </w:r>
          </w:p>
        </w:tc>
        <w:tc>
          <w:tcPr>
            <w:tcW w:w="6360" w:type="dxa"/>
            <w:vAlign w:val="center"/>
          </w:tcPr>
          <w:p>
            <w:pPr>
              <w:keepLines/>
              <w:autoSpaceDE w:val="0"/>
              <w:autoSpaceDN w:val="0"/>
              <w:adjustRightInd w:val="0"/>
              <w:spacing w:before="120"/>
              <w:rPr>
                <w:color w:val="000000"/>
                <w:sz w:val="20"/>
              </w:rPr>
            </w:pPr>
            <w:r>
              <w:rPr>
                <w:color w:val="000000"/>
                <w:sz w:val="20"/>
              </w:rPr>
              <w:t>Reports into failures to make decisions within a specified period of time and the publication of such reports.</w:t>
            </w:r>
          </w:p>
        </w:tc>
      </w:tr>
      <w:tr>
        <w:trPr>
          <w:cantSplit/>
        </w:trPr>
        <w:tc>
          <w:tcPr>
            <w:tcW w:w="924" w:type="dxa"/>
          </w:tcPr>
          <w:p>
            <w:pPr>
              <w:keepLines/>
              <w:autoSpaceDE w:val="0"/>
              <w:autoSpaceDN w:val="0"/>
              <w:adjustRightInd w:val="0"/>
              <w:spacing w:before="120"/>
              <w:rPr>
                <w:color w:val="000000"/>
                <w:sz w:val="20"/>
              </w:rPr>
            </w:pPr>
            <w:r>
              <w:rPr>
                <w:color w:val="000000"/>
                <w:sz w:val="20"/>
              </w:rPr>
              <w:t>80</w:t>
            </w:r>
          </w:p>
        </w:tc>
        <w:tc>
          <w:tcPr>
            <w:tcW w:w="6360" w:type="dxa"/>
            <w:vAlign w:val="center"/>
          </w:tcPr>
          <w:p>
            <w:pPr>
              <w:keepLines/>
              <w:autoSpaceDE w:val="0"/>
              <w:autoSpaceDN w:val="0"/>
              <w:adjustRightInd w:val="0"/>
              <w:spacing w:before="120"/>
              <w:rPr>
                <w:color w:val="000000"/>
                <w:sz w:val="20"/>
              </w:rPr>
            </w:pPr>
            <w:r>
              <w:rPr>
                <w:color w:val="000000"/>
                <w:sz w:val="20"/>
              </w:rPr>
              <w:t>Confidential information held by service providers, users, prospective users, end users, the AER, the AEMC, the NCC, the Bulletin Board operator and other persons or bodies conferred a function, or exercising a power or right, or on whom an obligation is imposed, under the Rules, and the manner and circumstances in which that information may be disclosed.</w:t>
            </w:r>
          </w:p>
        </w:tc>
      </w:tr>
      <w:tr>
        <w:trPr>
          <w:cantSplit/>
        </w:trPr>
        <w:tc>
          <w:tcPr>
            <w:tcW w:w="924" w:type="dxa"/>
          </w:tcPr>
          <w:p>
            <w:pPr>
              <w:keepLines/>
              <w:autoSpaceDE w:val="0"/>
              <w:autoSpaceDN w:val="0"/>
              <w:adjustRightInd w:val="0"/>
              <w:spacing w:before="120"/>
              <w:rPr>
                <w:color w:val="000000"/>
                <w:sz w:val="20"/>
              </w:rPr>
            </w:pPr>
            <w:r>
              <w:rPr>
                <w:color w:val="000000"/>
                <w:sz w:val="20"/>
              </w:rPr>
              <w:t>81</w:t>
            </w:r>
          </w:p>
        </w:tc>
        <w:tc>
          <w:tcPr>
            <w:tcW w:w="6360" w:type="dxa"/>
            <w:vAlign w:val="center"/>
          </w:tcPr>
          <w:p>
            <w:pPr>
              <w:keepLines/>
              <w:autoSpaceDE w:val="0"/>
              <w:autoSpaceDN w:val="0"/>
              <w:adjustRightInd w:val="0"/>
              <w:spacing w:before="120"/>
              <w:rPr>
                <w:color w:val="000000"/>
                <w:sz w:val="20"/>
              </w:rPr>
            </w:pPr>
            <w:r>
              <w:rPr>
                <w:color w:val="000000"/>
                <w:sz w:val="20"/>
              </w:rPr>
              <w:t>The modification of section 3, 8 or 10.8 of the Gas Code as those sections apply to a transitioned access arrangement (as defined in clause 1 of Schedule 3 to this Law).</w:t>
            </w:r>
          </w:p>
          <w:p>
            <w:pPr>
              <w:keepLines/>
              <w:autoSpaceDE w:val="0"/>
              <w:autoSpaceDN w:val="0"/>
              <w:adjustRightInd w:val="0"/>
              <w:spacing w:before="120"/>
              <w:ind w:left="794" w:hanging="794"/>
              <w:rPr>
                <w:b/>
                <w:bCs/>
                <w:color w:val="000000"/>
                <w:sz w:val="20"/>
              </w:rPr>
            </w:pPr>
            <w:r>
              <w:rPr>
                <w:b/>
                <w:bCs/>
                <w:color w:val="000000"/>
                <w:sz w:val="20"/>
              </w:rPr>
              <w:t>Note—</w:t>
            </w:r>
          </w:p>
          <w:p>
            <w:pPr>
              <w:keepLines/>
              <w:autoSpaceDE w:val="0"/>
              <w:autoSpaceDN w:val="0"/>
              <w:adjustRightInd w:val="0"/>
              <w:spacing w:before="120"/>
              <w:ind w:left="794"/>
              <w:rPr>
                <w:color w:val="000000"/>
                <w:sz w:val="20"/>
              </w:rPr>
            </w:pPr>
            <w:r>
              <w:rPr>
                <w:color w:val="000000"/>
                <w:sz w:val="20"/>
              </w:rPr>
              <w:t>See also clause 30 of Schedule 3 to this Law.</w:t>
            </w:r>
          </w:p>
        </w:tc>
      </w:tr>
      <w:tr>
        <w:trPr>
          <w:cantSplit/>
        </w:trPr>
        <w:tc>
          <w:tcPr>
            <w:tcW w:w="924" w:type="dxa"/>
          </w:tcPr>
          <w:p>
            <w:pPr>
              <w:keepNext/>
              <w:keepLines/>
              <w:autoSpaceDE w:val="0"/>
              <w:autoSpaceDN w:val="0"/>
              <w:adjustRightInd w:val="0"/>
              <w:spacing w:before="120"/>
              <w:rPr>
                <w:color w:val="000000"/>
                <w:sz w:val="20"/>
              </w:rPr>
            </w:pPr>
            <w:r>
              <w:rPr>
                <w:color w:val="000000"/>
                <w:sz w:val="20"/>
              </w:rPr>
              <w:t>82</w:t>
            </w:r>
          </w:p>
        </w:tc>
        <w:tc>
          <w:tcPr>
            <w:tcW w:w="6360" w:type="dxa"/>
            <w:vAlign w:val="center"/>
          </w:tcPr>
          <w:p>
            <w:pPr>
              <w:keepNext/>
              <w:keepLines/>
              <w:autoSpaceDE w:val="0"/>
              <w:autoSpaceDN w:val="0"/>
              <w:adjustRightInd w:val="0"/>
              <w:spacing w:before="120"/>
              <w:rPr>
                <w:color w:val="000000"/>
                <w:sz w:val="20"/>
              </w:rPr>
            </w:pPr>
            <w:r>
              <w:rPr>
                <w:color w:val="000000"/>
                <w:sz w:val="20"/>
              </w:rPr>
              <w:t xml:space="preserve">Any other matter or thing that is the subject of, or is of a kind dealt with by, a provision of the Gas Code as in operation and effect immediately before the commencement of </w:t>
            </w:r>
            <w:r>
              <w:rPr>
                <w:sz w:val="20"/>
              </w:rPr>
              <w:t xml:space="preserve">section 30 of the </w:t>
            </w:r>
            <w:r>
              <w:rPr>
                <w:i/>
                <w:iCs/>
                <w:sz w:val="20"/>
              </w:rPr>
              <w:t>National Gas Access (WA) Act 2009</w:t>
            </w:r>
            <w:r>
              <w:rPr>
                <w:sz w:val="20"/>
              </w:rPr>
              <w:t xml:space="preserve"> of Western Australia.</w:t>
            </w:r>
          </w:p>
        </w:tc>
      </w:tr>
      <w:tr>
        <w:trPr>
          <w:cantSplit/>
        </w:trPr>
        <w:tc>
          <w:tcPr>
            <w:tcW w:w="924" w:type="dxa"/>
          </w:tcPr>
          <w:p>
            <w:pPr>
              <w:keepNext/>
              <w:keepLines/>
              <w:autoSpaceDE w:val="0"/>
              <w:autoSpaceDN w:val="0"/>
              <w:adjustRightInd w:val="0"/>
              <w:spacing w:before="120"/>
              <w:rPr>
                <w:color w:val="000000"/>
                <w:sz w:val="20"/>
              </w:rPr>
            </w:pPr>
            <w:r>
              <w:rPr>
                <w:color w:val="000000"/>
                <w:sz w:val="20"/>
              </w:rPr>
              <w:t>83</w:t>
            </w:r>
          </w:p>
        </w:tc>
        <w:tc>
          <w:tcPr>
            <w:tcW w:w="6360" w:type="dxa"/>
            <w:vAlign w:val="center"/>
          </w:tcPr>
          <w:p>
            <w:pPr>
              <w:keepNext/>
              <w:keepLines/>
              <w:autoSpaceDE w:val="0"/>
              <w:autoSpaceDN w:val="0"/>
              <w:adjustRightInd w:val="0"/>
              <w:spacing w:before="120"/>
              <w:rPr>
                <w:color w:val="000000"/>
                <w:sz w:val="20"/>
              </w:rPr>
            </w:pPr>
            <w:r>
              <w:rPr>
                <w:color w:val="000000"/>
                <w:sz w:val="20"/>
              </w:rPr>
              <w:t>Any matter or thing relating to gas prescribed by the Regulations.</w:t>
            </w:r>
          </w:p>
        </w:tc>
      </w:tr>
    </w:tbl>
    <w:p>
      <w:pPr>
        <w:pStyle w:val="Footnotesection"/>
      </w:pPr>
      <w:r>
        <w:tab/>
        <w:t>[Schedule 1 modified: WA Act Sch. 1 cl. 14; amended see SA Act No. 23 of 2017 s. 9 and WA Gazette 22 Dec 2017 p. 5984.]</w:t>
      </w:r>
    </w:p>
    <w:p>
      <w:pPr>
        <w:keepNext/>
        <w:keepLines/>
        <w:autoSpaceDE w:val="0"/>
        <w:autoSpaceDN w:val="0"/>
        <w:adjustRightInd w:val="0"/>
        <w:spacing w:before="280"/>
        <w:ind w:left="1361" w:hanging="567"/>
        <w:rPr>
          <w:b/>
          <w:bCs/>
          <w:color w:val="000000"/>
          <w:sz w:val="32"/>
          <w:szCs w:val="32"/>
        </w:rPr>
        <w:sectPr>
          <w:headerReference w:type="even" r:id="rId36"/>
          <w:headerReference w:type="default" r:id="rId37"/>
          <w:headerReference w:type="first" r:id="rId38"/>
          <w:endnotePr>
            <w:numFmt w:val="decimal"/>
          </w:endnotePr>
          <w:pgSz w:w="11907" w:h="16840" w:code="9"/>
          <w:pgMar w:top="2381" w:right="2410" w:bottom="3544" w:left="2410" w:header="720" w:footer="3380" w:gutter="0"/>
          <w:cols w:space="720"/>
          <w:docGrid w:linePitch="326"/>
        </w:sectPr>
      </w:pPr>
    </w:p>
    <w:p>
      <w:pPr>
        <w:pStyle w:val="Heading2"/>
      </w:pPr>
      <w:bookmarkStart w:id="898" w:name="_Toc501634282"/>
      <w:bookmarkStart w:id="899" w:name="_Toc501713178"/>
      <w:bookmarkStart w:id="900" w:name="_Toc536782404"/>
      <w:r>
        <w:rPr>
          <w:rStyle w:val="CharPartNo"/>
        </w:rPr>
        <w:t>Schedule 2</w:t>
      </w:r>
      <w:r>
        <w:t xml:space="preserve"> — </w:t>
      </w:r>
      <w:r>
        <w:rPr>
          <w:rStyle w:val="CharPartText"/>
        </w:rPr>
        <w:t>Miscellaneous provisions relating to interpretation</w:t>
      </w:r>
      <w:bookmarkEnd w:id="898"/>
      <w:bookmarkEnd w:id="899"/>
      <w:bookmarkEnd w:id="900"/>
    </w:p>
    <w:p>
      <w:pPr>
        <w:keepNext/>
        <w:keepLines/>
        <w:autoSpaceDE w:val="0"/>
        <w:autoSpaceDN w:val="0"/>
        <w:adjustRightInd w:val="0"/>
        <w:spacing w:before="120"/>
        <w:ind w:left="794"/>
        <w:rPr>
          <w:color w:val="000000"/>
          <w:sz w:val="23"/>
          <w:szCs w:val="23"/>
        </w:rPr>
      </w:pPr>
      <w:r>
        <w:rPr>
          <w:color w:val="000000"/>
          <w:sz w:val="23"/>
          <w:szCs w:val="23"/>
        </w:rPr>
        <w:t>Section 20</w:t>
      </w:r>
    </w:p>
    <w:p>
      <w:pPr>
        <w:pStyle w:val="Heading3"/>
      </w:pPr>
      <w:bookmarkStart w:id="901" w:name="_Toc501634283"/>
      <w:bookmarkStart w:id="902" w:name="_Toc501713179"/>
      <w:bookmarkStart w:id="903" w:name="_Toc536782405"/>
      <w:r>
        <w:rPr>
          <w:rStyle w:val="CharDivNo"/>
        </w:rPr>
        <w:t>Part 1</w:t>
      </w:r>
      <w:r>
        <w:t xml:space="preserve"> — </w:t>
      </w:r>
      <w:r>
        <w:rPr>
          <w:rStyle w:val="CharDivText"/>
        </w:rPr>
        <w:t>Preliminary</w:t>
      </w:r>
      <w:bookmarkEnd w:id="901"/>
      <w:bookmarkEnd w:id="902"/>
      <w:bookmarkEnd w:id="903"/>
    </w:p>
    <w:p>
      <w:pPr>
        <w:pStyle w:val="Heading5"/>
      </w:pPr>
      <w:bookmarkStart w:id="904" w:name="_Toc536782406"/>
      <w:r>
        <w:rPr>
          <w:rStyle w:val="CharSectno"/>
        </w:rPr>
        <w:t>1</w:t>
      </w:r>
      <w:r>
        <w:t>.</w:t>
      </w:r>
      <w:r>
        <w:tab/>
        <w:t>Displacement of Schedule by contrary intention</w:t>
      </w:r>
      <w:bookmarkEnd w:id="90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application of this Schedule to this Law, the Regulations or other statutory instrument (other than the National Gas Rules) may be displaced, wholly or partly, by a contrary intention appearing in this Law or the Regulations or that statutory instrument.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application of this Schedule to the National Gas Rules (other than clauses 7, 12, 15, 17, 19 and 20, 23 to 26 and 31 to 44, 49, 52 and 53 of this Schedule) may be displaced, wholly or partly, by a contrary intention appearing in the National Gas Rules.</w:t>
      </w:r>
    </w:p>
    <w:p>
      <w:pPr>
        <w:pStyle w:val="Heading3"/>
      </w:pPr>
      <w:bookmarkStart w:id="905" w:name="_Toc501634285"/>
      <w:bookmarkStart w:id="906" w:name="_Toc501713181"/>
      <w:bookmarkStart w:id="907" w:name="_Toc536782407"/>
      <w:r>
        <w:rPr>
          <w:rStyle w:val="CharDivNo"/>
        </w:rPr>
        <w:t>Part 2</w:t>
      </w:r>
      <w:r>
        <w:t xml:space="preserve"> — </w:t>
      </w:r>
      <w:r>
        <w:rPr>
          <w:rStyle w:val="CharDivText"/>
        </w:rPr>
        <w:t>General</w:t>
      </w:r>
      <w:bookmarkEnd w:id="905"/>
      <w:bookmarkEnd w:id="906"/>
      <w:bookmarkEnd w:id="907"/>
    </w:p>
    <w:p>
      <w:pPr>
        <w:pStyle w:val="Heading5"/>
      </w:pPr>
      <w:bookmarkStart w:id="908" w:name="_Toc536782408"/>
      <w:r>
        <w:rPr>
          <w:rStyle w:val="CharSectno"/>
        </w:rPr>
        <w:t>2</w:t>
      </w:r>
      <w:r>
        <w:t>.</w:t>
      </w:r>
      <w:r>
        <w:tab/>
        <w:t>Law to be construed not to exceed legislative power of Legislature</w:t>
      </w:r>
      <w:bookmarkEnd w:id="90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Law is to be construed as operating to the full extent of, but so as not to exceed, the legislative power of the Legislature of this jurisdiction.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provision of this Law, or the application of a provision of this Law to a person, subject matter or circumstance, would, but for this clause, be construed as being in excess of the legislative power of the Legislature of this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is a valid provision to the extent to which it is not in excess of the power;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remainder of this Law, and the application of the provision to other persons, subject matters or circumstances, is not affected.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Without limiting subclause (2), this Law is not to be construed as imposing any duty on the Commonwealth Minister, the NCC, the Australian Competition Tribunal or AER to perform a function or exercise a power if the imposition of the duty would be in excess of the legislative power of the Legislature of this jurisdiction.</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 xml:space="preserve">The term </w:t>
      </w:r>
      <w:r>
        <w:rPr>
          <w:b/>
          <w:bCs/>
          <w:i/>
          <w:iCs/>
          <w:color w:val="000000"/>
          <w:sz w:val="20"/>
        </w:rPr>
        <w:t>function</w:t>
      </w:r>
      <w:r>
        <w:rPr>
          <w:color w:val="000000"/>
          <w:sz w:val="20"/>
        </w:rPr>
        <w:t xml:space="preserve"> is defined in clause 10 to include “duty”.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particular, if a provision of this Law appears to impose a duty on the Commonwealth Minister, the NCC, the Australian Competition Tribunal or AER to perform a function or exercise a power in matters or circumstances in which the assumption of the duty cannot be validly authorised under the law of the Commonwealth, or is otherwise ineffective, the provision is to be construed as if its operation were expressly confined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acts or omissions of corporations to which section 51(xx) of the </w:t>
      </w:r>
      <w:r>
        <w:rPr>
          <w:i/>
          <w:iCs/>
          <w:color w:val="000000"/>
          <w:sz w:val="23"/>
          <w:szCs w:val="23"/>
        </w:rPr>
        <w:t>Constitution of the Commonwealth</w:t>
      </w:r>
      <w:r>
        <w:rPr>
          <w:color w:val="000000"/>
          <w:sz w:val="23"/>
          <w:szCs w:val="23"/>
        </w:rPr>
        <w:t xml:space="preserve"> applies;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acts or omissions taking place in the course of, or in relation to, trade or commerce between this jurisdiction and places outside this jurisdiction (whether within or outside Australia);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acts or omissions taking place outside Australia, or in relation to things outside Australia.</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This clause does not limit the effect that a provision of this Law would validly have apart from this clause.</w:t>
      </w:r>
    </w:p>
    <w:p>
      <w:pPr>
        <w:pStyle w:val="Heading5"/>
      </w:pPr>
      <w:bookmarkStart w:id="909" w:name="_Toc536782409"/>
      <w:r>
        <w:rPr>
          <w:rStyle w:val="CharSectno"/>
        </w:rPr>
        <w:t>3</w:t>
      </w:r>
      <w:r>
        <w:t>.</w:t>
      </w:r>
      <w:r>
        <w:tab/>
        <w:t>Vacant provision</w:t>
      </w:r>
      <w:bookmarkEnd w:id="909"/>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There is no clause 3.</w:t>
      </w:r>
    </w:p>
    <w:p>
      <w:pPr>
        <w:pStyle w:val="Heading5"/>
      </w:pPr>
      <w:bookmarkStart w:id="910" w:name="_Toc536782410"/>
      <w:r>
        <w:rPr>
          <w:rStyle w:val="CharSectno"/>
        </w:rPr>
        <w:t>4</w:t>
      </w:r>
      <w:r>
        <w:t>.</w:t>
      </w:r>
      <w:r>
        <w:tab/>
        <w:t>Material that is, and is not, part of Law</w:t>
      </w:r>
      <w:bookmarkEnd w:id="91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heading to a Chapter, Part, Division or Subdivision into which this Law is divided is part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Schedule to this Law is part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heading to a section or subsection of this Law does not form part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note at the foot of a provision of this Law does not form part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An example (being an example at the foot of a provision of this Law under the heading “Example” or “Examples”) does not form part of this Law.</w:t>
      </w:r>
    </w:p>
    <w:p>
      <w:pPr>
        <w:pStyle w:val="Heading5"/>
      </w:pPr>
      <w:bookmarkStart w:id="911" w:name="_Toc536782411"/>
      <w:r>
        <w:rPr>
          <w:rStyle w:val="CharSectno"/>
        </w:rPr>
        <w:t>5</w:t>
      </w:r>
      <w:r>
        <w:t>.</w:t>
      </w:r>
      <w:r>
        <w:tab/>
        <w:t>References to particular Acts and to enactments</w:t>
      </w:r>
      <w:bookmarkEnd w:id="911"/>
    </w:p>
    <w:p>
      <w:pPr>
        <w:keepNext/>
        <w:keepLines/>
        <w:autoSpaceDE w:val="0"/>
        <w:autoSpaceDN w:val="0"/>
        <w:adjustRightInd w:val="0"/>
        <w:spacing w:before="120"/>
        <w:ind w:left="1588"/>
        <w:rPr>
          <w:color w:val="000000"/>
          <w:sz w:val="23"/>
          <w:szCs w:val="23"/>
        </w:rPr>
      </w:pPr>
      <w:r>
        <w:rPr>
          <w:color w:val="000000"/>
          <w:sz w:val="23"/>
          <w:szCs w:val="23"/>
        </w:rPr>
        <w:t>In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Act of this jurisdiction may be cited—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its short title;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another way sufficient in an Act of this jurisdiction for the citation of such an Act;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Commonwealth Act may be cited—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its short title;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another way sufficient in a Commonwealth Act for the citation of such an Act,</w:t>
      </w:r>
    </w:p>
    <w:p>
      <w:pPr>
        <w:keepLines/>
        <w:autoSpaceDE w:val="0"/>
        <w:autoSpaceDN w:val="0"/>
        <w:adjustRightInd w:val="0"/>
        <w:spacing w:before="120"/>
        <w:ind w:left="2382"/>
        <w:rPr>
          <w:color w:val="000000"/>
          <w:sz w:val="23"/>
          <w:szCs w:val="23"/>
        </w:rPr>
      </w:pPr>
      <w:r>
        <w:rPr>
          <w:color w:val="000000"/>
          <w:sz w:val="23"/>
          <w:szCs w:val="23"/>
        </w:rPr>
        <w:t>together with a reference to the Commonwealth;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Act of another jurisdiction may be cited—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its short title;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another way sufficient in an Act of the jurisdiction for the citation of such an Act,</w:t>
      </w:r>
    </w:p>
    <w:p>
      <w:pPr>
        <w:keepLines/>
        <w:autoSpaceDE w:val="0"/>
        <w:autoSpaceDN w:val="0"/>
        <w:adjustRightInd w:val="0"/>
        <w:spacing w:before="120"/>
        <w:ind w:left="2382"/>
        <w:rPr>
          <w:color w:val="000000"/>
          <w:sz w:val="23"/>
          <w:szCs w:val="23"/>
        </w:rPr>
      </w:pPr>
      <w:r>
        <w:rPr>
          <w:color w:val="000000"/>
          <w:sz w:val="23"/>
          <w:szCs w:val="23"/>
        </w:rPr>
        <w:t>together with a reference to the jurisdiction.</w:t>
      </w:r>
    </w:p>
    <w:p>
      <w:pPr>
        <w:pStyle w:val="Heading5"/>
      </w:pPr>
      <w:bookmarkStart w:id="912" w:name="_Toc536782412"/>
      <w:r>
        <w:rPr>
          <w:rStyle w:val="CharSectno"/>
        </w:rPr>
        <w:t>6</w:t>
      </w:r>
      <w:r>
        <w:t>.</w:t>
      </w:r>
      <w:r>
        <w:tab/>
        <w:t>References taken to be included in Act or Law citation etc</w:t>
      </w:r>
      <w:bookmarkEnd w:id="91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reference in this Law to an Act includes a reference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Act as originally enacted, and as amended from time to time since its original enactment;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Act has been repealed and re</w:t>
      </w:r>
      <w:r>
        <w:rPr>
          <w:color w:val="000000"/>
          <w:sz w:val="23"/>
          <w:szCs w:val="23"/>
        </w:rPr>
        <w:noBreakHyphen/>
        <w:t>enacted (with or without modification) since the enactment of the reference, the Act as re</w:t>
      </w:r>
      <w:r>
        <w:rPr>
          <w:color w:val="000000"/>
          <w:sz w:val="23"/>
          <w:szCs w:val="23"/>
        </w:rPr>
        <w:noBreakHyphen/>
        <w:t>enacted, and as amended from time to time since its re</w:t>
      </w:r>
      <w:r>
        <w:rPr>
          <w:color w:val="000000"/>
          <w:sz w:val="23"/>
          <w:szCs w:val="23"/>
        </w:rPr>
        <w:noBreakHyphen/>
        <w:t>enactment.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reference in this Law to a provision of this Law or of an Act includes a reference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provision as originally enacted, and as amended from time to time since its original enactment;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provision has been omitted and re</w:t>
      </w:r>
      <w:r>
        <w:rPr>
          <w:color w:val="000000"/>
          <w:sz w:val="23"/>
          <w:szCs w:val="23"/>
        </w:rPr>
        <w:noBreakHyphen/>
        <w:t>enacted (with or without modification) since the enactment of the reference, the provision as re</w:t>
      </w:r>
      <w:r>
        <w:rPr>
          <w:color w:val="000000"/>
          <w:sz w:val="23"/>
          <w:szCs w:val="23"/>
        </w:rPr>
        <w:noBreakHyphen/>
        <w:t>enacted, and as amended from time to time since its re</w:t>
      </w:r>
      <w:r>
        <w:rPr>
          <w:color w:val="000000"/>
          <w:sz w:val="23"/>
          <w:szCs w:val="23"/>
        </w:rPr>
        <w:noBreakHyphen/>
        <w:t>enactment.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Subclauses (1) and (2) apply to a reference in this Law to a law of the Commonwealth or another jurisdiction as they apply to a reference in this Law to an Act and to a provision of an Act.</w:t>
      </w:r>
    </w:p>
    <w:p>
      <w:pPr>
        <w:pStyle w:val="Heading5"/>
      </w:pPr>
      <w:bookmarkStart w:id="913" w:name="_Toc536782413"/>
      <w:r>
        <w:rPr>
          <w:rStyle w:val="CharSectno"/>
        </w:rPr>
        <w:t>7</w:t>
      </w:r>
      <w:r>
        <w:t>.</w:t>
      </w:r>
      <w:r>
        <w:tab/>
        <w:t>Interpretation best achieving Law’s purpose</w:t>
      </w:r>
      <w:bookmarkEnd w:id="91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the interpretation of a provision of this Law, the interpretation that will best achieve the purpose or object of this Law is to be preferred to any other interpretation.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Subclause (1) applies whether or not the purpose is expressly stated in this Law.</w:t>
      </w:r>
    </w:p>
    <w:p>
      <w:pPr>
        <w:pStyle w:val="Heading5"/>
      </w:pPr>
      <w:bookmarkStart w:id="914" w:name="_Toc536782414"/>
      <w:r>
        <w:rPr>
          <w:rStyle w:val="CharSectno"/>
        </w:rPr>
        <w:t>8</w:t>
      </w:r>
      <w:r>
        <w:t>.</w:t>
      </w:r>
      <w:r>
        <w:tab/>
        <w:t>Use of extrinsic material in interpretation</w:t>
      </w:r>
      <w:bookmarkEnd w:id="91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clause—</w:t>
      </w:r>
    </w:p>
    <w:p>
      <w:pPr>
        <w:keepNext/>
        <w:keepLines/>
        <w:autoSpaceDE w:val="0"/>
        <w:autoSpaceDN w:val="0"/>
        <w:adjustRightInd w:val="0"/>
        <w:spacing w:before="120"/>
        <w:ind w:left="1588"/>
        <w:rPr>
          <w:color w:val="000000"/>
          <w:sz w:val="23"/>
          <w:szCs w:val="23"/>
        </w:rPr>
      </w:pPr>
      <w:r>
        <w:rPr>
          <w:rStyle w:val="CharDefText"/>
          <w:bCs/>
          <w:sz w:val="23"/>
        </w:rPr>
        <w:t>Law extrinsic material</w:t>
      </w:r>
      <w:r>
        <w:rPr>
          <w:bCs/>
          <w:i/>
          <w:iCs/>
          <w:color w:val="000000"/>
          <w:sz w:val="23"/>
          <w:szCs w:val="23"/>
        </w:rPr>
        <w:t xml:space="preserve"> </w:t>
      </w:r>
      <w:r>
        <w:rPr>
          <w:color w:val="000000"/>
          <w:sz w:val="23"/>
          <w:szCs w:val="23"/>
        </w:rPr>
        <w:t>means relevant material not forming part of this Law, including, for example—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material that is set out in the document containing the text of this Law as printed by authority of the Government Printer of South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relevant report of a committee of the Legislative Council or House of Assembly of South Australia that was made to the Legislative Council or House of Assembly of South Australia before the provision was enacted;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explanatory note or memorandum relating to the Bill that contained the provision, or any relevant document, that was laid before, or given to the members of, the Legislative Council or House of Assembly of South Australia by the member bringing in the Bill before the provision was enacted;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speech made to the Legislative Council or House of Assembly of South Australia by the member in moving a motion that the Bill be read a second time;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material in the Votes and Proceedings of the Legislative Council or House of Assembly of South Australia or in any official record of debates in the Legislative Council or House of Assembly of South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document that is declared by the Regulations to be a relevant document for the purposes of this clause;</w:t>
      </w:r>
    </w:p>
    <w:p>
      <w:pPr>
        <w:keepLines/>
        <w:autoSpaceDE w:val="0"/>
        <w:autoSpaceDN w:val="0"/>
        <w:adjustRightInd w:val="0"/>
        <w:spacing w:before="120"/>
        <w:ind w:left="1588"/>
        <w:rPr>
          <w:color w:val="000000"/>
          <w:sz w:val="23"/>
          <w:szCs w:val="23"/>
        </w:rPr>
      </w:pPr>
      <w:r>
        <w:rPr>
          <w:rStyle w:val="CharDefText"/>
          <w:bCs/>
          <w:sz w:val="23"/>
        </w:rPr>
        <w:t>ordinary meaning</w:t>
      </w:r>
      <w:r>
        <w:rPr>
          <w:bCs/>
          <w:i/>
          <w:iCs/>
          <w:color w:val="000000"/>
          <w:sz w:val="23"/>
          <w:szCs w:val="23"/>
        </w:rPr>
        <w:t xml:space="preserve"> </w:t>
      </w:r>
      <w:r>
        <w:rPr>
          <w:color w:val="000000"/>
          <w:sz w:val="23"/>
          <w:szCs w:val="23"/>
        </w:rPr>
        <w:t>means the ordinary meaning conveyed by a provision having regard to its context in this Law and to the purpose of this Law;</w:t>
      </w:r>
    </w:p>
    <w:p>
      <w:pPr>
        <w:keepNext/>
        <w:keepLines/>
        <w:autoSpaceDE w:val="0"/>
        <w:autoSpaceDN w:val="0"/>
        <w:adjustRightInd w:val="0"/>
        <w:spacing w:before="120"/>
        <w:ind w:left="1588"/>
        <w:rPr>
          <w:color w:val="000000"/>
          <w:sz w:val="23"/>
          <w:szCs w:val="23"/>
        </w:rPr>
      </w:pPr>
      <w:r>
        <w:rPr>
          <w:rStyle w:val="CharDefText"/>
          <w:bCs/>
          <w:sz w:val="23"/>
        </w:rPr>
        <w:t>Rule extrinsic material</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draft Rule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final Rule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document (however described)—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relied on by the AEMC in making a draft Rule determination or final Rule determination;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adopted by the AEMC in making a draft Rule determination or final Rule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subclause (3), in the interpretation of a provision of this Law, consideration may be given to Law extrinsic material capable of assisting in the interpretation—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provision is ambiguous or obscure, to provide an interpretation of it;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ordinary meaning of the provision leads to a result that is manifestly absurd or is unreasonable, to provide an interpretation that avoids such a result;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any other case, to confirm the interpretation conveyed by the ordinary meaning of the provision.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Subject to subclause (4), in the interpretation of a provision of the Rules, consideration may be given to Law extrinsic material or Rule extrinsic material capable of assisting in the interpretation—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provision is ambiguous or obscure, to provide an interpretation of it;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ordinary meaning of the provision leads to a result that is manifestly absurd or is unreasonable, to provide an interpretation that avoids such a result;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any other case, to confirm the interpretation conveyed by the ordinary meaning of the provision.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determining whether consideration should be given to Law extrinsic material or Rule extrinsic material, and in determining the weight to be given to Law extrinsic material or Rule extrinsic material, regard is to be had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desirability of a provision being interpreted as having its ordinary meaning;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undesirability of prolonging proceedings without compensating advantage;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other relevant matters.</w:t>
      </w:r>
    </w:p>
    <w:p>
      <w:pPr>
        <w:pStyle w:val="Heading5"/>
      </w:pPr>
      <w:bookmarkStart w:id="915" w:name="_Toc536782415"/>
      <w:r>
        <w:rPr>
          <w:rStyle w:val="CharSectno"/>
        </w:rPr>
        <w:t>9</w:t>
      </w:r>
      <w:r>
        <w:t>.</w:t>
      </w:r>
      <w:r>
        <w:tab/>
        <w:t>Compliance with forms</w:t>
      </w:r>
      <w:bookmarkEnd w:id="91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form is prescribed or approved by or for the purpose of this Law, strict compliance with the form is not necessary and substantial compliance is sufficient.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form prescribed or approved by or for the purpose of this Law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form to be completed in a specified way;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specified information or documents to be included in, attached to or given with the form;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form, or information or documents included in, attached to or given with the form, to be verified in a specified way,</w:t>
      </w:r>
    </w:p>
    <w:p>
      <w:pPr>
        <w:keepLines/>
        <w:autoSpaceDE w:val="0"/>
        <w:autoSpaceDN w:val="0"/>
        <w:adjustRightInd w:val="0"/>
        <w:spacing w:before="120"/>
        <w:ind w:left="1588"/>
        <w:rPr>
          <w:color w:val="000000"/>
          <w:sz w:val="23"/>
          <w:szCs w:val="23"/>
        </w:rPr>
      </w:pPr>
      <w:r>
        <w:rPr>
          <w:color w:val="000000"/>
          <w:sz w:val="23"/>
          <w:szCs w:val="23"/>
        </w:rPr>
        <w:t>the form is not properly completed unless the requirement is complied with.</w:t>
      </w:r>
    </w:p>
    <w:p>
      <w:pPr>
        <w:pStyle w:val="Heading3"/>
      </w:pPr>
      <w:bookmarkStart w:id="916" w:name="_Toc501634294"/>
      <w:bookmarkStart w:id="917" w:name="_Toc501713190"/>
      <w:bookmarkStart w:id="918" w:name="_Toc536782416"/>
      <w:r>
        <w:rPr>
          <w:rStyle w:val="CharDivNo"/>
        </w:rPr>
        <w:t>Part 3</w:t>
      </w:r>
      <w:r>
        <w:t xml:space="preserve"> — </w:t>
      </w:r>
      <w:r>
        <w:rPr>
          <w:rStyle w:val="CharDivText"/>
        </w:rPr>
        <w:t>Terms and references</w:t>
      </w:r>
      <w:bookmarkEnd w:id="916"/>
      <w:bookmarkEnd w:id="917"/>
      <w:bookmarkEnd w:id="918"/>
    </w:p>
    <w:p>
      <w:pPr>
        <w:pStyle w:val="Heading5"/>
      </w:pPr>
      <w:bookmarkStart w:id="919" w:name="_Toc536782417"/>
      <w:r>
        <w:rPr>
          <w:rStyle w:val="CharSectno"/>
        </w:rPr>
        <w:t>10</w:t>
      </w:r>
      <w:r>
        <w:t>.</w:t>
      </w:r>
      <w:r>
        <w:tab/>
        <w:t>Definitions</w:t>
      </w:r>
      <w:bookmarkEnd w:id="919"/>
    </w:p>
    <w:p>
      <w:pPr>
        <w:keepNext/>
        <w:keepLines/>
        <w:autoSpaceDE w:val="0"/>
        <w:autoSpaceDN w:val="0"/>
        <w:adjustRightInd w:val="0"/>
        <w:spacing w:before="120"/>
        <w:ind w:left="1588"/>
        <w:rPr>
          <w:color w:val="000000"/>
          <w:sz w:val="23"/>
          <w:szCs w:val="23"/>
        </w:rPr>
      </w:pPr>
      <w:r>
        <w:rPr>
          <w:color w:val="000000"/>
          <w:sz w:val="23"/>
          <w:szCs w:val="23"/>
        </w:rPr>
        <w:t>In this Law—</w:t>
      </w:r>
    </w:p>
    <w:p>
      <w:pPr>
        <w:keepLines/>
        <w:autoSpaceDE w:val="0"/>
        <w:autoSpaceDN w:val="0"/>
        <w:adjustRightInd w:val="0"/>
        <w:spacing w:before="120"/>
        <w:ind w:left="1588"/>
        <w:rPr>
          <w:color w:val="000000"/>
          <w:sz w:val="23"/>
          <w:szCs w:val="23"/>
        </w:rPr>
      </w:pPr>
      <w:r>
        <w:rPr>
          <w:rStyle w:val="CharDefText"/>
          <w:sz w:val="23"/>
        </w:rPr>
        <w:t>Act</w:t>
      </w:r>
      <w:r>
        <w:rPr>
          <w:color w:val="000000"/>
          <w:sz w:val="23"/>
          <w:szCs w:val="23"/>
        </w:rPr>
        <w:t xml:space="preserve"> means an Act of the Legislature of this jurisdiction;</w:t>
      </w:r>
    </w:p>
    <w:p>
      <w:pPr>
        <w:keepLines/>
        <w:autoSpaceDE w:val="0"/>
        <w:autoSpaceDN w:val="0"/>
        <w:adjustRightInd w:val="0"/>
        <w:spacing w:before="120"/>
        <w:ind w:left="1588"/>
        <w:rPr>
          <w:color w:val="000000"/>
          <w:sz w:val="23"/>
          <w:szCs w:val="23"/>
        </w:rPr>
      </w:pPr>
      <w:r>
        <w:rPr>
          <w:rStyle w:val="CharDefText"/>
          <w:bCs/>
          <w:sz w:val="23"/>
        </w:rPr>
        <w:t>affidavit</w:t>
      </w:r>
      <w:r>
        <w:rPr>
          <w:color w:val="000000"/>
          <w:sz w:val="23"/>
          <w:szCs w:val="23"/>
        </w:rPr>
        <w:t>, in relation to a person allowed by law to affirm, declare or promise, includes affirmation, declaration and promise;</w:t>
      </w:r>
    </w:p>
    <w:p>
      <w:pPr>
        <w:keepNext/>
        <w:keepLines/>
        <w:autoSpaceDE w:val="0"/>
        <w:autoSpaceDN w:val="0"/>
        <w:adjustRightInd w:val="0"/>
        <w:spacing w:before="120"/>
        <w:ind w:left="1588"/>
        <w:rPr>
          <w:color w:val="000000"/>
          <w:sz w:val="23"/>
          <w:szCs w:val="23"/>
        </w:rPr>
      </w:pPr>
      <w:r>
        <w:rPr>
          <w:rStyle w:val="CharDefText"/>
          <w:bCs/>
          <w:sz w:val="23"/>
        </w:rPr>
        <w:t>amend</w:t>
      </w:r>
      <w:r>
        <w:rPr>
          <w:bCs/>
          <w:i/>
          <w:iCs/>
          <w:color w:val="000000"/>
          <w:sz w:val="23"/>
          <w:szCs w:val="23"/>
        </w:rPr>
        <w:t xml:space="preserve"> </w:t>
      </w:r>
      <w:r>
        <w:rPr>
          <w:color w:val="000000"/>
          <w:sz w:val="23"/>
          <w:szCs w:val="23"/>
        </w:rPr>
        <w:t>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omit or omit and substitute;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alter or vary;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amend by implication;</w:t>
      </w:r>
    </w:p>
    <w:p>
      <w:pPr>
        <w:keepLines/>
        <w:autoSpaceDE w:val="0"/>
        <w:autoSpaceDN w:val="0"/>
        <w:adjustRightInd w:val="0"/>
        <w:spacing w:before="120"/>
        <w:ind w:left="1588"/>
        <w:rPr>
          <w:color w:val="000000"/>
          <w:sz w:val="23"/>
          <w:szCs w:val="23"/>
        </w:rPr>
      </w:pPr>
      <w:r>
        <w:rPr>
          <w:rStyle w:val="CharDefText"/>
          <w:bCs/>
          <w:sz w:val="23"/>
        </w:rPr>
        <w:t>appoint</w:t>
      </w:r>
      <w:r>
        <w:rPr>
          <w:color w:val="000000"/>
          <w:sz w:val="23"/>
          <w:szCs w:val="23"/>
        </w:rPr>
        <w:t xml:space="preserve"> includes re</w:t>
      </w:r>
      <w:r>
        <w:rPr>
          <w:color w:val="000000"/>
          <w:sz w:val="23"/>
          <w:szCs w:val="23"/>
        </w:rPr>
        <w:noBreakHyphen/>
        <w:t>appoint;</w:t>
      </w:r>
    </w:p>
    <w:p>
      <w:pPr>
        <w:keepLines/>
        <w:autoSpaceDE w:val="0"/>
        <w:autoSpaceDN w:val="0"/>
        <w:adjustRightInd w:val="0"/>
        <w:spacing w:before="120"/>
        <w:ind w:left="1588"/>
        <w:rPr>
          <w:color w:val="000000"/>
          <w:sz w:val="23"/>
          <w:szCs w:val="23"/>
        </w:rPr>
      </w:pPr>
      <w:r>
        <w:rPr>
          <w:rStyle w:val="CharDefText"/>
          <w:bCs/>
          <w:sz w:val="23"/>
        </w:rPr>
        <w:t>breach</w:t>
      </w:r>
      <w:r>
        <w:rPr>
          <w:color w:val="000000"/>
          <w:sz w:val="23"/>
          <w:szCs w:val="23"/>
        </w:rPr>
        <w:t xml:space="preserve"> includes fail to comply with;</w:t>
      </w:r>
    </w:p>
    <w:p>
      <w:pPr>
        <w:keepNext/>
        <w:keepLines/>
        <w:autoSpaceDE w:val="0"/>
        <w:autoSpaceDN w:val="0"/>
        <w:adjustRightInd w:val="0"/>
        <w:spacing w:before="120"/>
        <w:ind w:left="1588"/>
        <w:rPr>
          <w:color w:val="000000"/>
          <w:sz w:val="23"/>
          <w:szCs w:val="23"/>
        </w:rPr>
      </w:pPr>
      <w:r>
        <w:rPr>
          <w:rStyle w:val="CharDefText"/>
          <w:bCs/>
          <w:sz w:val="23"/>
        </w:rPr>
        <w:t>business day</w:t>
      </w:r>
      <w:r>
        <w:rPr>
          <w:bCs/>
          <w:i/>
          <w:iCs/>
          <w:color w:val="000000"/>
          <w:sz w:val="23"/>
          <w:szCs w:val="23"/>
        </w:rPr>
        <w:t xml:space="preserve"> </w:t>
      </w:r>
      <w:r>
        <w:rPr>
          <w:color w:val="000000"/>
          <w:sz w:val="23"/>
          <w:szCs w:val="23"/>
        </w:rPr>
        <w:t>means a day that is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Saturday or Sunday;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observed as a public holiday on the same day in each of the participating jurisdictions (except the Commonwealth);</w:t>
      </w:r>
    </w:p>
    <w:p>
      <w:pPr>
        <w:keepNext/>
        <w:keepLines/>
        <w:autoSpaceDE w:val="0"/>
        <w:autoSpaceDN w:val="0"/>
        <w:adjustRightInd w:val="0"/>
        <w:spacing w:before="120"/>
        <w:ind w:left="1588"/>
        <w:rPr>
          <w:color w:val="000000"/>
          <w:sz w:val="23"/>
          <w:szCs w:val="23"/>
        </w:rPr>
      </w:pPr>
      <w:r>
        <w:rPr>
          <w:rStyle w:val="CharDefText"/>
          <w:bCs/>
          <w:sz w:val="23"/>
        </w:rPr>
        <w:t>calendar month</w:t>
      </w:r>
      <w:r>
        <w:rPr>
          <w:bCs/>
          <w:i/>
          <w:iCs/>
          <w:color w:val="000000"/>
          <w:sz w:val="23"/>
          <w:szCs w:val="23"/>
        </w:rPr>
        <w:t xml:space="preserve"> </w:t>
      </w:r>
      <w:r>
        <w:rPr>
          <w:color w:val="000000"/>
          <w:sz w:val="23"/>
          <w:szCs w:val="23"/>
        </w:rPr>
        <w:t>means a period starting at the beginning of any day of 1 of the 12 named months and ending—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immediately before the beginning of the corresponding day of the next named month;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there is no such corresponding day, at the end of the next named month;</w:t>
      </w:r>
    </w:p>
    <w:p>
      <w:pPr>
        <w:keepLines/>
        <w:autoSpaceDE w:val="0"/>
        <w:autoSpaceDN w:val="0"/>
        <w:adjustRightInd w:val="0"/>
        <w:spacing w:before="120"/>
        <w:ind w:left="1588"/>
        <w:rPr>
          <w:color w:val="000000"/>
          <w:sz w:val="23"/>
          <w:szCs w:val="23"/>
        </w:rPr>
      </w:pPr>
      <w:r>
        <w:rPr>
          <w:rStyle w:val="CharDefText"/>
          <w:bCs/>
          <w:sz w:val="23"/>
        </w:rPr>
        <w:t>calendar year</w:t>
      </w:r>
      <w:r>
        <w:rPr>
          <w:bCs/>
          <w:i/>
          <w:iCs/>
          <w:color w:val="000000"/>
          <w:sz w:val="23"/>
          <w:szCs w:val="23"/>
        </w:rPr>
        <w:t xml:space="preserve"> </w:t>
      </w:r>
      <w:r>
        <w:rPr>
          <w:color w:val="000000"/>
          <w:sz w:val="23"/>
          <w:szCs w:val="23"/>
        </w:rPr>
        <w:t>means a period of 12 months beginning on 1 January;</w:t>
      </w:r>
    </w:p>
    <w:p>
      <w:pPr>
        <w:keepLines/>
        <w:autoSpaceDE w:val="0"/>
        <w:autoSpaceDN w:val="0"/>
        <w:adjustRightInd w:val="0"/>
        <w:spacing w:before="120"/>
        <w:ind w:left="1588"/>
        <w:rPr>
          <w:color w:val="000000"/>
          <w:sz w:val="23"/>
          <w:szCs w:val="23"/>
        </w:rPr>
      </w:pPr>
      <w:r>
        <w:rPr>
          <w:rStyle w:val="CharDefText"/>
          <w:bCs/>
          <w:sz w:val="23"/>
        </w:rPr>
        <w:t>commencement</w:t>
      </w:r>
      <w:r>
        <w:rPr>
          <w:color w:val="000000"/>
          <w:sz w:val="23"/>
          <w:szCs w:val="23"/>
        </w:rPr>
        <w:t>, in relation to this Law or an Act or a provision of this Law or an Act, means the time at which this Law, the Act or provision comes into operation;</w:t>
      </w:r>
    </w:p>
    <w:p>
      <w:pPr>
        <w:keepLines/>
        <w:autoSpaceDE w:val="0"/>
        <w:autoSpaceDN w:val="0"/>
        <w:adjustRightInd w:val="0"/>
        <w:spacing w:before="120"/>
        <w:ind w:left="1588"/>
        <w:rPr>
          <w:color w:val="000000"/>
          <w:sz w:val="23"/>
          <w:szCs w:val="23"/>
        </w:rPr>
      </w:pPr>
      <w:r>
        <w:rPr>
          <w:rStyle w:val="CharDefText"/>
          <w:bCs/>
          <w:sz w:val="23"/>
        </w:rPr>
        <w:t>confer</w:t>
      </w:r>
      <w:r>
        <w:rPr>
          <w:color w:val="000000"/>
          <w:sz w:val="23"/>
          <w:szCs w:val="23"/>
        </w:rPr>
        <w:t>, in relation to a function, includes impose;</w:t>
      </w:r>
    </w:p>
    <w:p>
      <w:pPr>
        <w:keepLines/>
        <w:autoSpaceDE w:val="0"/>
        <w:autoSpaceDN w:val="0"/>
        <w:adjustRightInd w:val="0"/>
        <w:spacing w:before="120"/>
        <w:ind w:left="1588"/>
        <w:rPr>
          <w:color w:val="000000"/>
          <w:sz w:val="23"/>
          <w:szCs w:val="23"/>
        </w:rPr>
      </w:pPr>
      <w:r>
        <w:rPr>
          <w:rStyle w:val="CharDefText"/>
          <w:bCs/>
          <w:sz w:val="23"/>
        </w:rPr>
        <w:t>contravene</w:t>
      </w:r>
      <w:r>
        <w:rPr>
          <w:bCs/>
          <w:i/>
          <w:iCs/>
          <w:color w:val="000000"/>
          <w:sz w:val="23"/>
          <w:szCs w:val="23"/>
        </w:rPr>
        <w:t xml:space="preserve"> </w:t>
      </w:r>
      <w:r>
        <w:rPr>
          <w:color w:val="000000"/>
          <w:sz w:val="23"/>
          <w:szCs w:val="23"/>
        </w:rPr>
        <w:t>includes fail to comply with;</w:t>
      </w:r>
    </w:p>
    <w:p>
      <w:pPr>
        <w:keepNext/>
        <w:keepLines/>
        <w:autoSpaceDE w:val="0"/>
        <w:autoSpaceDN w:val="0"/>
        <w:adjustRightInd w:val="0"/>
        <w:spacing w:before="120"/>
        <w:ind w:left="1588"/>
        <w:rPr>
          <w:color w:val="000000"/>
          <w:sz w:val="23"/>
          <w:szCs w:val="23"/>
        </w:rPr>
      </w:pPr>
      <w:r>
        <w:rPr>
          <w:rStyle w:val="CharDefText"/>
          <w:bCs/>
          <w:sz w:val="23"/>
        </w:rPr>
        <w:t>definition</w:t>
      </w:r>
      <w:r>
        <w:rPr>
          <w:bCs/>
          <w:i/>
          <w:iCs/>
          <w:color w:val="000000"/>
          <w:sz w:val="23"/>
          <w:szCs w:val="23"/>
        </w:rPr>
        <w:t xml:space="preserve"> </w:t>
      </w:r>
      <w:r>
        <w:rPr>
          <w:color w:val="000000"/>
          <w:sz w:val="23"/>
          <w:szCs w:val="23"/>
        </w:rPr>
        <w:t>means a provision of this Law (however expressed)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gives a meaning to a word or expression;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limits or extends the meaning of a word or expression;</w:t>
      </w:r>
    </w:p>
    <w:p>
      <w:pPr>
        <w:keepNext/>
        <w:keepLines/>
        <w:autoSpaceDE w:val="0"/>
        <w:autoSpaceDN w:val="0"/>
        <w:adjustRightInd w:val="0"/>
        <w:spacing w:before="120"/>
        <w:ind w:left="1588"/>
        <w:rPr>
          <w:color w:val="000000"/>
          <w:sz w:val="23"/>
          <w:szCs w:val="23"/>
        </w:rPr>
      </w:pPr>
      <w:r>
        <w:rPr>
          <w:rStyle w:val="CharDefText"/>
          <w:bCs/>
          <w:sz w:val="23"/>
        </w:rPr>
        <w:t>document</w:t>
      </w:r>
      <w:r>
        <w:rPr>
          <w:color w:val="000000"/>
          <w:sz w:val="23"/>
          <w:szCs w:val="23"/>
        </w:rPr>
        <w:t xml:space="preserve"> 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any paper or other material on which there is writing;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paper or other material on which there are marks, figures, symbols or perforations having a meaning for a person qualified to interpret them;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disc, tape or other article or any material from which sounds, images, writings or messages are capable of being reproduced (with or without the aid of another article or device);</w:t>
      </w:r>
    </w:p>
    <w:p>
      <w:pPr>
        <w:keepLines/>
        <w:autoSpaceDE w:val="0"/>
        <w:autoSpaceDN w:val="0"/>
        <w:adjustRightInd w:val="0"/>
        <w:spacing w:before="120"/>
        <w:ind w:left="1588"/>
        <w:rPr>
          <w:color w:val="000000"/>
          <w:sz w:val="23"/>
          <w:szCs w:val="23"/>
        </w:rPr>
      </w:pPr>
      <w:r>
        <w:rPr>
          <w:rStyle w:val="CharDefText"/>
          <w:bCs/>
          <w:sz w:val="23"/>
        </w:rPr>
        <w:t>estate</w:t>
      </w:r>
      <w:r>
        <w:rPr>
          <w:bCs/>
          <w:i/>
          <w:iCs/>
          <w:color w:val="000000"/>
          <w:sz w:val="23"/>
          <w:szCs w:val="23"/>
        </w:rPr>
        <w:t xml:space="preserve"> </w:t>
      </w:r>
      <w:r>
        <w:rPr>
          <w:color w:val="000000"/>
          <w:sz w:val="23"/>
          <w:szCs w:val="23"/>
        </w:rPr>
        <w:t>includes easement, charge, right, title, claim, demand, lien or encumbrance, whether at law or in equity;</w:t>
      </w:r>
    </w:p>
    <w:p>
      <w:pPr>
        <w:keepLines/>
        <w:autoSpaceDE w:val="0"/>
        <w:autoSpaceDN w:val="0"/>
        <w:adjustRightInd w:val="0"/>
        <w:spacing w:before="120"/>
        <w:ind w:left="1588"/>
        <w:rPr>
          <w:color w:val="000000"/>
          <w:sz w:val="23"/>
          <w:szCs w:val="23"/>
        </w:rPr>
      </w:pPr>
      <w:r>
        <w:rPr>
          <w:rStyle w:val="CharDefText"/>
          <w:bCs/>
          <w:sz w:val="23"/>
        </w:rPr>
        <w:t>expire</w:t>
      </w:r>
      <w:r>
        <w:rPr>
          <w:bCs/>
          <w:i/>
          <w:iCs/>
          <w:color w:val="000000"/>
          <w:sz w:val="23"/>
          <w:szCs w:val="23"/>
        </w:rPr>
        <w:t xml:space="preserve"> </w:t>
      </w:r>
      <w:r>
        <w:rPr>
          <w:color w:val="000000"/>
          <w:sz w:val="23"/>
          <w:szCs w:val="23"/>
        </w:rPr>
        <w:t>includes lapse or otherwise cease to have effect;</w:t>
      </w:r>
    </w:p>
    <w:p>
      <w:pPr>
        <w:keepLines/>
        <w:autoSpaceDE w:val="0"/>
        <w:autoSpaceDN w:val="0"/>
        <w:adjustRightInd w:val="0"/>
        <w:spacing w:before="120"/>
        <w:ind w:left="1588"/>
        <w:rPr>
          <w:color w:val="000000"/>
          <w:sz w:val="23"/>
          <w:szCs w:val="23"/>
        </w:rPr>
      </w:pPr>
      <w:r>
        <w:rPr>
          <w:rStyle w:val="CharDefText"/>
          <w:bCs/>
          <w:sz w:val="23"/>
        </w:rPr>
        <w:t>fail</w:t>
      </w:r>
      <w:r>
        <w:rPr>
          <w:color w:val="000000"/>
          <w:sz w:val="23"/>
          <w:szCs w:val="23"/>
        </w:rPr>
        <w:t xml:space="preserve"> includes refuse;</w:t>
      </w:r>
    </w:p>
    <w:p>
      <w:pPr>
        <w:keepLines/>
        <w:autoSpaceDE w:val="0"/>
        <w:autoSpaceDN w:val="0"/>
        <w:adjustRightInd w:val="0"/>
        <w:spacing w:before="120"/>
        <w:ind w:left="1588"/>
        <w:rPr>
          <w:color w:val="000000"/>
          <w:sz w:val="23"/>
          <w:szCs w:val="23"/>
        </w:rPr>
      </w:pPr>
      <w:r>
        <w:rPr>
          <w:rStyle w:val="CharDefText"/>
          <w:bCs/>
          <w:sz w:val="23"/>
        </w:rPr>
        <w:t>financial year</w:t>
      </w:r>
      <w:r>
        <w:rPr>
          <w:bCs/>
          <w:i/>
          <w:iCs/>
          <w:color w:val="000000"/>
          <w:sz w:val="23"/>
          <w:szCs w:val="23"/>
        </w:rPr>
        <w:t xml:space="preserve"> </w:t>
      </w:r>
      <w:r>
        <w:rPr>
          <w:color w:val="000000"/>
          <w:sz w:val="23"/>
          <w:szCs w:val="23"/>
        </w:rPr>
        <w:t>means a period of 12 months beginning on 1 July;</w:t>
      </w:r>
    </w:p>
    <w:p>
      <w:pPr>
        <w:keepLines/>
        <w:autoSpaceDE w:val="0"/>
        <w:autoSpaceDN w:val="0"/>
        <w:adjustRightInd w:val="0"/>
        <w:spacing w:before="120"/>
        <w:ind w:left="1588"/>
        <w:rPr>
          <w:color w:val="000000"/>
          <w:sz w:val="23"/>
          <w:szCs w:val="23"/>
        </w:rPr>
      </w:pPr>
      <w:r>
        <w:rPr>
          <w:rStyle w:val="CharDefText"/>
          <w:bCs/>
          <w:sz w:val="23"/>
        </w:rPr>
        <w:t>function</w:t>
      </w:r>
      <w:r>
        <w:rPr>
          <w:bCs/>
          <w:i/>
          <w:iCs/>
          <w:color w:val="000000"/>
          <w:sz w:val="23"/>
          <w:szCs w:val="23"/>
        </w:rPr>
        <w:t xml:space="preserve"> </w:t>
      </w:r>
      <w:r>
        <w:rPr>
          <w:color w:val="000000"/>
          <w:sz w:val="23"/>
          <w:szCs w:val="23"/>
        </w:rPr>
        <w:t>includes duty;</w:t>
      </w:r>
    </w:p>
    <w:p>
      <w:pPr>
        <w:keepLines/>
        <w:autoSpaceDE w:val="0"/>
        <w:autoSpaceDN w:val="0"/>
        <w:adjustRightInd w:val="0"/>
        <w:spacing w:before="120"/>
        <w:ind w:left="1588"/>
        <w:rPr>
          <w:color w:val="000000"/>
          <w:sz w:val="23"/>
          <w:szCs w:val="23"/>
        </w:rPr>
      </w:pPr>
      <w:r>
        <w:rPr>
          <w:rStyle w:val="CharDefText"/>
          <w:bCs/>
          <w:sz w:val="23"/>
        </w:rPr>
        <w:t>Gazette</w:t>
      </w:r>
      <w:r>
        <w:rPr>
          <w:bCs/>
          <w:i/>
          <w:iCs/>
          <w:color w:val="000000"/>
          <w:sz w:val="23"/>
          <w:szCs w:val="23"/>
        </w:rPr>
        <w:t xml:space="preserve"> </w:t>
      </w:r>
      <w:r>
        <w:rPr>
          <w:color w:val="000000"/>
          <w:sz w:val="23"/>
          <w:szCs w:val="23"/>
        </w:rPr>
        <w:t>means the Government Gazette of this jurisdiction;</w:t>
      </w:r>
    </w:p>
    <w:p>
      <w:pPr>
        <w:keepLines/>
        <w:autoSpaceDE w:val="0"/>
        <w:autoSpaceDN w:val="0"/>
        <w:adjustRightInd w:val="0"/>
        <w:spacing w:before="120"/>
        <w:ind w:left="1588"/>
        <w:rPr>
          <w:color w:val="000000"/>
          <w:sz w:val="23"/>
          <w:szCs w:val="23"/>
        </w:rPr>
      </w:pPr>
      <w:r>
        <w:rPr>
          <w:rStyle w:val="CharDefText"/>
          <w:bCs/>
          <w:sz w:val="23"/>
        </w:rPr>
        <w:t>instrument</w:t>
      </w:r>
      <w:r>
        <w:rPr>
          <w:bCs/>
          <w:i/>
          <w:iCs/>
          <w:color w:val="000000"/>
          <w:sz w:val="23"/>
          <w:szCs w:val="23"/>
        </w:rPr>
        <w:t xml:space="preserve"> </w:t>
      </w:r>
      <w:r>
        <w:rPr>
          <w:color w:val="000000"/>
          <w:sz w:val="23"/>
          <w:szCs w:val="23"/>
        </w:rPr>
        <w:t>includes a statutory instrument;</w:t>
      </w:r>
    </w:p>
    <w:p>
      <w:pPr>
        <w:keepNext/>
        <w:keepLines/>
        <w:autoSpaceDE w:val="0"/>
        <w:autoSpaceDN w:val="0"/>
        <w:adjustRightInd w:val="0"/>
        <w:spacing w:before="120"/>
        <w:ind w:left="1588"/>
        <w:rPr>
          <w:color w:val="000000"/>
          <w:sz w:val="23"/>
          <w:szCs w:val="23"/>
        </w:rPr>
      </w:pPr>
      <w:r>
        <w:rPr>
          <w:rStyle w:val="CharDefText"/>
          <w:bCs/>
          <w:sz w:val="23"/>
        </w:rPr>
        <w:t>interest</w:t>
      </w:r>
      <w:r>
        <w:rPr>
          <w:color w:val="000000"/>
          <w:sz w:val="23"/>
          <w:szCs w:val="23"/>
        </w:rPr>
        <w:t>, in relation to land or other property,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legal or equitable estate in the land or other property;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right, power or privilege over, or in relation to, the land or other property;</w:t>
      </w:r>
    </w:p>
    <w:p>
      <w:pPr>
        <w:keepLines/>
        <w:autoSpaceDE w:val="0"/>
        <w:autoSpaceDN w:val="0"/>
        <w:adjustRightInd w:val="0"/>
        <w:spacing w:before="120"/>
        <w:ind w:left="1588"/>
        <w:rPr>
          <w:color w:val="000000"/>
          <w:sz w:val="23"/>
          <w:szCs w:val="23"/>
        </w:rPr>
      </w:pPr>
      <w:r>
        <w:rPr>
          <w:rStyle w:val="CharDefText"/>
          <w:bCs/>
          <w:sz w:val="23"/>
        </w:rPr>
        <w:t>make</w:t>
      </w:r>
      <w:r>
        <w:rPr>
          <w:bCs/>
          <w:i/>
          <w:iCs/>
          <w:color w:val="000000"/>
          <w:sz w:val="23"/>
          <w:szCs w:val="23"/>
        </w:rPr>
        <w:t xml:space="preserve"> </w:t>
      </w:r>
      <w:r>
        <w:rPr>
          <w:color w:val="000000"/>
          <w:sz w:val="23"/>
          <w:szCs w:val="23"/>
        </w:rPr>
        <w:t>includes issue or grant;</w:t>
      </w:r>
    </w:p>
    <w:p>
      <w:pPr>
        <w:keepLines/>
        <w:autoSpaceDE w:val="0"/>
        <w:autoSpaceDN w:val="0"/>
        <w:adjustRightInd w:val="0"/>
        <w:spacing w:before="120"/>
        <w:ind w:left="1588"/>
        <w:rPr>
          <w:color w:val="000000"/>
          <w:sz w:val="23"/>
          <w:szCs w:val="23"/>
        </w:rPr>
      </w:pPr>
      <w:r>
        <w:rPr>
          <w:rStyle w:val="CharDefText"/>
          <w:bCs/>
          <w:sz w:val="23"/>
        </w:rPr>
        <w:t>minor</w:t>
      </w:r>
      <w:r>
        <w:rPr>
          <w:bCs/>
          <w:i/>
          <w:iCs/>
          <w:color w:val="000000"/>
          <w:sz w:val="23"/>
          <w:szCs w:val="23"/>
        </w:rPr>
        <w:t xml:space="preserve"> </w:t>
      </w:r>
      <w:r>
        <w:rPr>
          <w:color w:val="000000"/>
          <w:sz w:val="23"/>
          <w:szCs w:val="23"/>
        </w:rPr>
        <w:t>means an individual who is under 18 years of age;</w:t>
      </w:r>
    </w:p>
    <w:p>
      <w:pPr>
        <w:keepLines/>
        <w:autoSpaceDE w:val="0"/>
        <w:autoSpaceDN w:val="0"/>
        <w:adjustRightInd w:val="0"/>
        <w:spacing w:before="120"/>
        <w:ind w:left="1588"/>
        <w:rPr>
          <w:color w:val="000000"/>
          <w:sz w:val="23"/>
          <w:szCs w:val="23"/>
        </w:rPr>
      </w:pPr>
      <w:r>
        <w:rPr>
          <w:rStyle w:val="CharDefText"/>
          <w:bCs/>
          <w:sz w:val="23"/>
        </w:rPr>
        <w:t>modification</w:t>
      </w:r>
      <w:r>
        <w:rPr>
          <w:color w:val="000000"/>
          <w:sz w:val="23"/>
          <w:szCs w:val="23"/>
        </w:rPr>
        <w:t xml:space="preserve"> includes addition, omission or substitution;</w:t>
      </w:r>
    </w:p>
    <w:p>
      <w:pPr>
        <w:keepLines/>
        <w:autoSpaceDE w:val="0"/>
        <w:autoSpaceDN w:val="0"/>
        <w:adjustRightInd w:val="0"/>
        <w:spacing w:before="120"/>
        <w:ind w:left="1588"/>
        <w:rPr>
          <w:color w:val="000000"/>
          <w:sz w:val="23"/>
          <w:szCs w:val="23"/>
        </w:rPr>
      </w:pPr>
      <w:r>
        <w:rPr>
          <w:rStyle w:val="CharDefText"/>
          <w:bCs/>
          <w:sz w:val="23"/>
        </w:rPr>
        <w:t>month</w:t>
      </w:r>
      <w:r>
        <w:rPr>
          <w:color w:val="000000"/>
          <w:sz w:val="23"/>
          <w:szCs w:val="23"/>
        </w:rPr>
        <w:t xml:space="preserve"> means a calendar month;</w:t>
      </w:r>
    </w:p>
    <w:p>
      <w:pPr>
        <w:keepLines/>
        <w:autoSpaceDE w:val="0"/>
        <w:autoSpaceDN w:val="0"/>
        <w:adjustRightInd w:val="0"/>
        <w:spacing w:before="120"/>
        <w:ind w:left="1588"/>
        <w:rPr>
          <w:color w:val="000000"/>
          <w:sz w:val="23"/>
          <w:szCs w:val="23"/>
        </w:rPr>
      </w:pPr>
      <w:r>
        <w:rPr>
          <w:rStyle w:val="CharDefText"/>
          <w:bCs/>
          <w:sz w:val="23"/>
        </w:rPr>
        <w:t>named month</w:t>
      </w:r>
      <w:r>
        <w:rPr>
          <w:bCs/>
          <w:i/>
          <w:iCs/>
          <w:color w:val="000000"/>
          <w:sz w:val="23"/>
          <w:szCs w:val="23"/>
        </w:rPr>
        <w:t xml:space="preserve"> </w:t>
      </w:r>
      <w:r>
        <w:rPr>
          <w:color w:val="000000"/>
          <w:sz w:val="23"/>
          <w:szCs w:val="23"/>
        </w:rPr>
        <w:t>means 1 of the 12 months of the year;</w:t>
      </w:r>
    </w:p>
    <w:p>
      <w:pPr>
        <w:keepNext/>
        <w:keepLines/>
        <w:autoSpaceDE w:val="0"/>
        <w:autoSpaceDN w:val="0"/>
        <w:adjustRightInd w:val="0"/>
        <w:spacing w:before="120"/>
        <w:ind w:left="1588"/>
        <w:rPr>
          <w:color w:val="000000"/>
          <w:sz w:val="23"/>
          <w:szCs w:val="23"/>
        </w:rPr>
      </w:pPr>
      <w:r>
        <w:rPr>
          <w:rStyle w:val="CharDefText"/>
          <w:bCs/>
          <w:sz w:val="23"/>
        </w:rPr>
        <w:t>number</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number expressed in figures or words;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letter;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combination of a number so expressed and a letter;</w:t>
      </w:r>
    </w:p>
    <w:p>
      <w:pPr>
        <w:keepLines/>
        <w:autoSpaceDE w:val="0"/>
        <w:autoSpaceDN w:val="0"/>
        <w:adjustRightInd w:val="0"/>
        <w:spacing w:before="120"/>
        <w:ind w:left="1588"/>
        <w:rPr>
          <w:color w:val="000000"/>
          <w:sz w:val="23"/>
          <w:szCs w:val="23"/>
        </w:rPr>
      </w:pPr>
      <w:r>
        <w:rPr>
          <w:rStyle w:val="CharDefText"/>
          <w:bCs/>
          <w:sz w:val="23"/>
        </w:rPr>
        <w:t>oath</w:t>
      </w:r>
      <w:r>
        <w:rPr>
          <w:color w:val="000000"/>
          <w:sz w:val="23"/>
          <w:szCs w:val="23"/>
        </w:rPr>
        <w:t>, in relation to a person allowed by law to affirm, declare or promise, includes affirmation, declaration or promise;</w:t>
      </w:r>
    </w:p>
    <w:p>
      <w:pPr>
        <w:keepLines/>
        <w:autoSpaceDE w:val="0"/>
        <w:autoSpaceDN w:val="0"/>
        <w:adjustRightInd w:val="0"/>
        <w:spacing w:before="120"/>
        <w:ind w:left="1588"/>
        <w:rPr>
          <w:color w:val="000000"/>
          <w:sz w:val="23"/>
          <w:szCs w:val="23"/>
        </w:rPr>
      </w:pPr>
      <w:r>
        <w:rPr>
          <w:rStyle w:val="CharDefText"/>
          <w:bCs/>
          <w:sz w:val="23"/>
        </w:rPr>
        <w:t>office</w:t>
      </w:r>
      <w:r>
        <w:rPr>
          <w:color w:val="000000"/>
          <w:sz w:val="23"/>
          <w:szCs w:val="23"/>
        </w:rPr>
        <w:t xml:space="preserve"> includes position;</w:t>
      </w:r>
    </w:p>
    <w:p>
      <w:pPr>
        <w:keepLines/>
        <w:autoSpaceDE w:val="0"/>
        <w:autoSpaceDN w:val="0"/>
        <w:adjustRightInd w:val="0"/>
        <w:spacing w:before="120"/>
        <w:ind w:left="1588"/>
        <w:rPr>
          <w:color w:val="000000"/>
          <w:sz w:val="23"/>
          <w:szCs w:val="23"/>
        </w:rPr>
      </w:pPr>
      <w:r>
        <w:rPr>
          <w:rStyle w:val="CharDefText"/>
          <w:bCs/>
          <w:sz w:val="23"/>
        </w:rPr>
        <w:t>omit</w:t>
      </w:r>
      <w:r>
        <w:rPr>
          <w:color w:val="000000"/>
          <w:sz w:val="23"/>
          <w:szCs w:val="23"/>
        </w:rPr>
        <w:t>, in relation to a provision of this Law or an Act, includes repeal;</w:t>
      </w:r>
    </w:p>
    <w:p>
      <w:pPr>
        <w:keepLines/>
        <w:autoSpaceDE w:val="0"/>
        <w:autoSpaceDN w:val="0"/>
        <w:adjustRightInd w:val="0"/>
        <w:spacing w:before="120"/>
        <w:ind w:left="1588"/>
        <w:rPr>
          <w:color w:val="000000"/>
          <w:sz w:val="23"/>
          <w:szCs w:val="23"/>
        </w:rPr>
      </w:pPr>
      <w:r>
        <w:rPr>
          <w:rStyle w:val="CharDefText"/>
          <w:bCs/>
          <w:sz w:val="23"/>
        </w:rPr>
        <w:t>party</w:t>
      </w:r>
      <w:r>
        <w:rPr>
          <w:color w:val="000000"/>
          <w:sz w:val="23"/>
          <w:szCs w:val="23"/>
        </w:rPr>
        <w:t xml:space="preserve"> includes a body politic or body corporate as well as an individual;</w:t>
      </w:r>
    </w:p>
    <w:p>
      <w:pPr>
        <w:keepLines/>
        <w:autoSpaceDE w:val="0"/>
        <w:autoSpaceDN w:val="0"/>
        <w:adjustRightInd w:val="0"/>
        <w:spacing w:before="120"/>
        <w:ind w:left="1588"/>
        <w:rPr>
          <w:color w:val="000000"/>
          <w:sz w:val="23"/>
          <w:szCs w:val="23"/>
        </w:rPr>
      </w:pPr>
      <w:r>
        <w:rPr>
          <w:rStyle w:val="CharDefText"/>
          <w:bCs/>
          <w:sz w:val="23"/>
        </w:rPr>
        <w:t>penalty</w:t>
      </w:r>
      <w:r>
        <w:rPr>
          <w:color w:val="000000"/>
          <w:sz w:val="23"/>
          <w:szCs w:val="23"/>
        </w:rPr>
        <w:t xml:space="preserve"> includes a civil penalty, forfeiture or punishment;</w:t>
      </w:r>
    </w:p>
    <w:p>
      <w:pPr>
        <w:keepLines/>
        <w:autoSpaceDE w:val="0"/>
        <w:autoSpaceDN w:val="0"/>
        <w:adjustRightInd w:val="0"/>
        <w:spacing w:before="120"/>
        <w:ind w:left="1588"/>
        <w:rPr>
          <w:color w:val="000000"/>
          <w:sz w:val="23"/>
          <w:szCs w:val="23"/>
        </w:rPr>
      </w:pPr>
      <w:r>
        <w:rPr>
          <w:rStyle w:val="CharDefText"/>
          <w:bCs/>
          <w:sz w:val="23"/>
        </w:rPr>
        <w:t>person</w:t>
      </w:r>
      <w:r>
        <w:rPr>
          <w:color w:val="000000"/>
          <w:sz w:val="23"/>
          <w:szCs w:val="23"/>
        </w:rPr>
        <w:t xml:space="preserve"> includes a body politic or body corporate as well as an individual;</w:t>
      </w:r>
    </w:p>
    <w:p>
      <w:pPr>
        <w:keepLines/>
        <w:autoSpaceDE w:val="0"/>
        <w:autoSpaceDN w:val="0"/>
        <w:adjustRightInd w:val="0"/>
        <w:spacing w:before="120"/>
        <w:ind w:left="1588"/>
        <w:rPr>
          <w:color w:val="000000"/>
          <w:sz w:val="23"/>
          <w:szCs w:val="23"/>
        </w:rPr>
      </w:pPr>
      <w:r>
        <w:rPr>
          <w:rStyle w:val="CharDefText"/>
          <w:bCs/>
          <w:sz w:val="23"/>
        </w:rPr>
        <w:t>power</w:t>
      </w:r>
      <w:r>
        <w:rPr>
          <w:color w:val="000000"/>
          <w:sz w:val="23"/>
          <w:szCs w:val="23"/>
        </w:rPr>
        <w:t xml:space="preserve"> includes authority;</w:t>
      </w:r>
    </w:p>
    <w:p>
      <w:pPr>
        <w:keepLines/>
        <w:autoSpaceDE w:val="0"/>
        <w:autoSpaceDN w:val="0"/>
        <w:adjustRightInd w:val="0"/>
        <w:spacing w:before="120"/>
        <w:ind w:left="1588"/>
        <w:rPr>
          <w:color w:val="000000"/>
          <w:sz w:val="23"/>
          <w:szCs w:val="23"/>
        </w:rPr>
      </w:pPr>
      <w:r>
        <w:rPr>
          <w:rStyle w:val="CharDefText"/>
          <w:bCs/>
          <w:sz w:val="23"/>
        </w:rPr>
        <w:t>prescribed</w:t>
      </w:r>
      <w:r>
        <w:rPr>
          <w:color w:val="000000"/>
          <w:sz w:val="23"/>
          <w:szCs w:val="23"/>
        </w:rPr>
        <w:t xml:space="preserve"> means prescribed by the Regulations;</w:t>
      </w:r>
    </w:p>
    <w:p>
      <w:pPr>
        <w:keepLines/>
        <w:autoSpaceDE w:val="0"/>
        <w:autoSpaceDN w:val="0"/>
        <w:adjustRightInd w:val="0"/>
        <w:spacing w:before="120"/>
        <w:ind w:left="1588"/>
        <w:rPr>
          <w:color w:val="000000"/>
          <w:sz w:val="23"/>
          <w:szCs w:val="23"/>
        </w:rPr>
      </w:pPr>
      <w:r>
        <w:rPr>
          <w:rStyle w:val="CharDefText"/>
          <w:bCs/>
          <w:sz w:val="23"/>
        </w:rPr>
        <w:t>printed</w:t>
      </w:r>
      <w:r>
        <w:rPr>
          <w:color w:val="000000"/>
          <w:sz w:val="23"/>
          <w:szCs w:val="23"/>
        </w:rPr>
        <w:t xml:space="preserve"> includes typewritten, lithographed or reproduced by any mechanical means;</w:t>
      </w:r>
    </w:p>
    <w:p>
      <w:pPr>
        <w:keepLines/>
        <w:autoSpaceDE w:val="0"/>
        <w:autoSpaceDN w:val="0"/>
        <w:adjustRightInd w:val="0"/>
        <w:spacing w:before="120"/>
        <w:ind w:left="1588"/>
        <w:rPr>
          <w:color w:val="000000"/>
          <w:sz w:val="23"/>
          <w:szCs w:val="23"/>
        </w:rPr>
      </w:pPr>
      <w:r>
        <w:rPr>
          <w:rStyle w:val="CharDefText"/>
          <w:bCs/>
          <w:sz w:val="23"/>
        </w:rPr>
        <w:t>proceeding</w:t>
      </w:r>
      <w:r>
        <w:rPr>
          <w:color w:val="000000"/>
          <w:sz w:val="23"/>
          <w:szCs w:val="23"/>
        </w:rPr>
        <w:t xml:space="preserve"> means a legal or other action or proceeding;</w:t>
      </w:r>
    </w:p>
    <w:p>
      <w:pPr>
        <w:keepLines/>
        <w:autoSpaceDE w:val="0"/>
        <w:autoSpaceDN w:val="0"/>
        <w:adjustRightInd w:val="0"/>
        <w:spacing w:before="120"/>
        <w:ind w:left="1588"/>
        <w:rPr>
          <w:color w:val="000000"/>
          <w:sz w:val="23"/>
          <w:szCs w:val="23"/>
        </w:rPr>
      </w:pPr>
      <w:r>
        <w:rPr>
          <w:rStyle w:val="CharDefText"/>
          <w:bCs/>
          <w:sz w:val="23"/>
        </w:rPr>
        <w:t>property</w:t>
      </w:r>
      <w:r>
        <w:rPr>
          <w:color w:val="000000"/>
          <w:sz w:val="23"/>
          <w:szCs w:val="23"/>
        </w:rPr>
        <w:t xml:space="preserve"> means any legal or equitable estate or interest (whether present or future, vested or contingent, or tangible or intangible) in real or personal property of any description (including money), and includes things in action;</w:t>
      </w:r>
    </w:p>
    <w:p>
      <w:pPr>
        <w:keepNext/>
        <w:autoSpaceDE w:val="0"/>
        <w:autoSpaceDN w:val="0"/>
        <w:adjustRightInd w:val="0"/>
        <w:spacing w:before="120"/>
        <w:ind w:left="1588"/>
        <w:rPr>
          <w:color w:val="000000"/>
          <w:sz w:val="23"/>
          <w:szCs w:val="23"/>
        </w:rPr>
      </w:pPr>
      <w:r>
        <w:rPr>
          <w:rStyle w:val="CharDefText"/>
          <w:bCs/>
          <w:sz w:val="23"/>
        </w:rPr>
        <w:t>provision</w:t>
      </w:r>
      <w:r>
        <w:rPr>
          <w:color w:val="000000"/>
          <w:sz w:val="23"/>
          <w:szCs w:val="23"/>
        </w:rPr>
        <w:t>, in relation to this Law or an Act, means words or other matter that form or forms part of this Law or the Act, and 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Part, Division, Subdivision, section, subsection, paragraph, subparagraph, subsubparagraph or Schedule of or to this Law or the 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section, clause, subclause, item, column, table or form of or in a Schedule to this Law or the 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long title and any preamble to the Act;</w:t>
      </w:r>
    </w:p>
    <w:p>
      <w:pPr>
        <w:keepLines/>
        <w:autoSpaceDE w:val="0"/>
        <w:autoSpaceDN w:val="0"/>
        <w:adjustRightInd w:val="0"/>
        <w:spacing w:before="120"/>
        <w:ind w:left="1588"/>
        <w:rPr>
          <w:color w:val="000000"/>
          <w:sz w:val="23"/>
          <w:szCs w:val="23"/>
        </w:rPr>
      </w:pPr>
      <w:r>
        <w:rPr>
          <w:rStyle w:val="CharDefText"/>
          <w:bCs/>
          <w:sz w:val="23"/>
        </w:rPr>
        <w:t>record</w:t>
      </w:r>
      <w:r>
        <w:rPr>
          <w:color w:val="000000"/>
          <w:sz w:val="23"/>
          <w:szCs w:val="23"/>
        </w:rPr>
        <w:t xml:space="preserve"> includes information stored or recorded by means of a computer;</w:t>
      </w:r>
    </w:p>
    <w:p>
      <w:pPr>
        <w:keepNext/>
        <w:keepLines/>
        <w:autoSpaceDE w:val="0"/>
        <w:autoSpaceDN w:val="0"/>
        <w:adjustRightInd w:val="0"/>
        <w:spacing w:before="120"/>
        <w:ind w:left="1588"/>
        <w:rPr>
          <w:color w:val="000000"/>
          <w:sz w:val="23"/>
          <w:szCs w:val="23"/>
        </w:rPr>
      </w:pPr>
      <w:r>
        <w:rPr>
          <w:rStyle w:val="CharDefText"/>
          <w:bCs/>
          <w:sz w:val="23"/>
        </w:rPr>
        <w:t>repeal</w:t>
      </w:r>
      <w:r>
        <w:rPr>
          <w:bCs/>
          <w:i/>
          <w:iCs/>
          <w:color w:val="000000"/>
          <w:sz w:val="23"/>
          <w:szCs w:val="23"/>
        </w:rPr>
        <w:t xml:space="preserve"> </w:t>
      </w:r>
      <w:r>
        <w:rPr>
          <w:color w:val="000000"/>
          <w:sz w:val="23"/>
          <w:szCs w:val="23"/>
        </w:rPr>
        <w:t>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revoke or rescind;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repeal by implication;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abrogate or limit the effect of the law or instrument concerned;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exclude from, or include in, the application of the law or instrument concerned, any person, subject matter or circumstance;</w:t>
      </w:r>
    </w:p>
    <w:p>
      <w:pPr>
        <w:keepLines/>
        <w:autoSpaceDE w:val="0"/>
        <w:autoSpaceDN w:val="0"/>
        <w:adjustRightInd w:val="0"/>
        <w:spacing w:before="120"/>
        <w:ind w:left="1588"/>
        <w:rPr>
          <w:color w:val="000000"/>
          <w:sz w:val="23"/>
          <w:szCs w:val="23"/>
        </w:rPr>
      </w:pPr>
      <w:r>
        <w:rPr>
          <w:rStyle w:val="CharDefText"/>
          <w:bCs/>
          <w:sz w:val="23"/>
        </w:rPr>
        <w:t>sign</w:t>
      </w:r>
      <w:r>
        <w:rPr>
          <w:color w:val="000000"/>
          <w:sz w:val="23"/>
          <w:szCs w:val="23"/>
        </w:rPr>
        <w:t xml:space="preserve"> includes the affixing of a seal or the making of a mark;</w:t>
      </w:r>
    </w:p>
    <w:p>
      <w:pPr>
        <w:keepLines/>
        <w:autoSpaceDE w:val="0"/>
        <w:autoSpaceDN w:val="0"/>
        <w:adjustRightInd w:val="0"/>
        <w:spacing w:before="120"/>
        <w:ind w:left="1588"/>
        <w:rPr>
          <w:color w:val="000000"/>
          <w:sz w:val="23"/>
          <w:szCs w:val="23"/>
        </w:rPr>
      </w:pPr>
      <w:r>
        <w:rPr>
          <w:rStyle w:val="CharDefText"/>
          <w:bCs/>
          <w:sz w:val="23"/>
        </w:rPr>
        <w:t>statutory declaration</w:t>
      </w:r>
      <w:r>
        <w:rPr>
          <w:bCs/>
          <w:i/>
          <w:iCs/>
          <w:color w:val="000000"/>
          <w:sz w:val="23"/>
          <w:szCs w:val="23"/>
        </w:rPr>
        <w:t xml:space="preserve"> </w:t>
      </w:r>
      <w:r>
        <w:rPr>
          <w:color w:val="000000"/>
          <w:sz w:val="23"/>
          <w:szCs w:val="23"/>
        </w:rPr>
        <w:t>means a declaration made under an Act, or under a Commonwealth Act or an Act of another jurisdiction, that authorises a declaration to be made otherwise than in the course of a judicial proceeding;</w:t>
      </w:r>
    </w:p>
    <w:p>
      <w:pPr>
        <w:keepLines/>
        <w:autoSpaceDE w:val="0"/>
        <w:autoSpaceDN w:val="0"/>
        <w:adjustRightInd w:val="0"/>
        <w:spacing w:before="120"/>
        <w:ind w:left="1588"/>
        <w:rPr>
          <w:color w:val="000000"/>
          <w:sz w:val="23"/>
          <w:szCs w:val="23"/>
        </w:rPr>
      </w:pPr>
      <w:r>
        <w:rPr>
          <w:rStyle w:val="CharDefText"/>
          <w:bCs/>
          <w:sz w:val="23"/>
        </w:rPr>
        <w:t>statutory instrument</w:t>
      </w:r>
      <w:r>
        <w:rPr>
          <w:bCs/>
          <w:i/>
          <w:iCs/>
          <w:color w:val="000000"/>
          <w:sz w:val="23"/>
          <w:szCs w:val="23"/>
        </w:rPr>
        <w:t xml:space="preserve"> </w:t>
      </w:r>
      <w:r>
        <w:rPr>
          <w:color w:val="000000"/>
          <w:sz w:val="23"/>
          <w:szCs w:val="23"/>
        </w:rPr>
        <w:t>means the Regulations or an instrument made or in force under this Law;</w:t>
      </w:r>
    </w:p>
    <w:p>
      <w:pPr>
        <w:keepLines/>
        <w:autoSpaceDE w:val="0"/>
        <w:autoSpaceDN w:val="0"/>
        <w:adjustRightInd w:val="0"/>
        <w:spacing w:before="120"/>
        <w:ind w:left="1588"/>
        <w:rPr>
          <w:color w:val="000000"/>
          <w:sz w:val="23"/>
          <w:szCs w:val="23"/>
        </w:rPr>
      </w:pPr>
      <w:r>
        <w:rPr>
          <w:rStyle w:val="CharDefText"/>
          <w:bCs/>
          <w:sz w:val="23"/>
        </w:rPr>
        <w:t>swear</w:t>
      </w:r>
      <w:r>
        <w:rPr>
          <w:color w:val="000000"/>
          <w:sz w:val="23"/>
          <w:szCs w:val="23"/>
        </w:rPr>
        <w:t>, in relation to a person allowed by law to affirm, declare or promise, includes affirm, declare or promise;</w:t>
      </w:r>
    </w:p>
    <w:p>
      <w:pPr>
        <w:keepLines/>
        <w:autoSpaceDE w:val="0"/>
        <w:autoSpaceDN w:val="0"/>
        <w:adjustRightInd w:val="0"/>
        <w:spacing w:before="120"/>
        <w:ind w:left="1588"/>
        <w:rPr>
          <w:color w:val="000000"/>
          <w:sz w:val="23"/>
          <w:szCs w:val="23"/>
        </w:rPr>
      </w:pPr>
      <w:r>
        <w:rPr>
          <w:rStyle w:val="CharDefText"/>
          <w:bCs/>
          <w:sz w:val="23"/>
        </w:rPr>
        <w:t>word</w:t>
      </w:r>
      <w:r>
        <w:rPr>
          <w:bCs/>
          <w:i/>
          <w:iCs/>
          <w:color w:val="000000"/>
          <w:sz w:val="23"/>
          <w:szCs w:val="23"/>
        </w:rPr>
        <w:t xml:space="preserve"> </w:t>
      </w:r>
      <w:r>
        <w:rPr>
          <w:color w:val="000000"/>
          <w:sz w:val="23"/>
          <w:szCs w:val="23"/>
        </w:rPr>
        <w:t>includes any symbol, figure or drawing;</w:t>
      </w:r>
    </w:p>
    <w:p>
      <w:pPr>
        <w:keepLines/>
        <w:autoSpaceDE w:val="0"/>
        <w:autoSpaceDN w:val="0"/>
        <w:adjustRightInd w:val="0"/>
        <w:spacing w:before="120"/>
        <w:ind w:left="1588"/>
        <w:rPr>
          <w:color w:val="000000"/>
          <w:sz w:val="23"/>
          <w:szCs w:val="23"/>
        </w:rPr>
      </w:pPr>
      <w:r>
        <w:rPr>
          <w:rStyle w:val="CharDefText"/>
          <w:bCs/>
          <w:sz w:val="23"/>
        </w:rPr>
        <w:t>writing</w:t>
      </w:r>
      <w:r>
        <w:rPr>
          <w:color w:val="000000"/>
          <w:sz w:val="23"/>
          <w:szCs w:val="23"/>
        </w:rPr>
        <w:t xml:space="preserve"> includes any mode of representing or reproducing words in a visible form.</w:t>
      </w:r>
    </w:p>
    <w:p>
      <w:pPr>
        <w:pStyle w:val="Heading5"/>
      </w:pPr>
      <w:bookmarkStart w:id="920" w:name="_Toc536782418"/>
      <w:r>
        <w:rPr>
          <w:rStyle w:val="CharSectno"/>
        </w:rPr>
        <w:t>11</w:t>
      </w:r>
      <w:r>
        <w:t>.</w:t>
      </w:r>
      <w:r>
        <w:tab/>
        <w:t>Provisions relating to defined terms and gender and number</w:t>
      </w:r>
      <w:bookmarkEnd w:id="92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defines a word or expression, other parts of speech and grammatical forms of the word or expression have corresponding meanings.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Definitions in or applicable to this Law apply except so far as the context or subject matter otherwise indicates or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Law, words indicating a gender include each other gender.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words in the singular include the plural;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words in the plural include the singular.</w:t>
      </w:r>
    </w:p>
    <w:p>
      <w:pPr>
        <w:pStyle w:val="Heading5"/>
      </w:pPr>
      <w:bookmarkStart w:id="921" w:name="_Toc536782419"/>
      <w:r>
        <w:rPr>
          <w:rStyle w:val="CharSectno"/>
        </w:rPr>
        <w:t>12</w:t>
      </w:r>
      <w:r>
        <w:t>.</w:t>
      </w:r>
      <w:r>
        <w:tab/>
        <w:t>Meaning of may and must etc</w:t>
      </w:r>
      <w:bookmarkEnd w:id="92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Law, the word “may”, or a similar word or expression, used in relation to a power indicates that the power may be exercised or not exercised, at discretion.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Law, the word “must”, or a similar word or expression, used in relation to a power indicates that the power is required to be exercised.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This clause has effect despite any rule of construction to the contrary.</w:t>
      </w:r>
    </w:p>
    <w:p>
      <w:pPr>
        <w:pStyle w:val="Heading5"/>
      </w:pPr>
      <w:bookmarkStart w:id="922" w:name="_Toc536782420"/>
      <w:r>
        <w:rPr>
          <w:rStyle w:val="CharSectno"/>
        </w:rPr>
        <w:t>13</w:t>
      </w:r>
      <w:r>
        <w:t>.</w:t>
      </w:r>
      <w:r>
        <w:tab/>
        <w:t>Words and expressions used in statutory instruments</w:t>
      </w:r>
      <w:bookmarkEnd w:id="92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Words and expressions used in a statutory instrument have the same meanings as they have, from time to time, in this Law, or relevant provisions of this Law, under or for the purposes of which the instrument is made or in force.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This clause has effect in relation to an instrument except so far as the contrary intention appears in the instrument.</w:t>
      </w:r>
    </w:p>
    <w:p>
      <w:pPr>
        <w:pStyle w:val="Heading5"/>
      </w:pPr>
      <w:bookmarkStart w:id="923" w:name="_Toc536782421"/>
      <w:r>
        <w:rPr>
          <w:rStyle w:val="CharSectno"/>
        </w:rPr>
        <w:t>14</w:t>
      </w:r>
      <w:r>
        <w:t>.</w:t>
      </w:r>
      <w:r>
        <w:tab/>
        <w:t>References to Minister</w:t>
      </w:r>
      <w:bookmarkEnd w:id="92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reference to a Minister is a reference to a Minister of the Crown of this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reference to a particular Minister by title, or to “the Minister” without specifying a particular Minister by title, includes a reference to another Minister, or a member of the Executive Council of this jurisdiction, who is acting for and on behalf of the Minister.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 provision of this Law, a reference to “the Minister”, without specifying a particular Minister by title is a reference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Minister of this jurisdiction administering the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for the time being, different Ministers of this jurisdiction administer the provision in relation to different matters—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if only 1 Minister of this jurisdiction administers the provision in relation to the relevant matter, the Minister;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if 2 or more Ministers of this jurisdiction administer the provision in relation to the relevant matter, any 1 of those Ministers;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if paragraph (b) does not apply and, for the time being, 2 or more Ministers administer the provision, any 1 of the Ministers.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removal of doubt, it is declared that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provision of this Law is administered by 2 or more Ministers of this jurisdiction; and</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provision requires or permits anything to be done in relation to any of the Ministers,</w:t>
      </w:r>
    </w:p>
    <w:p>
      <w:pPr>
        <w:keepLines/>
        <w:autoSpaceDE w:val="0"/>
        <w:autoSpaceDN w:val="0"/>
        <w:adjustRightInd w:val="0"/>
        <w:spacing w:before="120"/>
        <w:ind w:left="1588"/>
        <w:rPr>
          <w:color w:val="000000"/>
          <w:sz w:val="23"/>
          <w:szCs w:val="23"/>
        </w:rPr>
      </w:pPr>
      <w:r>
        <w:rPr>
          <w:color w:val="000000"/>
          <w:sz w:val="23"/>
          <w:szCs w:val="23"/>
        </w:rPr>
        <w:t>the provision does not require or permit it to be done in a particular case by or in relation to more than 1 of the Ministers.</w:t>
      </w:r>
    </w:p>
    <w:p>
      <w:pPr>
        <w:pStyle w:val="Heading5"/>
      </w:pPr>
      <w:bookmarkStart w:id="924" w:name="_Toc536782422"/>
      <w:r>
        <w:rPr>
          <w:rStyle w:val="CharSectno"/>
        </w:rPr>
        <w:t>15</w:t>
      </w:r>
      <w:r>
        <w:t>.</w:t>
      </w:r>
      <w:r>
        <w:tab/>
        <w:t>Production of records kept in computers etc</w:t>
      </w:r>
      <w:bookmarkEnd w:id="924"/>
    </w:p>
    <w:p>
      <w:pPr>
        <w:keepNext/>
        <w:keepLines/>
        <w:autoSpaceDE w:val="0"/>
        <w:autoSpaceDN w:val="0"/>
        <w:adjustRightInd w:val="0"/>
        <w:spacing w:before="120"/>
        <w:ind w:left="1588"/>
        <w:rPr>
          <w:color w:val="000000"/>
          <w:sz w:val="23"/>
          <w:szCs w:val="23"/>
        </w:rPr>
      </w:pPr>
      <w:r>
        <w:rPr>
          <w:color w:val="000000"/>
          <w:sz w:val="23"/>
          <w:szCs w:val="23"/>
        </w:rPr>
        <w:t>If a person who keeps a record of information by means of a mechanical, electronic or other device is required by or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produce the information or a document containing the information to a court, tribunal or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make a document containing the information available for inspection by a court, tribunal or person,</w:t>
      </w:r>
    </w:p>
    <w:p>
      <w:pPr>
        <w:keepLines/>
        <w:autoSpaceDE w:val="0"/>
        <w:autoSpaceDN w:val="0"/>
        <w:adjustRightInd w:val="0"/>
        <w:spacing w:before="120"/>
        <w:ind w:left="1588"/>
        <w:rPr>
          <w:color w:val="000000"/>
          <w:sz w:val="23"/>
          <w:szCs w:val="23"/>
        </w:rPr>
      </w:pPr>
      <w:r>
        <w:rPr>
          <w:color w:val="000000"/>
          <w:sz w:val="23"/>
          <w:szCs w:val="23"/>
        </w:rPr>
        <w:t>then, unless the court, tribunal or person otherwise directs—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requirement obliges the person to produce or make available for inspection, as the case may be, a document that reproduces the information in a form capable of being understood by the court, tribunal or person;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production to the court, tribunal or person of the document in that form complies with the requirement.</w:t>
      </w:r>
    </w:p>
    <w:p>
      <w:pPr>
        <w:pStyle w:val="Heading5"/>
      </w:pPr>
      <w:bookmarkStart w:id="925" w:name="_Toc536782423"/>
      <w:r>
        <w:rPr>
          <w:rStyle w:val="CharSectno"/>
        </w:rPr>
        <w:t>16</w:t>
      </w:r>
      <w:r>
        <w:t>.</w:t>
      </w:r>
      <w:r>
        <w:tab/>
        <w:t>References to this jurisdiction to be implied</w:t>
      </w:r>
      <w:bookmarkEnd w:id="925"/>
    </w:p>
    <w:p>
      <w:pPr>
        <w:keepNext/>
        <w:keepLines/>
        <w:autoSpaceDE w:val="0"/>
        <w:autoSpaceDN w:val="0"/>
        <w:adjustRightInd w:val="0"/>
        <w:spacing w:before="120"/>
        <w:ind w:left="1588"/>
        <w:rPr>
          <w:color w:val="000000"/>
          <w:sz w:val="23"/>
          <w:szCs w:val="23"/>
        </w:rPr>
      </w:pPr>
      <w:r>
        <w:rPr>
          <w:color w:val="000000"/>
          <w:sz w:val="23"/>
          <w:szCs w:val="23"/>
        </w:rPr>
        <w:t>In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reference to an officer, office or statutory body is a reference to such an officer, office or statutory body in and for this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reference to a locality or other matter or thing is a reference to such a locality or other matter or thing in and of this jurisdiction.</w:t>
      </w:r>
    </w:p>
    <w:p>
      <w:pPr>
        <w:pStyle w:val="Heading5"/>
      </w:pPr>
      <w:bookmarkStart w:id="926" w:name="_Toc536782424"/>
      <w:r>
        <w:rPr>
          <w:rStyle w:val="CharSectno"/>
        </w:rPr>
        <w:t>17</w:t>
      </w:r>
      <w:r>
        <w:t>.</w:t>
      </w:r>
      <w:r>
        <w:tab/>
        <w:t>References to officers and holders of offices</w:t>
      </w:r>
      <w:bookmarkEnd w:id="926"/>
    </w:p>
    <w:p>
      <w:pPr>
        <w:keepLines/>
        <w:autoSpaceDE w:val="0"/>
        <w:autoSpaceDN w:val="0"/>
        <w:adjustRightInd w:val="0"/>
        <w:spacing w:before="120"/>
        <w:ind w:left="1588"/>
        <w:rPr>
          <w:color w:val="000000"/>
          <w:sz w:val="23"/>
          <w:szCs w:val="23"/>
        </w:rPr>
      </w:pPr>
      <w:r>
        <w:rPr>
          <w:color w:val="000000"/>
          <w:sz w:val="23"/>
          <w:szCs w:val="23"/>
        </w:rPr>
        <w:t>In this Law, a reference to a particular officer, or to the holder of a particular office, includes a reference to the person for the time being occupying or acting in the office concerned.</w:t>
      </w:r>
    </w:p>
    <w:p>
      <w:pPr>
        <w:pStyle w:val="Heading5"/>
      </w:pPr>
      <w:bookmarkStart w:id="927" w:name="_Toc536782425"/>
      <w:r>
        <w:rPr>
          <w:rStyle w:val="CharSectno"/>
        </w:rPr>
        <w:t>18</w:t>
      </w:r>
      <w:r>
        <w:t>.</w:t>
      </w:r>
      <w:r>
        <w:tab/>
        <w:t>Reference to certain provisions of Law</w:t>
      </w:r>
      <w:bookmarkEnd w:id="927"/>
    </w:p>
    <w:p>
      <w:pPr>
        <w:keepNext/>
        <w:keepLines/>
        <w:autoSpaceDE w:val="0"/>
        <w:autoSpaceDN w:val="0"/>
        <w:adjustRightInd w:val="0"/>
        <w:spacing w:before="120"/>
        <w:ind w:left="1588"/>
        <w:rPr>
          <w:color w:val="000000"/>
          <w:sz w:val="23"/>
          <w:szCs w:val="23"/>
        </w:rPr>
      </w:pPr>
      <w:r>
        <w:rPr>
          <w:color w:val="000000"/>
          <w:sz w:val="23"/>
          <w:szCs w:val="23"/>
        </w:rPr>
        <w:t>If a provision of this Law refers—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a Chapter, Part, section or Schedule by a number and without reference to this Law, the reference is a reference to the Chapter, Part, section or Schedule, designated by the number, of or to this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a Schedule without reference to it by a number and without reference to this Law, the reference, if there is only 1 Schedule to this Law, is a reference to the Schedule;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a Division, Subdivision, subsection, paragraph, subparagraph, subsubparagraph, clause, subclause, item, column, table or form by a number and without reference to this Law, the reference is a reference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Division, designated by the number, of the Part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Subdivision, designated by the number, of the Division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the subsection, designated by the number, of the section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the paragraph, designated by the number, of the section, subsection, Schedule or other provision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the paragraph, designated by the number, of the clause, subclause, item, column, table or form of or in the Schedule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(vi)</w:t>
      </w:r>
      <w:r>
        <w:rPr>
          <w:color w:val="000000"/>
          <w:sz w:val="23"/>
          <w:szCs w:val="23"/>
        </w:rPr>
        <w:tab/>
        <w:t>the subparagraph, designated by the number, of the paragraph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(vii)</w:t>
      </w:r>
      <w:r>
        <w:rPr>
          <w:color w:val="000000"/>
          <w:sz w:val="23"/>
          <w:szCs w:val="23"/>
        </w:rPr>
        <w:tab/>
        <w:t>the subsubparagraph, designated by the number, of the subparagraph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(viii)</w:t>
      </w:r>
      <w:r>
        <w:rPr>
          <w:color w:val="000000"/>
          <w:sz w:val="23"/>
          <w:szCs w:val="23"/>
        </w:rPr>
        <w:tab/>
        <w:t>the section, clause, subclause, item, column, table or form, designated by the number, of or in the Schedule in which the reference occurs,</w:t>
      </w:r>
    </w:p>
    <w:p>
      <w:pPr>
        <w:keepLines/>
        <w:autoSpaceDE w:val="0"/>
        <w:autoSpaceDN w:val="0"/>
        <w:adjustRightInd w:val="0"/>
        <w:spacing w:before="120"/>
        <w:ind w:left="2382"/>
        <w:rPr>
          <w:color w:val="000000"/>
          <w:sz w:val="23"/>
          <w:szCs w:val="23"/>
        </w:rPr>
      </w:pPr>
      <w:r>
        <w:rPr>
          <w:color w:val="000000"/>
          <w:sz w:val="23"/>
          <w:szCs w:val="23"/>
        </w:rPr>
        <w:t>as the case requires.</w:t>
      </w:r>
    </w:p>
    <w:p>
      <w:pPr>
        <w:pStyle w:val="Heading3"/>
      </w:pPr>
      <w:bookmarkStart w:id="928" w:name="_Toc501634304"/>
      <w:bookmarkStart w:id="929" w:name="_Toc501713200"/>
      <w:bookmarkStart w:id="930" w:name="_Toc536782426"/>
      <w:r>
        <w:rPr>
          <w:rStyle w:val="CharDivNo"/>
        </w:rPr>
        <w:t>Part 4</w:t>
      </w:r>
      <w:r>
        <w:t xml:space="preserve"> — </w:t>
      </w:r>
      <w:r>
        <w:rPr>
          <w:rStyle w:val="CharDivText"/>
        </w:rPr>
        <w:t>Functions and powers</w:t>
      </w:r>
      <w:bookmarkEnd w:id="928"/>
      <w:bookmarkEnd w:id="929"/>
      <w:bookmarkEnd w:id="930"/>
    </w:p>
    <w:p>
      <w:pPr>
        <w:pStyle w:val="Heading5"/>
      </w:pPr>
      <w:bookmarkStart w:id="931" w:name="_Toc536782427"/>
      <w:r>
        <w:rPr>
          <w:rStyle w:val="CharSectno"/>
        </w:rPr>
        <w:t>19</w:t>
      </w:r>
      <w:r>
        <w:t>.</w:t>
      </w:r>
      <w:r>
        <w:tab/>
        <w:t>Performance of statutory functions</w:t>
      </w:r>
      <w:bookmarkEnd w:id="93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confers a function or power on a person or body, the function may be performed, or the power may be exercised, from time to time as occasion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this Law confers a function or power on a particular officer or the holder of a particular office, the function may be performed, or the power may be exercised, by the person for the time being occupying or acting in the office concerned.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this Law confers a function or power on a body (whether or not incorporated), the performance of the function, or the exercise of the power, is not affected merely because of vacancies in the membership of the body.</w:t>
      </w:r>
    </w:p>
    <w:p>
      <w:pPr>
        <w:pStyle w:val="Heading5"/>
      </w:pPr>
      <w:bookmarkStart w:id="932" w:name="_Toc536782428"/>
      <w:r>
        <w:rPr>
          <w:rStyle w:val="CharSectno"/>
        </w:rPr>
        <w:t>20</w:t>
      </w:r>
      <w:r>
        <w:t>.</w:t>
      </w:r>
      <w:r>
        <w:tab/>
        <w:t>Power to make instrument or decision includes power to amend or repeal</w:t>
      </w:r>
      <w:bookmarkEnd w:id="932"/>
    </w:p>
    <w:p>
      <w:pPr>
        <w:keepNext/>
        <w:keepLines/>
        <w:autoSpaceDE w:val="0"/>
        <w:autoSpaceDN w:val="0"/>
        <w:adjustRightInd w:val="0"/>
        <w:spacing w:before="120"/>
        <w:ind w:left="1588"/>
        <w:rPr>
          <w:color w:val="000000"/>
          <w:sz w:val="23"/>
          <w:szCs w:val="23"/>
        </w:rPr>
      </w:pPr>
      <w:r>
        <w:rPr>
          <w:color w:val="000000"/>
          <w:sz w:val="23"/>
          <w:szCs w:val="23"/>
        </w:rPr>
        <w:t>If this Law authorises or requires the making of an instrument, decision or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power includes power to amend or repeal the instrument, decision or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power to amend or repeal the instrument, decision or determination is exercisable in the same way, and subject to the same conditions, as the power to make the instrument, decision or determination.</w:t>
      </w:r>
    </w:p>
    <w:p>
      <w:pPr>
        <w:pStyle w:val="Heading5"/>
      </w:pPr>
      <w:bookmarkStart w:id="933" w:name="_Toc536782429"/>
      <w:r>
        <w:rPr>
          <w:rStyle w:val="CharSectno"/>
        </w:rPr>
        <w:t>21</w:t>
      </w:r>
      <w:r>
        <w:t>.</w:t>
      </w:r>
      <w:r>
        <w:tab/>
        <w:t>Matters for which statutory instruments may make provision</w:t>
      </w:r>
      <w:bookmarkEnd w:id="93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or requires the making of a statutory instrument in relation to a matter, a statutory instrument made under this Law may make provision for the matter by applying, adopting or incorporating (with or without modification) the provisions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Act or statutory instrument;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another document (whether of the same or a different kind),</w:t>
      </w:r>
    </w:p>
    <w:p>
      <w:pPr>
        <w:keepLines/>
        <w:autoSpaceDE w:val="0"/>
        <w:autoSpaceDN w:val="0"/>
        <w:adjustRightInd w:val="0"/>
        <w:spacing w:before="120"/>
        <w:ind w:left="1588"/>
        <w:rPr>
          <w:color w:val="000000"/>
          <w:sz w:val="23"/>
          <w:szCs w:val="23"/>
        </w:rPr>
      </w:pPr>
      <w:r>
        <w:rPr>
          <w:color w:val="000000"/>
          <w:sz w:val="23"/>
          <w:szCs w:val="23"/>
        </w:rPr>
        <w:t>as in force at a particular time or as in force from time to time.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statutory instrument applies, adopts or incorporates the provisions of a document, the statutory instrument applies, adopts or incorporates the provisions as in force from time to time, unless the statutory instrument otherwise expressly provides.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statutory instrument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of general or limited application;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according to the persons, times, places or circumstances to which it is expressed to apply.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statutory instrument may authorise a matter or thing to be from time to time determined, applied or regulated by a specified person or body.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this Law authorises or requires a matter to be regulated by statutory instrument, the power may be exercised by prohibiting by statutory instrument the matter or any aspect of the matter.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statutory instrument may provide for the review of, or a right of appeal against, a decision made under the statutory instrument, or this Law, and may, for that purpose, confer jurisdiction on any court, tribunal, person or body.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A statutory instrument may require a form prescribed by or under the statutory instrument, or information or documents included in, attached to or given with the form, to be verified by statutory declaration.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sz w:val="23"/>
        </w:rPr>
        <w:t>statutory instrument</w:t>
      </w:r>
      <w:r>
        <w:rPr>
          <w:color w:val="000000"/>
          <w:sz w:val="23"/>
          <w:szCs w:val="23"/>
        </w:rPr>
        <w:t xml:space="preserve"> does not include the National Gas Rules.</w:t>
      </w:r>
    </w:p>
    <w:p>
      <w:pPr>
        <w:pStyle w:val="Heading5"/>
      </w:pPr>
      <w:bookmarkStart w:id="934" w:name="_Toc536782430"/>
      <w:r>
        <w:rPr>
          <w:rStyle w:val="CharSectno"/>
        </w:rPr>
        <w:t>22</w:t>
      </w:r>
      <w:r>
        <w:t>.</w:t>
      </w:r>
      <w:r>
        <w:tab/>
        <w:t>Presumption of validity and power to make</w:t>
      </w:r>
      <w:bookmarkEnd w:id="93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All conditions and preliminary steps required for the making of a statutory instrument are presumed to have been satisfied and performed in the absence of evidence to the contrary.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statutory instrument is taken to be made under all powers under which it may be made, even though it purports to be made under this Law or a particular provision of this Law.</w:t>
      </w:r>
    </w:p>
    <w:p>
      <w:pPr>
        <w:pStyle w:val="Heading5"/>
      </w:pPr>
      <w:bookmarkStart w:id="935" w:name="_Toc536782431"/>
      <w:r>
        <w:rPr>
          <w:rStyle w:val="CharSectno"/>
        </w:rPr>
        <w:t>23</w:t>
      </w:r>
      <w:r>
        <w:t>.</w:t>
      </w:r>
      <w:r>
        <w:tab/>
        <w:t>Appointments may be made by name or office</w:t>
      </w:r>
      <w:bookmarkEnd w:id="93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or requires a person or body—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appoint a person to an office;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appoint a person or body to exercise a power;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appoint a person or body to do another thing,</w:t>
      </w:r>
    </w:p>
    <w:p>
      <w:pPr>
        <w:keepLines/>
        <w:autoSpaceDE w:val="0"/>
        <w:autoSpaceDN w:val="0"/>
        <w:adjustRightInd w:val="0"/>
        <w:spacing w:before="120"/>
        <w:ind w:left="1588"/>
        <w:rPr>
          <w:color w:val="000000"/>
          <w:sz w:val="23"/>
          <w:szCs w:val="23"/>
        </w:rPr>
      </w:pPr>
      <w:r>
        <w:rPr>
          <w:color w:val="000000"/>
          <w:sz w:val="23"/>
          <w:szCs w:val="23"/>
        </w:rPr>
        <w:t>the person or body may make the appointment by—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appointing a person or body by name;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appointing a particular officer, or the holder of a particular office, by reference to the title of the office concerned.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appointment of a particular officer, or the holder of a particular office, is taken to be the appointment of the person for the time being occupying or acting in the office concerned.</w:t>
      </w:r>
    </w:p>
    <w:p>
      <w:pPr>
        <w:pStyle w:val="Heading5"/>
      </w:pPr>
      <w:bookmarkStart w:id="936" w:name="_Toc536782432"/>
      <w:r>
        <w:rPr>
          <w:rStyle w:val="CharSectno"/>
        </w:rPr>
        <w:t>24</w:t>
      </w:r>
      <w:r>
        <w:t>.</w:t>
      </w:r>
      <w:r>
        <w:tab/>
        <w:t>Acting appointments</w:t>
      </w:r>
      <w:bookmarkEnd w:id="93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a person or body to appoint a person to act in an office, the person or body may, in accordance with this Law, appoint—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person by name;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particular officer, or the holder of a particular office, by reference to the title of the office concerned,</w:t>
      </w:r>
    </w:p>
    <w:p>
      <w:pPr>
        <w:keepLines/>
        <w:autoSpaceDE w:val="0"/>
        <w:autoSpaceDN w:val="0"/>
        <w:adjustRightInd w:val="0"/>
        <w:spacing w:before="120"/>
        <w:ind w:left="1588"/>
        <w:rPr>
          <w:color w:val="000000"/>
          <w:sz w:val="23"/>
          <w:szCs w:val="23"/>
        </w:rPr>
      </w:pPr>
      <w:r>
        <w:rPr>
          <w:color w:val="000000"/>
          <w:sz w:val="23"/>
          <w:szCs w:val="23"/>
        </w:rPr>
        <w:t>to act in the office.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appointment may be expressed to have effect only in the circumstances specified in the instrument of appointment.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appointer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determine the terms and conditions of the appointment, including remuneration and allowances;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terminate the appointment at any time.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appointment, or the termination of the appointment, must be in, or evidenced by, writing signed by the appointer.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appointee must not act for more than 1 year during a vacancy in the office.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the appointee is acting in the office otherwise than because of a vacancy in the office and the office becomes vacant, then, subject to subclause (2), the appointee may continue to act until—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appointer otherwise directs;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vacancy is filled;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end of a year from the day of the vacancy,</w:t>
      </w:r>
    </w:p>
    <w:p>
      <w:pPr>
        <w:keepLines/>
        <w:autoSpaceDE w:val="0"/>
        <w:autoSpaceDN w:val="0"/>
        <w:adjustRightInd w:val="0"/>
        <w:spacing w:before="120"/>
        <w:ind w:left="1588"/>
        <w:rPr>
          <w:color w:val="000000"/>
          <w:sz w:val="23"/>
          <w:szCs w:val="23"/>
        </w:rPr>
      </w:pPr>
      <w:r>
        <w:rPr>
          <w:color w:val="000000"/>
          <w:sz w:val="23"/>
          <w:szCs w:val="23"/>
        </w:rPr>
        <w:t>whichever happens first.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The appointment ceases to have effect if the appointee resigns by writing signed and delivered to the appointer.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While the appointee is acting in the office—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appointee has all the powers and functions of the holder of the office;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this Law and other laws apply to the appointee as if the appointee were the holder of the office.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Anything done by or in relation to a person purporting to act in the office is not invalid merely because—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occasion for the appointment had not arisen;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appointment had ceased to have effect;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occasion for the person to act had not arisen or had ceased.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(10)</w:t>
      </w:r>
      <w:r>
        <w:rPr>
          <w:color w:val="000000"/>
          <w:sz w:val="23"/>
          <w:szCs w:val="23"/>
        </w:rPr>
        <w:tab/>
        <w:t>If this Law authorises the appointer to appoint a person to act during a vacancy in the office, an appointment to act in the office may be made by the appointer whether or not an appointment has previously been made to the office.</w:t>
      </w:r>
    </w:p>
    <w:p>
      <w:pPr>
        <w:pStyle w:val="Heading5"/>
      </w:pPr>
      <w:bookmarkStart w:id="937" w:name="_Toc536782433"/>
      <w:r>
        <w:rPr>
          <w:rStyle w:val="CharSectno"/>
        </w:rPr>
        <w:t>25</w:t>
      </w:r>
      <w:r>
        <w:t>.</w:t>
      </w:r>
      <w:r>
        <w:tab/>
        <w:t>Powers of appointment imply certain incidental powers</w:t>
      </w:r>
      <w:bookmarkEnd w:id="93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or requires a person or body to appoint a person to an office—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power may be exercised from time to time as occasion requires;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power includes—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power to remove or suspend, at any time, a person appointed to the office;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power to appoint another person to act in the office if a person appointed to the office is removed or suspended;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power to reinstate or reappoint a person removed or suspended;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power to appoint a person to act in the office if it is vacant (whether or not the office has ever been filled);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power to appoint a person to act in the office if the person appointed to the office is absent or is unable to discharge the functions of the office (whether because of illness or otherwise).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power to remove or suspend a person under subclause (1)(b) may be exercised even if this Law provides that the holder of the office to which the person was appointed is to hold office for a specified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power to make an appointment under subclause (1)(b) may be exercised from time to time as occasion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appointment under subclause (1)(b) may be expressed to have effect only in the circumstances specified in the instrument of appointment.</w:t>
      </w:r>
    </w:p>
    <w:p>
      <w:pPr>
        <w:pStyle w:val="Heading5"/>
      </w:pPr>
      <w:bookmarkStart w:id="938" w:name="_Toc536782434"/>
      <w:r>
        <w:rPr>
          <w:rStyle w:val="CharSectno"/>
        </w:rPr>
        <w:t>26</w:t>
      </w:r>
      <w:r>
        <w:t>.</w:t>
      </w:r>
      <w:r>
        <w:tab/>
        <w:t>Delegation</w:t>
      </w:r>
      <w:bookmarkEnd w:id="93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a person to delegate a function or power, the person may, in accordance with this Law, delegate the power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person by name;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particular officer, or the holder of a particular office, by reference to the title of the office concerned.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delegation—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be general or limited;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be made from time to time;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be revoked, wholly or partly, by the delegator.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delegation, or a revocation of the delegation, must be in, or evidenced by, writing signed by the delegator or if the delegator is a body corporate, by a person authorised by the body corporate for the purpose.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delegated function or power may be exercised only in accordance with any conditions to which the delegation is subject.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delegate may, in the exercise of a delegated function or power, do anything that is incidental to the delegated function or power.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 delegated function or power that purports to have been exercised by the delegate is taken to have been duly exercised by the delegate unless the contrary is proved.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delegated function or power that is duly exercised by the delegate is taken to have been exercised by the delegator.</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If, when exercised by the delegator, a function or power is, under this Law, dependent on the delegator’s opinion, belief or state of mind in relation to a matter, the function or power, when exercised by the delegate, is dependent on the delegate’s opinion, belief or state of mind in relation to the matter.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If a function or power is delegated to a particular officer or the holder of a particular office—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delegation does not cease to have effect merely because the person who was the particular officer or the holder of the particular office when the power was delegated ceases to be the officer or the holder of the office;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function or power may be exercised by the person for the time being occupying or acting in the office concerned.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(10)</w:t>
      </w:r>
      <w:r>
        <w:rPr>
          <w:color w:val="000000"/>
          <w:sz w:val="23"/>
          <w:szCs w:val="23"/>
        </w:rPr>
        <w:tab/>
        <w:t>A function or power that has been delegated may, despite the delegation, be exercised by the delegator.</w:t>
      </w:r>
    </w:p>
    <w:p>
      <w:pPr>
        <w:pStyle w:val="Heading5"/>
      </w:pPr>
      <w:bookmarkStart w:id="939" w:name="_Toc536782435"/>
      <w:r>
        <w:rPr>
          <w:rStyle w:val="CharSectno"/>
        </w:rPr>
        <w:t>27</w:t>
      </w:r>
      <w:r>
        <w:t>.</w:t>
      </w:r>
      <w:r>
        <w:tab/>
        <w:t>Exercise of powers between enactment and commencement</w:t>
      </w:r>
      <w:bookmarkEnd w:id="93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If a provision of this Law (the </w:t>
      </w:r>
      <w:r>
        <w:rPr>
          <w:rStyle w:val="CharDefText"/>
        </w:rPr>
        <w:t>empowering provision</w:t>
      </w:r>
      <w:r>
        <w:rPr>
          <w:color w:val="000000"/>
          <w:sz w:val="23"/>
          <w:szCs w:val="23"/>
        </w:rPr>
        <w:t>) that does not commence on its enactment would, had it commenced, confer a power—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make an appointment;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make a statutory instrument of a legislative or administrative character;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do another thing,</w:t>
      </w:r>
    </w:p>
    <w:p>
      <w:pPr>
        <w:keepLines/>
        <w:autoSpaceDE w:val="0"/>
        <w:autoSpaceDN w:val="0"/>
        <w:adjustRightInd w:val="0"/>
        <w:spacing w:before="120"/>
        <w:ind w:left="1588"/>
        <w:rPr>
          <w:color w:val="000000"/>
          <w:sz w:val="23"/>
          <w:szCs w:val="23"/>
        </w:rPr>
      </w:pPr>
      <w:r>
        <w:rPr>
          <w:color w:val="000000"/>
          <w:sz w:val="23"/>
          <w:szCs w:val="23"/>
        </w:rPr>
        <w:t>then—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power may be exercised;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anything may be done for the purpose of enabling the exercise of the power or of bringing the appointment, instrument or other thing into effect,</w:t>
      </w:r>
    </w:p>
    <w:p>
      <w:pPr>
        <w:keepLines/>
        <w:autoSpaceDE w:val="0"/>
        <w:autoSpaceDN w:val="0"/>
        <w:adjustRightInd w:val="0"/>
        <w:spacing w:before="120"/>
        <w:ind w:left="1588"/>
        <w:rPr>
          <w:color w:val="000000"/>
          <w:sz w:val="23"/>
          <w:szCs w:val="23"/>
        </w:rPr>
      </w:pPr>
      <w:r>
        <w:rPr>
          <w:color w:val="000000"/>
          <w:sz w:val="23"/>
          <w:szCs w:val="23"/>
        </w:rPr>
        <w:t>before the empowering provision commences.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If a provision of an Act of South Australia (the </w:t>
      </w:r>
      <w:r>
        <w:rPr>
          <w:rStyle w:val="CharDefText"/>
          <w:bCs/>
          <w:sz w:val="23"/>
        </w:rPr>
        <w:t>empowering provision</w:t>
      </w:r>
      <w:r>
        <w:rPr>
          <w:color w:val="000000"/>
          <w:sz w:val="23"/>
          <w:szCs w:val="23"/>
        </w:rPr>
        <w:t>) that does not commence on its enactment would, had it commenced, amend a provision of this Law so that it would confer a power—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make an appointment;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make a statutory instrument of a legislative or administrative character;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do another thing,</w:t>
      </w:r>
    </w:p>
    <w:p>
      <w:pPr>
        <w:keepLines/>
        <w:autoSpaceDE w:val="0"/>
        <w:autoSpaceDN w:val="0"/>
        <w:adjustRightInd w:val="0"/>
        <w:spacing w:before="120"/>
        <w:ind w:left="1588"/>
        <w:rPr>
          <w:color w:val="000000"/>
          <w:sz w:val="23"/>
          <w:szCs w:val="23"/>
        </w:rPr>
      </w:pPr>
      <w:r>
        <w:rPr>
          <w:color w:val="000000"/>
          <w:sz w:val="23"/>
          <w:szCs w:val="23"/>
        </w:rPr>
        <w:t>then—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power may be exercised;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anything may be done for the purpose of enabling the exercise of the power or of bringing the appointment, instrument or other thing into effect,</w:t>
      </w:r>
    </w:p>
    <w:p>
      <w:pPr>
        <w:keepLines/>
        <w:autoSpaceDE w:val="0"/>
        <w:autoSpaceDN w:val="0"/>
        <w:adjustRightInd w:val="0"/>
        <w:spacing w:before="120"/>
        <w:ind w:left="1588"/>
        <w:rPr>
          <w:color w:val="000000"/>
          <w:sz w:val="23"/>
          <w:szCs w:val="23"/>
        </w:rPr>
      </w:pPr>
      <w:r>
        <w:rPr>
          <w:color w:val="000000"/>
          <w:sz w:val="23"/>
          <w:szCs w:val="23"/>
        </w:rPr>
        <w:t>before the empowering provision commences.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this Law has commenced and confers a power to make a statutory instrument (the </w:t>
      </w:r>
      <w:r>
        <w:rPr>
          <w:rStyle w:val="CharDefText"/>
          <w:bCs/>
          <w:sz w:val="23"/>
        </w:rPr>
        <w:t>basic instrument making power</w:t>
      </w:r>
      <w:r>
        <w:rPr>
          <w:color w:val="000000"/>
          <w:sz w:val="23"/>
          <w:szCs w:val="23"/>
        </w:rPr>
        <w: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a provision of an Act of South Australia that does not commence on its enactment would, had it commenced, amend this Law so as to confer additional power to make a statutory instrument (the </w:t>
      </w:r>
      <w:r>
        <w:rPr>
          <w:rStyle w:val="CharDefText"/>
          <w:bCs/>
          <w:sz w:val="23"/>
        </w:rPr>
        <w:t>additional instrument making power</w:t>
      </w:r>
      <w:r>
        <w:rPr>
          <w:color w:val="000000"/>
          <w:sz w:val="23"/>
          <w:szCs w:val="23"/>
        </w:rPr>
        <w:t>),</w:t>
      </w:r>
    </w:p>
    <w:p>
      <w:pPr>
        <w:keepLines/>
        <w:autoSpaceDE w:val="0"/>
        <w:autoSpaceDN w:val="0"/>
        <w:adjustRightInd w:val="0"/>
        <w:spacing w:before="120"/>
        <w:ind w:left="1588"/>
        <w:rPr>
          <w:color w:val="000000"/>
          <w:sz w:val="23"/>
          <w:szCs w:val="23"/>
        </w:rPr>
      </w:pPr>
      <w:r>
        <w:rPr>
          <w:color w:val="000000"/>
          <w:sz w:val="23"/>
          <w:szCs w:val="23"/>
        </w:rPr>
        <w:t>then—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basic instrument making power and the additional instrument making power may be exercised by making a single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provision of the instrument that required an exercise of the additional instrument making power is to be treated as made under subclause (2).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an instrument, or a provision of an instrument, is made under subclause (1) or (2) that is necessary for the purpose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enabling the exercise of a power mentioned in the subclause;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bringing an appointment, instrument or other thing made or done under such a power into effect,</w:t>
      </w:r>
    </w:p>
    <w:p>
      <w:pPr>
        <w:keepLines/>
        <w:autoSpaceDE w:val="0"/>
        <w:autoSpaceDN w:val="0"/>
        <w:adjustRightInd w:val="0"/>
        <w:spacing w:before="120"/>
        <w:ind w:left="1588"/>
        <w:rPr>
          <w:color w:val="000000"/>
          <w:sz w:val="23"/>
          <w:szCs w:val="23"/>
        </w:rPr>
      </w:pPr>
      <w:r>
        <w:rPr>
          <w:color w:val="000000"/>
          <w:sz w:val="23"/>
          <w:szCs w:val="23"/>
        </w:rPr>
        <w:t>the instrument or provision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the making of the instrument;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such later day (if any) on which, or at such later time (if any) at which, the instrument or provision is expressed to take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appointment is made under subclause (1) or (2);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instrument, or a provision of an instrument, made under subclause (1) or (2) is not necessary for a purpose mentioned in subclause (4),</w:t>
      </w:r>
    </w:p>
    <w:p>
      <w:pPr>
        <w:keepLines/>
        <w:autoSpaceDE w:val="0"/>
        <w:autoSpaceDN w:val="0"/>
        <w:adjustRightInd w:val="0"/>
        <w:spacing w:before="120"/>
        <w:ind w:left="1588"/>
        <w:rPr>
          <w:color w:val="000000"/>
          <w:sz w:val="23"/>
          <w:szCs w:val="23"/>
        </w:rPr>
      </w:pPr>
      <w:r>
        <w:rPr>
          <w:color w:val="000000"/>
          <w:sz w:val="23"/>
          <w:szCs w:val="23"/>
        </w:rPr>
        <w:t>the appointment, instrument or provision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the commencement of the relevant empowering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such later day (if any) on which, or at such later time (if any) at which, the appointment, instrument or provision is expressed to take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Anything done under subclause (1) or (2) does not confer a right, or impose a liability, on a person before the relevant empowering provision commences.</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In the application of this clause to a statutory instrument, a reference to the enactment of the instrument is a reference to the making of the instrument.</w:t>
      </w:r>
    </w:p>
    <w:p>
      <w:pPr>
        <w:pStyle w:val="Heading5"/>
      </w:pPr>
      <w:bookmarkStart w:id="940" w:name="_Toc536782436"/>
      <w:r>
        <w:rPr>
          <w:rStyle w:val="CharSectno"/>
        </w:rPr>
        <w:t>27A</w:t>
      </w:r>
      <w:r>
        <w:t>.</w:t>
      </w:r>
      <w:r>
        <w:tab/>
        <w:t>WA modifications of clause 27</w:t>
      </w:r>
      <w:bookmarkEnd w:id="94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 xml:space="preserve">Clause 27 applies to a conferral of power by this Law to the extent that the power derives from an amendment to </w:t>
      </w:r>
      <w:r>
        <w:rPr>
          <w:sz w:val="23"/>
        </w:rPr>
        <w:t xml:space="preserve">the </w:t>
      </w:r>
      <w:r>
        <w:rPr>
          <w:color w:val="000000"/>
          <w:sz w:val="23"/>
          <w:szCs w:val="23"/>
        </w:rPr>
        <w:t xml:space="preserve">Schedule to the </w:t>
      </w:r>
      <w:r>
        <w:rPr>
          <w:i/>
          <w:iCs/>
          <w:color w:val="000000"/>
          <w:sz w:val="23"/>
          <w:szCs w:val="23"/>
        </w:rPr>
        <w:t>National Gas (South Australia) Act 2008</w:t>
      </w:r>
      <w:r>
        <w:rPr>
          <w:color w:val="000000"/>
          <w:sz w:val="23"/>
          <w:szCs w:val="23"/>
        </w:rPr>
        <w:t xml:space="preserve"> of South Australia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as if references in clause 27(2), (5) and (6) to the commencement of the empowering provision referred to the time when the Western Australian National Gas Access Law text, as defined in </w:t>
      </w:r>
      <w:r>
        <w:rPr>
          <w:sz w:val="23"/>
        </w:rPr>
        <w:t xml:space="preserve">section 7(2) of the </w:t>
      </w:r>
      <w:r>
        <w:rPr>
          <w:i/>
          <w:iCs/>
          <w:sz w:val="23"/>
        </w:rPr>
        <w:t>National Gas Access (WA) Act 2009</w:t>
      </w:r>
      <w:r>
        <w:rPr>
          <w:color w:val="000000"/>
          <w:sz w:val="23"/>
          <w:szCs w:val="23"/>
        </w:rPr>
        <w:t>, is affected by the amendment;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as if the reference in clause 27(3) to additional power that would be conferred had an Act of South Australia commenced referred to additional power that would be conferred had the Western Australian National Gas Access Law text been already affected by the amendment;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as if clause 27(7) had been omitted.</w:t>
      </w:r>
    </w:p>
    <w:p>
      <w:pPr>
        <w:pStyle w:val="Footnotesection"/>
      </w:pPr>
      <w:r>
        <w:tab/>
        <w:t>[Clause 27A inserted: WA Act Sch. 1 cl. 15.]</w:t>
      </w:r>
    </w:p>
    <w:p>
      <w:pPr>
        <w:pStyle w:val="Heading3"/>
      </w:pPr>
      <w:bookmarkStart w:id="941" w:name="_Toc501634315"/>
      <w:bookmarkStart w:id="942" w:name="_Toc501713211"/>
      <w:bookmarkStart w:id="943" w:name="_Toc536782437"/>
      <w:r>
        <w:rPr>
          <w:rStyle w:val="CharDivNo"/>
        </w:rPr>
        <w:t>Part 5</w:t>
      </w:r>
      <w:r>
        <w:t xml:space="preserve"> — </w:t>
      </w:r>
      <w:r>
        <w:rPr>
          <w:rStyle w:val="CharDivText"/>
        </w:rPr>
        <w:t>Distance and time</w:t>
      </w:r>
      <w:bookmarkEnd w:id="941"/>
      <w:bookmarkEnd w:id="942"/>
      <w:bookmarkEnd w:id="943"/>
    </w:p>
    <w:p>
      <w:pPr>
        <w:pStyle w:val="Heading5"/>
      </w:pPr>
      <w:bookmarkStart w:id="944" w:name="_Toc536782438"/>
      <w:r>
        <w:rPr>
          <w:rStyle w:val="CharSectno"/>
        </w:rPr>
        <w:t>28</w:t>
      </w:r>
      <w:r>
        <w:t>.</w:t>
      </w:r>
      <w:r>
        <w:tab/>
        <w:t>Matters relating to distance and time</w:t>
      </w:r>
      <w:bookmarkEnd w:id="94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the measurement of distance for the purposes of this Law, the distance is to be measured along the shortest road ordinarily used for travelling.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period beginning on a given day, act or event is provided or allowed for a purpose by this Law, the period is to be calculated by excluding the day, or the day of the act or event,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period is expressed to be a specified number of clear days or at least a specified number of days, by excluding the day on which the purpose is to be fulfilled;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any other case, by including the day on which the purpose is to be fulfilled.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last day of a period provided or allowed by this Law for doing anything is not a business day in the place in which the thing is to be or may be done, the thing may be done on the next business day in the place.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no time is provided or allowed for doing anything, the thing is to be done as soon as possible, and as often as the prescribed occasion happens.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in this Law, there is a reference to time, the reference is, in relation to the doing of anything in a jurisdiction, a reference to the legal time in the jurisdiction.</w:t>
      </w:r>
    </w:p>
    <w:p>
      <w:pPr>
        <w:pStyle w:val="Heading3"/>
      </w:pPr>
      <w:bookmarkStart w:id="945" w:name="_Toc501634317"/>
      <w:bookmarkStart w:id="946" w:name="_Toc501713213"/>
      <w:bookmarkStart w:id="947" w:name="_Toc536782439"/>
      <w:r>
        <w:rPr>
          <w:rStyle w:val="CharDivNo"/>
        </w:rPr>
        <w:t>Part 6</w:t>
      </w:r>
      <w:r>
        <w:t xml:space="preserve"> — </w:t>
      </w:r>
      <w:r>
        <w:rPr>
          <w:rStyle w:val="CharDivText"/>
        </w:rPr>
        <w:t>Service of documents</w:t>
      </w:r>
      <w:bookmarkEnd w:id="945"/>
      <w:bookmarkEnd w:id="946"/>
      <w:bookmarkEnd w:id="947"/>
    </w:p>
    <w:p>
      <w:pPr>
        <w:pStyle w:val="Heading5"/>
      </w:pPr>
      <w:bookmarkStart w:id="948" w:name="_Toc536782440"/>
      <w:r>
        <w:rPr>
          <w:rStyle w:val="CharSectno"/>
        </w:rPr>
        <w:t>29</w:t>
      </w:r>
      <w:r>
        <w:t>.</w:t>
      </w:r>
      <w:r>
        <w:tab/>
        <w:t>Service of documents and meaning of service by post etc</w:t>
      </w:r>
      <w:bookmarkEnd w:id="94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requires or permits a document to be served on a person (whether the expression “deliver”, “give”, “notify”, “send” or “serve” or another expression is used), the document may be served—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on a natural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delivering it to the person personally;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by leaving it at, or by sending it by post, facsimile or similar facility to the last known address of the place of residence or usual place of business of the person;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by sending it electronically to that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on a body corporate—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leaving it at the registered office or usual place of business of the body corporate with an officer of the body corporate;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by sending it by post, facsimile or similar facility to its registered office or its usual place of business;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by sending it electronically to that body corporate or an officer of the body corporate.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Nothing in subclause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affects the operation of another law that authorises the service of a document otherwise than as provided in the subclause;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affects the power of a court or tribunal to authorise service of a document otherwise than as provided in the subclause.</w:t>
      </w:r>
    </w:p>
    <w:p>
      <w:pPr>
        <w:pStyle w:val="Heading5"/>
      </w:pPr>
      <w:bookmarkStart w:id="949" w:name="_Toc536782441"/>
      <w:r>
        <w:rPr>
          <w:rStyle w:val="CharSectno"/>
        </w:rPr>
        <w:t>30</w:t>
      </w:r>
      <w:r>
        <w:t>.</w:t>
      </w:r>
      <w:r>
        <w:tab/>
        <w:t>Meaning of service by post etc</w:t>
      </w:r>
      <w:bookmarkEnd w:id="94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requires or permits a document to be served by post (whether the expression “deliver”, “give”, “notify”, “send” or “serve” or another expression is used), service—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be effected by properly addressing, prepaying and posting the document as a letter;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taken to have been effected at the time at which the letter would be delivered in the ordinary course of post, unless the contrary is proved.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this Law requires or permits a document to be served by a particular postal method (whether the expression “deliver”, “give”, “notify”, “send” or “serve” or another expression is used), the requirement or permission is taken to be satisfied if the document is posted by that method or, if that method is not available, by the equivalent, or nearest equivalent, method provided for the time being by Australia Post.</w:t>
      </w:r>
    </w:p>
    <w:p>
      <w:pPr>
        <w:pStyle w:val="Heading3"/>
      </w:pPr>
      <w:bookmarkStart w:id="950" w:name="_Toc501634320"/>
      <w:bookmarkStart w:id="951" w:name="_Toc501713216"/>
      <w:bookmarkStart w:id="952" w:name="_Toc536782442"/>
      <w:r>
        <w:rPr>
          <w:rStyle w:val="CharDivNo"/>
        </w:rPr>
        <w:t>Part 7</w:t>
      </w:r>
      <w:r>
        <w:t xml:space="preserve"> — </w:t>
      </w:r>
      <w:r>
        <w:rPr>
          <w:rStyle w:val="CharDivText"/>
        </w:rPr>
        <w:t>Evidentiary matters</w:t>
      </w:r>
      <w:bookmarkEnd w:id="950"/>
      <w:bookmarkEnd w:id="951"/>
      <w:bookmarkEnd w:id="952"/>
    </w:p>
    <w:p>
      <w:pPr>
        <w:pStyle w:val="Heading4"/>
      </w:pPr>
      <w:bookmarkStart w:id="953" w:name="_Toc501634321"/>
      <w:bookmarkStart w:id="954" w:name="_Toc501713217"/>
      <w:bookmarkStart w:id="955" w:name="_Toc536782443"/>
      <w:r>
        <w:t>Division 1 — Publication on websites</w:t>
      </w:r>
      <w:bookmarkEnd w:id="953"/>
      <w:bookmarkEnd w:id="954"/>
      <w:bookmarkEnd w:id="955"/>
    </w:p>
    <w:p>
      <w:pPr>
        <w:pStyle w:val="Heading5"/>
      </w:pPr>
      <w:bookmarkStart w:id="956" w:name="_Toc536782444"/>
      <w:r>
        <w:rPr>
          <w:rStyle w:val="CharSectno"/>
        </w:rPr>
        <w:t>31</w:t>
      </w:r>
      <w:r>
        <w:t>.</w:t>
      </w:r>
      <w:r>
        <w:tab/>
        <w:t>Definitions</w:t>
      </w:r>
      <w:bookmarkEnd w:id="956"/>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Lines/>
        <w:autoSpaceDE w:val="0"/>
        <w:autoSpaceDN w:val="0"/>
        <w:adjustRightInd w:val="0"/>
        <w:spacing w:before="120"/>
        <w:ind w:left="1588"/>
        <w:rPr>
          <w:color w:val="000000"/>
          <w:sz w:val="23"/>
          <w:szCs w:val="23"/>
        </w:rPr>
      </w:pPr>
      <w:r>
        <w:rPr>
          <w:rStyle w:val="CharDefText"/>
          <w:bCs/>
          <w:sz w:val="23"/>
        </w:rPr>
        <w:t>decision maker</w:t>
      </w:r>
      <w:r>
        <w:rPr>
          <w:color w:val="000000"/>
          <w:sz w:val="23"/>
          <w:szCs w:val="23"/>
        </w:rPr>
        <w:t xml:space="preserve"> means a relevant Minister, the NCC, the AER, the AEMC or the Bulletin Board operator;</w:t>
      </w:r>
    </w:p>
    <w:p>
      <w:pPr>
        <w:keepNext/>
        <w:keepLines/>
        <w:autoSpaceDE w:val="0"/>
        <w:autoSpaceDN w:val="0"/>
        <w:adjustRightInd w:val="0"/>
        <w:spacing w:before="120"/>
        <w:ind w:left="1588"/>
        <w:rPr>
          <w:color w:val="000000"/>
          <w:sz w:val="23"/>
          <w:szCs w:val="23"/>
        </w:rPr>
      </w:pPr>
      <w:r>
        <w:rPr>
          <w:rStyle w:val="CharDefText"/>
          <w:bCs/>
          <w:sz w:val="23"/>
        </w:rPr>
        <w:t>relevant decision or document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(however described) or determination (however described) of a decision maker under this Law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access arrangement to which a decision of the AER under the Law or Rules relates;</w:t>
      </w:r>
    </w:p>
    <w:p>
      <w:pPr>
        <w:keepLines/>
        <w:autoSpaceDE w:val="0"/>
        <w:autoSpaceDN w:val="0"/>
        <w:adjustRightInd w:val="0"/>
        <w:spacing w:before="120"/>
        <w:ind w:left="1588"/>
        <w:rPr>
          <w:color w:val="000000"/>
          <w:sz w:val="23"/>
          <w:szCs w:val="23"/>
        </w:rPr>
      </w:pPr>
      <w:r>
        <w:rPr>
          <w:rStyle w:val="CharDefText"/>
          <w:bCs/>
          <w:sz w:val="23"/>
        </w:rPr>
        <w:t>relevant notice</w:t>
      </w:r>
      <w:r>
        <w:rPr>
          <w:bCs/>
          <w:i/>
          <w:iCs/>
          <w:color w:val="000000"/>
          <w:sz w:val="23"/>
          <w:szCs w:val="23"/>
        </w:rPr>
        <w:t xml:space="preserve"> </w:t>
      </w:r>
      <w:r>
        <w:rPr>
          <w:color w:val="000000"/>
          <w:sz w:val="23"/>
          <w:szCs w:val="23"/>
        </w:rPr>
        <w:t>means a notice under the Rules calling for or inviting submissions or comments in relation to a relevant decision or document;</w:t>
      </w:r>
    </w:p>
    <w:p>
      <w:pPr>
        <w:pStyle w:val="Heading5"/>
      </w:pPr>
      <w:bookmarkStart w:id="957" w:name="_Toc536782445"/>
      <w:r>
        <w:rPr>
          <w:rStyle w:val="CharSectno"/>
        </w:rPr>
        <w:t>32</w:t>
      </w:r>
      <w:r>
        <w:t>.</w:t>
      </w:r>
      <w:r>
        <w:tab/>
        <w:t>Publication of decisions on websites</w:t>
      </w:r>
      <w:bookmarkEnd w:id="95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For the purposes of this Law, a relevant decision or document or relevant notice that is required by this Law or the Rules to be published on a website is to be taken to be published on the website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relevant decision or document or relevant notice is made accessible in full on the website;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notice of the making or publication of the relevant decision or document or relevant notice is made accessible on that website and the relevant decision or document or relevant notice is made accessible separately in full on that website or in any other identified location.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date on which the relevant decision or document or relevant notice is published on the website is the date notified by the relevant decision maker on the website as the date of the relevant decision’s or document’s or relevant notice’s publication (being not earlier than the date on which it was first made so accessible).</w:t>
      </w:r>
    </w:p>
    <w:p>
      <w:pPr>
        <w:pStyle w:val="Heading4"/>
      </w:pPr>
      <w:bookmarkStart w:id="958" w:name="_Toc501634324"/>
      <w:bookmarkStart w:id="959" w:name="_Toc501713220"/>
      <w:bookmarkStart w:id="960" w:name="_Toc536782446"/>
      <w:r>
        <w:t>Division 2 — Evidentiary certificates</w:t>
      </w:r>
      <w:bookmarkEnd w:id="958"/>
      <w:bookmarkEnd w:id="959"/>
      <w:bookmarkEnd w:id="960"/>
    </w:p>
    <w:p>
      <w:pPr>
        <w:pStyle w:val="Heading5"/>
      </w:pPr>
      <w:bookmarkStart w:id="961" w:name="_Toc536782447"/>
      <w:r>
        <w:rPr>
          <w:rStyle w:val="CharSectno"/>
        </w:rPr>
        <w:t>33</w:t>
      </w:r>
      <w:r>
        <w:t>.</w:t>
      </w:r>
      <w:r>
        <w:tab/>
        <w:t>Definitions</w:t>
      </w:r>
      <w:bookmarkEnd w:id="961"/>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Lines/>
        <w:autoSpaceDE w:val="0"/>
        <w:autoSpaceDN w:val="0"/>
        <w:adjustRightInd w:val="0"/>
        <w:spacing w:before="120"/>
        <w:ind w:left="1588"/>
        <w:rPr>
          <w:color w:val="000000"/>
          <w:sz w:val="23"/>
          <w:szCs w:val="23"/>
        </w:rPr>
      </w:pPr>
      <w:r>
        <w:rPr>
          <w:rStyle w:val="CharDefText"/>
          <w:bCs/>
          <w:sz w:val="23"/>
        </w:rPr>
        <w:t>acting SES employee</w:t>
      </w:r>
      <w:r>
        <w:rPr>
          <w:color w:val="000000"/>
          <w:sz w:val="23"/>
          <w:szCs w:val="23"/>
        </w:rPr>
        <w:t xml:space="preserve"> has the same meaning as in section 17AA of the </w:t>
      </w:r>
      <w:r>
        <w:rPr>
          <w:i/>
          <w:iCs/>
          <w:color w:val="000000"/>
          <w:sz w:val="23"/>
          <w:szCs w:val="23"/>
        </w:rPr>
        <w:t>Acts Interpretation Act 1901</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AEMC chief executive</w:t>
      </w:r>
      <w:r>
        <w:rPr>
          <w:bCs/>
          <w:i/>
          <w:iCs/>
          <w:color w:val="000000"/>
          <w:sz w:val="23"/>
          <w:szCs w:val="23"/>
        </w:rPr>
        <w:t xml:space="preserve"> </w:t>
      </w:r>
      <w:r>
        <w:rPr>
          <w:color w:val="000000"/>
          <w:sz w:val="23"/>
          <w:szCs w:val="23"/>
        </w:rPr>
        <w:t xml:space="preserve">means the chief executive of the AEMC appointed under section 16 of the </w:t>
      </w:r>
      <w:r>
        <w:rPr>
          <w:i/>
          <w:iCs/>
          <w:color w:val="000000"/>
          <w:sz w:val="23"/>
          <w:szCs w:val="23"/>
        </w:rPr>
        <w:t>Australian Energy Market Commission Establishment Act 2004</w:t>
      </w:r>
      <w:r>
        <w:rPr>
          <w:color w:val="000000"/>
          <w:sz w:val="23"/>
          <w:szCs w:val="23"/>
        </w:rPr>
        <w:t xml:space="preserve"> of South Australia;</w:t>
      </w:r>
    </w:p>
    <w:p>
      <w:pPr>
        <w:keepLines/>
        <w:autoSpaceDE w:val="0"/>
        <w:autoSpaceDN w:val="0"/>
        <w:adjustRightInd w:val="0"/>
        <w:spacing w:before="120"/>
        <w:ind w:left="1588"/>
        <w:rPr>
          <w:color w:val="000000"/>
          <w:sz w:val="23"/>
          <w:szCs w:val="23"/>
        </w:rPr>
      </w:pPr>
      <w:r>
        <w:rPr>
          <w:rStyle w:val="CharDefText"/>
          <w:bCs/>
          <w:sz w:val="23"/>
        </w:rPr>
        <w:t>AEMC Commissioner</w:t>
      </w:r>
      <w:r>
        <w:rPr>
          <w:color w:val="000000"/>
          <w:sz w:val="23"/>
          <w:szCs w:val="23"/>
        </w:rPr>
        <w:t xml:space="preserve"> means a Commissioner within the meaning of the </w:t>
      </w:r>
      <w:r>
        <w:rPr>
          <w:i/>
          <w:iCs/>
          <w:color w:val="000000"/>
          <w:sz w:val="23"/>
          <w:szCs w:val="23"/>
        </w:rPr>
        <w:t>Australian Energy Market Commission Establishment Act 2004</w:t>
      </w:r>
      <w:r>
        <w:rPr>
          <w:color w:val="000000"/>
          <w:sz w:val="23"/>
          <w:szCs w:val="23"/>
        </w:rPr>
        <w:t xml:space="preserve"> of South Australia;</w:t>
      </w:r>
    </w:p>
    <w:p>
      <w:pPr>
        <w:keepLines/>
        <w:autoSpaceDE w:val="0"/>
        <w:autoSpaceDN w:val="0"/>
        <w:adjustRightInd w:val="0"/>
        <w:spacing w:before="120"/>
        <w:ind w:left="1588"/>
        <w:rPr>
          <w:color w:val="000000"/>
          <w:sz w:val="23"/>
          <w:szCs w:val="23"/>
        </w:rPr>
      </w:pPr>
      <w:r>
        <w:rPr>
          <w:rStyle w:val="CharDefText"/>
          <w:bCs/>
          <w:sz w:val="23"/>
        </w:rPr>
        <w:t>AER member</w:t>
      </w:r>
      <w:r>
        <w:rPr>
          <w:bCs/>
          <w:i/>
          <w:iCs/>
          <w:color w:val="000000"/>
          <w:sz w:val="23"/>
          <w:szCs w:val="23"/>
        </w:rPr>
        <w:t xml:space="preserve"> </w:t>
      </w:r>
      <w:r>
        <w:rPr>
          <w:color w:val="000000"/>
          <w:sz w:val="23"/>
          <w:szCs w:val="23"/>
        </w:rPr>
        <w:t xml:space="preserve">has the same meaning as in the </w:t>
      </w:r>
      <w:r>
        <w:rPr>
          <w:i/>
          <w:iCs/>
          <w:color w:val="000000"/>
          <w:sz w:val="23"/>
          <w:szCs w:val="23"/>
        </w:rPr>
        <w:t>Trade Practices Act 1974</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NCC member</w:t>
      </w:r>
      <w:r>
        <w:rPr>
          <w:bCs/>
          <w:i/>
          <w:iCs/>
          <w:color w:val="000000"/>
          <w:sz w:val="23"/>
          <w:szCs w:val="23"/>
        </w:rPr>
        <w:t xml:space="preserve"> </w:t>
      </w:r>
      <w:r>
        <w:rPr>
          <w:color w:val="000000"/>
          <w:sz w:val="23"/>
          <w:szCs w:val="23"/>
        </w:rPr>
        <w:t xml:space="preserve">means a Councillor within the meaning of the </w:t>
      </w:r>
      <w:r>
        <w:rPr>
          <w:i/>
          <w:iCs/>
          <w:color w:val="000000"/>
          <w:sz w:val="23"/>
          <w:szCs w:val="23"/>
        </w:rPr>
        <w:t>Trade Practices Act 1974</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relevant notice</w:t>
      </w:r>
      <w:r>
        <w:rPr>
          <w:bCs/>
          <w:i/>
          <w:iCs/>
          <w:color w:val="000000"/>
          <w:sz w:val="23"/>
          <w:szCs w:val="23"/>
        </w:rPr>
        <w:t xml:space="preserve"> </w:t>
      </w:r>
      <w:r>
        <w:rPr>
          <w:color w:val="000000"/>
          <w:sz w:val="23"/>
          <w:szCs w:val="23"/>
        </w:rPr>
        <w:t>has the same meaning as in clause 31;</w:t>
      </w:r>
    </w:p>
    <w:p>
      <w:pPr>
        <w:keepLines/>
        <w:autoSpaceDE w:val="0"/>
        <w:autoSpaceDN w:val="0"/>
        <w:adjustRightInd w:val="0"/>
        <w:spacing w:before="120"/>
        <w:ind w:left="1588"/>
        <w:rPr>
          <w:color w:val="000000"/>
          <w:sz w:val="23"/>
          <w:szCs w:val="23"/>
        </w:rPr>
      </w:pPr>
      <w:r>
        <w:rPr>
          <w:rStyle w:val="CharDefText"/>
          <w:bCs/>
          <w:sz w:val="23"/>
        </w:rPr>
        <w:t>SES employee</w:t>
      </w:r>
      <w:r>
        <w:rPr>
          <w:bCs/>
          <w:i/>
          <w:iCs/>
          <w:color w:val="000000"/>
          <w:sz w:val="23"/>
          <w:szCs w:val="23"/>
        </w:rPr>
        <w:t xml:space="preserve"> </w:t>
      </w:r>
      <w:r>
        <w:rPr>
          <w:color w:val="000000"/>
          <w:sz w:val="23"/>
          <w:szCs w:val="23"/>
        </w:rPr>
        <w:t xml:space="preserve">has the same meaning as in section 17AA of the </w:t>
      </w:r>
      <w:r>
        <w:rPr>
          <w:i/>
          <w:iCs/>
          <w:color w:val="000000"/>
          <w:sz w:val="23"/>
          <w:szCs w:val="23"/>
        </w:rPr>
        <w:t>Acts Interpretation Act 1901</w:t>
      </w:r>
      <w:r>
        <w:rPr>
          <w:color w:val="000000"/>
          <w:sz w:val="23"/>
          <w:szCs w:val="23"/>
        </w:rPr>
        <w:t xml:space="preserve"> of the Commonwealth.</w:t>
      </w:r>
    </w:p>
    <w:p>
      <w:pPr>
        <w:pStyle w:val="Heading5"/>
      </w:pPr>
      <w:bookmarkStart w:id="962" w:name="_Toc536782448"/>
      <w:r>
        <w:rPr>
          <w:rStyle w:val="CharSectno"/>
        </w:rPr>
        <w:t>34</w:t>
      </w:r>
      <w:r>
        <w:t>.</w:t>
      </w:r>
      <w:r>
        <w:tab/>
        <w:t>Evidentiary certificates—AER</w:t>
      </w:r>
      <w:bookmarkEnd w:id="96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In any proceedings under this Law, a certificate signed or purported to be signed by an AER member, or an SES employee or acting SES employee assisting the AER as mentioned in section 44AAC of the </w:t>
      </w:r>
      <w:r>
        <w:rPr>
          <w:i/>
          <w:iCs/>
          <w:color w:val="000000"/>
          <w:sz w:val="23"/>
          <w:szCs w:val="23"/>
        </w:rPr>
        <w:t>Trade Practices Act 1974</w:t>
      </w:r>
      <w:r>
        <w:rPr>
          <w:color w:val="000000"/>
          <w:sz w:val="23"/>
          <w:szCs w:val="23"/>
        </w:rPr>
        <w:t xml:space="preserve"> of the Commonwealth,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 1 of the following things, made, given, served or issued under this Law or the Rules: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decision (however described) or determination (however described);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authorisation under section 32;</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general regulatory information order;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 notice, notification, direction or requirement;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stated document is a copy of a thing referred to in paragraph (a);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a stated day, a person was or was not: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given a decision (however described), or determination (however described);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authorised as an authorised person (within the meaning of section 31);</w:t>
      </w:r>
    </w:p>
    <w:p>
      <w:pPr>
        <w:keepNext/>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served a notice under section 42 or a regulatory information notice;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notified under section 52;</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notified under section 143(3) of the making of an AER ring fencing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a stated day any of the following were published on the AER’s website: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decision (however described) or determination (however described);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general regulatory information order;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full access arrangement or revisions to an applicable access arrangement submitted for approval under section 132;</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 limited access arrangement or revisions to an applicable access arrangement submitted for approval under section 116 or 168;</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a relevant notice.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When subclause (1) is read as if a reference in it to the AER were a reference to the ERA, the subclause is to be read as if “an AER member, or an SES employee or acting SES employee assisting the AER as mentioned in section 44AAC of the </w:t>
      </w:r>
      <w:r>
        <w:rPr>
          <w:i/>
          <w:iCs/>
          <w:color w:val="000000"/>
          <w:sz w:val="23"/>
          <w:szCs w:val="23"/>
        </w:rPr>
        <w:t>Trade Practices Act 1974</w:t>
      </w:r>
      <w:r>
        <w:rPr>
          <w:color w:val="000000"/>
          <w:sz w:val="23"/>
          <w:szCs w:val="23"/>
        </w:rPr>
        <w:t xml:space="preserve"> of the Commonwealth” had been deleted and the following had been inserted instead:</w:t>
      </w:r>
    </w:p>
    <w:p>
      <w:pPr>
        <w:pStyle w:val="BlankOpen"/>
      </w:pPr>
    </w:p>
    <w:p>
      <w:pPr>
        <w:keepLines/>
        <w:tabs>
          <w:tab w:val="center" w:pos="1191"/>
          <w:tab w:val="left" w:pos="1588"/>
        </w:tabs>
        <w:autoSpaceDE w:val="0"/>
        <w:autoSpaceDN w:val="0"/>
        <w:adjustRightInd w:val="0"/>
        <w:spacing w:before="120"/>
        <w:ind w:left="1588" w:hanging="794"/>
        <w:rPr>
          <w:sz w:val="23"/>
        </w:rPr>
      </w:pPr>
      <w:r>
        <w:tab/>
      </w:r>
      <w:r>
        <w:tab/>
      </w:r>
      <w:r>
        <w:rPr>
          <w:sz w:val="23"/>
        </w:rPr>
        <w:t>a member of the ERA</w:t>
      </w:r>
    </w:p>
    <w:p>
      <w:pPr>
        <w:pStyle w:val="BlankClose"/>
      </w:pPr>
    </w:p>
    <w:p>
      <w:pPr>
        <w:pStyle w:val="Footnotesection"/>
      </w:pPr>
      <w:r>
        <w:tab/>
        <w:t>[Clause 34 modified: WA Act Sch. 1 cl. 16.]</w:t>
      </w:r>
    </w:p>
    <w:p>
      <w:pPr>
        <w:pStyle w:val="Heading5"/>
        <w:keepNext w:val="0"/>
        <w:keepLines w:val="0"/>
      </w:pPr>
      <w:bookmarkStart w:id="963" w:name="_Toc536782449"/>
      <w:r>
        <w:rPr>
          <w:rStyle w:val="CharSectno"/>
        </w:rPr>
        <w:t>35</w:t>
      </w:r>
      <w:r>
        <w:t>.</w:t>
      </w:r>
      <w:r>
        <w:tab/>
        <w:t>Evidentiary certificates—AEMC</w:t>
      </w:r>
      <w:bookmarkEnd w:id="963"/>
    </w:p>
    <w:p>
      <w:pPr>
        <w:autoSpaceDE w:val="0"/>
        <w:autoSpaceDN w:val="0"/>
        <w:adjustRightInd w:val="0"/>
        <w:spacing w:before="120"/>
        <w:ind w:left="1588"/>
        <w:rPr>
          <w:color w:val="000000"/>
          <w:sz w:val="23"/>
          <w:szCs w:val="23"/>
        </w:rPr>
      </w:pPr>
      <w:r>
        <w:rPr>
          <w:color w:val="000000"/>
          <w:sz w:val="23"/>
          <w:szCs w:val="23"/>
        </w:rPr>
        <w:t>In any proceedings under this Law, a certificate signed or purported to be signed by a Commissioner or the AEMC chief executive, stating any of the following matters is evidence of the matter: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 a decision (however described), made, given, served or issued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stated document is a copy of a thing referred to in paragraph (a);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a stated day, a person was or was not given a decision (however described);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a stated day a relevant notice was published on the AEMC’s website.</w:t>
      </w:r>
    </w:p>
    <w:p>
      <w:pPr>
        <w:pStyle w:val="Heading5"/>
      </w:pPr>
      <w:bookmarkStart w:id="964" w:name="_Toc536782450"/>
      <w:r>
        <w:rPr>
          <w:rStyle w:val="CharSectno"/>
        </w:rPr>
        <w:t>36</w:t>
      </w:r>
      <w:r>
        <w:t>.</w:t>
      </w:r>
      <w:r>
        <w:tab/>
        <w:t>Evidentiary certificates—NCC</w:t>
      </w:r>
      <w:bookmarkEnd w:id="964"/>
    </w:p>
    <w:p>
      <w:pPr>
        <w:keepNext/>
        <w:keepLines/>
        <w:autoSpaceDE w:val="0"/>
        <w:autoSpaceDN w:val="0"/>
        <w:adjustRightInd w:val="0"/>
        <w:spacing w:before="120"/>
        <w:ind w:left="1588"/>
        <w:rPr>
          <w:color w:val="000000"/>
          <w:sz w:val="23"/>
          <w:szCs w:val="23"/>
        </w:rPr>
      </w:pPr>
      <w:r>
        <w:rPr>
          <w:color w:val="000000"/>
          <w:sz w:val="23"/>
          <w:szCs w:val="23"/>
        </w:rPr>
        <w:t xml:space="preserve">In any proceedings under this Law, a certificate signed or purported to be signed by an NCC member, or an SES employee or acting SES employee who is an employee assisting the NCC as mentioned in section 29M of the </w:t>
      </w:r>
      <w:r>
        <w:rPr>
          <w:i/>
          <w:iCs/>
          <w:color w:val="000000"/>
          <w:sz w:val="23"/>
          <w:szCs w:val="23"/>
        </w:rPr>
        <w:t>Trade Practices Act 1974</w:t>
      </w:r>
      <w:r>
        <w:rPr>
          <w:color w:val="000000"/>
          <w:sz w:val="23"/>
          <w:szCs w:val="23"/>
        </w:rPr>
        <w:t xml:space="preserve"> of the Commonwealth,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NCC recommendation or decision;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decision of the NCC not to make a coverage determination because of section 96;</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on a stated day, a person was or was not given a reclassification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a stated day any 1 of the following was, in accordance with the Rules, published on the NCC’s website: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Ministerial coverage decision;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NCC recommendation or decision;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decision of the NCC not to make a coverage determination because of section 96;</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 relevant notice.</w:t>
      </w:r>
    </w:p>
    <w:p>
      <w:pPr>
        <w:pStyle w:val="Heading5"/>
      </w:pPr>
      <w:bookmarkStart w:id="965" w:name="_Toc536782451"/>
      <w:r>
        <w:rPr>
          <w:rStyle w:val="CharSectno"/>
        </w:rPr>
        <w:t>37</w:t>
      </w:r>
      <w:r>
        <w:t>.</w:t>
      </w:r>
      <w:r>
        <w:tab/>
        <w:t>Evidentiary certificates—relevant Minister and Commonwealth Minister</w:t>
      </w:r>
      <w:bookmarkEnd w:id="965"/>
    </w:p>
    <w:p>
      <w:pPr>
        <w:keepNext/>
        <w:keepLines/>
        <w:autoSpaceDE w:val="0"/>
        <w:autoSpaceDN w:val="0"/>
        <w:adjustRightInd w:val="0"/>
        <w:spacing w:before="120"/>
        <w:ind w:left="1588"/>
        <w:rPr>
          <w:color w:val="000000"/>
          <w:sz w:val="23"/>
          <w:szCs w:val="23"/>
        </w:rPr>
      </w:pPr>
      <w:r>
        <w:rPr>
          <w:color w:val="000000"/>
          <w:sz w:val="23"/>
          <w:szCs w:val="23"/>
        </w:rPr>
        <w:t>In any proceedings under this Law, a certificate signed or purported to be signed by a relevant Minister or the Commonwealth Minister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 a Ministerial coverage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on a stated day a person or the NCC was or was not given a Ministerial coverage decision.</w:t>
      </w:r>
    </w:p>
    <w:p>
      <w:pPr>
        <w:pStyle w:val="Heading5"/>
      </w:pPr>
      <w:bookmarkStart w:id="966" w:name="_Toc536782452"/>
      <w:r>
        <w:rPr>
          <w:rStyle w:val="CharSectno"/>
        </w:rPr>
        <w:t>38</w:t>
      </w:r>
      <w:r>
        <w:t>.</w:t>
      </w:r>
      <w:r>
        <w:tab/>
        <w:t>Evidentiary certificates—Bulletin Board operator</w:t>
      </w:r>
      <w:bookmarkEnd w:id="966"/>
    </w:p>
    <w:p>
      <w:pPr>
        <w:keepNext/>
        <w:keepLines/>
        <w:autoSpaceDE w:val="0"/>
        <w:autoSpaceDN w:val="0"/>
        <w:adjustRightInd w:val="0"/>
        <w:spacing w:before="120"/>
        <w:ind w:left="1588"/>
        <w:rPr>
          <w:color w:val="000000"/>
          <w:sz w:val="23"/>
          <w:szCs w:val="23"/>
        </w:rPr>
      </w:pPr>
      <w:r>
        <w:rPr>
          <w:color w:val="000000"/>
          <w:sz w:val="23"/>
          <w:szCs w:val="23"/>
        </w:rPr>
        <w:t>In any proceedings under this Law, a certificate signed or purported to be signed by the chief executive officer of the Bulletin Board operator,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 a decision (however described), made, given, served or issued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stated document is a copy of a thing referred to in paragraph (a);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a stated day, a person was or was not given a decision (however described);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a stated day a relevant notice was published on the Bulletin Board operator’s website.</w:t>
      </w:r>
    </w:p>
    <w:p>
      <w:pPr>
        <w:pStyle w:val="Heading3"/>
      </w:pPr>
      <w:bookmarkStart w:id="967" w:name="_Toc501634331"/>
      <w:bookmarkStart w:id="968" w:name="_Toc501713227"/>
      <w:bookmarkStart w:id="969" w:name="_Toc536782453"/>
      <w:r>
        <w:rPr>
          <w:rStyle w:val="CharDivNo"/>
        </w:rPr>
        <w:t>Part 8</w:t>
      </w:r>
      <w:r>
        <w:t xml:space="preserve"> — </w:t>
      </w:r>
      <w:r>
        <w:rPr>
          <w:rStyle w:val="CharDivText"/>
        </w:rPr>
        <w:t>Commencement of this Law and statutory instruments</w:t>
      </w:r>
      <w:bookmarkEnd w:id="967"/>
      <w:bookmarkEnd w:id="968"/>
      <w:bookmarkEnd w:id="969"/>
    </w:p>
    <w:p>
      <w:pPr>
        <w:pStyle w:val="Heading5"/>
      </w:pPr>
      <w:bookmarkStart w:id="970" w:name="_Toc536782454"/>
      <w:r>
        <w:rPr>
          <w:rStyle w:val="CharSectno"/>
        </w:rPr>
        <w:t>39</w:t>
      </w:r>
      <w:r>
        <w:t>.</w:t>
      </w:r>
      <w:r>
        <w:tab/>
        <w:t>Time of commencement of this Law or a provision of this Law</w:t>
      </w:r>
      <w:bookmarkEnd w:id="970"/>
    </w:p>
    <w:p>
      <w:pPr>
        <w:keepLines/>
        <w:autoSpaceDE w:val="0"/>
        <w:autoSpaceDN w:val="0"/>
        <w:adjustRightInd w:val="0"/>
        <w:spacing w:before="120"/>
        <w:ind w:left="1588"/>
        <w:rPr>
          <w:color w:val="000000"/>
          <w:sz w:val="23"/>
          <w:szCs w:val="23"/>
        </w:rPr>
      </w:pPr>
      <w:r>
        <w:rPr>
          <w:color w:val="000000"/>
          <w:sz w:val="23"/>
          <w:szCs w:val="23"/>
        </w:rPr>
        <w:t>If a provision of an Act of South Australia provides that this Law or a provision of this Law shall commence, or be deemed to have commenced, on a particular day, it shall commence, or be deemed to have commenced, at the beginning of that day.</w:t>
      </w:r>
    </w:p>
    <w:p>
      <w:pPr>
        <w:pStyle w:val="Heading5"/>
      </w:pPr>
      <w:bookmarkStart w:id="971" w:name="_Toc536782455"/>
      <w:r>
        <w:rPr>
          <w:rStyle w:val="CharSectno"/>
        </w:rPr>
        <w:t>40</w:t>
      </w:r>
      <w:r>
        <w:t>.</w:t>
      </w:r>
      <w:r>
        <w:tab/>
        <w:t>Time of commencement of a Rule</w:t>
      </w:r>
      <w:bookmarkEnd w:id="97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Rule provides that the Rule shall commence on a particular day, it shall commence at the beginning of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provision of an Act of South Australia provides that a Rule is deemed to have commenced on a particular day, the Rule shall be deemed to have commenced at the beginning of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a notice published in the South Australian Government Gazette under Chapter 9 Part 2 or section 314 provides that a Rule shall commence on a particular day, the Rule shall commence at the beginning of that day.</w:t>
      </w:r>
    </w:p>
    <w:p>
      <w:pPr>
        <w:pStyle w:val="Heading3"/>
      </w:pPr>
      <w:bookmarkStart w:id="972" w:name="_Toc501634334"/>
      <w:bookmarkStart w:id="973" w:name="_Toc501713230"/>
      <w:bookmarkStart w:id="974" w:name="_Toc536782456"/>
      <w:r>
        <w:rPr>
          <w:rStyle w:val="CharDivNo"/>
        </w:rPr>
        <w:t>Part 9</w:t>
      </w:r>
      <w:r>
        <w:t xml:space="preserve"> — </w:t>
      </w:r>
      <w:r>
        <w:rPr>
          <w:rStyle w:val="CharDivText"/>
        </w:rPr>
        <w:t>Effect of repeal, amendment or expiration</w:t>
      </w:r>
      <w:bookmarkEnd w:id="972"/>
      <w:bookmarkEnd w:id="973"/>
      <w:bookmarkEnd w:id="974"/>
    </w:p>
    <w:p>
      <w:pPr>
        <w:pStyle w:val="Heading5"/>
      </w:pPr>
      <w:bookmarkStart w:id="975" w:name="_Toc536782457"/>
      <w:r>
        <w:rPr>
          <w:rStyle w:val="CharSectno"/>
        </w:rPr>
        <w:t>41</w:t>
      </w:r>
      <w:r>
        <w:t>.</w:t>
      </w:r>
      <w:r>
        <w:tab/>
        <w:t>Time of Law, the Regulations or Rules ceasing to have effect</w:t>
      </w:r>
      <w:bookmarkEnd w:id="975"/>
    </w:p>
    <w:p>
      <w:pPr>
        <w:keepNext/>
        <w:keepLines/>
        <w:autoSpaceDE w:val="0"/>
        <w:autoSpaceDN w:val="0"/>
        <w:adjustRightInd w:val="0"/>
        <w:spacing w:before="120"/>
        <w:ind w:left="1588"/>
        <w:rPr>
          <w:color w:val="000000"/>
          <w:sz w:val="23"/>
          <w:szCs w:val="23"/>
        </w:rPr>
      </w:pPr>
      <w:r>
        <w:rPr>
          <w:color w:val="000000"/>
          <w:sz w:val="23"/>
          <w:szCs w:val="23"/>
        </w:rPr>
        <w:t>If a provision of this Law, the Regulations or the Rules is expressed—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expire on a specified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remain or continue in force, or otherwise have effect, until a specified day,</w:t>
      </w:r>
    </w:p>
    <w:p>
      <w:pPr>
        <w:keepLines/>
        <w:autoSpaceDE w:val="0"/>
        <w:autoSpaceDN w:val="0"/>
        <w:adjustRightInd w:val="0"/>
        <w:spacing w:before="120"/>
        <w:ind w:left="1588"/>
        <w:rPr>
          <w:color w:val="000000"/>
          <w:sz w:val="23"/>
          <w:szCs w:val="23"/>
        </w:rPr>
      </w:pPr>
      <w:r>
        <w:rPr>
          <w:color w:val="000000"/>
          <w:sz w:val="23"/>
          <w:szCs w:val="23"/>
        </w:rPr>
        <w:t>the provision has effect until the last moment of the specified day.</w:t>
      </w:r>
    </w:p>
    <w:p>
      <w:pPr>
        <w:pStyle w:val="Heading5"/>
      </w:pPr>
      <w:bookmarkStart w:id="976" w:name="_Toc536782458"/>
      <w:r>
        <w:rPr>
          <w:rStyle w:val="CharSectno"/>
        </w:rPr>
        <w:t>42</w:t>
      </w:r>
      <w:r>
        <w:t>.</w:t>
      </w:r>
      <w:r>
        <w:tab/>
        <w:t>Repealed Law, Regulation or Rule provisions not revived</w:t>
      </w:r>
      <w:bookmarkEnd w:id="97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provision of this Law is repealed or amended by an Act of South Australia or a provision of an Act of South Australia, the provision is not revived merely because the Act or the provision of the Act—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later repealed or amended;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later expires.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provision of the Regulations or the Rules is repealed or amended by a Regulation or a Rule, the provision is not revived merely because the Regulation or Rule—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later repealed or amended;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later expires.</w:t>
      </w:r>
    </w:p>
    <w:p>
      <w:pPr>
        <w:pStyle w:val="Heading5"/>
      </w:pPr>
      <w:bookmarkStart w:id="977" w:name="_Toc536782459"/>
      <w:r>
        <w:rPr>
          <w:rStyle w:val="CharSectno"/>
        </w:rPr>
        <w:t>43</w:t>
      </w:r>
      <w:r>
        <w:t>.</w:t>
      </w:r>
      <w:r>
        <w:tab/>
        <w:t>Saving of operation of repealed Law, Regulation or Rule provisions</w:t>
      </w:r>
      <w:bookmarkEnd w:id="97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repeal, amendment or expiry of a provision of this Law, the Regulations or the Rules does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revive anything not in force or existing at the time the repeal, amendment or expiry takes effect;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affect the previous operation of the provision or anything suffered, done or begun under the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affect a right, privilege or liability acquired, accrued or incurred under the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affect a penalty incurred in relation to an offence arising under the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affect an investigation, proceeding or remedy in relation to such a right, privilege, liability or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Any such penalty may be imposed and enforced, and any such investigation, proceeding or remedy may be begun, continued or enforced, as if the provision had not been repealed or amended or had not expired.</w:t>
      </w:r>
    </w:p>
    <w:p>
      <w:pPr>
        <w:pStyle w:val="Heading5"/>
      </w:pPr>
      <w:bookmarkStart w:id="978" w:name="_Toc536782460"/>
      <w:r>
        <w:rPr>
          <w:rStyle w:val="CharSectno"/>
        </w:rPr>
        <w:t>44</w:t>
      </w:r>
      <w:r>
        <w:t>.</w:t>
      </w:r>
      <w:r>
        <w:tab/>
        <w:t>Continuance of repealed provisions</w:t>
      </w:r>
      <w:bookmarkEnd w:id="97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an Act of South Australia repeals some provisions of this Law and enacts new provisions in substitution for the repealed provisions, the repealed provisions continue in force until the new provisions commence.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Regulation or Rule repeals some provisions of the Regulations or Rules and enacts new provisions in substitution for the repealed provisions, the repealed provisions continue in force until the new provisions commence.</w:t>
      </w:r>
    </w:p>
    <w:p>
      <w:pPr>
        <w:pStyle w:val="Heading5"/>
      </w:pPr>
      <w:bookmarkStart w:id="979" w:name="_Toc536782461"/>
      <w:r>
        <w:rPr>
          <w:rStyle w:val="CharSectno"/>
        </w:rPr>
        <w:t>45</w:t>
      </w:r>
      <w:r>
        <w:t>.</w:t>
      </w:r>
      <w:r>
        <w:tab/>
        <w:t>Law and amending Acts to be read as one</w:t>
      </w:r>
      <w:bookmarkEnd w:id="979"/>
    </w:p>
    <w:p>
      <w:pPr>
        <w:keepLines/>
        <w:autoSpaceDE w:val="0"/>
        <w:autoSpaceDN w:val="0"/>
        <w:adjustRightInd w:val="0"/>
        <w:spacing w:before="120"/>
        <w:ind w:left="1588"/>
        <w:rPr>
          <w:color w:val="000000"/>
          <w:sz w:val="23"/>
          <w:szCs w:val="23"/>
        </w:rPr>
      </w:pPr>
      <w:r>
        <w:rPr>
          <w:color w:val="000000"/>
          <w:sz w:val="23"/>
          <w:szCs w:val="23"/>
        </w:rPr>
        <w:t>This Law and all Acts of this jurisdiction amending this Law are to be read as one.</w:t>
      </w:r>
    </w:p>
    <w:p>
      <w:pPr>
        <w:pStyle w:val="Heading3"/>
      </w:pPr>
      <w:bookmarkStart w:id="980" w:name="_Toc501634340"/>
      <w:bookmarkStart w:id="981" w:name="_Toc501713236"/>
      <w:bookmarkStart w:id="982" w:name="_Toc536782462"/>
      <w:r>
        <w:rPr>
          <w:rStyle w:val="CharDivNo"/>
        </w:rPr>
        <w:t>Part 10</w:t>
      </w:r>
      <w:r>
        <w:t xml:space="preserve"> — </w:t>
      </w:r>
      <w:r>
        <w:rPr>
          <w:rStyle w:val="CharDivText"/>
        </w:rPr>
        <w:t>Offences under this Law</w:t>
      </w:r>
      <w:bookmarkEnd w:id="980"/>
      <w:bookmarkEnd w:id="981"/>
      <w:bookmarkEnd w:id="982"/>
    </w:p>
    <w:p>
      <w:pPr>
        <w:pStyle w:val="Heading5"/>
      </w:pPr>
      <w:bookmarkStart w:id="983" w:name="_Toc536782463"/>
      <w:r>
        <w:rPr>
          <w:rStyle w:val="CharSectno"/>
        </w:rPr>
        <w:t>46</w:t>
      </w:r>
      <w:r>
        <w:t>.</w:t>
      </w:r>
      <w:r>
        <w:tab/>
        <w:t>Penalty at foot of provision</w:t>
      </w:r>
      <w:bookmarkEnd w:id="983"/>
    </w:p>
    <w:p>
      <w:pPr>
        <w:keepNext/>
        <w:keepLines/>
        <w:autoSpaceDE w:val="0"/>
        <w:autoSpaceDN w:val="0"/>
        <w:adjustRightInd w:val="0"/>
        <w:spacing w:before="120"/>
        <w:ind w:left="1588"/>
        <w:rPr>
          <w:color w:val="000000"/>
          <w:sz w:val="23"/>
          <w:szCs w:val="23"/>
        </w:rPr>
      </w:pPr>
      <w:r>
        <w:rPr>
          <w:color w:val="000000"/>
          <w:sz w:val="23"/>
          <w:szCs w:val="23"/>
        </w:rPr>
        <w:t>In this Law, a penalty specified at the foot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section (whether or not the section is divided into subsections);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subsection (but not at the end of a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section or subsection and expressed in such a way as to indicate that it applies only to part of the section or subsection,</w:t>
      </w:r>
    </w:p>
    <w:p>
      <w:pPr>
        <w:keepLines/>
        <w:autoSpaceDE w:val="0"/>
        <w:autoSpaceDN w:val="0"/>
        <w:adjustRightInd w:val="0"/>
        <w:spacing w:before="120"/>
        <w:ind w:left="1588"/>
        <w:rPr>
          <w:color w:val="000000"/>
          <w:sz w:val="23"/>
          <w:szCs w:val="23"/>
        </w:rPr>
      </w:pPr>
      <w:r>
        <w:rPr>
          <w:color w:val="000000"/>
          <w:sz w:val="23"/>
          <w:szCs w:val="23"/>
        </w:rPr>
        <w:t>indicates that an offence mentioned in the section, subsection or part is punishable on conviction or, if no offence is mentioned, a contravention of the section, subsection or part constitutes an offence against the provision that is punishable, on conviction, by a penalty not more than the specified penalty.</w:t>
      </w:r>
    </w:p>
    <w:p>
      <w:pPr>
        <w:pStyle w:val="Heading5"/>
      </w:pPr>
      <w:bookmarkStart w:id="984" w:name="_Toc536782464"/>
      <w:r>
        <w:rPr>
          <w:rStyle w:val="CharSectno"/>
        </w:rPr>
        <w:t>47</w:t>
      </w:r>
      <w:r>
        <w:t>.</w:t>
      </w:r>
      <w:r>
        <w:tab/>
        <w:t>Penalty other than at foot of provision</w:t>
      </w:r>
      <w:bookmarkEnd w:id="98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Law, a penalty specified for an offence, or a contravention of a provision, indicates that the offence is punishable on conviction, or the contravention constitutes an offence against the provision that is punishable, on conviction, by a penalty not more than the specified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This clause does not apply to a penalty to which clause 36 applies.</w:t>
      </w:r>
    </w:p>
    <w:p>
      <w:pPr>
        <w:pStyle w:val="Heading5"/>
      </w:pPr>
      <w:bookmarkStart w:id="985" w:name="_Toc536782465"/>
      <w:r>
        <w:rPr>
          <w:rStyle w:val="CharSectno"/>
        </w:rPr>
        <w:t>48</w:t>
      </w:r>
      <w:r>
        <w:t>.</w:t>
      </w:r>
      <w:r>
        <w:tab/>
        <w:t>Indictable offences and summary offences</w:t>
      </w:r>
      <w:bookmarkEnd w:id="98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offence against this Law that is not punishable by imprisonment is punishable summarily.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offence against this Law that is punishable by imprisonment is, subject to subclause (3), punishable on indictment.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proceeding for an offence against this Law that is punishable by imprisonment is instituted in a court of summary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prosecutor requests the court to hear and determine the proceeding,</w:t>
      </w:r>
    </w:p>
    <w:p>
      <w:pPr>
        <w:keepLines/>
        <w:autoSpaceDE w:val="0"/>
        <w:autoSpaceDN w:val="0"/>
        <w:adjustRightInd w:val="0"/>
        <w:spacing w:before="120"/>
        <w:ind w:left="1588"/>
        <w:rPr>
          <w:color w:val="000000"/>
          <w:sz w:val="23"/>
          <w:szCs w:val="23"/>
        </w:rPr>
      </w:pPr>
      <w:r>
        <w:rPr>
          <w:color w:val="000000"/>
          <w:sz w:val="23"/>
          <w:szCs w:val="23"/>
        </w:rPr>
        <w:t>the offence is punishable summarily and the court must hear and determine the proceeding.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court of summary jurisdiction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impose, in relation to a single offence against this Law, a period of imprisonment of more than 2 years;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impose, in relation to offences against the Law, cumulative periods of imprisonment that are, in total, more than 5 years.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Nothing in this clause renders a person liable to be punished more than once in relation to the same offence.</w:t>
      </w:r>
    </w:p>
    <w:p>
      <w:pPr>
        <w:pStyle w:val="Heading5"/>
      </w:pPr>
      <w:bookmarkStart w:id="986" w:name="_Toc536782466"/>
      <w:r>
        <w:rPr>
          <w:rStyle w:val="CharSectno"/>
        </w:rPr>
        <w:t>49</w:t>
      </w:r>
      <w:r>
        <w:t>.</w:t>
      </w:r>
      <w:r>
        <w:tab/>
        <w:t>Double jeopardy</w:t>
      </w:r>
      <w:bookmarkEnd w:id="98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an act or omission constitutes an offence—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this Law as applied as a law of this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 this Law as applied as a law of another jurisdiction,</w:t>
      </w:r>
    </w:p>
    <w:p>
      <w:pPr>
        <w:keepLines/>
        <w:autoSpaceDE w:val="0"/>
        <w:autoSpaceDN w:val="0"/>
        <w:adjustRightInd w:val="0"/>
        <w:spacing w:before="120"/>
        <w:ind w:left="1588"/>
        <w:rPr>
          <w:color w:val="000000"/>
          <w:sz w:val="23"/>
          <w:szCs w:val="23"/>
        </w:rPr>
      </w:pPr>
      <w:r>
        <w:rPr>
          <w:color w:val="000000"/>
          <w:sz w:val="23"/>
          <w:szCs w:val="23"/>
        </w:rPr>
        <w:t>and the offender has been punished in relation to the offence under the law mentioned in paragraph (b), the offender is not liable to be punished in relation to the offence mentioned in paragraph (a).</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an act or omission constitutes—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breach of a civil penalty provision of this Law as applied as a law of this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breach of a civil penalty provision of this Law as applied as a law of another jurisdiction,</w:t>
      </w:r>
    </w:p>
    <w:p>
      <w:pPr>
        <w:keepLines/>
        <w:autoSpaceDE w:val="0"/>
        <w:autoSpaceDN w:val="0"/>
        <w:adjustRightInd w:val="0"/>
        <w:spacing w:before="120"/>
        <w:ind w:left="1588"/>
        <w:rPr>
          <w:color w:val="000000"/>
          <w:sz w:val="23"/>
          <w:szCs w:val="23"/>
        </w:rPr>
      </w:pPr>
      <w:r>
        <w:rPr>
          <w:color w:val="000000"/>
          <w:sz w:val="23"/>
          <w:szCs w:val="23"/>
        </w:rPr>
        <w:t>and the person in breach of the civil penalty provision mentioned in paragraph (a) has been punished in relation to the civil penalty provision mentioned in paragraph (b), the person is not liable in relation to the breach of the civil penalty provision mentioned in paragraph (a).</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Court must not make a declaration that a person is in breach of a provision of this Law, the Regulations or the Rules that is not an offence provision if the person has been convicted of an offence constituted by conduct that is substantially the same as the conduct constituting the breach.</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Proceedings for a declaration referred to in subclause (3) are stayed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criminal proceedings are commenced or have already been commenced against the person for an offence;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offence is constituted by conduct that is substantially the same as the conduct alleged to constitute the breach.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proceedings for the declaration referred to in subclause (3) may be resumed if the person is not convicted of the offence. Otherwise, the proceedings for the declaration must be dismissed.</w:t>
      </w:r>
    </w:p>
    <w:p>
      <w:pPr>
        <w:pStyle w:val="Heading5"/>
      </w:pPr>
      <w:bookmarkStart w:id="987" w:name="_Toc536782467"/>
      <w:r>
        <w:rPr>
          <w:rStyle w:val="CharSectno"/>
        </w:rPr>
        <w:t>50</w:t>
      </w:r>
      <w:r>
        <w:t>.</w:t>
      </w:r>
      <w:r>
        <w:tab/>
        <w:t>Attempts and incitement</w:t>
      </w:r>
      <w:bookmarkEnd w:id="987"/>
    </w:p>
    <w:p>
      <w:pPr>
        <w:keepNext/>
        <w:keepLines/>
        <w:autoSpaceDE w:val="0"/>
        <w:autoSpaceDN w:val="0"/>
        <w:adjustRightInd w:val="0"/>
        <w:spacing w:before="120"/>
        <w:ind w:left="1588"/>
        <w:rPr>
          <w:color w:val="000000"/>
          <w:sz w:val="23"/>
          <w:szCs w:val="23"/>
        </w:rPr>
      </w:pPr>
      <w:r>
        <w:rPr>
          <w:sz w:val="23"/>
        </w:rPr>
        <w:t xml:space="preserve">Section 555A(1) and (2) of </w:t>
      </w:r>
      <w:r>
        <w:rPr>
          <w:i/>
          <w:iCs/>
          <w:sz w:val="23"/>
        </w:rPr>
        <w:t>The Criminal Code</w:t>
      </w:r>
      <w:r>
        <w:rPr>
          <w:sz w:val="23"/>
        </w:rPr>
        <w:t xml:space="preserve"> apply in relation to a simple offence under this Law as if it were a simple offence under </w:t>
      </w:r>
      <w:r>
        <w:rPr>
          <w:i/>
          <w:iCs/>
          <w:sz w:val="23"/>
        </w:rPr>
        <w:t>The Criminal Code</w:t>
      </w:r>
      <w:r>
        <w:rPr>
          <w:sz w:val="23"/>
        </w:rPr>
        <w:t>.</w:t>
      </w:r>
    </w:p>
    <w:p>
      <w:pPr>
        <w:pStyle w:val="Footnotesection"/>
      </w:pPr>
      <w:r>
        <w:tab/>
        <w:t>[Clause 50 inserted: WA Act Sch. 1 cl. 17.]</w:t>
      </w:r>
    </w:p>
    <w:p>
      <w:pPr>
        <w:pStyle w:val="Heading3"/>
      </w:pPr>
      <w:bookmarkStart w:id="988" w:name="_Toc501634346"/>
      <w:bookmarkStart w:id="989" w:name="_Toc501713242"/>
      <w:bookmarkStart w:id="990" w:name="_Toc536782468"/>
      <w:r>
        <w:rPr>
          <w:rStyle w:val="CharDivNo"/>
        </w:rPr>
        <w:t>Part 11</w:t>
      </w:r>
      <w:r>
        <w:t xml:space="preserve"> — </w:t>
      </w:r>
      <w:r>
        <w:rPr>
          <w:rStyle w:val="CharDivText"/>
        </w:rPr>
        <w:t>Instruments under this Law</w:t>
      </w:r>
      <w:bookmarkEnd w:id="988"/>
      <w:bookmarkEnd w:id="989"/>
      <w:bookmarkEnd w:id="990"/>
    </w:p>
    <w:p>
      <w:pPr>
        <w:pStyle w:val="Heading5"/>
      </w:pPr>
      <w:bookmarkStart w:id="991" w:name="_Toc536782469"/>
      <w:r>
        <w:rPr>
          <w:rStyle w:val="CharSectno"/>
        </w:rPr>
        <w:t>51</w:t>
      </w:r>
      <w:r>
        <w:t>.</w:t>
      </w:r>
      <w:r>
        <w:tab/>
        <w:t>Schedule applies to statutory instruments</w:t>
      </w:r>
      <w:bookmarkEnd w:id="99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fact that a provision of this Schedule refers to this Law and not also to a statutory instrument does not, by itself, indicate that the provision is intended to apply only to this Law.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statutory instrument</w:t>
      </w:r>
      <w:r>
        <w:rPr>
          <w:bCs/>
          <w:i/>
          <w:iCs/>
          <w:color w:val="000000"/>
          <w:sz w:val="23"/>
          <w:szCs w:val="23"/>
        </w:rPr>
        <w:t xml:space="preserve"> </w:t>
      </w:r>
      <w:r>
        <w:rPr>
          <w:color w:val="000000"/>
          <w:sz w:val="23"/>
          <w:szCs w:val="23"/>
        </w:rPr>
        <w:t>includes the Regulations or the Rules.</w:t>
      </w:r>
    </w:p>
    <w:p>
      <w:pPr>
        <w:pStyle w:val="Heading5"/>
      </w:pPr>
      <w:bookmarkStart w:id="992" w:name="_Toc536782470"/>
      <w:r>
        <w:rPr>
          <w:rStyle w:val="CharSectno"/>
        </w:rPr>
        <w:t>52</w:t>
      </w:r>
      <w:r>
        <w:t>.</w:t>
      </w:r>
      <w:r>
        <w:tab/>
        <w:t>National Gas Rules to be construed so as not to exceed the legislative power of the Legislature of this jurisdiction or the powers conferred by this Law</w:t>
      </w:r>
      <w:bookmarkEnd w:id="99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National Gas Rules are to be construed as operating to the full extent of, but so as not to exceed, the legislative power of the Legislature of this jurisdiction or the power conferred by this Law under which they are made.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provision of the National Gas Rules, or the application of a provision of the National Gas Rules to a person, subject matter or circumstance, would, but for this clause, be construed as being in excess of the legislative power of the Legislature of this jurisdiction or the power conferred by this Law under which it is made—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is a valid provision to the extent to which it is not in excess of that power;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remainder of the National Gas Rules, and the application of the provision to other persons, subject matters, or circumstances, is not affected.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Without limiting subclause (2), the National Gas Rules are not to be construed as imposing any duty on the AER to perform a function or exercise a power if the imposition of the duty would be in excess of the legislative power of the Legislature of this jurisdiction.</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 xml:space="preserve">The term </w:t>
      </w:r>
      <w:r>
        <w:rPr>
          <w:b/>
          <w:bCs/>
          <w:i/>
          <w:iCs/>
          <w:color w:val="000000"/>
          <w:sz w:val="20"/>
        </w:rPr>
        <w:t>function</w:t>
      </w:r>
      <w:r>
        <w:rPr>
          <w:color w:val="000000"/>
          <w:sz w:val="20"/>
        </w:rPr>
        <w:t xml:space="preserve"> is defined in clause 10 to include “duty”.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particular, if a provision of the National Gas Rules appears to impose a duty on the AER to perform a function or exercise a power in matters or circumstances in which the assumption of the duty cannot be validly authorised under a law of the Commonwealth, or is otherwise ineffective, the provision is to be construed as if its operation were expressly confined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acts or omissions of corporations to which section 51(xx) of the </w:t>
      </w:r>
      <w:r>
        <w:rPr>
          <w:i/>
          <w:iCs/>
          <w:color w:val="000000"/>
          <w:sz w:val="23"/>
          <w:szCs w:val="23"/>
        </w:rPr>
        <w:t>Constitution of the Commonwealth</w:t>
      </w:r>
      <w:r>
        <w:rPr>
          <w:color w:val="000000"/>
          <w:sz w:val="23"/>
          <w:szCs w:val="23"/>
        </w:rPr>
        <w:t xml:space="preserve"> applies;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acts or omissions taking place in the course of, or in relation to, trade or commerce between this jurisdiction and places outside this jurisdiction (whether within or outside Australia);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acts or omissions taking place outside Australia, or in relation to things outside Australia.</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This clause does not limit the effect that a provision of the National Gas Rules would validly have apart from this clause.</w:t>
      </w:r>
    </w:p>
    <w:p>
      <w:pPr>
        <w:pStyle w:val="Heading5"/>
      </w:pPr>
      <w:bookmarkStart w:id="993" w:name="_Toc536782471"/>
      <w:r>
        <w:rPr>
          <w:rStyle w:val="CharSectno"/>
        </w:rPr>
        <w:t>53</w:t>
      </w:r>
      <w:r>
        <w:t>.</w:t>
      </w:r>
      <w:r>
        <w:tab/>
        <w:t>Invalid Rules</w:t>
      </w:r>
      <w:bookmarkEnd w:id="99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Court orders (by declaration or otherwise) that a Rule is invalid, the order of the Court does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revive anything not in force or existing at the time of the order of the Court;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affect the previous operation of the Rule or anything suffered, done or begun under the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affect a right, privilege or liability acquired, accrued or incurred under the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affect a penalty arising because of a breach of the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affect an investigation, proceeding or remedy in relation to such a right, privilege, liability or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penalty may be imposed and enforced, and any such investigation, proceeding or remedy may be begun, continued or enforced as if the Rule had not been ordered by the Court as invalid.</w:t>
      </w:r>
    </w:p>
    <w:p>
      <w:pPr>
        <w:pStyle w:val="Heading2"/>
      </w:pPr>
      <w:bookmarkStart w:id="994" w:name="_Toc501634350"/>
      <w:bookmarkStart w:id="995" w:name="_Toc501713246"/>
      <w:bookmarkStart w:id="996" w:name="_Toc536782472"/>
      <w:r>
        <w:rPr>
          <w:rStyle w:val="CharPartNo"/>
        </w:rPr>
        <w:t>Schedule 3</w:t>
      </w:r>
      <w:r>
        <w:t xml:space="preserve"> — </w:t>
      </w:r>
      <w:r>
        <w:rPr>
          <w:rStyle w:val="CharPartText"/>
        </w:rPr>
        <w:t>Savings and transitionals</w:t>
      </w:r>
      <w:bookmarkEnd w:id="994"/>
      <w:bookmarkEnd w:id="995"/>
      <w:bookmarkEnd w:id="996"/>
    </w:p>
    <w:p>
      <w:pPr>
        <w:keepNext/>
        <w:keepLines/>
        <w:autoSpaceDE w:val="0"/>
        <w:autoSpaceDN w:val="0"/>
        <w:adjustRightInd w:val="0"/>
        <w:spacing w:before="120"/>
        <w:ind w:left="794"/>
        <w:jc w:val="right"/>
        <w:rPr>
          <w:color w:val="000000"/>
          <w:sz w:val="23"/>
          <w:szCs w:val="23"/>
        </w:rPr>
      </w:pPr>
      <w:r>
        <w:rPr>
          <w:color w:val="000000"/>
          <w:sz w:val="23"/>
          <w:szCs w:val="23"/>
        </w:rPr>
        <w:t>Section 336</w:t>
      </w:r>
    </w:p>
    <w:p>
      <w:pPr>
        <w:pStyle w:val="Heading3"/>
      </w:pPr>
      <w:bookmarkStart w:id="997" w:name="_Toc501634351"/>
      <w:bookmarkStart w:id="998" w:name="_Toc501713247"/>
      <w:bookmarkStart w:id="999" w:name="_Toc536782473"/>
      <w:r>
        <w:rPr>
          <w:rStyle w:val="CharDivNo"/>
        </w:rPr>
        <w:t>Part 1</w:t>
      </w:r>
      <w:r>
        <w:t xml:space="preserve"> — </w:t>
      </w:r>
      <w:r>
        <w:rPr>
          <w:rStyle w:val="CharDivText"/>
        </w:rPr>
        <w:t>General</w:t>
      </w:r>
      <w:bookmarkEnd w:id="997"/>
      <w:bookmarkEnd w:id="998"/>
      <w:bookmarkEnd w:id="999"/>
    </w:p>
    <w:p>
      <w:pPr>
        <w:pStyle w:val="Heading5"/>
      </w:pPr>
      <w:bookmarkStart w:id="1000" w:name="_Toc536782474"/>
      <w:r>
        <w:rPr>
          <w:rStyle w:val="CharSectno"/>
        </w:rPr>
        <w:t>1</w:t>
      </w:r>
      <w:r>
        <w:t>.</w:t>
      </w:r>
      <w:r>
        <w:tab/>
        <w:t>Definitions</w:t>
      </w:r>
      <w:bookmarkEnd w:id="1000"/>
    </w:p>
    <w:p>
      <w:pPr>
        <w:keepNext/>
        <w:keepLines/>
        <w:autoSpaceDE w:val="0"/>
        <w:autoSpaceDN w:val="0"/>
        <w:adjustRightInd w:val="0"/>
        <w:spacing w:before="120"/>
        <w:ind w:left="1588"/>
        <w:rPr>
          <w:color w:val="000000"/>
          <w:sz w:val="23"/>
          <w:szCs w:val="23"/>
        </w:rPr>
      </w:pPr>
      <w:r>
        <w:rPr>
          <w:color w:val="000000"/>
          <w:sz w:val="23"/>
          <w:szCs w:val="23"/>
        </w:rPr>
        <w:t>In this Schedule—</w:t>
      </w:r>
    </w:p>
    <w:p>
      <w:pPr>
        <w:keepLines/>
        <w:autoSpaceDE w:val="0"/>
        <w:autoSpaceDN w:val="0"/>
        <w:adjustRightInd w:val="0"/>
        <w:spacing w:before="120"/>
        <w:ind w:left="1588"/>
        <w:rPr>
          <w:color w:val="000000"/>
          <w:sz w:val="23"/>
          <w:szCs w:val="23"/>
        </w:rPr>
      </w:pPr>
      <w:r>
        <w:rPr>
          <w:rStyle w:val="CharDefText"/>
          <w:bCs/>
          <w:sz w:val="23"/>
        </w:rPr>
        <w:t>binding no</w:t>
      </w:r>
      <w:r>
        <w:rPr>
          <w:rStyle w:val="CharDefText"/>
          <w:bCs/>
          <w:sz w:val="23"/>
        </w:rPr>
        <w:noBreakHyphen/>
        <w:t>coverage determination</w:t>
      </w:r>
      <w:r>
        <w:rPr>
          <w:bCs/>
          <w:i/>
          <w:iCs/>
          <w:color w:val="000000"/>
          <w:sz w:val="23"/>
          <w:szCs w:val="23"/>
        </w:rPr>
        <w:t xml:space="preserve"> </w:t>
      </w:r>
      <w:r>
        <w:rPr>
          <w:color w:val="000000"/>
          <w:sz w:val="23"/>
          <w:szCs w:val="23"/>
        </w:rPr>
        <w:t>has the same meaning as in section 13A of the old access law;</w:t>
      </w:r>
    </w:p>
    <w:p>
      <w:pPr>
        <w:keepLines/>
        <w:autoSpaceDE w:val="0"/>
        <w:autoSpaceDN w:val="0"/>
        <w:adjustRightInd w:val="0"/>
        <w:spacing w:before="120"/>
        <w:ind w:left="1588"/>
        <w:rPr>
          <w:color w:val="000000"/>
          <w:sz w:val="23"/>
          <w:szCs w:val="23"/>
        </w:rPr>
      </w:pPr>
      <w:r>
        <w:rPr>
          <w:rStyle w:val="CharDefText"/>
          <w:bCs/>
          <w:sz w:val="23"/>
        </w:rPr>
        <w:t>commencement day</w:t>
      </w:r>
      <w:r>
        <w:rPr>
          <w:bCs/>
          <w:i/>
          <w:iCs/>
          <w:color w:val="000000"/>
          <w:sz w:val="23"/>
          <w:szCs w:val="23"/>
        </w:rPr>
        <w:t xml:space="preserve"> </w:t>
      </w:r>
      <w:r>
        <w:rPr>
          <w:color w:val="000000"/>
          <w:sz w:val="23"/>
          <w:szCs w:val="23"/>
        </w:rPr>
        <w:t xml:space="preserve">means the day on which </w:t>
      </w:r>
      <w:r>
        <w:rPr>
          <w:sz w:val="23"/>
        </w:rPr>
        <w:t xml:space="preserve">section 30 of the </w:t>
      </w:r>
      <w:r>
        <w:rPr>
          <w:i/>
          <w:iCs/>
          <w:sz w:val="23"/>
        </w:rPr>
        <w:t>National Gas Access (WA) Act 2009</w:t>
      </w:r>
      <w:r>
        <w:rPr>
          <w:color w:val="000000"/>
          <w:sz w:val="23"/>
          <w:szCs w:val="23"/>
        </w:rPr>
        <w:t xml:space="preserve"> comes into operation;</w:t>
      </w:r>
    </w:p>
    <w:p>
      <w:pPr>
        <w:keepLines/>
        <w:autoSpaceDE w:val="0"/>
        <w:autoSpaceDN w:val="0"/>
        <w:adjustRightInd w:val="0"/>
        <w:spacing w:before="120"/>
        <w:ind w:left="1588"/>
        <w:rPr>
          <w:color w:val="000000"/>
          <w:sz w:val="23"/>
          <w:szCs w:val="23"/>
        </w:rPr>
      </w:pPr>
      <w:r>
        <w:rPr>
          <w:rStyle w:val="CharDefText"/>
          <w:bCs/>
          <w:sz w:val="23"/>
        </w:rPr>
        <w:t>current access arrangement</w:t>
      </w:r>
      <w:r>
        <w:rPr>
          <w:bCs/>
          <w:i/>
          <w:iCs/>
          <w:color w:val="000000"/>
          <w:sz w:val="23"/>
          <w:szCs w:val="23"/>
        </w:rPr>
        <w:t xml:space="preserve"> </w:t>
      </w:r>
      <w:r>
        <w:rPr>
          <w:color w:val="000000"/>
          <w:sz w:val="23"/>
          <w:szCs w:val="23"/>
        </w:rPr>
        <w:t>means an Access Arrangement as defined by section 10.8 of the Gas Code and in effect immediately before the commencement day;</w:t>
      </w:r>
    </w:p>
    <w:p>
      <w:pPr>
        <w:keepLines/>
        <w:autoSpaceDE w:val="0"/>
        <w:autoSpaceDN w:val="0"/>
        <w:adjustRightInd w:val="0"/>
        <w:spacing w:before="120"/>
        <w:ind w:left="1588"/>
        <w:rPr>
          <w:color w:val="000000"/>
          <w:sz w:val="23"/>
          <w:szCs w:val="23"/>
        </w:rPr>
      </w:pPr>
      <w:r>
        <w:rPr>
          <w:rStyle w:val="CharDefText"/>
          <w:bCs/>
          <w:sz w:val="23"/>
        </w:rPr>
        <w:t>new application Act</w:t>
      </w:r>
      <w:r>
        <w:rPr>
          <w:i/>
          <w:iCs/>
          <w:color w:val="000000"/>
          <w:sz w:val="23"/>
          <w:szCs w:val="23"/>
        </w:rPr>
        <w:t xml:space="preserve"> </w:t>
      </w:r>
      <w:r>
        <w:rPr>
          <w:color w:val="000000"/>
          <w:sz w:val="23"/>
          <w:szCs w:val="23"/>
        </w:rPr>
        <w:t xml:space="preserve">means the </w:t>
      </w:r>
      <w:r>
        <w:rPr>
          <w:i/>
          <w:iCs/>
          <w:color w:val="000000"/>
          <w:sz w:val="23"/>
          <w:szCs w:val="23"/>
        </w:rPr>
        <w:t>National Gas (South Australia) Act 2008</w:t>
      </w:r>
      <w:r>
        <w:rPr>
          <w:color w:val="000000"/>
          <w:sz w:val="23"/>
          <w:szCs w:val="23"/>
        </w:rPr>
        <w:t xml:space="preserve"> of South Australia;</w:t>
      </w:r>
    </w:p>
    <w:p>
      <w:pPr>
        <w:keepLines/>
        <w:autoSpaceDE w:val="0"/>
        <w:autoSpaceDN w:val="0"/>
        <w:adjustRightInd w:val="0"/>
        <w:spacing w:before="120"/>
        <w:ind w:left="1588"/>
        <w:rPr>
          <w:color w:val="000000"/>
          <w:sz w:val="23"/>
          <w:szCs w:val="23"/>
        </w:rPr>
      </w:pPr>
      <w:r>
        <w:rPr>
          <w:rStyle w:val="CharDefText"/>
          <w:bCs/>
          <w:sz w:val="23"/>
        </w:rPr>
        <w:t>old</w:t>
      </w:r>
      <w:r>
        <w:rPr>
          <w:rStyle w:val="CharDefText"/>
          <w:b w:val="0"/>
          <w:sz w:val="23"/>
        </w:rPr>
        <w:t xml:space="preserve"> </w:t>
      </w:r>
      <w:r>
        <w:rPr>
          <w:rStyle w:val="CharDefText"/>
          <w:bCs/>
          <w:sz w:val="23"/>
        </w:rPr>
        <w:t>scheme coverage application</w:t>
      </w:r>
      <w:r>
        <w:rPr>
          <w:b/>
          <w:bCs/>
          <w:i/>
          <w:iCs/>
          <w:color w:val="000000"/>
          <w:sz w:val="23"/>
          <w:szCs w:val="23"/>
        </w:rPr>
        <w:t xml:space="preserve"> </w:t>
      </w:r>
      <w:r>
        <w:rPr>
          <w:color w:val="000000"/>
          <w:sz w:val="23"/>
          <w:szCs w:val="23"/>
        </w:rPr>
        <w:t>means an application under section 1.3 of the Gas Code in respect of which a determination under section 1.13 of the Gas Code has not been made before the commencement day;</w:t>
      </w:r>
    </w:p>
    <w:p>
      <w:pPr>
        <w:keepLines/>
        <w:autoSpaceDE w:val="0"/>
        <w:autoSpaceDN w:val="0"/>
        <w:adjustRightInd w:val="0"/>
        <w:spacing w:before="120"/>
        <w:ind w:left="1588"/>
        <w:rPr>
          <w:color w:val="000000"/>
          <w:sz w:val="23"/>
          <w:szCs w:val="23"/>
        </w:rPr>
      </w:pPr>
      <w:r>
        <w:rPr>
          <w:rStyle w:val="CharDefText"/>
          <w:bCs/>
          <w:sz w:val="23"/>
        </w:rPr>
        <w:t>old scheme coverage revocation application</w:t>
      </w:r>
      <w:r>
        <w:rPr>
          <w:bCs/>
          <w:i/>
          <w:iCs/>
          <w:color w:val="000000"/>
          <w:sz w:val="23"/>
          <w:szCs w:val="23"/>
        </w:rPr>
        <w:t xml:space="preserve"> </w:t>
      </w:r>
      <w:r>
        <w:rPr>
          <w:color w:val="000000"/>
          <w:sz w:val="23"/>
          <w:szCs w:val="23"/>
        </w:rPr>
        <w:t>means an application under section 1.25 of the Gas Code in respect of which an old scheme coverage revocation determination has not been made before the commencement day;</w:t>
      </w:r>
    </w:p>
    <w:p>
      <w:pPr>
        <w:keepNext/>
        <w:keepLines/>
        <w:autoSpaceDE w:val="0"/>
        <w:autoSpaceDN w:val="0"/>
        <w:adjustRightInd w:val="0"/>
        <w:spacing w:before="120"/>
        <w:ind w:left="1588"/>
        <w:rPr>
          <w:color w:val="000000"/>
          <w:sz w:val="23"/>
          <w:szCs w:val="23"/>
        </w:rPr>
      </w:pPr>
      <w:r>
        <w:rPr>
          <w:rStyle w:val="CharDefText"/>
          <w:bCs/>
          <w:sz w:val="23"/>
        </w:rPr>
        <w:t>old scheme coverage determination</w:t>
      </w:r>
      <w:r>
        <w:rPr>
          <w:bCs/>
          <w:i/>
          <w:iCs/>
          <w:color w:val="000000"/>
          <w:sz w:val="23"/>
          <w:szCs w:val="23"/>
        </w:rPr>
        <w:t xml:space="preserve"> </w:t>
      </w:r>
      <w:r>
        <w:rPr>
          <w:color w:val="000000"/>
          <w:sz w:val="23"/>
          <w:szCs w:val="23"/>
        </w:rPr>
        <w:t>means a determination of an old scheme relevant Minister under section 1.13 of the Gas Code—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a pipeline is covered;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is in effect immediately before the commencement day;</w:t>
      </w:r>
    </w:p>
    <w:p>
      <w:pPr>
        <w:keepLines/>
        <w:autoSpaceDE w:val="0"/>
        <w:autoSpaceDN w:val="0"/>
        <w:adjustRightInd w:val="0"/>
        <w:spacing w:before="120"/>
        <w:ind w:left="1588"/>
        <w:rPr>
          <w:color w:val="000000"/>
          <w:sz w:val="23"/>
          <w:szCs w:val="23"/>
        </w:rPr>
      </w:pPr>
      <w:r>
        <w:rPr>
          <w:rStyle w:val="CharDefText"/>
          <w:bCs/>
          <w:sz w:val="23"/>
        </w:rPr>
        <w:t>old scheme coverage revocation determination</w:t>
      </w:r>
      <w:r>
        <w:rPr>
          <w:bCs/>
          <w:i/>
          <w:iCs/>
          <w:color w:val="000000"/>
          <w:sz w:val="23"/>
          <w:szCs w:val="23"/>
        </w:rPr>
        <w:t xml:space="preserve"> </w:t>
      </w:r>
      <w:r>
        <w:rPr>
          <w:color w:val="000000"/>
          <w:sz w:val="23"/>
          <w:szCs w:val="23"/>
        </w:rPr>
        <w:t>means a determination of an old scheme relevant Minister under section 1.34 of the Gas Code;</w:t>
      </w:r>
    </w:p>
    <w:p>
      <w:pPr>
        <w:keepLines/>
        <w:autoSpaceDE w:val="0"/>
        <w:autoSpaceDN w:val="0"/>
        <w:adjustRightInd w:val="0"/>
        <w:spacing w:before="120"/>
        <w:ind w:left="1588"/>
        <w:rPr>
          <w:color w:val="000000"/>
          <w:sz w:val="23"/>
          <w:szCs w:val="23"/>
        </w:rPr>
      </w:pPr>
      <w:r>
        <w:rPr>
          <w:rStyle w:val="CharDefText"/>
          <w:bCs/>
          <w:sz w:val="23"/>
        </w:rPr>
        <w:t>old scheme covered pipeline</w:t>
      </w:r>
      <w:r>
        <w:rPr>
          <w:bCs/>
          <w:i/>
          <w:iCs/>
          <w:color w:val="000000"/>
          <w:sz w:val="23"/>
          <w:szCs w:val="23"/>
        </w:rPr>
        <w:t xml:space="preserve"> </w:t>
      </w:r>
      <w:r>
        <w:rPr>
          <w:color w:val="000000"/>
          <w:sz w:val="23"/>
          <w:szCs w:val="23"/>
        </w:rPr>
        <w:t>means a covered pipeline within the meaning of section 10.8 of the Gas Code;</w:t>
      </w:r>
    </w:p>
    <w:p>
      <w:pPr>
        <w:keepNext/>
        <w:keepLines/>
        <w:autoSpaceDE w:val="0"/>
        <w:autoSpaceDN w:val="0"/>
        <w:adjustRightInd w:val="0"/>
        <w:spacing w:before="120"/>
        <w:ind w:left="1588"/>
        <w:rPr>
          <w:color w:val="000000"/>
          <w:sz w:val="23"/>
          <w:szCs w:val="23"/>
        </w:rPr>
      </w:pPr>
      <w:r>
        <w:rPr>
          <w:rStyle w:val="CharDefText"/>
          <w:bCs/>
          <w:sz w:val="23"/>
        </w:rPr>
        <w:t>old scheme limited access arrangement</w:t>
      </w:r>
      <w:r>
        <w:rPr>
          <w:bCs/>
          <w:i/>
          <w:iCs/>
          <w:color w:val="000000"/>
          <w:sz w:val="23"/>
          <w:szCs w:val="23"/>
        </w:rPr>
        <w:t xml:space="preserve"> </w:t>
      </w:r>
      <w:r>
        <w:rPr>
          <w:color w:val="000000"/>
          <w:sz w:val="23"/>
          <w:szCs w:val="23"/>
        </w:rPr>
        <w:t>means a limited access arrangement (within the meaning of section 13A of the old access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approved under section 13U of that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effect immediately before the commencement day;</w:t>
      </w:r>
    </w:p>
    <w:p>
      <w:pPr>
        <w:keepLines/>
        <w:autoSpaceDE w:val="0"/>
        <w:autoSpaceDN w:val="0"/>
        <w:adjustRightInd w:val="0"/>
        <w:spacing w:before="120"/>
        <w:ind w:left="1588"/>
        <w:rPr>
          <w:color w:val="000000"/>
          <w:sz w:val="23"/>
          <w:szCs w:val="23"/>
        </w:rPr>
      </w:pPr>
      <w:r>
        <w:rPr>
          <w:rStyle w:val="CharDefText"/>
          <w:bCs/>
          <w:sz w:val="23"/>
        </w:rPr>
        <w:t>old scheme price regulation exemption</w:t>
      </w:r>
      <w:r>
        <w:rPr>
          <w:bCs/>
          <w:i/>
          <w:iCs/>
          <w:color w:val="000000"/>
          <w:sz w:val="23"/>
          <w:szCs w:val="23"/>
        </w:rPr>
        <w:t xml:space="preserve"> </w:t>
      </w:r>
      <w:r>
        <w:rPr>
          <w:color w:val="000000"/>
          <w:sz w:val="23"/>
          <w:szCs w:val="23"/>
        </w:rPr>
        <w:t>means a price regulation exemption within the meaning of section 13A of the old access law;</w:t>
      </w:r>
    </w:p>
    <w:p>
      <w:pPr>
        <w:keepLines/>
        <w:autoSpaceDE w:val="0"/>
        <w:autoSpaceDN w:val="0"/>
        <w:adjustRightInd w:val="0"/>
        <w:spacing w:before="120"/>
        <w:ind w:left="1588"/>
        <w:rPr>
          <w:color w:val="000000"/>
          <w:sz w:val="23"/>
          <w:szCs w:val="23"/>
        </w:rPr>
      </w:pPr>
      <w:r>
        <w:rPr>
          <w:rStyle w:val="CharDefText"/>
          <w:bCs/>
          <w:sz w:val="23"/>
        </w:rPr>
        <w:t>old scheme relevant Minister</w:t>
      </w:r>
      <w:r>
        <w:rPr>
          <w:bCs/>
          <w:i/>
          <w:iCs/>
          <w:color w:val="000000"/>
          <w:sz w:val="23"/>
          <w:szCs w:val="23"/>
        </w:rPr>
        <w:t xml:space="preserve"> </w:t>
      </w:r>
      <w:r>
        <w:rPr>
          <w:color w:val="000000"/>
          <w:sz w:val="23"/>
          <w:szCs w:val="23"/>
        </w:rPr>
        <w:t>means a relevant Minister within the meaning of section 2 of the old access law;</w:t>
      </w:r>
    </w:p>
    <w:p>
      <w:pPr>
        <w:keepNext/>
        <w:keepLines/>
        <w:autoSpaceDE w:val="0"/>
        <w:autoSpaceDN w:val="0"/>
        <w:adjustRightInd w:val="0"/>
        <w:spacing w:before="120"/>
        <w:ind w:left="1588"/>
        <w:rPr>
          <w:color w:val="000000"/>
          <w:sz w:val="23"/>
          <w:szCs w:val="23"/>
        </w:rPr>
      </w:pPr>
      <w:r>
        <w:rPr>
          <w:rStyle w:val="CharDefText"/>
          <w:bCs/>
          <w:sz w:val="23"/>
        </w:rPr>
        <w:t>pending old scheme coverage determination</w:t>
      </w:r>
      <w:r>
        <w:rPr>
          <w:bCs/>
          <w:i/>
          <w:iCs/>
          <w:color w:val="000000"/>
          <w:sz w:val="23"/>
          <w:szCs w:val="23"/>
        </w:rPr>
        <w:t xml:space="preserve"> </w:t>
      </w:r>
      <w:r>
        <w:rPr>
          <w:color w:val="000000"/>
          <w:sz w:val="23"/>
          <w:szCs w:val="23"/>
        </w:rPr>
        <w:t>means a determination of an old scheme relevant Minister under section 1.13 of the Gas Code that a pipeline is covered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intended to take effect on or after that day;</w:t>
      </w:r>
    </w:p>
    <w:p>
      <w:pPr>
        <w:keepNext/>
        <w:keepLines/>
        <w:autoSpaceDE w:val="0"/>
        <w:autoSpaceDN w:val="0"/>
        <w:adjustRightInd w:val="0"/>
        <w:spacing w:before="120"/>
        <w:ind w:left="1588"/>
        <w:rPr>
          <w:color w:val="000000"/>
          <w:sz w:val="23"/>
          <w:szCs w:val="23"/>
        </w:rPr>
      </w:pPr>
      <w:r>
        <w:rPr>
          <w:rStyle w:val="CharDefText"/>
          <w:bCs/>
          <w:sz w:val="23"/>
        </w:rPr>
        <w:t>pending old scheme no</w:t>
      </w:r>
      <w:r>
        <w:rPr>
          <w:rStyle w:val="CharDefText"/>
          <w:bCs/>
          <w:sz w:val="23"/>
        </w:rPr>
        <w:noBreakHyphen/>
        <w:t>coverage determination</w:t>
      </w:r>
      <w:r>
        <w:rPr>
          <w:bCs/>
          <w:i/>
          <w:iCs/>
          <w:color w:val="000000"/>
          <w:sz w:val="23"/>
          <w:szCs w:val="23"/>
        </w:rPr>
        <w:t xml:space="preserve"> </w:t>
      </w:r>
      <w:r>
        <w:rPr>
          <w:color w:val="000000"/>
          <w:sz w:val="23"/>
          <w:szCs w:val="23"/>
        </w:rPr>
        <w:t>means a determination of an old scheme relevant Minister under section 1.13 of the Gas Code that a pipeline is not covered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intended to take effect on or after that day;</w:t>
      </w:r>
    </w:p>
    <w:p>
      <w:pPr>
        <w:keepNext/>
        <w:keepLines/>
        <w:autoSpaceDE w:val="0"/>
        <w:autoSpaceDN w:val="0"/>
        <w:adjustRightInd w:val="0"/>
        <w:spacing w:before="120"/>
        <w:ind w:left="1588"/>
        <w:rPr>
          <w:color w:val="000000"/>
          <w:sz w:val="23"/>
          <w:szCs w:val="23"/>
        </w:rPr>
      </w:pPr>
      <w:r>
        <w:rPr>
          <w:rStyle w:val="CharDefText"/>
          <w:bCs/>
          <w:sz w:val="23"/>
        </w:rPr>
        <w:t>pending old scheme coverage non</w:t>
      </w:r>
      <w:r>
        <w:rPr>
          <w:rStyle w:val="CharDefText"/>
          <w:bCs/>
          <w:sz w:val="23"/>
        </w:rPr>
        <w:noBreakHyphen/>
        <w:t>revocation determination</w:t>
      </w:r>
      <w:r>
        <w:rPr>
          <w:bCs/>
          <w:i/>
          <w:iCs/>
          <w:color w:val="000000"/>
          <w:sz w:val="23"/>
          <w:szCs w:val="23"/>
        </w:rPr>
        <w:t xml:space="preserve"> </w:t>
      </w:r>
      <w:r>
        <w:rPr>
          <w:color w:val="000000"/>
          <w:sz w:val="23"/>
          <w:szCs w:val="23"/>
        </w:rPr>
        <w:t>means a determination of an old scheme relevant Minister under section 1.34 of the Gas Code that coverage of a covered pipeline not be revoked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intended to take effect on or after that day;</w:t>
      </w:r>
    </w:p>
    <w:p>
      <w:pPr>
        <w:keepNext/>
        <w:keepLines/>
        <w:autoSpaceDE w:val="0"/>
        <w:autoSpaceDN w:val="0"/>
        <w:adjustRightInd w:val="0"/>
        <w:spacing w:before="120"/>
        <w:ind w:left="1588"/>
        <w:rPr>
          <w:color w:val="000000"/>
          <w:sz w:val="23"/>
          <w:szCs w:val="23"/>
        </w:rPr>
      </w:pPr>
      <w:r>
        <w:rPr>
          <w:rStyle w:val="CharDefText"/>
          <w:bCs/>
          <w:sz w:val="23"/>
        </w:rPr>
        <w:t>pending old scheme coverage revocation determination</w:t>
      </w:r>
      <w:r>
        <w:rPr>
          <w:bCs/>
          <w:i/>
          <w:iCs/>
          <w:color w:val="000000"/>
          <w:sz w:val="23"/>
          <w:szCs w:val="23"/>
        </w:rPr>
        <w:t xml:space="preserve"> </w:t>
      </w:r>
      <w:r>
        <w:rPr>
          <w:color w:val="000000"/>
          <w:sz w:val="23"/>
          <w:szCs w:val="23"/>
        </w:rPr>
        <w:t>means a determination of an old scheme relevant Minister under section 1.34 of the Gas Code that coverage of a covered pipeline be revoked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intended to take effect on or after that day;</w:t>
      </w:r>
    </w:p>
    <w:p>
      <w:pPr>
        <w:keepLines/>
        <w:autoSpaceDE w:val="0"/>
        <w:autoSpaceDN w:val="0"/>
        <w:adjustRightInd w:val="0"/>
        <w:spacing w:before="120"/>
        <w:ind w:left="1588"/>
        <w:rPr>
          <w:color w:val="000000"/>
          <w:sz w:val="23"/>
          <w:szCs w:val="23"/>
        </w:rPr>
      </w:pPr>
      <w:r>
        <w:rPr>
          <w:rStyle w:val="CharDefText"/>
          <w:bCs/>
          <w:sz w:val="23"/>
        </w:rPr>
        <w:t>relevant appeals body</w:t>
      </w:r>
      <w:r>
        <w:rPr>
          <w:bCs/>
          <w:i/>
          <w:iCs/>
          <w:color w:val="000000"/>
          <w:sz w:val="23"/>
          <w:szCs w:val="23"/>
        </w:rPr>
        <w:t xml:space="preserve"> </w:t>
      </w:r>
      <w:r>
        <w:rPr>
          <w:color w:val="000000"/>
          <w:sz w:val="23"/>
          <w:szCs w:val="23"/>
        </w:rPr>
        <w:t>has the same meaning as in section 2 of the old access law;</w:t>
      </w:r>
    </w:p>
    <w:p>
      <w:pPr>
        <w:keepNext/>
        <w:keepLines/>
        <w:autoSpaceDE w:val="0"/>
        <w:autoSpaceDN w:val="0"/>
        <w:adjustRightInd w:val="0"/>
        <w:spacing w:before="120"/>
        <w:ind w:left="1588"/>
        <w:rPr>
          <w:color w:val="000000"/>
          <w:sz w:val="23"/>
          <w:szCs w:val="23"/>
        </w:rPr>
      </w:pPr>
      <w:r>
        <w:rPr>
          <w:rStyle w:val="CharDefText"/>
          <w:bCs/>
          <w:sz w:val="23"/>
        </w:rPr>
        <w:t>transitioned access arrangement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current access arrangement;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access arrangement approved, or drafted and approved, in accordance with clause 28;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current access arrangement incorporating revisions approved, or approved and made, in accordance with clause 29.</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The Regulations or the Rules may also contain provisions of an application, savings or transitional nature.</w:t>
      </w:r>
    </w:p>
    <w:p>
      <w:pPr>
        <w:pStyle w:val="Footnotesection"/>
      </w:pPr>
      <w:r>
        <w:tab/>
        <w:t>[Clause 1 modified: WA Act Sch. 1 cl. 18.]</w:t>
      </w:r>
    </w:p>
    <w:p>
      <w:pPr>
        <w:pStyle w:val="Heading5"/>
      </w:pPr>
      <w:bookmarkStart w:id="1001" w:name="_Toc536782475"/>
      <w:r>
        <w:rPr>
          <w:rStyle w:val="CharSectno"/>
        </w:rPr>
        <w:t>2</w:t>
      </w:r>
      <w:r>
        <w:t>.</w:t>
      </w:r>
      <w:r>
        <w:tab/>
        <w:t>Schedule subject to jurisdictional transitional arrangements in jurisdictional legislation</w:t>
      </w:r>
      <w:bookmarkEnd w:id="100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Schedule, and any Regulations or Rules of a savings and transitional nature, apply in this jurisdiction except to the extent provided by or under an Act of this jurisdiction (including an Act that applies this Law and the Regulations as a law of this jurisdiction).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Regulations or Rules of a savings and transitional nature</w:t>
      </w:r>
      <w:r>
        <w:rPr>
          <w:bCs/>
          <w:i/>
          <w:iCs/>
          <w:color w:val="000000"/>
          <w:sz w:val="23"/>
          <w:szCs w:val="23"/>
        </w:rPr>
        <w:t xml:space="preserve"> </w:t>
      </w:r>
      <w:r>
        <w:rPr>
          <w:color w:val="000000"/>
          <w:sz w:val="23"/>
          <w:szCs w:val="23"/>
        </w:rPr>
        <w:t>means Regulations or Rules that deal with matters of a savings or transitional nature relating to the transition from the application of provisions of the old access law and Gas Code to the application of provisions of this Law and the Rules.</w:t>
      </w:r>
    </w:p>
    <w:p>
      <w:pPr>
        <w:pStyle w:val="Heading3"/>
      </w:pPr>
      <w:bookmarkStart w:id="1002" w:name="_Toc501634354"/>
      <w:bookmarkStart w:id="1003" w:name="_Toc501713250"/>
      <w:bookmarkStart w:id="1004" w:name="_Toc536782476"/>
      <w:r>
        <w:rPr>
          <w:rStyle w:val="CharDivNo"/>
        </w:rPr>
        <w:t>Part 2</w:t>
      </w:r>
      <w:r>
        <w:t xml:space="preserve"> — </w:t>
      </w:r>
      <w:r>
        <w:rPr>
          <w:rStyle w:val="CharDivText"/>
        </w:rPr>
        <w:t>General savings provision</w:t>
      </w:r>
      <w:bookmarkEnd w:id="1002"/>
      <w:bookmarkEnd w:id="1003"/>
      <w:bookmarkEnd w:id="1004"/>
    </w:p>
    <w:p>
      <w:pPr>
        <w:pStyle w:val="Heading5"/>
      </w:pPr>
      <w:bookmarkStart w:id="1005" w:name="_Toc536782477"/>
      <w:r>
        <w:rPr>
          <w:rStyle w:val="CharSectno"/>
        </w:rPr>
        <w:t>3</w:t>
      </w:r>
      <w:r>
        <w:t>.</w:t>
      </w:r>
      <w:r>
        <w:tab/>
        <w:t>Saving of operation of old access law and Gas Code</w:t>
      </w:r>
      <w:bookmarkEnd w:id="100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Schedule, the Regulations and the Rules, the repeal of the old access law or Gas Code does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revive anything not in force or existing at the time the repeal takes effect;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affect the previous operation of the old access law or Gas Code or anything suffered, done or begun under or in accordance with the old access law or Gas Code;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affect a right, privilege or liability acquired, accrued or incurred under the old access law or Gas Code;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affect a penalty incurred in relation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offence arising under the old access law;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penalty incurred in relation to a breach of a provision of the old access law or Gas Code;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affect an investigation, proceeding or remedy in relation to such a right, privilege, liability or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this Schedule, the Regulations and the Rules, any such penalty may be imposed and enforced, and any such investigation, proceeding or remedy may be begun, continued or enforced, as if the old access law or Gas Code had not been repealed.</w:t>
      </w:r>
    </w:p>
    <w:p>
      <w:pPr>
        <w:pStyle w:val="Heading3"/>
      </w:pPr>
      <w:bookmarkStart w:id="1006" w:name="_Toc501634356"/>
      <w:bookmarkStart w:id="1007" w:name="_Toc501713252"/>
      <w:bookmarkStart w:id="1008" w:name="_Toc536782478"/>
      <w:r>
        <w:rPr>
          <w:rStyle w:val="CharDivNo"/>
        </w:rPr>
        <w:t>Part 3</w:t>
      </w:r>
      <w:r>
        <w:t xml:space="preserve"> — </w:t>
      </w:r>
      <w:r>
        <w:rPr>
          <w:rStyle w:val="CharDivText"/>
        </w:rPr>
        <w:t>Classification and coverage of pipelines</w:t>
      </w:r>
      <w:bookmarkEnd w:id="1006"/>
      <w:bookmarkEnd w:id="1007"/>
      <w:bookmarkEnd w:id="1008"/>
    </w:p>
    <w:p>
      <w:pPr>
        <w:pStyle w:val="Heading5"/>
      </w:pPr>
      <w:bookmarkStart w:id="1009" w:name="_Toc536782479"/>
      <w:r>
        <w:rPr>
          <w:rStyle w:val="CharSectno"/>
        </w:rPr>
        <w:t>4</w:t>
      </w:r>
      <w:r>
        <w:t>.</w:t>
      </w:r>
      <w:r>
        <w:tab/>
        <w:t>Pending applications for the classification of pipelines lapse</w:t>
      </w:r>
      <w:bookmarkEnd w:id="1009"/>
    </w:p>
    <w:p>
      <w:pPr>
        <w:keepLines/>
        <w:autoSpaceDE w:val="0"/>
        <w:autoSpaceDN w:val="0"/>
        <w:adjustRightInd w:val="0"/>
        <w:spacing w:before="120"/>
        <w:ind w:left="1588"/>
        <w:rPr>
          <w:color w:val="000000"/>
          <w:sz w:val="23"/>
          <w:szCs w:val="23"/>
        </w:rPr>
      </w:pPr>
      <w:r>
        <w:rPr>
          <w:color w:val="000000"/>
          <w:sz w:val="23"/>
          <w:szCs w:val="23"/>
        </w:rPr>
        <w:t>On the commencement day, every application under section 10 of the old access law in respect of which a decision has not been made under section 10 or 11 of that law immediately before that day, lapses.</w:t>
      </w:r>
    </w:p>
    <w:p>
      <w:pPr>
        <w:pStyle w:val="Heading5"/>
      </w:pPr>
      <w:bookmarkStart w:id="1010" w:name="_Toc536782480"/>
      <w:r>
        <w:rPr>
          <w:rStyle w:val="CharSectno"/>
        </w:rPr>
        <w:t>5</w:t>
      </w:r>
      <w:r>
        <w:t>.</w:t>
      </w:r>
      <w:r>
        <w:tab/>
        <w:t>Old scheme coverage determinations</w:t>
      </w:r>
      <w:bookmarkEnd w:id="1010"/>
    </w:p>
    <w:p>
      <w:pPr>
        <w:keepLines/>
        <w:autoSpaceDE w:val="0"/>
        <w:autoSpaceDN w:val="0"/>
        <w:adjustRightInd w:val="0"/>
        <w:spacing w:before="120"/>
        <w:ind w:left="1588"/>
        <w:rPr>
          <w:color w:val="000000"/>
          <w:sz w:val="23"/>
          <w:szCs w:val="23"/>
        </w:rPr>
      </w:pPr>
      <w:r>
        <w:rPr>
          <w:color w:val="000000"/>
          <w:sz w:val="23"/>
          <w:szCs w:val="23"/>
        </w:rPr>
        <w:t>On the commencement day, an old scheme coverage determination is deemed to be a coverage determination.</w:t>
      </w:r>
    </w:p>
    <w:p>
      <w:pPr>
        <w:pStyle w:val="Heading5"/>
      </w:pPr>
      <w:bookmarkStart w:id="1011" w:name="_Toc536782481"/>
      <w:r>
        <w:rPr>
          <w:rStyle w:val="CharSectno"/>
        </w:rPr>
        <w:t>6</w:t>
      </w:r>
      <w:r>
        <w:t>.</w:t>
      </w:r>
      <w:r>
        <w:tab/>
        <w:t>Old scheme covered transmission pipelines</w:t>
      </w:r>
      <w:bookmarkEnd w:id="1011"/>
    </w:p>
    <w:p>
      <w:pPr>
        <w:keepLines/>
        <w:autoSpaceDE w:val="0"/>
        <w:autoSpaceDN w:val="0"/>
        <w:adjustRightInd w:val="0"/>
        <w:spacing w:before="120"/>
        <w:ind w:left="1588"/>
        <w:rPr>
          <w:color w:val="000000"/>
          <w:sz w:val="23"/>
          <w:szCs w:val="23"/>
        </w:rPr>
      </w:pPr>
      <w:r>
        <w:rPr>
          <w:color w:val="000000"/>
          <w:sz w:val="23"/>
          <w:szCs w:val="23"/>
        </w:rPr>
        <w:t>On the commencement day, an old scheme covered pipeline that is a transmission pipeline (within the meaning of section 2 of the old access law) is deemed to be a covered pipeline that is a transmission pipeline.</w:t>
      </w:r>
    </w:p>
    <w:p>
      <w:pPr>
        <w:pStyle w:val="Heading5"/>
      </w:pPr>
      <w:bookmarkStart w:id="1012" w:name="_Toc536782482"/>
      <w:r>
        <w:rPr>
          <w:rStyle w:val="CharSectno"/>
        </w:rPr>
        <w:t>7</w:t>
      </w:r>
      <w:r>
        <w:t>.</w:t>
      </w:r>
      <w:r>
        <w:tab/>
        <w:t>Old scheme covered distribution pipelines</w:t>
      </w:r>
      <w:bookmarkEnd w:id="1012"/>
    </w:p>
    <w:p>
      <w:pPr>
        <w:keepLines/>
        <w:autoSpaceDE w:val="0"/>
        <w:autoSpaceDN w:val="0"/>
        <w:adjustRightInd w:val="0"/>
        <w:spacing w:before="120"/>
        <w:ind w:left="1588"/>
        <w:rPr>
          <w:color w:val="000000"/>
          <w:sz w:val="23"/>
          <w:szCs w:val="23"/>
        </w:rPr>
      </w:pPr>
      <w:r>
        <w:rPr>
          <w:color w:val="000000"/>
          <w:sz w:val="23"/>
          <w:szCs w:val="23"/>
        </w:rPr>
        <w:t xml:space="preserve">On the commencement day, an old scheme covered pipeline that is a distribution pipeline (within the meaning of section 2 of the old access law) is deemed to be a covered pipeline that is a distribution pipeline. </w:t>
      </w:r>
    </w:p>
    <w:p>
      <w:pPr>
        <w:pStyle w:val="Heading5"/>
      </w:pPr>
      <w:bookmarkStart w:id="1013" w:name="_Toc536782483"/>
      <w:r>
        <w:rPr>
          <w:rStyle w:val="CharSectno"/>
        </w:rPr>
        <w:t>8</w:t>
      </w:r>
      <w:r>
        <w:t>.</w:t>
      </w:r>
      <w:r>
        <w:tab/>
        <w:t>Pending coverage applications under old scheme (before NCC recommendation)</w:t>
      </w:r>
      <w:bookmarkEnd w:id="101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an old scheme coverage application;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NCC has not made a recommendation in respect of that application under section 1.9 of the Gas Code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NCC must, despite the repeal of the Gas Code, continue to take action in relation to the application as required under the Gas Code (including making a recommendation under section 1.7 of the Gas Code and submitting it to the relevant old scheme relevant Minister under that section) as if the old access law and Gas Code continued to apply.</w:t>
      </w:r>
    </w:p>
    <w:p>
      <w:pPr>
        <w:pStyle w:val="Heading5"/>
      </w:pPr>
      <w:bookmarkStart w:id="1014" w:name="_Toc536782484"/>
      <w:r>
        <w:rPr>
          <w:rStyle w:val="CharSectno"/>
        </w:rPr>
        <w:t>9</w:t>
      </w:r>
      <w:r>
        <w:t>.</w:t>
      </w:r>
      <w:r>
        <w:tab/>
        <w:t>Pending relevant Minister decisions in relation to coverage under old scheme</w:t>
      </w:r>
      <w:bookmarkEnd w:id="101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has received a recommendation of the NCC under section 1.7 of the Gas Code before the commencement day but the old scheme relevant Minister has not made a determination under section 1.13 of the Gas Code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old scheme relevant Minister receives a recommendation of the NCC as provided for under clause 8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old scheme relevant Minister must, despite the repeal of the old access law and Gas Code, make a determination under section 1.13 of the Gas Code in relation to that recommendation as if the old access law and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determination made in accordance with subclause (2) is deemed to be, on the relevant transition date—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that the pipeline is not covered—a decision not to make a coverage determination under section 99.</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relevant transition date</w:t>
      </w:r>
      <w:r>
        <w:rPr>
          <w:bCs/>
          <w:i/>
          <w:iCs/>
          <w:color w:val="000000"/>
          <w:sz w:val="23"/>
          <w:szCs w:val="23"/>
        </w:rPr>
        <w:t xml:space="preserve"> </w:t>
      </w:r>
      <w:r>
        <w:rPr>
          <w:color w:val="000000"/>
          <w:sz w:val="23"/>
          <w:szCs w:val="23"/>
        </w:rPr>
        <w:t>means, if an application is not made under section 38 of the old access law for a review of the determination within the time specified by that section—the day after the last day an application could have been made under that section.</w:t>
      </w:r>
    </w:p>
    <w:p>
      <w:pPr>
        <w:pStyle w:val="Heading5"/>
      </w:pPr>
      <w:bookmarkStart w:id="1015" w:name="_Toc536782485"/>
      <w:r>
        <w:rPr>
          <w:rStyle w:val="CharSectno"/>
        </w:rPr>
        <w:t>10</w:t>
      </w:r>
      <w:r>
        <w:t>.</w:t>
      </w:r>
      <w:r>
        <w:tab/>
        <w:t>Pending relevant Minister decisions in relation to coverage that are reviewed under old scheme</w:t>
      </w:r>
      <w:bookmarkEnd w:id="101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makes a determination under section 1.13 of the Gas Code in accordance with clause 9;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is made under section 38 of the old access law for a review of the determination of the old scheme relevant Minister.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determination of the old scheme relevant Minister is deemed to be, on the day the determination of the relevant appeals body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that the pipeline is not covered—a decision not to make a coverage determination under section 99.</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under section 38 of the old access law affirming or varying the determination of the old scheme relevant Minister, that determination (as affirmed or varied) is deemed to be, on the day the order of the relevant appeals body affirming or varying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effect of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effect of that determination is that the pipeline is not covered—a decision not to make a coverage determination under section 99.</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under section 38 of the old access law that sets aside the determination of the old scheme relevant Minister and remits the matter to the old scheme relevant Minister for the Minister to make a determination again in respect of the matter, the Minister must make a determination under clause 9.</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under section 38 of the old access law that sets aside the determination of the old scheme relevant Minister and that is to operate in place of the determination of the old scheme relevant Minister,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the pipeline is not covered—a decision not to make a coverage determination under section 99.</w:t>
      </w:r>
    </w:p>
    <w:p>
      <w:pPr>
        <w:pStyle w:val="Heading5"/>
      </w:pPr>
      <w:bookmarkStart w:id="1016" w:name="_Toc536782486"/>
      <w:r>
        <w:rPr>
          <w:rStyle w:val="CharSectno"/>
        </w:rPr>
        <w:t>11</w:t>
      </w:r>
      <w:r>
        <w:t>.</w:t>
      </w:r>
      <w:r>
        <w:tab/>
        <w:t>Pending old scheme coverage determinations where no applications for review under old scheme</w:t>
      </w:r>
      <w:bookmarkEnd w:id="101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pending old scheme coverage determination is deemed to be a coverage determination on the day after the last day an application could have been made under section 38 of the old access law.</w:t>
      </w:r>
    </w:p>
    <w:p>
      <w:pPr>
        <w:pStyle w:val="Heading5"/>
      </w:pPr>
      <w:bookmarkStart w:id="1017" w:name="_Toc536782487"/>
      <w:r>
        <w:rPr>
          <w:rStyle w:val="CharSectno"/>
        </w:rPr>
        <w:t>12</w:t>
      </w:r>
      <w:r>
        <w:t>.</w:t>
      </w:r>
      <w:r>
        <w:tab/>
        <w:t>Pending old scheme coverage determinations where applications for review under old scheme on foot</w:t>
      </w:r>
      <w:bookmarkEnd w:id="101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been made under section 38 of the old access law for a review of the determination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pending old scheme coverage determination is deemed to be a coverage determination on the day on which the determination of the relevant appeals body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affirming or varying the pending old scheme coverage determination, that determination (as affirmed or varied) is deemed to be a coverage determination on the day on which the order of the relevant appeals body affirming or varying that determination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that sets aside the pending old scheme coverage determination and remits the matter to the old scheme relevant Minister for the Minister to make a determination again in respect of the matter, the old scheme relevant Minister must make a determination under section 1.13 of the Gas Code as if the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that sets aside the pending old scheme coverage determination and that is to operate in place of the pending old scheme coverage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the pipeline is not covered—a decision not to make a coverage determination under section 99.</w:t>
      </w:r>
    </w:p>
    <w:p>
      <w:pPr>
        <w:pStyle w:val="Heading5"/>
      </w:pPr>
      <w:bookmarkStart w:id="1018" w:name="_Toc536782488"/>
      <w:r>
        <w:rPr>
          <w:rStyle w:val="CharSectno"/>
        </w:rPr>
        <w:t>13</w:t>
      </w:r>
      <w:r>
        <w:t>.</w:t>
      </w:r>
      <w:r>
        <w:tab/>
        <w:t>Pending old scheme no</w:t>
      </w:r>
      <w:r>
        <w:noBreakHyphen/>
        <w:t>coverage determinations where no applications for review under old scheme</w:t>
      </w:r>
      <w:bookmarkEnd w:id="101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no</w:t>
      </w:r>
      <w:r>
        <w:rPr>
          <w:color w:val="000000"/>
          <w:sz w:val="23"/>
          <w:szCs w:val="23"/>
        </w:rPr>
        <w:noBreakHyphen/>
        <w:t>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pending old scheme no</w:t>
      </w:r>
      <w:r>
        <w:rPr>
          <w:color w:val="000000"/>
          <w:sz w:val="23"/>
          <w:szCs w:val="23"/>
        </w:rPr>
        <w:noBreakHyphen/>
        <w:t>coverage determination is deemed to be a decision not to make a coverage determination under section 93 on the day after the last day an application could have been made under section 38 of the old access law.</w:t>
      </w:r>
    </w:p>
    <w:p>
      <w:pPr>
        <w:pStyle w:val="Heading5"/>
      </w:pPr>
      <w:bookmarkStart w:id="1019" w:name="_Toc536782489"/>
      <w:r>
        <w:rPr>
          <w:rStyle w:val="CharSectno"/>
        </w:rPr>
        <w:t>14</w:t>
      </w:r>
      <w:r>
        <w:t>.</w:t>
      </w:r>
      <w:r>
        <w:tab/>
        <w:t>Pending old scheme no</w:t>
      </w:r>
      <w:r>
        <w:noBreakHyphen/>
        <w:t>coverage determinations where applications for review under old scheme on foot</w:t>
      </w:r>
      <w:bookmarkEnd w:id="1019"/>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no</w:t>
      </w:r>
      <w:r>
        <w:rPr>
          <w:color w:val="000000"/>
          <w:sz w:val="23"/>
          <w:szCs w:val="23"/>
        </w:rPr>
        <w:noBreakHyphen/>
        <w:t>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been made under section 38 of the old access law for a review of the determination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pending old scheme no</w:t>
      </w:r>
      <w:r>
        <w:rPr>
          <w:color w:val="000000"/>
          <w:sz w:val="23"/>
          <w:szCs w:val="23"/>
        </w:rPr>
        <w:noBreakHyphen/>
        <w:t>coverage determination is deemed to be a decision not to make a coverage determination under section 99 on the day on which the determination of the relevant appeals body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affirming or varying the pending old scheme no</w:t>
      </w:r>
      <w:r>
        <w:rPr>
          <w:color w:val="000000"/>
          <w:sz w:val="23"/>
          <w:szCs w:val="23"/>
        </w:rPr>
        <w:noBreakHyphen/>
        <w:t>coverage determination, that determination (as affirmed or varied) is deemed to be a decision not to make a coverage determination under section 99 on the day on which the order of the relevant appeals body affirming or varying that determination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that sets aside the pending old scheme no</w:t>
      </w:r>
      <w:r>
        <w:rPr>
          <w:color w:val="000000"/>
          <w:sz w:val="23"/>
          <w:szCs w:val="23"/>
        </w:rPr>
        <w:noBreakHyphen/>
        <w:t>coverage determination and remits the matter to the old scheme relevant Minister for the Minister to make a determination again in respect of the matter, the old scheme relevant Minister must make a determination under section 1.13 of the Gas Code as if the Gas Code continued to apply.</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that sets aside the pending old scheme coverage determination and that is to operate in place of the pending old scheme coverage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the pipeline is not covered—a decision not to make a coverage determination under section 99.</w:t>
      </w:r>
    </w:p>
    <w:p>
      <w:pPr>
        <w:pStyle w:val="Heading5"/>
      </w:pPr>
      <w:bookmarkStart w:id="1020" w:name="_Toc536782490"/>
      <w:r>
        <w:rPr>
          <w:rStyle w:val="CharSectno"/>
        </w:rPr>
        <w:t>15</w:t>
      </w:r>
      <w:r>
        <w:t>.</w:t>
      </w:r>
      <w:r>
        <w:tab/>
        <w:t>Pending coverage revocation applications under old scheme (before NCC recommendation)</w:t>
      </w:r>
      <w:bookmarkEnd w:id="102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an old scheme coverage revocation application;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NCC has not made a recommendation in respect of that application under section 1.28 of the Gas Code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NCC must, despite the repeal of the Gas Code, continue to take action in relation to the application as required under the Gas Code (including making a recommendation under section 1.29 of the Gas Code and submitting it to the relevant old scheme relevant Minister under that section) as if the old access law and Gas Code continued to apply.</w:t>
      </w:r>
    </w:p>
    <w:p>
      <w:pPr>
        <w:pStyle w:val="Heading5"/>
      </w:pPr>
      <w:bookmarkStart w:id="1021" w:name="_Toc536782491"/>
      <w:r>
        <w:rPr>
          <w:rStyle w:val="CharSectno"/>
        </w:rPr>
        <w:t>16</w:t>
      </w:r>
      <w:r>
        <w:t>.</w:t>
      </w:r>
      <w:r>
        <w:tab/>
        <w:t>Pending relevant Minister decisions in relation to coverage revocation under old scheme</w:t>
      </w:r>
      <w:bookmarkEnd w:id="102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has received a recommendation of the NCC under section 1.29 of the Gas Code before the commencement day but the old scheme relevant Minister has not made a determination under section 1.34 of the Gas Code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old scheme relevant Minister receives a recommendation of the NCC as provided for under clause 15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old scheme relevant Minister must, despite the repeal of the old access law or Gas Code, make a determination under section 1.34 of the Gas Code in relation to that recommendation as if the old access law and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determination made in accordance with subclause (2) is deemed to be, on the relevant transition date—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that coverage of the covered pipeline is not revoked—a decision not to make a coverage revocation determination under section 106.</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relevant transition date</w:t>
      </w:r>
      <w:r>
        <w:rPr>
          <w:bCs/>
          <w:i/>
          <w:iCs/>
          <w:color w:val="000000"/>
          <w:sz w:val="23"/>
          <w:szCs w:val="23"/>
        </w:rPr>
        <w:t xml:space="preserve"> </w:t>
      </w:r>
      <w:r>
        <w:rPr>
          <w:color w:val="000000"/>
          <w:sz w:val="23"/>
          <w:szCs w:val="23"/>
        </w:rPr>
        <w:t>means, if an application is not made under section 38 of the old access law for a review of the determination within the time specified by that section—the day after the last day an application could have been made under that section.</w:t>
      </w:r>
    </w:p>
    <w:p>
      <w:pPr>
        <w:pStyle w:val="Heading5"/>
      </w:pPr>
      <w:bookmarkStart w:id="1022" w:name="_Toc536782492"/>
      <w:r>
        <w:rPr>
          <w:rStyle w:val="CharSectno"/>
        </w:rPr>
        <w:t>17</w:t>
      </w:r>
      <w:r>
        <w:t>.</w:t>
      </w:r>
      <w:r>
        <w:tab/>
        <w:t>Pending relevant Minister decisions in relation to coverage revocation that are reviewed under old scheme</w:t>
      </w:r>
      <w:bookmarkEnd w:id="102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makes a determination under section 1.34 of the Gas Code in accordance with clause 16;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is made under section 38 of the old access law for a review of the determination of the old scheme relevant Minister.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determination of the old scheme relevant Minister is deemed to be, on the day the determination of the relevant appeals body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that coverage of the covered pipeline is not revoked—a decision not to make a coverage revocation determination under section 106.</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under section 38 of the old access law affirming or varying the determination of the old scheme relevant Minister, that determination (as affirmed or varied) is deemed to be, on the day the order of the relevant appeals body affirming or varying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effect of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effect of that determination is that coverage of the covered pipeline is not revoked—a decision not to make a coverage revocation determination under section 106.</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under section 38 of the old access law that sets aside the determination of the old scheme relevant Minister and remits the matter to the old scheme relevant Minister for the Minister to make a determination again in respect of the matter, the Minister must make a determination under clause 16.</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under section 38 of the old access law that sets aside the determination of the old scheme relevant Minister and that is to operate in place of the determination of the old scheme relevant Minister,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coverage of the covered pipeline is not revoked—a decision not to make a coverage revocation determination under section 106.</w:t>
      </w:r>
    </w:p>
    <w:p>
      <w:pPr>
        <w:pStyle w:val="Heading5"/>
      </w:pPr>
      <w:bookmarkStart w:id="1023" w:name="_Toc536782493"/>
      <w:r>
        <w:rPr>
          <w:rStyle w:val="CharSectno"/>
        </w:rPr>
        <w:t>18</w:t>
      </w:r>
      <w:r>
        <w:t>.</w:t>
      </w:r>
      <w:r>
        <w:tab/>
        <w:t>Pending old scheme coverage revocation determinations where no applications for review under old scheme</w:t>
      </w:r>
      <w:bookmarkEnd w:id="102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revocation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pending old scheme coverage revocation determination is deemed to be coverage revocation determination on the day after the last day an application could have been made under section 38 of the old access law.</w:t>
      </w:r>
    </w:p>
    <w:p>
      <w:pPr>
        <w:pStyle w:val="Heading5"/>
      </w:pPr>
      <w:bookmarkStart w:id="1024" w:name="_Toc536782494"/>
      <w:r>
        <w:rPr>
          <w:rStyle w:val="CharSectno"/>
        </w:rPr>
        <w:t>19</w:t>
      </w:r>
      <w:r>
        <w:t>.</w:t>
      </w:r>
      <w:r>
        <w:tab/>
        <w:t>Pending old scheme coverage revocation determinations where applications for review under old scheme on foot</w:t>
      </w:r>
      <w:bookmarkEnd w:id="1024"/>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revocation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been made under section 38 of the old access law for a review of the determination before the commencement day.</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pending old scheme coverage revocation determination is deemed to be a coverage revocation determination on the day on which the determination of the relevant appeals body takes effect.</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affirming or varying the pending old scheme coverage revocation determination, that determination (as affirmed or varied) is deemed to be a coverage revocation determination on the day on which the order of the relevant appeals body affirming or varying that determination takes effect.</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that sets aside the pending old scheme coverage revocation determination and remits the matter to the old scheme relevant Minister for the Minister to make a determination again in respect of the matter, the old scheme relevant Minister must make a determination under section 1.34 of the Gas Code as if the Gas Code continued to apply.</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that sets aside the pending old scheme revocation coverage determination and that is to operate in place of the pending old scheme revocation coverage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coverage of the covered pipeline is not revoked—a decision not to make a coverage revocation determination under section 106.</w:t>
      </w:r>
    </w:p>
    <w:p>
      <w:pPr>
        <w:pStyle w:val="Heading5"/>
      </w:pPr>
      <w:bookmarkStart w:id="1025" w:name="_Toc536782495"/>
      <w:r>
        <w:rPr>
          <w:rStyle w:val="CharSectno"/>
        </w:rPr>
        <w:t>20</w:t>
      </w:r>
      <w:r>
        <w:t>.</w:t>
      </w:r>
      <w:r>
        <w:tab/>
        <w:t>Pending old scheme coverage non</w:t>
      </w:r>
      <w:r>
        <w:noBreakHyphen/>
        <w:t>revocation determinations where no applications for review under old scheme</w:t>
      </w:r>
      <w:bookmarkEnd w:id="102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non</w:t>
      </w:r>
      <w:r>
        <w:rPr>
          <w:color w:val="000000"/>
          <w:sz w:val="23"/>
          <w:szCs w:val="23"/>
        </w:rPr>
        <w:noBreakHyphen/>
        <w:t>revocation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pending old scheme coverage non</w:t>
      </w:r>
      <w:r>
        <w:rPr>
          <w:color w:val="000000"/>
          <w:sz w:val="23"/>
          <w:szCs w:val="23"/>
        </w:rPr>
        <w:noBreakHyphen/>
        <w:t>revocation determination is deemed to be a decision not to make a coverage revocation determination under section 106 on the day after the last day an application could have been made under section 38 of the old access law.</w:t>
      </w:r>
    </w:p>
    <w:p>
      <w:pPr>
        <w:pStyle w:val="Heading5"/>
      </w:pPr>
      <w:bookmarkStart w:id="1026" w:name="_Toc536782496"/>
      <w:r>
        <w:rPr>
          <w:rStyle w:val="CharSectno"/>
        </w:rPr>
        <w:t>21</w:t>
      </w:r>
      <w:r>
        <w:t>.</w:t>
      </w:r>
      <w:r>
        <w:tab/>
        <w:t>Pending old scheme coverage non</w:t>
      </w:r>
      <w:r>
        <w:noBreakHyphen/>
        <w:t>revocation determinations where applications for review under old scheme on foot</w:t>
      </w:r>
      <w:bookmarkEnd w:id="102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non</w:t>
      </w:r>
      <w:r>
        <w:rPr>
          <w:color w:val="000000"/>
          <w:sz w:val="23"/>
          <w:szCs w:val="23"/>
        </w:rPr>
        <w:noBreakHyphen/>
        <w:t>revocation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been made under section 38 of the old access law for a review of the determination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pending old scheme coverage non</w:t>
      </w:r>
      <w:r>
        <w:rPr>
          <w:color w:val="000000"/>
          <w:sz w:val="23"/>
          <w:szCs w:val="23"/>
        </w:rPr>
        <w:noBreakHyphen/>
        <w:t>revocation determination is deemed to be a decision not to make a coverage revocation determination under section 106 on the day on which the determination of the relevant appeals body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affirming or varying the pending old scheme coverage non</w:t>
      </w:r>
      <w:r>
        <w:rPr>
          <w:color w:val="000000"/>
          <w:sz w:val="23"/>
          <w:szCs w:val="23"/>
        </w:rPr>
        <w:noBreakHyphen/>
        <w:t>revocation determination, that determination (as affirmed or varied) is deemed to be a decision not to make a coverage revocation determination under section 106 on the day on which the order of the relevant appeals body affirming or varying that determination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that sets aside the pending old scheme coverage non</w:t>
      </w:r>
      <w:r>
        <w:rPr>
          <w:color w:val="000000"/>
          <w:sz w:val="23"/>
          <w:szCs w:val="23"/>
        </w:rPr>
        <w:noBreakHyphen/>
        <w:t>revocation determination and remits the matter to the old scheme relevant Minister for the Minister to make a determination again in respect of the matter, the old scheme relevant Minister must make a determination under section 1.34 of the Gas Code as if the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that sets aside the pending old scheme coverage non</w:t>
      </w:r>
      <w:r>
        <w:rPr>
          <w:color w:val="000000"/>
          <w:sz w:val="23"/>
          <w:szCs w:val="23"/>
        </w:rPr>
        <w:noBreakHyphen/>
        <w:t>revocation determination and that is to operate in place of the pending old scheme coverage non</w:t>
      </w:r>
      <w:r>
        <w:rPr>
          <w:color w:val="000000"/>
          <w:sz w:val="23"/>
          <w:szCs w:val="23"/>
        </w:rPr>
        <w:noBreakHyphen/>
        <w:t>revocation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coverage of the covered pipeline is not revoked—a decision not to make a coverage revocation determination under section 106.</w:t>
      </w:r>
    </w:p>
    <w:p>
      <w:pPr>
        <w:pStyle w:val="Heading5"/>
      </w:pPr>
      <w:bookmarkStart w:id="1027" w:name="_Toc536782497"/>
      <w:r>
        <w:rPr>
          <w:rStyle w:val="CharSectno"/>
        </w:rPr>
        <w:t>22</w:t>
      </w:r>
      <w:r>
        <w:t>.</w:t>
      </w:r>
      <w:r>
        <w:tab/>
        <w:t>Binding no</w:t>
      </w:r>
      <w:r>
        <w:noBreakHyphen/>
        <w:t>coverage determinations</w:t>
      </w:r>
      <w:bookmarkEnd w:id="1027"/>
    </w:p>
    <w:p>
      <w:pPr>
        <w:keepLines/>
        <w:autoSpaceDE w:val="0"/>
        <w:autoSpaceDN w:val="0"/>
        <w:adjustRightInd w:val="0"/>
        <w:spacing w:before="120"/>
        <w:ind w:left="1588"/>
        <w:rPr>
          <w:color w:val="000000"/>
          <w:sz w:val="23"/>
          <w:szCs w:val="23"/>
        </w:rPr>
      </w:pPr>
      <w:r>
        <w:rPr>
          <w:color w:val="000000"/>
          <w:sz w:val="23"/>
          <w:szCs w:val="23"/>
        </w:rPr>
        <w:t>On the commencement day, a binding no</w:t>
      </w:r>
      <w:r>
        <w:rPr>
          <w:color w:val="000000"/>
          <w:sz w:val="23"/>
          <w:szCs w:val="23"/>
        </w:rPr>
        <w:noBreakHyphen/>
        <w:t>coverage determination in effect immediately before that day is deemed to be a 15</w:t>
      </w:r>
      <w:r>
        <w:rPr>
          <w:color w:val="000000"/>
          <w:sz w:val="23"/>
          <w:szCs w:val="23"/>
        </w:rPr>
        <w:noBreakHyphen/>
        <w:t>year no</w:t>
      </w:r>
      <w:r>
        <w:rPr>
          <w:color w:val="000000"/>
          <w:sz w:val="23"/>
          <w:szCs w:val="23"/>
        </w:rPr>
        <w:noBreakHyphen/>
        <w:t>coverage determination.</w:t>
      </w:r>
    </w:p>
    <w:p>
      <w:pPr>
        <w:pStyle w:val="Heading5"/>
      </w:pPr>
      <w:bookmarkStart w:id="1028" w:name="_Toc536782498"/>
      <w:r>
        <w:rPr>
          <w:rStyle w:val="CharSectno"/>
        </w:rPr>
        <w:t>23</w:t>
      </w:r>
      <w:r>
        <w:t>.</w:t>
      </w:r>
      <w:r>
        <w:tab/>
        <w:t>Pending applications for binding no</w:t>
      </w:r>
      <w:r>
        <w:noBreakHyphen/>
        <w:t>coverage determinations (before NCC recommendation)</w:t>
      </w:r>
      <w:bookmarkEnd w:id="102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under section 13D of the old access law for a binding no</w:t>
      </w:r>
      <w:r>
        <w:rPr>
          <w:color w:val="000000"/>
          <w:sz w:val="23"/>
          <w:szCs w:val="23"/>
        </w:rPr>
        <w:noBreakHyphen/>
        <w:t>coverage determination has been made before the commencement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NCC has not made a recommendation under section 13J of the old access law in relation to that application before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NCC must, despite the repeal of the old access law, continue to take action in relation to the application as required under the old access law (including making a recommendation under section 13J of the old access law and submitting it to the relevant old scheme relevant Minister under that section) as if the old access law continued to apply.</w:t>
      </w:r>
    </w:p>
    <w:p>
      <w:pPr>
        <w:pStyle w:val="Heading5"/>
      </w:pPr>
      <w:bookmarkStart w:id="1029" w:name="_Toc536782499"/>
      <w:r>
        <w:rPr>
          <w:rStyle w:val="CharSectno"/>
        </w:rPr>
        <w:t>24</w:t>
      </w:r>
      <w:r>
        <w:t>.</w:t>
      </w:r>
      <w:r>
        <w:tab/>
        <w:t>Pending relevant Minister decisions for binding no</w:t>
      </w:r>
      <w:r>
        <w:noBreakHyphen/>
        <w:t>coverage determinations under old scheme</w:t>
      </w:r>
      <w:bookmarkEnd w:id="102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has received a recommendation of the NCC under section 13J of the old access law before the commencement day but the old scheme relevant Minister has not made a determination under section 13J of the old access law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old scheme relevant Minister receives a recommendation of the NCC as provided for under clause 23 on or after the commencement day.</w:t>
      </w:r>
    </w:p>
    <w:p>
      <w:pPr>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(2)</w:t>
      </w:r>
      <w:r>
        <w:rPr>
          <w:color w:val="000000"/>
          <w:sz w:val="23"/>
          <w:szCs w:val="23"/>
        </w:rPr>
        <w:tab/>
        <w:t>On and after the commencement day, the old scheme relevant Minister must, despite the repeal of the old access law, make a decision under section 13K of the old access law in relation to that recommendation as if the old access law continued to apply.</w:t>
      </w:r>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(3)</w:t>
      </w:r>
      <w:r>
        <w:rPr>
          <w:color w:val="000000"/>
          <w:sz w:val="23"/>
          <w:szCs w:val="23"/>
        </w:rPr>
        <w:tab/>
        <w:t>A decision made in accordance with subclause (2) is deemed to be, on the relevant transition date—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decision is a binding no</w:t>
      </w:r>
      <w:r>
        <w:rPr>
          <w:color w:val="000000"/>
          <w:sz w:val="23"/>
          <w:szCs w:val="23"/>
        </w:rPr>
        <w:noBreakHyphen/>
        <w:t>coverage determination—a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decision is not to make binding no</w:t>
      </w:r>
      <w:r>
        <w:rPr>
          <w:color w:val="000000"/>
          <w:sz w:val="23"/>
          <w:szCs w:val="23"/>
        </w:rPr>
        <w:noBreakHyphen/>
        <w:t>coverage determination—a decision not to make a 15</w:t>
      </w:r>
      <w:r>
        <w:rPr>
          <w:color w:val="000000"/>
          <w:sz w:val="23"/>
          <w:szCs w:val="23"/>
        </w:rPr>
        <w:noBreakHyphen/>
        <w:t>year no</w:t>
      </w:r>
      <w:r>
        <w:rPr>
          <w:color w:val="000000"/>
          <w:sz w:val="23"/>
          <w:szCs w:val="23"/>
        </w:rPr>
        <w:noBreakHyphen/>
        <w:t>coverage determination under section 162.</w:t>
      </w:r>
    </w:p>
    <w:p>
      <w:pPr>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(4)</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sz w:val="23"/>
        </w:rPr>
        <w:t>relevant transition date</w:t>
      </w:r>
      <w:r>
        <w:rPr>
          <w:color w:val="000000"/>
          <w:sz w:val="23"/>
          <w:szCs w:val="23"/>
        </w:rPr>
        <w:t xml:space="preserve"> means, if an application is not made under section 38 of the old access law for a review of the decision within the time specified by that section—the day after the last day an application could have been made under that section.</w:t>
      </w:r>
    </w:p>
    <w:p>
      <w:pPr>
        <w:pStyle w:val="Heading5"/>
      </w:pPr>
      <w:bookmarkStart w:id="1030" w:name="_Toc536782500"/>
      <w:r>
        <w:rPr>
          <w:rStyle w:val="CharSectno"/>
        </w:rPr>
        <w:t>25</w:t>
      </w:r>
      <w:r>
        <w:t>.</w:t>
      </w:r>
      <w:r>
        <w:tab/>
        <w:t>Pending relevant Minister decisions in relation to binding no</w:t>
      </w:r>
      <w:r>
        <w:noBreakHyphen/>
        <w:t>coverage determinations that are reviewed under old scheme</w:t>
      </w:r>
      <w:bookmarkEnd w:id="1030"/>
    </w:p>
    <w:p>
      <w:pPr>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makes a decision under section 13J of the old access law in accordance with clause 24;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is made under section 38 of the old access law for a review of the decision of the old scheme relevant Minister.</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decision of the old scheme relevant Minister is deemed to be, on the day the decision of the relevant appeals body takes effect—</w:t>
      </w:r>
    </w:p>
    <w:p>
      <w:pPr>
        <w:keepLines/>
        <w:tabs>
          <w:tab w:val="center" w:pos="1985"/>
          <w:tab w:val="left" w:pos="2382"/>
        </w:tabs>
        <w:autoSpaceDE w:val="0"/>
        <w:autoSpaceDN w:val="0"/>
        <w:adjustRightInd w:val="0"/>
        <w:spacing w:before="160"/>
        <w:ind w:left="2382" w:hanging="794"/>
        <w:rPr>
          <w:color w:val="000000"/>
          <w:sz w:val="23"/>
          <w:szCs w:val="23"/>
        </w:rPr>
      </w:pPr>
      <w:r>
        <w:rPr>
          <w:color w:val="000000"/>
          <w:sz w:val="23"/>
          <w:szCs w:val="23"/>
        </w:rPr>
        <w:tab/>
        <w:t>(a)</w:t>
      </w:r>
      <w:r>
        <w:rPr>
          <w:color w:val="000000"/>
          <w:sz w:val="23"/>
          <w:szCs w:val="23"/>
        </w:rPr>
        <w:tab/>
        <w:t>if the decision is a binding no</w:t>
      </w:r>
      <w:r>
        <w:rPr>
          <w:color w:val="000000"/>
          <w:sz w:val="23"/>
          <w:szCs w:val="23"/>
        </w:rPr>
        <w:noBreakHyphen/>
        <w:t>coverage determination—a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60"/>
        <w:ind w:left="2382" w:hanging="794"/>
        <w:rPr>
          <w:color w:val="000000"/>
          <w:sz w:val="23"/>
          <w:szCs w:val="23"/>
        </w:rPr>
      </w:pPr>
      <w:r>
        <w:rPr>
          <w:color w:val="000000"/>
          <w:sz w:val="23"/>
          <w:szCs w:val="23"/>
        </w:rPr>
        <w:tab/>
        <w:t>(b)</w:t>
      </w:r>
      <w:r>
        <w:rPr>
          <w:color w:val="000000"/>
          <w:sz w:val="23"/>
          <w:szCs w:val="23"/>
        </w:rPr>
        <w:tab/>
        <w:t>if the decision is not to make a binding no</w:t>
      </w:r>
      <w:r>
        <w:rPr>
          <w:color w:val="000000"/>
          <w:sz w:val="23"/>
          <w:szCs w:val="23"/>
        </w:rPr>
        <w:noBreakHyphen/>
        <w:t>coverage determination—a decision not to make a 15</w:t>
      </w:r>
      <w:r>
        <w:rPr>
          <w:color w:val="000000"/>
          <w:sz w:val="23"/>
          <w:szCs w:val="23"/>
        </w:rPr>
        <w:noBreakHyphen/>
        <w:t>year no</w:t>
      </w:r>
      <w:r>
        <w:rPr>
          <w:color w:val="000000"/>
          <w:sz w:val="23"/>
          <w:szCs w:val="23"/>
        </w:rPr>
        <w:noBreakHyphen/>
        <w:t>coverage determination under section 162.</w:t>
      </w:r>
    </w:p>
    <w:p>
      <w:pPr>
        <w:keepNext/>
        <w:keepLines/>
        <w:tabs>
          <w:tab w:val="center" w:pos="1191"/>
          <w:tab w:val="left" w:pos="1588"/>
        </w:tabs>
        <w:autoSpaceDE w:val="0"/>
        <w:autoSpaceDN w:val="0"/>
        <w:adjustRightInd w:val="0"/>
        <w:spacing w:before="18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under section 38 of the old access law affirming or varying the decision of the old scheme relevant Minister, that decision (as affirmed or varied) is deemed to be, on the day the order of the relevant appeals body affirming or varying that decision takes effect—</w:t>
      </w:r>
    </w:p>
    <w:p>
      <w:pPr>
        <w:keepLines/>
        <w:tabs>
          <w:tab w:val="center" w:pos="1985"/>
          <w:tab w:val="left" w:pos="2382"/>
        </w:tabs>
        <w:autoSpaceDE w:val="0"/>
        <w:autoSpaceDN w:val="0"/>
        <w:adjustRightInd w:val="0"/>
        <w:spacing w:before="160"/>
        <w:ind w:left="2382" w:hanging="794"/>
        <w:rPr>
          <w:color w:val="000000"/>
          <w:sz w:val="23"/>
          <w:szCs w:val="23"/>
        </w:rPr>
      </w:pPr>
      <w:r>
        <w:rPr>
          <w:color w:val="000000"/>
          <w:sz w:val="23"/>
          <w:szCs w:val="23"/>
        </w:rPr>
        <w:tab/>
        <w:t>(a)</w:t>
      </w:r>
      <w:r>
        <w:rPr>
          <w:color w:val="000000"/>
          <w:sz w:val="23"/>
          <w:szCs w:val="23"/>
        </w:rPr>
        <w:tab/>
        <w:t>if the decision is a binding no</w:t>
      </w:r>
      <w:r>
        <w:rPr>
          <w:color w:val="000000"/>
          <w:sz w:val="23"/>
          <w:szCs w:val="23"/>
        </w:rPr>
        <w:noBreakHyphen/>
        <w:t>coverage determination—a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60"/>
        <w:ind w:left="2382" w:hanging="794"/>
        <w:rPr>
          <w:color w:val="000000"/>
          <w:sz w:val="23"/>
          <w:szCs w:val="23"/>
        </w:rPr>
      </w:pPr>
      <w:r>
        <w:rPr>
          <w:color w:val="000000"/>
          <w:sz w:val="23"/>
          <w:szCs w:val="23"/>
        </w:rPr>
        <w:tab/>
        <w:t>(b)</w:t>
      </w:r>
      <w:r>
        <w:rPr>
          <w:color w:val="000000"/>
          <w:sz w:val="23"/>
          <w:szCs w:val="23"/>
        </w:rPr>
        <w:tab/>
        <w:t>if the decision is not to make a binding no</w:t>
      </w:r>
      <w:r>
        <w:rPr>
          <w:color w:val="000000"/>
          <w:sz w:val="23"/>
          <w:szCs w:val="23"/>
        </w:rPr>
        <w:noBreakHyphen/>
        <w:t>coverage determination—a decision not to make a 15</w:t>
      </w:r>
      <w:r>
        <w:rPr>
          <w:color w:val="000000"/>
          <w:sz w:val="23"/>
          <w:szCs w:val="23"/>
        </w:rPr>
        <w:noBreakHyphen/>
        <w:t>year no</w:t>
      </w:r>
      <w:r>
        <w:rPr>
          <w:color w:val="000000"/>
          <w:sz w:val="23"/>
          <w:szCs w:val="23"/>
        </w:rPr>
        <w:noBreakHyphen/>
        <w:t>coverage determination under section 162.</w:t>
      </w:r>
    </w:p>
    <w:p>
      <w:pPr>
        <w:keepLines/>
        <w:tabs>
          <w:tab w:val="center" w:pos="1191"/>
          <w:tab w:val="left" w:pos="1588"/>
        </w:tabs>
        <w:autoSpaceDE w:val="0"/>
        <w:autoSpaceDN w:val="0"/>
        <w:adjustRightInd w:val="0"/>
        <w:spacing w:before="18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under section 38 of the old access law that sets aside the decision of the old scheme relevant Minister and remits the matter to the old scheme relevant Minister for the Minister to make a decision again in respect of the matter, the Minister must make a decision under clause 24.</w:t>
      </w:r>
    </w:p>
    <w:p>
      <w:pPr>
        <w:tabs>
          <w:tab w:val="center" w:pos="1191"/>
          <w:tab w:val="left" w:pos="1588"/>
        </w:tabs>
        <w:autoSpaceDE w:val="0"/>
        <w:autoSpaceDN w:val="0"/>
        <w:adjustRightInd w:val="0"/>
        <w:spacing w:before="18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under section 38 of the old access law that sets aside the decision of the old scheme relevant Minister and that is to operate in place of the decision of the old scheme relevant Minister,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a binding no</w:t>
      </w:r>
      <w:r>
        <w:rPr>
          <w:color w:val="000000"/>
          <w:sz w:val="23"/>
          <w:szCs w:val="23"/>
        </w:rPr>
        <w:noBreakHyphen/>
        <w:t>coverage determination—a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not to make binding no</w:t>
      </w:r>
      <w:r>
        <w:rPr>
          <w:color w:val="000000"/>
          <w:sz w:val="23"/>
          <w:szCs w:val="23"/>
        </w:rPr>
        <w:noBreakHyphen/>
        <w:t>coverage determination—a decision not to make a 15</w:t>
      </w:r>
      <w:r>
        <w:rPr>
          <w:color w:val="000000"/>
          <w:sz w:val="23"/>
          <w:szCs w:val="23"/>
        </w:rPr>
        <w:noBreakHyphen/>
        <w:t>year no</w:t>
      </w:r>
      <w:r>
        <w:rPr>
          <w:color w:val="000000"/>
          <w:sz w:val="23"/>
          <w:szCs w:val="23"/>
        </w:rPr>
        <w:noBreakHyphen/>
        <w:t>coverage determination under section 162.</w:t>
      </w:r>
    </w:p>
    <w:p>
      <w:pPr>
        <w:pStyle w:val="Heading3"/>
      </w:pPr>
      <w:bookmarkStart w:id="1031" w:name="_Toc501634379"/>
      <w:bookmarkStart w:id="1032" w:name="_Toc501713275"/>
      <w:bookmarkStart w:id="1033" w:name="_Toc536782501"/>
      <w:r>
        <w:rPr>
          <w:rStyle w:val="CharDivNo"/>
        </w:rPr>
        <w:t>Part 4</w:t>
      </w:r>
      <w:r>
        <w:t xml:space="preserve"> — </w:t>
      </w:r>
      <w:r>
        <w:rPr>
          <w:rStyle w:val="CharDivText"/>
        </w:rPr>
        <w:t>Access arrangements</w:t>
      </w:r>
      <w:bookmarkEnd w:id="1031"/>
      <w:bookmarkEnd w:id="1032"/>
      <w:bookmarkEnd w:id="1033"/>
    </w:p>
    <w:p>
      <w:pPr>
        <w:pStyle w:val="Heading5"/>
      </w:pPr>
      <w:bookmarkStart w:id="1034" w:name="_Toc536782502"/>
      <w:r>
        <w:rPr>
          <w:rStyle w:val="CharSectno"/>
        </w:rPr>
        <w:t>26</w:t>
      </w:r>
      <w:r>
        <w:t>.</w:t>
      </w:r>
      <w:r>
        <w:tab/>
        <w:t>Current access arrangements (other than old scheme limited access arrangements)</w:t>
      </w:r>
      <w:bookmarkEnd w:id="1034"/>
    </w:p>
    <w:p>
      <w:pPr>
        <w:keepNext/>
        <w:keepLines/>
        <w:autoSpaceDE w:val="0"/>
        <w:autoSpaceDN w:val="0"/>
        <w:adjustRightInd w:val="0"/>
        <w:spacing w:before="120"/>
        <w:ind w:left="1588"/>
        <w:rPr>
          <w:color w:val="000000"/>
          <w:sz w:val="23"/>
          <w:szCs w:val="23"/>
        </w:rPr>
      </w:pPr>
      <w:r>
        <w:rPr>
          <w:color w:val="000000"/>
          <w:sz w:val="23"/>
          <w:szCs w:val="23"/>
        </w:rPr>
        <w:t>Subject to this Part, on the commencement day—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current access arrangement approved in—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final decision under section 2.16 or 2.38 of the Gas Code;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further final decision under section 2.19 or 2.41 of the Gas Code,</w:t>
      </w:r>
    </w:p>
    <w:p>
      <w:pPr>
        <w:keepLines/>
        <w:autoSpaceDE w:val="0"/>
        <w:autoSpaceDN w:val="0"/>
        <w:adjustRightInd w:val="0"/>
        <w:spacing w:before="120"/>
        <w:ind w:left="2382"/>
        <w:rPr>
          <w:color w:val="000000"/>
          <w:sz w:val="23"/>
          <w:szCs w:val="23"/>
        </w:rPr>
      </w:pPr>
      <w:r>
        <w:rPr>
          <w:color w:val="000000"/>
          <w:sz w:val="23"/>
          <w:szCs w:val="23"/>
        </w:rPr>
        <w:t>is deemed to be a full access arrangement approved by the AER under a full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current access arrangement drafted and approved by a relevant Regulator under section 2.20 or 2.42 of the Gas Code is deemed to be a full access arrangement made by the AER under a full access arrangement decision.</w:t>
      </w:r>
    </w:p>
    <w:p>
      <w:pPr>
        <w:pStyle w:val="Heading5"/>
      </w:pPr>
      <w:bookmarkStart w:id="1035" w:name="_Toc536782503"/>
      <w:r>
        <w:rPr>
          <w:rStyle w:val="CharSectno"/>
        </w:rPr>
        <w:t>27</w:t>
      </w:r>
      <w:r>
        <w:t>.</w:t>
      </w:r>
      <w:r>
        <w:tab/>
        <w:t>Old scheme limited access arrangements</w:t>
      </w:r>
      <w:bookmarkEnd w:id="1035"/>
    </w:p>
    <w:p>
      <w:pPr>
        <w:keepLines/>
        <w:autoSpaceDE w:val="0"/>
        <w:autoSpaceDN w:val="0"/>
        <w:adjustRightInd w:val="0"/>
        <w:spacing w:before="120"/>
        <w:ind w:left="1588"/>
        <w:rPr>
          <w:color w:val="000000"/>
          <w:sz w:val="23"/>
          <w:szCs w:val="23"/>
        </w:rPr>
      </w:pPr>
      <w:r>
        <w:rPr>
          <w:color w:val="000000"/>
          <w:sz w:val="23"/>
          <w:szCs w:val="23"/>
        </w:rPr>
        <w:t>On the commencement day, an old scheme limited access arrangement is deemed to be a limited access arrangement approved by the AER under the Rules.</w:t>
      </w:r>
    </w:p>
    <w:p>
      <w:pPr>
        <w:pStyle w:val="Heading5"/>
      </w:pPr>
      <w:bookmarkStart w:id="1036" w:name="_Toc536782504"/>
      <w:r>
        <w:rPr>
          <w:rStyle w:val="CharSectno"/>
        </w:rPr>
        <w:t>28</w:t>
      </w:r>
      <w:r>
        <w:t>.</w:t>
      </w:r>
      <w:r>
        <w:tab/>
        <w:t>Access arrangements submitted but not approved or rejected before repeal of old scheme</w:t>
      </w:r>
      <w:bookmarkEnd w:id="103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proposed access arrangement has been submitted under section 2.2 of the Gas Code to a relevant Regulator before the commencement day for approval;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Regulator has not, that day—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approved that access arrangement in a final decision under section 2.16, or a further final decision under section 2.19 of the Gas Code;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drafted and approved its own access arrangement under section 2.20 of the Gas Code.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relevant Regulator must, despite the repeal of the Gas Code, deal with the proposed access arrangement as if the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access arrangement approved, or drafted and approved, in accordance with subclause (2) is deemed to be, on the day the relevant decision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an access arrangement approved in a final decision under section 2.16, or a further final decision under section 2.19, of the Gas Code—a full access arrangement approved by the AER under a full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an access arrangement drafted and approved by the relevant Regulator under section 2.20 of the Gas Code—a full access arrangement made by the AER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Despite anything to the contrary in this Law and the repeal of the old access law, section 39 of the old access law continues to apply to a full access arrangement decision referred to in this section as if a reference in that section to a decision of the relevant Regulator under the Gas Code were a reference to a full access arrangement decision of the AER.</w:t>
      </w:r>
    </w:p>
    <w:p>
      <w:pPr>
        <w:pStyle w:val="Heading5"/>
      </w:pPr>
      <w:bookmarkStart w:id="1037" w:name="_Toc536782505"/>
      <w:r>
        <w:rPr>
          <w:rStyle w:val="CharSectno"/>
        </w:rPr>
        <w:t>29</w:t>
      </w:r>
      <w:r>
        <w:t>.</w:t>
      </w:r>
      <w:r>
        <w:tab/>
        <w:t>Access arrangement revisions submitted but not approved or rejected before repeal of old scheme</w:t>
      </w:r>
      <w:bookmarkEnd w:id="103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proposed revisions to a current access arrangement have been submitted under section 2.28 of the Gas Code to a relevant Regulator before the commencement day for approval;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Regulator has not, before that day—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approved those revisions in a final decision under section 2.38, or a further final decision under section 2.41, of the Gas Code;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drafted and approved its own revisions under section 2.42 of the Gas Code.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relevant Regulator must, despite the repeal of the Gas Code, deal with the proposed revisions as if the Gas Code continued to apply.</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access arrangement in respect of which revisions are approved, or drafted and approved, in accordance with subclause (2) is deemed to be, on the day the relevant decision takes effect—</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an access arrangement in respect of which revisions are approved in a final decision under section 2.38, or a further final decision under section 2.41, of the Gas Code—a full access arrangement as revised by the AER under a full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an access arrangement in respect of which revisions are drafted and approved by the relevant Regulator under section 2.42 of the Gas Code—a full access arrangement (as revised) made by the AER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Despite anything to the contrary in this Law and the repeal of the old access law, section 39 of the old access law continues to apply to a full access arrangement decision referred to in this section as if a reference in that section to a decision of the relevant Regulator under the Gas Code were a reference to a full access arrangement decision of the AER.</w:t>
      </w:r>
    </w:p>
    <w:p>
      <w:pPr>
        <w:pStyle w:val="Heading5"/>
      </w:pPr>
      <w:bookmarkStart w:id="1038" w:name="_Toc536782506"/>
      <w:r>
        <w:rPr>
          <w:rStyle w:val="CharSectno"/>
        </w:rPr>
        <w:t>30</w:t>
      </w:r>
      <w:r>
        <w:t>.</w:t>
      </w:r>
      <w:r>
        <w:tab/>
        <w:t>Certain provisions of the Gas Code to continue to apply to current and proposed access arrangements</w:t>
      </w:r>
      <w:bookmarkEnd w:id="103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the repeal of the Gas Code and subject to this clause and any current access arrangement modification Rules, sections 3, 8 and 10.8 of the Gas Code continue to apply to a transitioned access arrangement until revisions to that access arrangement first approved or made in accordance with this Law and the Rules after the commencement day take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To avoid doubt, after the commencement day, a covered pipeline service provider must, despite anything to the contrary in a transitioned access arrangement, submit an access arrangement revision proposal in relation to that access arrangement in accordance with section 132 and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Sections 3, 8 and 10.8 of the Gas Code, as applied under this clause, do not have effect to the extent that they provide for or deal with the procedure for the approval of revisions to access arrangements.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For the purposes of this clause—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AER is deemed to have the functions and powers a relevant Regulator has under sections 3, 8 and 10.8 of the Gas Code as applied under this clause;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every reference to a relevant Regulator in those sections as applied under this clause is deemed to be a reference to the AER.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access arrangement revision proposal</w:t>
      </w:r>
      <w:r>
        <w:rPr>
          <w:bCs/>
          <w:i/>
          <w:iCs/>
          <w:color w:val="000000"/>
          <w:sz w:val="23"/>
          <w:szCs w:val="23"/>
        </w:rPr>
        <w:t xml:space="preserve"> </w:t>
      </w:r>
      <w:r>
        <w:rPr>
          <w:color w:val="000000"/>
          <w:sz w:val="23"/>
          <w:szCs w:val="23"/>
        </w:rPr>
        <w:t>has the same meaning as in the Rules;</w:t>
      </w:r>
    </w:p>
    <w:p>
      <w:pPr>
        <w:keepLines/>
        <w:autoSpaceDE w:val="0"/>
        <w:autoSpaceDN w:val="0"/>
        <w:adjustRightInd w:val="0"/>
        <w:spacing w:before="120"/>
        <w:ind w:left="1588"/>
        <w:rPr>
          <w:color w:val="000000"/>
          <w:sz w:val="23"/>
          <w:szCs w:val="23"/>
        </w:rPr>
      </w:pPr>
      <w:r>
        <w:rPr>
          <w:rStyle w:val="CharDefText"/>
          <w:bCs/>
          <w:sz w:val="23"/>
        </w:rPr>
        <w:t>current access arrangement modification Rules</w:t>
      </w:r>
      <w:r>
        <w:rPr>
          <w:bCs/>
          <w:i/>
          <w:iCs/>
          <w:color w:val="000000"/>
          <w:sz w:val="23"/>
          <w:szCs w:val="23"/>
        </w:rPr>
        <w:t xml:space="preserve"> </w:t>
      </w:r>
      <w:r>
        <w:rPr>
          <w:color w:val="000000"/>
          <w:sz w:val="23"/>
          <w:szCs w:val="23"/>
        </w:rPr>
        <w:t>means Rules made for or with respect to item 81 of Schedule 1 to this Law that are in force.</w:t>
      </w:r>
    </w:p>
    <w:p>
      <w:pPr>
        <w:pStyle w:val="Heading5"/>
      </w:pPr>
      <w:bookmarkStart w:id="1039" w:name="_Toc536782507"/>
      <w:r>
        <w:rPr>
          <w:rStyle w:val="CharSectno"/>
        </w:rPr>
        <w:t>31</w:t>
      </w:r>
      <w:r>
        <w:t>.</w:t>
      </w:r>
      <w:r>
        <w:tab/>
        <w:t>Certain decisions relating to certain access arrangements are reviewable regulatory decisions for purposes of Chapter 8 Part 5 of the Law</w:t>
      </w:r>
      <w:bookmarkEnd w:id="103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Despite anything to the contrary in this Law, the definition of </w:t>
      </w:r>
      <w:r>
        <w:rPr>
          <w:rStyle w:val="CharDefText"/>
          <w:bCs/>
          <w:sz w:val="23"/>
        </w:rPr>
        <w:t>reviewable regulatory decision</w:t>
      </w:r>
      <w:r>
        <w:rPr>
          <w:bCs/>
          <w:i/>
          <w:iCs/>
          <w:color w:val="000000"/>
          <w:sz w:val="23"/>
          <w:szCs w:val="23"/>
        </w:rPr>
        <w:t xml:space="preserve"> </w:t>
      </w:r>
      <w:r>
        <w:rPr>
          <w:color w:val="000000"/>
          <w:sz w:val="23"/>
          <w:szCs w:val="23"/>
        </w:rPr>
        <w:t>in section 244 is deemed, during the relevant transition period, to include decisions of 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disallow a variation proposed by a service provider of a Reference Tariff contained in a transitioned access arrangement;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make the AER’s own variation of a Reference Tariff in respect of a transitioned access arrangement—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on disallowing a variation proposed by a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because a service provider fails to submit such a variation as required.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new scheme revisions commencement date</w:t>
      </w:r>
      <w:r>
        <w:rPr>
          <w:bCs/>
          <w:i/>
          <w:iCs/>
          <w:color w:val="000000"/>
          <w:sz w:val="23"/>
          <w:szCs w:val="23"/>
        </w:rPr>
        <w:t xml:space="preserve"> </w:t>
      </w:r>
      <w:r>
        <w:rPr>
          <w:color w:val="000000"/>
          <w:sz w:val="23"/>
          <w:szCs w:val="23"/>
        </w:rPr>
        <w:t>means the date revisions approved or made to a transitioned access arrangement under this Law and the Rules take effect following the first review of that access arrangement under this Law and the Rules after the commencement day;</w:t>
      </w:r>
    </w:p>
    <w:p>
      <w:pPr>
        <w:keepLines/>
        <w:autoSpaceDE w:val="0"/>
        <w:autoSpaceDN w:val="0"/>
        <w:adjustRightInd w:val="0"/>
        <w:spacing w:before="120"/>
        <w:ind w:left="1588"/>
        <w:rPr>
          <w:color w:val="000000"/>
          <w:sz w:val="23"/>
          <w:szCs w:val="23"/>
        </w:rPr>
      </w:pPr>
      <w:r>
        <w:rPr>
          <w:rStyle w:val="CharDefText"/>
          <w:bCs/>
          <w:sz w:val="23"/>
        </w:rPr>
        <w:t>Reference Tariff</w:t>
      </w:r>
      <w:r>
        <w:rPr>
          <w:bCs/>
          <w:i/>
          <w:iCs/>
          <w:color w:val="000000"/>
          <w:sz w:val="23"/>
          <w:szCs w:val="23"/>
        </w:rPr>
        <w:t xml:space="preserve"> </w:t>
      </w:r>
      <w:r>
        <w:rPr>
          <w:color w:val="000000"/>
          <w:sz w:val="23"/>
          <w:szCs w:val="23"/>
        </w:rPr>
        <w:t>has the same meaning as in the Gas Code immediately before its repeal;</w:t>
      </w:r>
    </w:p>
    <w:p>
      <w:pPr>
        <w:keepNext/>
        <w:keepLines/>
        <w:autoSpaceDE w:val="0"/>
        <w:autoSpaceDN w:val="0"/>
        <w:adjustRightInd w:val="0"/>
        <w:spacing w:before="120"/>
        <w:ind w:left="1588"/>
        <w:rPr>
          <w:color w:val="000000"/>
          <w:sz w:val="23"/>
          <w:szCs w:val="23"/>
        </w:rPr>
      </w:pPr>
      <w:r>
        <w:rPr>
          <w:rStyle w:val="CharDefText"/>
          <w:bCs/>
          <w:sz w:val="23"/>
        </w:rPr>
        <w:t>relevant transition period</w:t>
      </w:r>
      <w:r>
        <w:rPr>
          <w:bCs/>
          <w:i/>
          <w:iCs/>
          <w:color w:val="000000"/>
          <w:sz w:val="23"/>
          <w:szCs w:val="23"/>
        </w:rPr>
        <w:t xml:space="preserve"> </w:t>
      </w:r>
      <w:r>
        <w:rPr>
          <w:color w:val="000000"/>
          <w:sz w:val="23"/>
          <w:szCs w:val="23"/>
        </w:rPr>
        <w:t>means the period—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commencing on the commencement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ending on the day after the day that is 15 business days after the first new scheme revisions commencement date.</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clause 30.</w:t>
      </w:r>
    </w:p>
    <w:p>
      <w:pPr>
        <w:pStyle w:val="Heading5"/>
      </w:pPr>
      <w:bookmarkStart w:id="1040" w:name="_Toc536782508"/>
      <w:r>
        <w:rPr>
          <w:rStyle w:val="CharSectno"/>
        </w:rPr>
        <w:t>32</w:t>
      </w:r>
      <w:r>
        <w:t>.</w:t>
      </w:r>
      <w:r>
        <w:tab/>
        <w:t>Limited access arrangements submitted but not approved before repeal of old scheme</w:t>
      </w:r>
      <w:bookmarkEnd w:id="104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 a proposed limited access arrangement or a proposed amendment to a limited access arrangement—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been submitted under section 13U(1) of the old access law to the ACCC before the commencement day for approval;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ACCC has not approved that limited access arrangement or that amendment before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ACCC must, despite the repeal of the old access law, deal with the proposed access arrangement under section 13U as if the old access law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proposed limited access arrangement, or a proposed amendment to a limited access arrangement, approved by the ACCC in accordance with subclause (2) is deemed to be, on the day the decision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decision approving the proposed limited access arrangement—a limited access arrangement approved by the AER under a limited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decision approving a proposed amendment to a limited access arrangement—a variation to a limited access arrangement approved by the AER under the Rules.</w:t>
      </w:r>
    </w:p>
    <w:p>
      <w:pPr>
        <w:pStyle w:val="Heading5"/>
      </w:pPr>
      <w:bookmarkStart w:id="1041" w:name="_Toc536782509"/>
      <w:r>
        <w:rPr>
          <w:rStyle w:val="CharSectno"/>
        </w:rPr>
        <w:t>33</w:t>
      </w:r>
      <w:r>
        <w:t>.</w:t>
      </w:r>
      <w:r>
        <w:tab/>
        <w:t>Extensions and expansions policies</w:t>
      </w:r>
      <w:bookmarkEnd w:id="1041"/>
    </w:p>
    <w:p>
      <w:pPr>
        <w:keepLines/>
        <w:autoSpaceDE w:val="0"/>
        <w:autoSpaceDN w:val="0"/>
        <w:adjustRightInd w:val="0"/>
        <w:spacing w:before="120"/>
        <w:ind w:left="1588"/>
        <w:rPr>
          <w:color w:val="000000"/>
          <w:sz w:val="23"/>
          <w:szCs w:val="23"/>
        </w:rPr>
      </w:pPr>
      <w:r>
        <w:rPr>
          <w:color w:val="000000"/>
          <w:sz w:val="23"/>
          <w:szCs w:val="23"/>
        </w:rPr>
        <w:t>On the commencement day, an Extensions/Expansions Policy (as defined in section 3.16 of the Gas Code), and in effect immediately before that day, is deemed to be extension and expansion requirements.</w:t>
      </w:r>
    </w:p>
    <w:p>
      <w:pPr>
        <w:pStyle w:val="Heading5"/>
      </w:pPr>
      <w:bookmarkStart w:id="1042" w:name="_Toc536782510"/>
      <w:r>
        <w:rPr>
          <w:rStyle w:val="CharSectno"/>
        </w:rPr>
        <w:t>34</w:t>
      </w:r>
      <w:r>
        <w:t>.</w:t>
      </w:r>
      <w:r>
        <w:tab/>
        <w:t>Queuing policies</w:t>
      </w:r>
      <w:bookmarkEnd w:id="1042"/>
    </w:p>
    <w:p>
      <w:pPr>
        <w:keepLines/>
        <w:autoSpaceDE w:val="0"/>
        <w:autoSpaceDN w:val="0"/>
        <w:adjustRightInd w:val="0"/>
        <w:spacing w:before="120"/>
        <w:ind w:left="1588"/>
        <w:rPr>
          <w:color w:val="000000"/>
          <w:sz w:val="23"/>
          <w:szCs w:val="23"/>
        </w:rPr>
      </w:pPr>
      <w:r>
        <w:rPr>
          <w:color w:val="000000"/>
          <w:sz w:val="23"/>
          <w:szCs w:val="23"/>
        </w:rPr>
        <w:t>On the commencement day, a Queuing Policy (as defined in section 3.12 of the Gas Code), and in effect immediately before that day, is deemed to be queuing requirements.</w:t>
      </w:r>
    </w:p>
    <w:p>
      <w:pPr>
        <w:pStyle w:val="Heading3"/>
      </w:pPr>
      <w:bookmarkStart w:id="1043" w:name="_Toc501634389"/>
      <w:bookmarkStart w:id="1044" w:name="_Toc501713285"/>
      <w:bookmarkStart w:id="1045" w:name="_Toc536782511"/>
      <w:r>
        <w:rPr>
          <w:rStyle w:val="CharDivNo"/>
        </w:rPr>
        <w:t>Part 5</w:t>
      </w:r>
      <w:r>
        <w:t xml:space="preserve"> — </w:t>
      </w:r>
      <w:r>
        <w:rPr>
          <w:rStyle w:val="CharDivText"/>
        </w:rPr>
        <w:t>Price regulation exemptions</w:t>
      </w:r>
      <w:bookmarkEnd w:id="1043"/>
      <w:bookmarkEnd w:id="1044"/>
      <w:bookmarkEnd w:id="1045"/>
    </w:p>
    <w:p>
      <w:pPr>
        <w:pStyle w:val="Heading5"/>
      </w:pPr>
      <w:bookmarkStart w:id="1046" w:name="_Toc536782512"/>
      <w:r>
        <w:rPr>
          <w:rStyle w:val="CharSectno"/>
        </w:rPr>
        <w:t>35</w:t>
      </w:r>
      <w:r>
        <w:t>.</w:t>
      </w:r>
      <w:r>
        <w:tab/>
        <w:t>Old scheme price regulation exemptions</w:t>
      </w:r>
      <w:bookmarkEnd w:id="1046"/>
    </w:p>
    <w:p>
      <w:pPr>
        <w:keepLines/>
        <w:autoSpaceDE w:val="0"/>
        <w:autoSpaceDN w:val="0"/>
        <w:adjustRightInd w:val="0"/>
        <w:spacing w:before="120"/>
        <w:ind w:left="1588"/>
        <w:rPr>
          <w:color w:val="000000"/>
          <w:sz w:val="23"/>
          <w:szCs w:val="23"/>
        </w:rPr>
      </w:pPr>
      <w:r>
        <w:rPr>
          <w:color w:val="000000"/>
          <w:sz w:val="23"/>
          <w:szCs w:val="23"/>
        </w:rPr>
        <w:t>On the commencement day, an old scheme price regulation exemption in effect immediately before that day is deemed to be a price regulation exemption.</w:t>
      </w:r>
    </w:p>
    <w:p>
      <w:pPr>
        <w:pStyle w:val="Heading5"/>
      </w:pPr>
      <w:bookmarkStart w:id="1047" w:name="_Toc536782513"/>
      <w:r>
        <w:rPr>
          <w:rStyle w:val="CharSectno"/>
        </w:rPr>
        <w:t>36</w:t>
      </w:r>
      <w:r>
        <w:t>.</w:t>
      </w:r>
      <w:r>
        <w:tab/>
        <w:t>Pending applications for price regulation exemptions</w:t>
      </w:r>
      <w:bookmarkEnd w:id="104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under section 13N of the old access law for an old scheme price regulation exemption has been made before the commencement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NCC has not made a recommendation under section 13R of the old access law in relation to that application before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NCC must, despite the repeal of the old access law, continue to take action in relation to the application as required under the old access law (including making a recommendation under section 13R of the old access law and submitting it to the Commonwealth Minister under that section) as if the old access law continued to apply.</w:t>
      </w:r>
    </w:p>
    <w:p>
      <w:pPr>
        <w:pStyle w:val="Heading5"/>
      </w:pPr>
      <w:bookmarkStart w:id="1048" w:name="_Toc536782514"/>
      <w:r>
        <w:rPr>
          <w:rStyle w:val="CharSectno"/>
        </w:rPr>
        <w:t>37</w:t>
      </w:r>
      <w:r>
        <w:t>.</w:t>
      </w:r>
      <w:r>
        <w:tab/>
        <w:t>Pending Commonwealth Minister decisions for price regulation exemptions</w:t>
      </w:r>
      <w:bookmarkEnd w:id="104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Commonwealth Minister has received a recommendation of the NCC under section 13R of the old access law before the commencement day but the Commonwealth Minister has not made a decision under section 13S of the old access law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Commonwealth Minister receives a recommendation of the NCC as provided for under clause 36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Commonwealth Minister must, despite the repeal of the old access law, make a decision under section 13S of the old access law in relation to that recommendation as if the old access law continued to apply.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Commonwealth Minister makes an old scheme price regulation exemption under section 13S of the old access law in accordance with subclause (2), that exemption is deemed to be a price regulation exemption on the day it is made.</w:t>
      </w:r>
    </w:p>
    <w:p>
      <w:pPr>
        <w:pStyle w:val="Heading3"/>
      </w:pPr>
      <w:bookmarkStart w:id="1049" w:name="_Toc501634393"/>
      <w:bookmarkStart w:id="1050" w:name="_Toc501713289"/>
      <w:bookmarkStart w:id="1051" w:name="_Toc536782515"/>
      <w:r>
        <w:rPr>
          <w:rStyle w:val="CharDivNo"/>
        </w:rPr>
        <w:t>Part 6</w:t>
      </w:r>
      <w:r>
        <w:t xml:space="preserve"> — </w:t>
      </w:r>
      <w:r>
        <w:rPr>
          <w:rStyle w:val="CharDivText"/>
        </w:rPr>
        <w:t>Structural and operational separation (ring fencing)</w:t>
      </w:r>
      <w:bookmarkEnd w:id="1049"/>
      <w:bookmarkEnd w:id="1050"/>
      <w:bookmarkEnd w:id="1051"/>
    </w:p>
    <w:p>
      <w:pPr>
        <w:pStyle w:val="Heading5"/>
      </w:pPr>
      <w:bookmarkStart w:id="1052" w:name="_Toc536782516"/>
      <w:r>
        <w:rPr>
          <w:rStyle w:val="CharSectno"/>
        </w:rPr>
        <w:t>38</w:t>
      </w:r>
      <w:r>
        <w:t>.</w:t>
      </w:r>
      <w:r>
        <w:tab/>
        <w:t>Definitions</w:t>
      </w:r>
      <w:bookmarkEnd w:id="1052"/>
    </w:p>
    <w:p>
      <w:pPr>
        <w:keepNext/>
        <w:keepLines/>
        <w:autoSpaceDE w:val="0"/>
        <w:autoSpaceDN w:val="0"/>
        <w:adjustRightInd w:val="0"/>
        <w:spacing w:before="120"/>
        <w:ind w:left="1588"/>
        <w:rPr>
          <w:color w:val="000000"/>
          <w:sz w:val="23"/>
          <w:szCs w:val="23"/>
        </w:rPr>
      </w:pPr>
      <w:r>
        <w:rPr>
          <w:color w:val="000000"/>
          <w:sz w:val="23"/>
          <w:szCs w:val="23"/>
        </w:rPr>
        <w:t>In this Part—</w:t>
      </w:r>
    </w:p>
    <w:p>
      <w:pPr>
        <w:keepNext/>
        <w:keepLines/>
        <w:autoSpaceDE w:val="0"/>
        <w:autoSpaceDN w:val="0"/>
        <w:adjustRightInd w:val="0"/>
        <w:spacing w:before="120"/>
        <w:ind w:left="1588"/>
        <w:rPr>
          <w:color w:val="000000"/>
          <w:sz w:val="23"/>
          <w:szCs w:val="23"/>
        </w:rPr>
      </w:pPr>
      <w:r>
        <w:rPr>
          <w:rStyle w:val="CharDefText"/>
          <w:bCs/>
          <w:sz w:val="23"/>
        </w:rPr>
        <w:t>old scheme ring fencing requirement</w:t>
      </w:r>
      <w:r>
        <w:rPr>
          <w:color w:val="000000"/>
          <w:sz w:val="23"/>
          <w:szCs w:val="23"/>
        </w:rPr>
        <w:t>, in relation to a service provider,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section 4.1(b) to (d), (h) or (i) of the Gas Code as those sections apply to the service provider subject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any notice given to the service provider under section 4.15(a) of the Gas Code waiving that service provider’s compliance with an obligation under section 4.1(b) of the Gas Code that is in effect immediately before the commencement day;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any notice given to the service provider under section 4.15(b) of the Gas Code waiving that service provider’s compliance with an obligation under section 4.1(h) and (i) of the Gas Code that is in effect immediately before the commencement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obligation applying to the service provider under a notice given to that service provider under section 4.3 of the Gas Code that is in effect immediately before the commencement day;</w:t>
      </w:r>
    </w:p>
    <w:p>
      <w:pPr>
        <w:keepLines/>
        <w:autoSpaceDE w:val="0"/>
        <w:autoSpaceDN w:val="0"/>
        <w:adjustRightInd w:val="0"/>
        <w:spacing w:before="120"/>
        <w:ind w:left="1588"/>
        <w:rPr>
          <w:color w:val="000000"/>
          <w:sz w:val="23"/>
          <w:szCs w:val="23"/>
        </w:rPr>
      </w:pPr>
      <w:r>
        <w:rPr>
          <w:rStyle w:val="CharDefText"/>
          <w:bCs/>
          <w:sz w:val="23"/>
        </w:rPr>
        <w:t>relevant transition period</w:t>
      </w:r>
      <w:r>
        <w:rPr>
          <w:bCs/>
          <w:i/>
          <w:iCs/>
          <w:color w:val="000000"/>
          <w:sz w:val="23"/>
          <w:szCs w:val="23"/>
        </w:rPr>
        <w:t xml:space="preserve"> </w:t>
      </w:r>
      <w:r>
        <w:rPr>
          <w:color w:val="000000"/>
          <w:sz w:val="23"/>
          <w:szCs w:val="23"/>
        </w:rPr>
        <w:t>means the period beginning on the commencement day and ending on the day that is 6 months after the commencement day.</w:t>
      </w:r>
    </w:p>
    <w:p>
      <w:pPr>
        <w:pStyle w:val="Heading5"/>
      </w:pPr>
      <w:bookmarkStart w:id="1053" w:name="_Toc536782517"/>
      <w:r>
        <w:rPr>
          <w:rStyle w:val="CharSectno"/>
        </w:rPr>
        <w:t>39</w:t>
      </w:r>
      <w:r>
        <w:t>.</w:t>
      </w:r>
      <w:r>
        <w:tab/>
        <w:t>Compliance with certain old scheme ring fencing requirements sufficient compliance for 6 month period</w:t>
      </w:r>
      <w:bookmarkEnd w:id="105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anything to the contrary in this Law, a service provider who during the relevant transition period complies with an old scheme ring fencing requirement must be taken to comply with Division 2 and Division 3 of Chapter 4 Part 2 of the Law during that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to subclause (1) but subject to subclauses (3) and (4), a service provider must continue to comply with an old scheme ring fencing requirement as if the Gas Code continued to apply.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may depart from complying with an old scheme ring fencing requirement before the end of the relevant transition period solely for the purpose of preparing to comply with Division 2 or Division 3 of Chapter 4 Part 2 of this Law at the end of that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a service provider does depart from complying with an old scheme ring fencing requirement in accordance with subclause (3) the service provider must in respect of that departure comply with Division 2 and Division 3 of Chapter 4 Part 2 of this Law (as the case requires).</w:t>
      </w:r>
    </w:p>
    <w:p>
      <w:pPr>
        <w:pStyle w:val="Heading5"/>
      </w:pPr>
      <w:bookmarkStart w:id="1054" w:name="_Toc536782518"/>
      <w:r>
        <w:rPr>
          <w:rStyle w:val="CharSectno"/>
        </w:rPr>
        <w:t>40</w:t>
      </w:r>
      <w:r>
        <w:t>.</w:t>
      </w:r>
      <w:r>
        <w:tab/>
        <w:t>Existing waivers of ring fencing obligations</w:t>
      </w:r>
      <w:bookmarkEnd w:id="105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After the relevant transition period, a notice given to a service provider under section 4.15(a) of the Gas Code waiving that service provider’s compliance with an obligation under section 4.1(b) of the Gas Code, and in effect immediately before the commencement day, is deemed to be an exemption of the AER under section 146 from the requirement to comply with section 139 given to that service provider.</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After the relevant transition period, a notice given to a service provider under section 4.15(b) of the Gas Code waiving that service provider’s compliance with an obligation under section 4.1(h) and (i) of the Gas Code, and in effect immediately before the commencement day, is deemed to be an exemption of the AER under section 146 from the requirement to comply with section 140 given to that service provider.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Subclauses (1) and (2) do not apply to the extent to which a notice referred to in those subclauses is inconsistent with this Law or the Rules.</w:t>
      </w:r>
    </w:p>
    <w:p>
      <w:pPr>
        <w:pStyle w:val="Heading5"/>
      </w:pPr>
      <w:bookmarkStart w:id="1055" w:name="_Toc536782519"/>
      <w:r>
        <w:rPr>
          <w:rStyle w:val="CharSectno"/>
        </w:rPr>
        <w:t>41</w:t>
      </w:r>
      <w:r>
        <w:t>.</w:t>
      </w:r>
      <w:r>
        <w:tab/>
        <w:t>Additional ring fencing obligations</w:t>
      </w:r>
      <w:bookmarkEnd w:id="105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After the relevant transition period, a notice given to a service provider under section 4.3 of the Gas Code and in effect immediately before the commencement day is deemed to be an additional ring fencing requirement (as defined in section 137).</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Subclause (1) does not apply to the extent to which a notice referred to in that subclause is inconsistent with this Law or the Rules.</w:t>
      </w:r>
    </w:p>
    <w:p>
      <w:pPr>
        <w:pStyle w:val="Heading3"/>
      </w:pPr>
      <w:bookmarkStart w:id="1056" w:name="_Toc501634398"/>
      <w:bookmarkStart w:id="1057" w:name="_Toc501713294"/>
      <w:bookmarkStart w:id="1058" w:name="_Toc536782520"/>
      <w:r>
        <w:rPr>
          <w:rStyle w:val="CharDivNo"/>
        </w:rPr>
        <w:t>Part 7</w:t>
      </w:r>
      <w:r>
        <w:t xml:space="preserve"> — </w:t>
      </w:r>
      <w:r>
        <w:rPr>
          <w:rStyle w:val="CharDivText"/>
        </w:rPr>
        <w:t>Access disputes</w:t>
      </w:r>
      <w:bookmarkEnd w:id="1056"/>
      <w:bookmarkEnd w:id="1057"/>
      <w:bookmarkEnd w:id="1058"/>
    </w:p>
    <w:p>
      <w:pPr>
        <w:pStyle w:val="Heading5"/>
      </w:pPr>
      <w:bookmarkStart w:id="1059" w:name="_Toc536782521"/>
      <w:r>
        <w:rPr>
          <w:rStyle w:val="CharSectno"/>
        </w:rPr>
        <w:t>42</w:t>
      </w:r>
      <w:r>
        <w:t>.</w:t>
      </w:r>
      <w:r>
        <w:tab/>
        <w:t>Non</w:t>
      </w:r>
      <w:r>
        <w:noBreakHyphen/>
        <w:t>finalised access disputes</w:t>
      </w:r>
      <w:bookmarkEnd w:id="105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non</w:t>
      </w:r>
      <w:r>
        <w:rPr>
          <w:color w:val="000000"/>
          <w:sz w:val="23"/>
          <w:szCs w:val="23"/>
        </w:rPr>
        <w:noBreakHyphen/>
        <w:t>finalised access dispute must continue to be dealt with in accordance with the old access law and Gas Code despite the repeal of the old access law and Gas Code.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However, despite anything to the contrary in the old access law and Gas Code, a non</w:t>
      </w:r>
      <w:r>
        <w:rPr>
          <w:color w:val="000000"/>
          <w:sz w:val="23"/>
          <w:szCs w:val="23"/>
        </w:rPr>
        <w:noBreakHyphen/>
        <w:t>finalised access dispute is to be dealt with by the dispute resolution body and for that purpose—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every reference to an arbitrator in Part 4 of the old access law and in the Gas Code is to be read as a reference to the dispute resolution body;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anything done in relation to a non</w:t>
      </w:r>
      <w:r>
        <w:rPr>
          <w:color w:val="000000"/>
          <w:sz w:val="23"/>
          <w:szCs w:val="23"/>
        </w:rPr>
        <w:noBreakHyphen/>
        <w:t>finalised access dispute by an arbitrator before the commencement day is deemed to have been done by the dispute resolution body;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dispute resolution body may, in relation to a particular non</w:t>
      </w:r>
      <w:r>
        <w:rPr>
          <w:color w:val="000000"/>
          <w:sz w:val="23"/>
          <w:szCs w:val="23"/>
        </w:rPr>
        <w:noBreakHyphen/>
        <w:t>finalised access dispute, have regard to any record of the arbitrator conducting the arbitration of that non</w:t>
      </w:r>
      <w:r>
        <w:rPr>
          <w:color w:val="000000"/>
          <w:sz w:val="23"/>
          <w:szCs w:val="23"/>
        </w:rPr>
        <w:noBreakHyphen/>
        <w:t>finalised access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arbitrator must stop conducting the arbitration and give the dispute resolution body all documents the arbitrator has created for the purposes of, or received in, the arbitration.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non</w:t>
      </w:r>
      <w:r>
        <w:rPr>
          <w:rStyle w:val="CharDefText"/>
          <w:bCs/>
          <w:sz w:val="23"/>
        </w:rPr>
        <w:noBreakHyphen/>
        <w:t>finalised access dispute</w:t>
      </w:r>
      <w:r>
        <w:rPr>
          <w:bCs/>
          <w:i/>
          <w:iCs/>
          <w:color w:val="000000"/>
          <w:sz w:val="23"/>
          <w:szCs w:val="23"/>
        </w:rPr>
        <w:t xml:space="preserve"> </w:t>
      </w:r>
      <w:r>
        <w:rPr>
          <w:color w:val="000000"/>
          <w:sz w:val="23"/>
          <w:szCs w:val="23"/>
        </w:rPr>
        <w:t>means an access dispute within the meaning of section 14 of the old access law that has arisen and not been finally determined under Part 4 of the old access law and Gas Code before the commencement day.</w:t>
      </w:r>
    </w:p>
    <w:p>
      <w:pPr>
        <w:pStyle w:val="Heading3"/>
      </w:pPr>
      <w:bookmarkStart w:id="1060" w:name="_Toc501634400"/>
      <w:bookmarkStart w:id="1061" w:name="_Toc501713296"/>
      <w:bookmarkStart w:id="1062" w:name="_Toc536782522"/>
      <w:r>
        <w:rPr>
          <w:rStyle w:val="CharDivNo"/>
        </w:rPr>
        <w:t>Part 8</w:t>
      </w:r>
      <w:r>
        <w:t xml:space="preserve"> — </w:t>
      </w:r>
      <w:r>
        <w:rPr>
          <w:rStyle w:val="CharDivText"/>
        </w:rPr>
        <w:t>Investigations and proceedings</w:t>
      </w:r>
      <w:bookmarkEnd w:id="1060"/>
      <w:bookmarkEnd w:id="1061"/>
      <w:bookmarkEnd w:id="1062"/>
    </w:p>
    <w:p>
      <w:pPr>
        <w:pStyle w:val="Heading5"/>
      </w:pPr>
      <w:bookmarkStart w:id="1063" w:name="_Toc536782523"/>
      <w:r>
        <w:rPr>
          <w:rStyle w:val="CharSectno"/>
        </w:rPr>
        <w:t>43</w:t>
      </w:r>
      <w:r>
        <w:t>.</w:t>
      </w:r>
      <w:r>
        <w:tab/>
        <w:t>Investigations into breaches and possible breaches of the old access law or Gas Code</w:t>
      </w:r>
      <w:bookmarkEnd w:id="106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and after the commencement day, a relevant Regulator investigation may be conducted and completed by the AER in accordance with this Law, the Regulations and the Rules as if that investigation were commenced by the AER under this Law, the Regulations and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clause—</w:t>
      </w:r>
    </w:p>
    <w:p>
      <w:pPr>
        <w:keepNext/>
        <w:keepLines/>
        <w:autoSpaceDE w:val="0"/>
        <w:autoSpaceDN w:val="0"/>
        <w:adjustRightInd w:val="0"/>
        <w:spacing w:before="120"/>
        <w:ind w:left="1588"/>
        <w:rPr>
          <w:color w:val="000000"/>
          <w:sz w:val="23"/>
          <w:szCs w:val="23"/>
        </w:rPr>
      </w:pPr>
      <w:r>
        <w:rPr>
          <w:rStyle w:val="CharDefText"/>
          <w:bCs/>
          <w:sz w:val="23"/>
        </w:rPr>
        <w:t>relevant Regulator investigation</w:t>
      </w:r>
      <w:r>
        <w:rPr>
          <w:bCs/>
          <w:i/>
          <w:iCs/>
          <w:color w:val="000000"/>
          <w:sz w:val="23"/>
          <w:szCs w:val="23"/>
        </w:rPr>
        <w:t xml:space="preserve"> </w:t>
      </w:r>
      <w:r>
        <w:rPr>
          <w:color w:val="000000"/>
          <w:sz w:val="23"/>
          <w:szCs w:val="23"/>
        </w:rPr>
        <w:t>means an investigation into a breach or possible breach of the old access law or Gas Code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been commenced by a relevant Regulator before the commencement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has not been completed by the relevant Regulator before the commencement day.</w:t>
      </w:r>
    </w:p>
    <w:p>
      <w:pPr>
        <w:pStyle w:val="Heading5"/>
      </w:pPr>
      <w:bookmarkStart w:id="1064" w:name="_Toc536782524"/>
      <w:r>
        <w:rPr>
          <w:rStyle w:val="CharSectno"/>
        </w:rPr>
        <w:t>44</w:t>
      </w:r>
      <w:r>
        <w:t>.</w:t>
      </w:r>
      <w:r>
        <w:tab/>
        <w:t>AER may conduct investigations into breaches or possible breaches of Gas Pipelines Access Law not investigated by a relevant Regulator</w:t>
      </w:r>
      <w:bookmarkEnd w:id="106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anything to the contrary in this Schedule, the AER may, on and after the commencement day, conduct an investigation into a breach or possible breach of the old access law or the Gas Code.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may conduct an investigation referred to in subclause (1) as if it were an investigation into a breach of this Law, and for that purpose, may exercise all of the powers it has under this Law relating to investigations into breaches or possible breaches under this Law.</w:t>
      </w:r>
    </w:p>
    <w:p>
      <w:pPr>
        <w:pStyle w:val="Heading5"/>
      </w:pPr>
      <w:bookmarkStart w:id="1065" w:name="_Toc536782525"/>
      <w:r>
        <w:rPr>
          <w:rStyle w:val="CharSectno"/>
        </w:rPr>
        <w:t>45</w:t>
      </w:r>
      <w:r>
        <w:t>.</w:t>
      </w:r>
      <w:r>
        <w:tab/>
        <w:t>AER may bring proceedings in relation to breaches of old access law and Gas Code</w:t>
      </w:r>
      <w:bookmarkEnd w:id="106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AER breach investigation</w:t>
      </w:r>
      <w:r>
        <w:rPr>
          <w:bCs/>
          <w:i/>
          <w:iCs/>
          <w:color w:val="000000"/>
          <w:sz w:val="23"/>
          <w:szCs w:val="23"/>
        </w:rPr>
        <w:t xml:space="preserve"> </w:t>
      </w:r>
      <w:r>
        <w:rPr>
          <w:color w:val="000000"/>
          <w:sz w:val="23"/>
          <w:szCs w:val="23"/>
        </w:rPr>
        <w:t>means an investigation conducted and completed by the AER in accordance with clause 43 or 44.</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AER may bring proceedings in the Court in respect of an AER breach investigation.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Despite anything to the contrary in clause 2 or the repeal of the old access law and Gas Code, Part 5 of the old access law applies to a proceeding under this clause as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reference in that Part to a relevant Regulator or the ACCC were a reference to the AER;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regulation 5 of, and Schedule 2 to, the </w:t>
      </w:r>
      <w:r>
        <w:rPr>
          <w:i/>
          <w:iCs/>
          <w:color w:val="000000"/>
          <w:sz w:val="23"/>
          <w:szCs w:val="23"/>
        </w:rPr>
        <w:t>Gas Pipelines Access (Western Australia) Regulations 2000</w:t>
      </w:r>
      <w:r>
        <w:rPr>
          <w:color w:val="000000"/>
          <w:sz w:val="23"/>
          <w:szCs w:val="23"/>
        </w:rPr>
        <w:t xml:space="preserve"> were not repealed.</w:t>
      </w:r>
    </w:p>
    <w:p>
      <w:pPr>
        <w:pStyle w:val="Footnotesection"/>
      </w:pPr>
      <w:r>
        <w:tab/>
        <w:t>[Clause 45 modified: WA Act Sch. 1 cl. 18.]</w:t>
      </w:r>
    </w:p>
    <w:p>
      <w:pPr>
        <w:pStyle w:val="Heading3"/>
      </w:pPr>
      <w:bookmarkStart w:id="1066" w:name="_Toc501634404"/>
      <w:bookmarkStart w:id="1067" w:name="_Toc501713300"/>
      <w:bookmarkStart w:id="1068" w:name="_Toc536782526"/>
      <w:r>
        <w:rPr>
          <w:rStyle w:val="CharDivNo"/>
        </w:rPr>
        <w:t>Part 9</w:t>
      </w:r>
      <w:r>
        <w:t xml:space="preserve"> — </w:t>
      </w:r>
      <w:r>
        <w:rPr>
          <w:rStyle w:val="CharDivText"/>
        </w:rPr>
        <w:t>Associate contracts</w:t>
      </w:r>
      <w:bookmarkEnd w:id="1066"/>
      <w:bookmarkEnd w:id="1067"/>
      <w:bookmarkEnd w:id="1068"/>
    </w:p>
    <w:p>
      <w:pPr>
        <w:pStyle w:val="Heading5"/>
        <w:spacing w:before="100"/>
      </w:pPr>
      <w:bookmarkStart w:id="1069" w:name="_Toc536782527"/>
      <w:r>
        <w:rPr>
          <w:rStyle w:val="CharSectno"/>
        </w:rPr>
        <w:t>46</w:t>
      </w:r>
      <w:r>
        <w:t>.</w:t>
      </w:r>
      <w:r>
        <w:tab/>
        <w:t>Pending associate contract approvals that are approved after commencement day</w:t>
      </w:r>
      <w:bookmarkEnd w:id="1069"/>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(1)</w:t>
      </w:r>
      <w:r>
        <w:rPr>
          <w:color w:val="000000"/>
          <w:sz w:val="23"/>
          <w:szCs w:val="23"/>
        </w:rPr>
        <w:tab/>
        <w:t>This clause applies if on the commencement day—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proposed associate contract (within the meaning of section 10.8 of the Gas Code) with a relevant Regulator for approval;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Regulator has not made a decision approving or not approving the proposed associate contract.</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(2)</w:t>
      </w:r>
      <w:r>
        <w:rPr>
          <w:color w:val="000000"/>
          <w:sz w:val="23"/>
          <w:szCs w:val="23"/>
        </w:rPr>
        <w:tab/>
        <w:t>The relevant Regulator must, despite the repeal of the old access law and the Gas Code, take action in relation to that proposed associate contract under section 7.1 to 7.6 of the Gas Code as if the old access law and Gas Code continued to apply.</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(3)</w:t>
      </w:r>
      <w:r>
        <w:rPr>
          <w:color w:val="000000"/>
          <w:sz w:val="23"/>
          <w:szCs w:val="23"/>
        </w:rPr>
        <w:tab/>
        <w:t>If the relevant Regulator decides to approve the proposed associate contract under section 7.1 to 7.6 of the Gas Code, that associate contract is deemed to be an approved associate contract on, as the case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day the relevant Regulator approves the associate contract in accordance with those sections;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day the relevant Regulator is deemed to have approved the associate contract by operation of those sections.</w:t>
      </w:r>
    </w:p>
    <w:p>
      <w:pPr>
        <w:pStyle w:val="Heading5"/>
        <w:keepNext w:val="0"/>
        <w:keepLines w:val="0"/>
        <w:spacing w:before="120"/>
      </w:pPr>
      <w:bookmarkStart w:id="1070" w:name="_Toc536782528"/>
      <w:r>
        <w:rPr>
          <w:rStyle w:val="CharSectno"/>
        </w:rPr>
        <w:t>47</w:t>
      </w:r>
      <w:r>
        <w:t>.</w:t>
      </w:r>
      <w:r>
        <w:tab/>
        <w:t>Pending associate contracts approvals that are not approved</w:t>
      </w:r>
      <w:bookmarkEnd w:id="1070"/>
    </w:p>
    <w:p>
      <w:pPr>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(1)</w:t>
      </w:r>
      <w:r>
        <w:rPr>
          <w:color w:val="000000"/>
          <w:sz w:val="23"/>
          <w:szCs w:val="23"/>
        </w:rPr>
        <w:tab/>
        <w:t>This clause applies if the relevant Regulator decides not to approve a proposed associate contract under clause 46.</w:t>
      </w:r>
    </w:p>
    <w:p>
      <w:pPr>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(2)</w:t>
      </w:r>
      <w:r>
        <w:rPr>
          <w:color w:val="000000"/>
          <w:sz w:val="23"/>
          <w:szCs w:val="23"/>
        </w:rPr>
        <w:tab/>
        <w:t>If an application is not made under section 38 of the old access law for a review of the decision within the time specified by that section, the proposed associate contract is deemed not to be an approved associate contract on the day after the last day an application could have been made under that 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an application is made under section 38 of the old access law for a review of the decision but the relevant appeals body refuses to review the decision in accordance with section 38(11) of the old access law, the proposed associate contract is deemed not to be an approved associate contract on the day on which the determination of the relevant appeals body takes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is made under section 38 of the old access law for a review of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appeals body, by determination, affirms the decision,</w:t>
      </w:r>
    </w:p>
    <w:p>
      <w:pPr>
        <w:keepLines/>
        <w:autoSpaceDE w:val="0"/>
        <w:autoSpaceDN w:val="0"/>
        <w:adjustRightInd w:val="0"/>
        <w:spacing w:before="120"/>
        <w:ind w:left="1588"/>
        <w:rPr>
          <w:color w:val="000000"/>
          <w:sz w:val="23"/>
          <w:szCs w:val="23"/>
        </w:rPr>
      </w:pPr>
      <w:r>
        <w:rPr>
          <w:color w:val="000000"/>
          <w:sz w:val="23"/>
          <w:szCs w:val="23"/>
        </w:rPr>
        <w:t>the proposed associate contract is deemed not to be an approved associate contract on the day on which the determination of the relevant appeals body affirming the decision takes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is made under section 38 of the old access law for a review of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appeals body makes a determination that sets aside the decision and remits the matter to the relevant Regulator for the Regulator to make a decision again in respect of the matter,</w:t>
      </w:r>
    </w:p>
    <w:p>
      <w:pPr>
        <w:keepLines/>
        <w:autoSpaceDE w:val="0"/>
        <w:autoSpaceDN w:val="0"/>
        <w:adjustRightInd w:val="0"/>
        <w:spacing w:before="120"/>
        <w:ind w:left="1588"/>
        <w:rPr>
          <w:color w:val="000000"/>
          <w:sz w:val="23"/>
          <w:szCs w:val="23"/>
        </w:rPr>
      </w:pPr>
      <w:r>
        <w:rPr>
          <w:color w:val="000000"/>
          <w:sz w:val="23"/>
          <w:szCs w:val="23"/>
        </w:rPr>
        <w:t>the relevant Regulator must make a decision under clause 46.</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is made under section 38 of the old access law for a review of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appeals body makes a determination that sets aside the decision and approves the associate contract,</w:t>
      </w:r>
    </w:p>
    <w:p>
      <w:pPr>
        <w:autoSpaceDE w:val="0"/>
        <w:autoSpaceDN w:val="0"/>
        <w:adjustRightInd w:val="0"/>
        <w:spacing w:before="80"/>
        <w:ind w:left="1588"/>
        <w:rPr>
          <w:color w:val="000000"/>
          <w:sz w:val="23"/>
          <w:szCs w:val="23"/>
        </w:rPr>
      </w:pPr>
      <w:r>
        <w:rPr>
          <w:color w:val="000000"/>
          <w:sz w:val="23"/>
          <w:szCs w:val="23"/>
        </w:rPr>
        <w:t>the proposed associate contract to which the determination relates is deemed to be, on the day the determination takes effect, an approved associate contract.</w:t>
      </w:r>
    </w:p>
    <w:p>
      <w:pPr>
        <w:pStyle w:val="Heading5"/>
      </w:pPr>
      <w:bookmarkStart w:id="1071" w:name="_Toc536782529"/>
      <w:r>
        <w:rPr>
          <w:rStyle w:val="CharSectno"/>
        </w:rPr>
        <w:t>48</w:t>
      </w:r>
      <w:r>
        <w:t>.</w:t>
      </w:r>
      <w:r>
        <w:tab/>
        <w:t>Approved associate contracts</w:t>
      </w:r>
      <w:bookmarkEnd w:id="107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the commencement day, an associate contract (within the meaning of section 10.8 of the Gas Code)—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effect immediately before that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has been approved by a relevant Regulator under section 7 of the Gas Code,</w:t>
      </w:r>
    </w:p>
    <w:p>
      <w:pPr>
        <w:keepLines/>
        <w:autoSpaceDE w:val="0"/>
        <w:autoSpaceDN w:val="0"/>
        <w:adjustRightInd w:val="0"/>
        <w:spacing w:before="120"/>
        <w:ind w:left="1588"/>
        <w:rPr>
          <w:color w:val="000000"/>
          <w:sz w:val="23"/>
          <w:szCs w:val="23"/>
        </w:rPr>
      </w:pPr>
      <w:r>
        <w:rPr>
          <w:color w:val="000000"/>
          <w:sz w:val="23"/>
          <w:szCs w:val="23"/>
        </w:rPr>
        <w:t>is deemed to be an approved associate contract.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the commencement day, an associate contract (within the meaning of section 10.8 of the Gas Code)—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effect immediately before that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has been deemed to have been approved by operation of section 7 of the Gas Code,</w:t>
      </w:r>
    </w:p>
    <w:p>
      <w:pPr>
        <w:keepLines/>
        <w:autoSpaceDE w:val="0"/>
        <w:autoSpaceDN w:val="0"/>
        <w:adjustRightInd w:val="0"/>
        <w:spacing w:before="120"/>
        <w:ind w:left="1588"/>
        <w:rPr>
          <w:color w:val="000000"/>
          <w:sz w:val="23"/>
          <w:szCs w:val="23"/>
        </w:rPr>
      </w:pPr>
      <w:r>
        <w:rPr>
          <w:color w:val="000000"/>
          <w:sz w:val="23"/>
          <w:szCs w:val="23"/>
        </w:rPr>
        <w:t>is deemed to be an approved associate contract.</w:t>
      </w:r>
    </w:p>
    <w:p>
      <w:pPr>
        <w:pStyle w:val="Heading3"/>
      </w:pPr>
      <w:bookmarkStart w:id="1072" w:name="_Toc501634408"/>
      <w:bookmarkStart w:id="1073" w:name="_Toc501713304"/>
      <w:bookmarkStart w:id="1074" w:name="_Toc536782530"/>
      <w:r>
        <w:rPr>
          <w:rStyle w:val="CharDivNo"/>
        </w:rPr>
        <w:t>Part 10</w:t>
      </w:r>
      <w:r>
        <w:t xml:space="preserve"> — </w:t>
      </w:r>
      <w:r>
        <w:rPr>
          <w:rStyle w:val="CharDivText"/>
        </w:rPr>
        <w:t>Other</w:t>
      </w:r>
      <w:bookmarkEnd w:id="1072"/>
      <w:bookmarkEnd w:id="1073"/>
      <w:bookmarkEnd w:id="1074"/>
    </w:p>
    <w:p>
      <w:pPr>
        <w:pStyle w:val="Heading5"/>
      </w:pPr>
      <w:bookmarkStart w:id="1075" w:name="_Toc536782531"/>
      <w:r>
        <w:rPr>
          <w:rStyle w:val="CharSectno"/>
        </w:rPr>
        <w:t>49</w:t>
      </w:r>
      <w:r>
        <w:t>.</w:t>
      </w:r>
      <w:r>
        <w:tab/>
        <w:t>Pending and final tender approval requests lapse</w:t>
      </w:r>
      <w:bookmarkEnd w:id="107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the commencement day, every Tender Approval Request (within meaning of section 10.8 of the Gas Code), in respect of which a decision has not been made under section 3.25 of the Gas Code immediately before that day, lapses.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the commencement day, every Final Approval Request (within the meaning of section 3.29 of the Gas Code), in respect of which a decision has not been made under that section immediately before that day, lapses.</w:t>
      </w:r>
    </w:p>
    <w:p>
      <w:pPr>
        <w:pStyle w:val="Heading5"/>
      </w:pPr>
      <w:bookmarkStart w:id="1076" w:name="_Toc536782532"/>
      <w:r>
        <w:rPr>
          <w:rStyle w:val="CharSectno"/>
        </w:rPr>
        <w:t>50</w:t>
      </w:r>
      <w:r>
        <w:t>.</w:t>
      </w:r>
      <w:r>
        <w:tab/>
        <w:t>Decisions approving final approval requests</w:t>
      </w:r>
      <w:bookmarkEnd w:id="107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before, or on, the commencement day a relevant Regulator has made or makes a decision under section 3.32 of the Gas Code that approves a Final Approval Request (within the meaning of section 10.8 of the Gas Code).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the commencement day—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decision of the relevant Regulator is deemed to be a tender approval decision that has become irrevocable by operation of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to which the decision relates is deemed to be a covered pipeline.</w:t>
      </w:r>
    </w:p>
    <w:p>
      <w:pPr>
        <w:pStyle w:val="Heading5"/>
      </w:pPr>
      <w:bookmarkStart w:id="1077" w:name="_Toc536782533"/>
      <w:r>
        <w:rPr>
          <w:rStyle w:val="CharSectno"/>
        </w:rPr>
        <w:t>51</w:t>
      </w:r>
      <w:r>
        <w:t>.</w:t>
      </w:r>
      <w:r>
        <w:tab/>
        <w:t>Rights under certain change of law provisions in agreements or deeds not to be triggered</w:t>
      </w:r>
      <w:bookmarkEnd w:id="107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repeal of the old access law and the Gas Code, and the commencement of this Law and the initial National Gas Rules, is not to be regarded as a change of law (however defined) under any agreement or deed in effect on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Subclause (1) applies despite any provision in any agreement or deed to the contrary.</w:t>
      </w:r>
    </w:p>
    <w:p>
      <w:pPr>
        <w:pStyle w:val="Heading5"/>
      </w:pPr>
      <w:bookmarkStart w:id="1078" w:name="_Toc536782534"/>
      <w:r>
        <w:rPr>
          <w:rStyle w:val="CharSectno"/>
        </w:rPr>
        <w:t>52</w:t>
      </w:r>
      <w:r>
        <w:t>.</w:t>
      </w:r>
      <w:r>
        <w:tab/>
        <w:t>References to relevant Regulator in access arrangements</w:t>
      </w:r>
      <w:bookmarkEnd w:id="1078"/>
    </w:p>
    <w:p>
      <w:pPr>
        <w:keepLines/>
        <w:autoSpaceDE w:val="0"/>
        <w:autoSpaceDN w:val="0"/>
        <w:adjustRightInd w:val="0"/>
        <w:spacing w:before="120"/>
        <w:ind w:left="1588"/>
        <w:rPr>
          <w:color w:val="000000"/>
          <w:sz w:val="23"/>
          <w:szCs w:val="23"/>
        </w:rPr>
      </w:pPr>
      <w:r>
        <w:rPr>
          <w:color w:val="000000"/>
          <w:sz w:val="23"/>
          <w:szCs w:val="23"/>
        </w:rPr>
        <w:t>On the commencement day, unless the context otherwise requires, every reference to a relevant Regulator in a current access arrangement deemed under Part 4 of this Schedule to be a full access arrangement or a limited access arrangement is deemed to be a reference to the AER.</w:t>
      </w:r>
    </w:p>
    <w:p>
      <w:pPr>
        <w:pStyle w:val="Heading5"/>
      </w:pPr>
      <w:bookmarkStart w:id="1079" w:name="_Toc536782535"/>
      <w:r>
        <w:rPr>
          <w:rStyle w:val="CharSectno"/>
        </w:rPr>
        <w:t>53</w:t>
      </w:r>
      <w:r>
        <w:t>.</w:t>
      </w:r>
      <w:r>
        <w:tab/>
        <w:t>Old scheme classifications and scheme participant determinations</w:t>
      </w:r>
      <w:bookmarkEnd w:id="107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the commencement day, every old scheme classification and scheme participant determination applying to an old scheme covered pipeline is deemed to be an initial classification decision (within the meaning of section 98(1)).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clause—</w:t>
      </w:r>
    </w:p>
    <w:p>
      <w:pPr>
        <w:keepNext/>
        <w:keepLines/>
        <w:autoSpaceDE w:val="0"/>
        <w:autoSpaceDN w:val="0"/>
        <w:adjustRightInd w:val="0"/>
        <w:spacing w:before="120"/>
        <w:ind w:left="1588"/>
        <w:rPr>
          <w:color w:val="000000"/>
          <w:sz w:val="23"/>
          <w:szCs w:val="23"/>
        </w:rPr>
      </w:pPr>
      <w:r>
        <w:rPr>
          <w:rStyle w:val="CharDefText"/>
          <w:bCs/>
          <w:sz w:val="23"/>
        </w:rPr>
        <w:t>old scheme classification and scheme participant determination</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classification and determination under section 10(5)(a) of the old access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determination under section 10(5)(b) of the old access law; or</w:t>
      </w:r>
    </w:p>
    <w:p>
      <w:pPr>
        <w:keepLines/>
        <w:tabs>
          <w:tab w:val="center" w:pos="1985"/>
          <w:tab w:val="left" w:pos="2382"/>
        </w:tabs>
        <w:autoSpaceDE w:val="0"/>
        <w:autoSpaceDN w:val="0"/>
        <w:adjustRightInd w:val="0"/>
        <w:spacing w:before="120"/>
        <w:ind w:left="2382" w:hanging="794"/>
      </w:pPr>
      <w:r>
        <w:rPr>
          <w:color w:val="000000"/>
          <w:sz w:val="23"/>
          <w:szCs w:val="23"/>
        </w:rPr>
        <w:tab/>
        <w:t>(c)</w:t>
      </w:r>
      <w:r>
        <w:rPr>
          <w:color w:val="000000"/>
          <w:sz w:val="23"/>
          <w:szCs w:val="23"/>
        </w:rPr>
        <w:tab/>
        <w:t>a classification and determination under section 11(3) of the old access law.</w:t>
      </w:r>
    </w:p>
    <w:p>
      <w:pPr>
        <w:sectPr>
          <w:headerReference w:type="even" r:id="rId39"/>
          <w:headerReference w:type="default" r:id="rId40"/>
          <w:endnotePr>
            <w:numFmt w:val="decimal"/>
          </w:endnotePr>
          <w:pgSz w:w="11907" w:h="16840" w:code="9"/>
          <w:pgMar w:top="2381" w:right="2410" w:bottom="3544" w:left="2410" w:header="720" w:footer="3380" w:gutter="0"/>
          <w:cols w:space="720"/>
          <w:docGrid w:linePitch="326"/>
        </w:sectPr>
      </w:pPr>
    </w:p>
    <w:p>
      <w:pPr>
        <w:pStyle w:val="nHeading2"/>
      </w:pPr>
      <w:bookmarkStart w:id="1080" w:name="_Toc501634414"/>
      <w:bookmarkStart w:id="1081" w:name="_Toc501713310"/>
      <w:bookmarkStart w:id="1082" w:name="_Toc536782536"/>
      <w:r>
        <w:t>Notes about the Western Australian National Gas Access Law text</w:t>
      </w:r>
      <w:bookmarkEnd w:id="1080"/>
      <w:bookmarkEnd w:id="1081"/>
      <w:bookmarkEnd w:id="1082"/>
    </w:p>
    <w:p>
      <w:pPr>
        <w:pStyle w:val="nHeading3"/>
        <w:rPr>
          <w:snapToGrid w:val="0"/>
        </w:rPr>
      </w:pPr>
      <w:bookmarkStart w:id="1083" w:name="_Toc536782537"/>
      <w:r>
        <w:rPr>
          <w:snapToGrid w:val="0"/>
        </w:rPr>
        <w:t>Compilation table</w:t>
      </w:r>
      <w:bookmarkEnd w:id="1083"/>
    </w:p>
    <w:p>
      <w:pPr>
        <w:pStyle w:val="nSubsection"/>
      </w:pPr>
      <w:r>
        <w:tab/>
        <w:t xml:space="preserve">The Western Australian National Gas Access Law text is the text that results from modifying the National Gas Law, as set out in the Schedule to the </w:t>
      </w:r>
      <w:r>
        <w:rPr>
          <w:i/>
          <w:iCs/>
        </w:rPr>
        <w:t>National Gas (South Australia) Act 2008</w:t>
      </w:r>
      <w:r>
        <w:t xml:space="preserve"> (South Australia) for the time being in force (the SA Schedule), as shown in the </w:t>
      </w:r>
      <w:r>
        <w:rPr>
          <w:i/>
          <w:iCs/>
          <w:szCs w:val="24"/>
        </w:rPr>
        <w:t>National Gas Access (WA) Act 2009</w:t>
      </w:r>
      <w:r>
        <w:t xml:space="preserve"> Schedule 1 (WA Schedule 1) and to reflect that, because of the </w:t>
      </w:r>
      <w:r>
        <w:rPr>
          <w:i/>
          <w:iCs/>
          <w:szCs w:val="24"/>
        </w:rPr>
        <w:t>National Gas Access (WA) Act 2009</w:t>
      </w:r>
      <w:r>
        <w:t xml:space="preserve"> s. 7A, amendments to the SA Schedule only affect the Western Australian National Gas Access Law text to the extent that they are declared under that section to be relevant to that text.</w:t>
      </w:r>
    </w:p>
    <w:p>
      <w:pPr>
        <w:pStyle w:val="nSubsection"/>
        <w:tabs>
          <w:tab w:val="clear" w:pos="454"/>
          <w:tab w:val="left" w:pos="0"/>
        </w:tabs>
        <w:ind w:left="0" w:firstLine="0"/>
        <w:rPr>
          <w:b/>
          <w:bCs/>
        </w:rPr>
      </w:pPr>
    </w:p>
    <w:tbl>
      <w:tblPr>
        <w:tblW w:w="7080" w:type="dxa"/>
        <w:tblInd w:w="60" w:type="dxa"/>
        <w:tblLayout w:type="fixed"/>
        <w:tblCellMar>
          <w:left w:w="60" w:type="dxa"/>
          <w:right w:w="60" w:type="dxa"/>
        </w:tblCellMar>
        <w:tblLook w:val="0000" w:firstRow="0" w:lastRow="0" w:firstColumn="0" w:lastColumn="0" w:noHBand="0" w:noVBand="0"/>
      </w:tblPr>
      <w:tblGrid>
        <w:gridCol w:w="2474"/>
        <w:gridCol w:w="1966"/>
        <w:gridCol w:w="2640"/>
      </w:tblGrid>
      <w:tr>
        <w:trPr>
          <w:cantSplit/>
        </w:trPr>
        <w:tc>
          <w:tcPr>
            <w:tcW w:w="2474" w:type="dxa"/>
            <w:tcBorders>
              <w:top w:val="single" w:sz="4" w:space="0" w:color="auto"/>
              <w:bottom w:val="single" w:sz="4" w:space="0" w:color="auto"/>
            </w:tcBorders>
          </w:tcPr>
          <w:p>
            <w:pPr>
              <w:keepNext/>
              <w:keepLines/>
              <w:autoSpaceDE w:val="0"/>
              <w:autoSpaceDN w:val="0"/>
              <w:adjustRightInd w:val="0"/>
              <w:spacing w:before="80"/>
              <w:rPr>
                <w:b/>
                <w:bCs/>
                <w:color w:val="000000"/>
                <w:sz w:val="20"/>
              </w:rPr>
            </w:pPr>
            <w:r>
              <w:rPr>
                <w:b/>
                <w:bCs/>
                <w:color w:val="000000"/>
                <w:sz w:val="20"/>
              </w:rPr>
              <w:t>Source</w:t>
            </w:r>
          </w:p>
        </w:tc>
        <w:tc>
          <w:tcPr>
            <w:tcW w:w="1966" w:type="dxa"/>
            <w:tcBorders>
              <w:top w:val="single" w:sz="4" w:space="0" w:color="auto"/>
              <w:bottom w:val="single" w:sz="4" w:space="0" w:color="auto"/>
            </w:tcBorders>
          </w:tcPr>
          <w:p>
            <w:pPr>
              <w:keepNext/>
              <w:keepLines/>
              <w:autoSpaceDE w:val="0"/>
              <w:autoSpaceDN w:val="0"/>
              <w:adjustRightInd w:val="0"/>
              <w:spacing w:before="80"/>
              <w:rPr>
                <w:b/>
                <w:bCs/>
                <w:color w:val="000000"/>
                <w:sz w:val="20"/>
              </w:rPr>
            </w:pPr>
            <w:r>
              <w:rPr>
                <w:b/>
                <w:bCs/>
                <w:color w:val="000000"/>
                <w:sz w:val="20"/>
              </w:rPr>
              <w:t>Published</w:t>
            </w:r>
          </w:p>
        </w:tc>
        <w:tc>
          <w:tcPr>
            <w:tcW w:w="2640" w:type="dxa"/>
            <w:tcBorders>
              <w:top w:val="single" w:sz="4" w:space="0" w:color="auto"/>
              <w:bottom w:val="single" w:sz="4" w:space="0" w:color="auto"/>
            </w:tcBorders>
          </w:tcPr>
          <w:p>
            <w:pPr>
              <w:keepNext/>
              <w:keepLines/>
              <w:autoSpaceDE w:val="0"/>
              <w:autoSpaceDN w:val="0"/>
              <w:adjustRightInd w:val="0"/>
              <w:spacing w:before="80"/>
              <w:rPr>
                <w:b/>
                <w:bCs/>
                <w:color w:val="000000"/>
                <w:sz w:val="20"/>
              </w:rPr>
            </w:pPr>
            <w:r>
              <w:rPr>
                <w:b/>
                <w:bCs/>
                <w:color w:val="000000"/>
                <w:sz w:val="20"/>
              </w:rPr>
              <w:t>Commencement</w:t>
            </w:r>
          </w:p>
        </w:tc>
      </w:tr>
      <w:tr>
        <w:trPr>
          <w:cantSplit/>
        </w:trPr>
        <w:tc>
          <w:tcPr>
            <w:tcW w:w="2474" w:type="dxa"/>
            <w:tcBorders>
              <w:top w:val="single" w:sz="4" w:space="0" w:color="auto"/>
            </w:tcBorders>
          </w:tcPr>
          <w:p>
            <w:pPr>
              <w:keepLines/>
              <w:autoSpaceDE w:val="0"/>
              <w:autoSpaceDN w:val="0"/>
              <w:adjustRightInd w:val="0"/>
              <w:spacing w:before="80"/>
              <w:rPr>
                <w:color w:val="000000"/>
                <w:sz w:val="20"/>
                <w:vertAlign w:val="superscript"/>
              </w:rPr>
            </w:pPr>
            <w:r>
              <w:rPr>
                <w:i/>
                <w:iCs/>
                <w:color w:val="000000"/>
                <w:sz w:val="20"/>
              </w:rPr>
              <w:t xml:space="preserve">National Gas (South Australia) Act 2008 </w:t>
            </w:r>
            <w:r>
              <w:rPr>
                <w:color w:val="000000"/>
                <w:sz w:val="20"/>
              </w:rPr>
              <w:t xml:space="preserve">Schedule (as modified by the </w:t>
            </w:r>
            <w:r>
              <w:rPr>
                <w:i/>
                <w:iCs/>
                <w:color w:val="000000"/>
                <w:sz w:val="20"/>
              </w:rPr>
              <w:t>National Gas Access (WA) Act 2009</w:t>
            </w:r>
            <w:r>
              <w:rPr>
                <w:color w:val="000000"/>
                <w:sz w:val="20"/>
              </w:rPr>
              <w:t xml:space="preserve"> Sch. 1)</w:t>
            </w:r>
          </w:p>
        </w:tc>
        <w:tc>
          <w:tcPr>
            <w:tcW w:w="1966" w:type="dxa"/>
            <w:tcBorders>
              <w:top w:val="single" w:sz="4" w:space="0" w:color="auto"/>
            </w:tcBorders>
          </w:tcPr>
          <w:p>
            <w:pPr>
              <w:keepLines/>
              <w:autoSpaceDE w:val="0"/>
              <w:autoSpaceDN w:val="0"/>
              <w:adjustRightInd w:val="0"/>
              <w:spacing w:before="80"/>
              <w:rPr>
                <w:color w:val="000000"/>
                <w:sz w:val="20"/>
              </w:rPr>
            </w:pPr>
            <w:r>
              <w:rPr>
                <w:color w:val="000000"/>
                <w:sz w:val="20"/>
              </w:rPr>
              <w:t>SA Act No. 19 of 2008</w:t>
            </w:r>
          </w:p>
        </w:tc>
        <w:tc>
          <w:tcPr>
            <w:tcW w:w="2640" w:type="dxa"/>
            <w:tcBorders>
              <w:top w:val="single" w:sz="4" w:space="0" w:color="auto"/>
            </w:tcBorders>
          </w:tcPr>
          <w:p>
            <w:pPr>
              <w:keepLines/>
              <w:autoSpaceDE w:val="0"/>
              <w:autoSpaceDN w:val="0"/>
              <w:adjustRightInd w:val="0"/>
              <w:spacing w:before="80"/>
              <w:rPr>
                <w:color w:val="000000"/>
                <w:sz w:val="20"/>
              </w:rPr>
            </w:pPr>
            <w:r>
              <w:rPr>
                <w:color w:val="000000"/>
                <w:sz w:val="20"/>
              </w:rPr>
              <w:t xml:space="preserve">In SA: 1 Jul 2008 (see </w:t>
            </w:r>
            <w:r>
              <w:rPr>
                <w:i/>
                <w:iCs/>
                <w:color w:val="000000"/>
                <w:sz w:val="20"/>
              </w:rPr>
              <w:t>SA Gazette</w:t>
            </w:r>
            <w:r>
              <w:rPr>
                <w:color w:val="000000"/>
                <w:sz w:val="20"/>
              </w:rPr>
              <w:t xml:space="preserve"> 26 Jun 2008 p. 2553)</w:t>
            </w:r>
          </w:p>
          <w:p>
            <w:pPr>
              <w:keepLines/>
              <w:autoSpaceDE w:val="0"/>
              <w:autoSpaceDN w:val="0"/>
              <w:adjustRightInd w:val="0"/>
              <w:spacing w:before="80"/>
              <w:rPr>
                <w:color w:val="000000"/>
                <w:sz w:val="20"/>
              </w:rPr>
            </w:pPr>
            <w:r>
              <w:rPr>
                <w:color w:val="000000"/>
                <w:sz w:val="20"/>
              </w:rPr>
              <w:t xml:space="preserve">In WA: 1 Jan 2010 (see WA Act s. 2(b) and </w:t>
            </w:r>
            <w:r>
              <w:rPr>
                <w:i/>
                <w:iCs/>
                <w:color w:val="000000"/>
                <w:sz w:val="20"/>
              </w:rPr>
              <w:t>Gazette</w:t>
            </w:r>
            <w:r>
              <w:rPr>
                <w:color w:val="000000"/>
                <w:sz w:val="20"/>
              </w:rPr>
              <w:t xml:space="preserve"> 31 Dec 2009 p. 5327)</w:t>
            </w:r>
          </w:p>
        </w:tc>
      </w:tr>
      <w:tr>
        <w:trPr>
          <w:cantSplit/>
        </w:trPr>
        <w:tc>
          <w:tcPr>
            <w:tcW w:w="2474" w:type="dxa"/>
          </w:tcPr>
          <w:p>
            <w:pPr>
              <w:keepLines/>
              <w:autoSpaceDE w:val="0"/>
              <w:autoSpaceDN w:val="0"/>
              <w:adjustRightInd w:val="0"/>
              <w:spacing w:before="80"/>
              <w:rPr>
                <w:color w:val="000000"/>
                <w:sz w:val="20"/>
                <w:vertAlign w:val="superscript"/>
              </w:rPr>
            </w:pPr>
            <w:r>
              <w:rPr>
                <w:i/>
                <w:iCs/>
                <w:color w:val="000000"/>
                <w:sz w:val="20"/>
              </w:rPr>
              <w:t>National Gas (South Australia) (National Gas Law—Australian Energy Market Operator) Amendment Act 2009</w:t>
            </w:r>
            <w:r>
              <w:rPr>
                <w:color w:val="000000"/>
                <w:sz w:val="20"/>
              </w:rPr>
              <w:t xml:space="preserve"> s. 6</w:t>
            </w:r>
            <w:r>
              <w:rPr>
                <w:i/>
                <w:iCs/>
                <w:color w:val="000000"/>
                <w:sz w:val="20"/>
              </w:rPr>
              <w:t xml:space="preserve"> </w:t>
            </w:r>
          </w:p>
        </w:tc>
        <w:tc>
          <w:tcPr>
            <w:tcW w:w="1966" w:type="dxa"/>
          </w:tcPr>
          <w:p>
            <w:pPr>
              <w:keepLines/>
              <w:autoSpaceDE w:val="0"/>
              <w:autoSpaceDN w:val="0"/>
              <w:adjustRightInd w:val="0"/>
              <w:spacing w:before="80"/>
              <w:rPr>
                <w:i/>
                <w:iCs/>
                <w:color w:val="000000"/>
                <w:sz w:val="20"/>
              </w:rPr>
            </w:pPr>
            <w:r>
              <w:rPr>
                <w:color w:val="000000"/>
                <w:sz w:val="20"/>
              </w:rPr>
              <w:t xml:space="preserve">SA Act No. 30 of 2009 </w:t>
            </w:r>
          </w:p>
        </w:tc>
        <w:tc>
          <w:tcPr>
            <w:tcW w:w="2640" w:type="dxa"/>
          </w:tcPr>
          <w:p>
            <w:pPr>
              <w:keepLines/>
              <w:autoSpaceDE w:val="0"/>
              <w:autoSpaceDN w:val="0"/>
              <w:adjustRightInd w:val="0"/>
              <w:spacing w:before="80"/>
              <w:rPr>
                <w:color w:val="000000"/>
                <w:sz w:val="20"/>
              </w:rPr>
            </w:pPr>
            <w:r>
              <w:rPr>
                <w:color w:val="000000"/>
                <w:sz w:val="20"/>
              </w:rPr>
              <w:t xml:space="preserve">In SA: 1 Jul 2009 (see </w:t>
            </w:r>
            <w:r>
              <w:rPr>
                <w:i/>
                <w:iCs/>
                <w:color w:val="000000"/>
                <w:sz w:val="20"/>
              </w:rPr>
              <w:t>SA Gazette</w:t>
            </w:r>
            <w:r>
              <w:rPr>
                <w:color w:val="000000"/>
                <w:sz w:val="20"/>
              </w:rPr>
              <w:t xml:space="preserve"> 25 Jun 2008 p. 3000)</w:t>
            </w:r>
          </w:p>
          <w:p>
            <w:pPr>
              <w:keepLines/>
              <w:autoSpaceDE w:val="0"/>
              <w:autoSpaceDN w:val="0"/>
              <w:adjustRightInd w:val="0"/>
              <w:spacing w:before="80"/>
              <w:rPr>
                <w:color w:val="000000"/>
                <w:sz w:val="20"/>
              </w:rPr>
            </w:pPr>
            <w:r>
              <w:rPr>
                <w:color w:val="000000"/>
                <w:sz w:val="20"/>
              </w:rPr>
              <w:t xml:space="preserve">In WA: 1 Jan 2010 (see </w:t>
            </w:r>
            <w:r>
              <w:rPr>
                <w:i/>
                <w:color w:val="000000"/>
                <w:sz w:val="20"/>
              </w:rPr>
              <w:t>WA Gazette</w:t>
            </w:r>
            <w:r>
              <w:rPr>
                <w:color w:val="000000"/>
                <w:sz w:val="20"/>
              </w:rPr>
              <w:t xml:space="preserve"> 18 Dec 2009 p. 5167</w:t>
            </w:r>
            <w:r>
              <w:rPr>
                <w:color w:val="000000"/>
                <w:sz w:val="20"/>
              </w:rPr>
              <w:noBreakHyphen/>
              <w:t>8)</w:t>
            </w:r>
          </w:p>
        </w:tc>
      </w:tr>
      <w:tr>
        <w:trPr>
          <w:cantSplit/>
        </w:trPr>
        <w:tc>
          <w:tcPr>
            <w:tcW w:w="2474" w:type="dxa"/>
          </w:tcPr>
          <w:p>
            <w:pPr>
              <w:keepLines/>
              <w:autoSpaceDE w:val="0"/>
              <w:autoSpaceDN w:val="0"/>
              <w:adjustRightInd w:val="0"/>
              <w:spacing w:before="80"/>
              <w:rPr>
                <w:iCs/>
                <w:color w:val="000000"/>
                <w:sz w:val="20"/>
              </w:rPr>
            </w:pPr>
            <w:r>
              <w:rPr>
                <w:i/>
                <w:iCs/>
                <w:color w:val="000000"/>
                <w:sz w:val="20"/>
              </w:rPr>
              <w:t>Statutes Amendment (National Electricity and Gas Laws — Limited Merits Review) Act 2013</w:t>
            </w:r>
            <w:r>
              <w:rPr>
                <w:iCs/>
                <w:color w:val="000000"/>
                <w:sz w:val="20"/>
              </w:rPr>
              <w:t xml:space="preserve"> Pt. 3</w:t>
            </w:r>
          </w:p>
        </w:tc>
        <w:tc>
          <w:tcPr>
            <w:tcW w:w="1966" w:type="dxa"/>
          </w:tcPr>
          <w:p>
            <w:pPr>
              <w:keepLines/>
              <w:autoSpaceDE w:val="0"/>
              <w:autoSpaceDN w:val="0"/>
              <w:adjustRightInd w:val="0"/>
              <w:spacing w:before="80"/>
              <w:rPr>
                <w:color w:val="000000"/>
                <w:sz w:val="20"/>
              </w:rPr>
            </w:pPr>
            <w:r>
              <w:rPr>
                <w:color w:val="000000"/>
                <w:sz w:val="20"/>
              </w:rPr>
              <w:t>SA Act No. 79 of 2013</w:t>
            </w:r>
          </w:p>
        </w:tc>
        <w:tc>
          <w:tcPr>
            <w:tcW w:w="2640" w:type="dxa"/>
          </w:tcPr>
          <w:p>
            <w:pPr>
              <w:keepLines/>
              <w:autoSpaceDE w:val="0"/>
              <w:autoSpaceDN w:val="0"/>
              <w:adjustRightInd w:val="0"/>
              <w:spacing w:before="80"/>
              <w:rPr>
                <w:color w:val="000000"/>
                <w:sz w:val="20"/>
              </w:rPr>
            </w:pPr>
            <w:r>
              <w:rPr>
                <w:color w:val="000000"/>
                <w:sz w:val="20"/>
              </w:rPr>
              <w:t xml:space="preserve">In SA: 19 Dec 2013 (see </w:t>
            </w:r>
            <w:r>
              <w:rPr>
                <w:i/>
                <w:color w:val="000000"/>
                <w:sz w:val="20"/>
              </w:rPr>
              <w:t>SA Gazette</w:t>
            </w:r>
            <w:r>
              <w:rPr>
                <w:color w:val="000000"/>
                <w:sz w:val="20"/>
              </w:rPr>
              <w:t xml:space="preserve"> 19 Dec 2013 p. 4927)</w:t>
            </w:r>
          </w:p>
          <w:p>
            <w:pPr>
              <w:keepLines/>
              <w:autoSpaceDE w:val="0"/>
              <w:autoSpaceDN w:val="0"/>
              <w:adjustRightInd w:val="0"/>
              <w:spacing w:before="80" w:line="260" w:lineRule="atLeast"/>
              <w:rPr>
                <w:color w:val="000000"/>
                <w:sz w:val="20"/>
              </w:rPr>
            </w:pPr>
            <w:r>
              <w:rPr>
                <w:color w:val="000000"/>
                <w:sz w:val="20"/>
              </w:rPr>
              <w:t xml:space="preserve">In WA: 15 Mar 2014 (see </w:t>
            </w:r>
            <w:r>
              <w:rPr>
                <w:i/>
                <w:color w:val="000000"/>
                <w:sz w:val="20"/>
              </w:rPr>
              <w:t>WA Gazette</w:t>
            </w:r>
            <w:r>
              <w:rPr>
                <w:color w:val="000000"/>
                <w:sz w:val="20"/>
              </w:rPr>
              <w:t xml:space="preserve"> 14 Mar 2014 p. 632)</w:t>
            </w:r>
          </w:p>
        </w:tc>
      </w:tr>
      <w:tr>
        <w:trPr>
          <w:cantSplit/>
        </w:trPr>
        <w:tc>
          <w:tcPr>
            <w:tcW w:w="2474" w:type="dxa"/>
            <w:tcBorders>
              <w:bottom w:val="single" w:sz="4" w:space="0" w:color="auto"/>
            </w:tcBorders>
          </w:tcPr>
          <w:p>
            <w:pPr>
              <w:keepLines/>
              <w:autoSpaceDE w:val="0"/>
              <w:autoSpaceDN w:val="0"/>
              <w:adjustRightInd w:val="0"/>
              <w:spacing w:before="80"/>
              <w:rPr>
                <w:iCs/>
                <w:color w:val="000000"/>
                <w:sz w:val="20"/>
              </w:rPr>
            </w:pPr>
            <w:r>
              <w:rPr>
                <w:i/>
                <w:iCs/>
                <w:color w:val="000000"/>
                <w:sz w:val="20"/>
              </w:rPr>
              <w:t>National Gas (South Australia) (Pipelines Access—Arbitration) Amendment Act 2017</w:t>
            </w:r>
          </w:p>
        </w:tc>
        <w:tc>
          <w:tcPr>
            <w:tcW w:w="1966" w:type="dxa"/>
            <w:tcBorders>
              <w:bottom w:val="single" w:sz="4" w:space="0" w:color="auto"/>
            </w:tcBorders>
          </w:tcPr>
          <w:p>
            <w:pPr>
              <w:keepLines/>
              <w:autoSpaceDE w:val="0"/>
              <w:autoSpaceDN w:val="0"/>
              <w:adjustRightInd w:val="0"/>
              <w:spacing w:before="80"/>
              <w:rPr>
                <w:color w:val="000000"/>
                <w:sz w:val="20"/>
              </w:rPr>
            </w:pPr>
            <w:r>
              <w:rPr>
                <w:color w:val="000000"/>
                <w:sz w:val="20"/>
              </w:rPr>
              <w:t>SA Act No. 23 of 2017</w:t>
            </w:r>
          </w:p>
        </w:tc>
        <w:tc>
          <w:tcPr>
            <w:tcW w:w="2640" w:type="dxa"/>
            <w:tcBorders>
              <w:bottom w:val="single" w:sz="4" w:space="0" w:color="auto"/>
            </w:tcBorders>
          </w:tcPr>
          <w:p>
            <w:pPr>
              <w:keepLines/>
              <w:autoSpaceDE w:val="0"/>
              <w:autoSpaceDN w:val="0"/>
              <w:adjustRightInd w:val="0"/>
              <w:spacing w:before="80"/>
              <w:rPr>
                <w:i/>
                <w:color w:val="000000"/>
                <w:sz w:val="20"/>
              </w:rPr>
            </w:pPr>
            <w:r>
              <w:rPr>
                <w:color w:val="000000"/>
                <w:sz w:val="20"/>
              </w:rPr>
              <w:t xml:space="preserve">In SA: 1 Aug 2017 (see </w:t>
            </w:r>
            <w:r>
              <w:rPr>
                <w:i/>
                <w:color w:val="000000"/>
                <w:sz w:val="20"/>
              </w:rPr>
              <w:t>SA Gazette</w:t>
            </w:r>
            <w:r>
              <w:rPr>
                <w:color w:val="000000"/>
                <w:sz w:val="20"/>
              </w:rPr>
              <w:t xml:space="preserve"> 1 Aug 2017 p. 3037)</w:t>
            </w:r>
          </w:p>
          <w:p>
            <w:pPr>
              <w:keepLines/>
              <w:autoSpaceDE w:val="0"/>
              <w:autoSpaceDN w:val="0"/>
              <w:adjustRightInd w:val="0"/>
              <w:spacing w:before="80"/>
              <w:rPr>
                <w:color w:val="000000"/>
                <w:sz w:val="20"/>
              </w:rPr>
            </w:pPr>
            <w:r>
              <w:rPr>
                <w:color w:val="000000"/>
                <w:sz w:val="20"/>
              </w:rPr>
              <w:t xml:space="preserve">In WA: 23 Dec 2017 (see </w:t>
            </w:r>
            <w:r>
              <w:rPr>
                <w:i/>
                <w:color w:val="000000"/>
                <w:sz w:val="20"/>
              </w:rPr>
              <w:t>WA Gazette</w:t>
            </w:r>
            <w:r>
              <w:rPr>
                <w:color w:val="000000"/>
                <w:sz w:val="20"/>
              </w:rPr>
              <w:t xml:space="preserve"> 22 Dec 2017 p. 5984)</w:t>
            </w:r>
          </w:p>
        </w:tc>
      </w:tr>
    </w:tbl>
    <w:p/>
    <w:p>
      <w:pPr>
        <w:sectPr>
          <w:headerReference w:type="even" r:id="rId41"/>
          <w:headerReference w:type="default" r:id="rId42"/>
          <w:headerReference w:type="first" r:id="rId43"/>
          <w:endnotePr>
            <w:numFmt w:val="decimal"/>
          </w:endnotePr>
          <w:pgSz w:w="11907" w:h="16840" w:code="9"/>
          <w:pgMar w:top="2376" w:right="2405" w:bottom="3542" w:left="2405" w:header="706" w:footer="3528" w:gutter="0"/>
          <w:cols w:space="720"/>
          <w:noEndnote/>
        </w:sectPr>
      </w:pPr>
    </w:p>
    <w:p>
      <w:pPr>
        <w:pStyle w:val="nHeading2"/>
        <w:rPr>
          <w:sz w:val="28"/>
        </w:rPr>
      </w:pPr>
      <w:bookmarkStart w:id="1085" w:name="_Toc501634416"/>
      <w:bookmarkStart w:id="1086" w:name="_Toc501713312"/>
      <w:bookmarkStart w:id="1087" w:name="_Toc536782538"/>
      <w:r>
        <w:rPr>
          <w:sz w:val="28"/>
        </w:rPr>
        <w:t>Defined terms</w:t>
      </w:r>
      <w:bookmarkEnd w:id="1085"/>
      <w:bookmarkEnd w:id="1086"/>
      <w:bookmarkEnd w:id="10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15</w:t>
      </w:r>
      <w:r>
        <w:noBreakHyphen/>
        <w:t>year no</w:t>
      </w:r>
      <w:r>
        <w:noBreakHyphen/>
        <w:t>coverage determination</w:t>
      </w:r>
      <w:r>
        <w:tab/>
        <w:t>2, 151</w:t>
      </w:r>
    </w:p>
    <w:p>
      <w:pPr>
        <w:pStyle w:val="DefinedTerms"/>
      </w:pPr>
      <w:r>
        <w:t>ACCC</w:t>
      </w:r>
      <w:r>
        <w:tab/>
        <w:t>2</w:t>
      </w:r>
    </w:p>
    <w:p>
      <w:pPr>
        <w:pStyle w:val="DefinedTerms"/>
      </w:pPr>
      <w:r>
        <w:t>access arrangement</w:t>
      </w:r>
      <w:r>
        <w:tab/>
        <w:t>2</w:t>
      </w:r>
    </w:p>
    <w:p>
      <w:pPr>
        <w:pStyle w:val="DefinedTerms"/>
      </w:pPr>
      <w:r>
        <w:t>access arrangement revision proposal</w:t>
      </w:r>
      <w:r>
        <w:tab/>
        <w:t>30</w:t>
      </w:r>
    </w:p>
    <w:p>
      <w:pPr>
        <w:pStyle w:val="DefinedTerms"/>
      </w:pPr>
      <w:r>
        <w:t>access determination</w:t>
      </w:r>
      <w:r>
        <w:tab/>
        <w:t>2</w:t>
      </w:r>
    </w:p>
    <w:p>
      <w:pPr>
        <w:pStyle w:val="DefinedTerms"/>
      </w:pPr>
      <w:r>
        <w:t>access dispute</w:t>
      </w:r>
      <w:r>
        <w:tab/>
        <w:t>178</w:t>
      </w:r>
    </w:p>
    <w:p>
      <w:pPr>
        <w:pStyle w:val="DefinedTerms"/>
      </w:pPr>
      <w:r>
        <w:t xml:space="preserve">access dispute pipeline </w:t>
      </w:r>
      <w:r>
        <w:tab/>
        <w:t>178</w:t>
      </w:r>
    </w:p>
    <w:p>
      <w:pPr>
        <w:pStyle w:val="DefinedTerms"/>
      </w:pPr>
      <w:r>
        <w:t>Act</w:t>
      </w:r>
      <w:r>
        <w:tab/>
        <w:t>10</w:t>
      </w:r>
    </w:p>
    <w:p>
      <w:pPr>
        <w:pStyle w:val="DefinedTerms"/>
      </w:pPr>
      <w:r>
        <w:t>acting SES employee</w:t>
      </w:r>
      <w:r>
        <w:tab/>
        <w:t>33</w:t>
      </w:r>
    </w:p>
    <w:p>
      <w:pPr>
        <w:pStyle w:val="DefinedTerms"/>
      </w:pPr>
      <w:r>
        <w:t>active request</w:t>
      </w:r>
      <w:r>
        <w:tab/>
        <w:t>301</w:t>
      </w:r>
    </w:p>
    <w:p>
      <w:pPr>
        <w:pStyle w:val="DefinedTerms"/>
      </w:pPr>
      <w:r>
        <w:t>additional instrument making power</w:t>
      </w:r>
      <w:r>
        <w:tab/>
        <w:t>27</w:t>
      </w:r>
    </w:p>
    <w:p>
      <w:pPr>
        <w:pStyle w:val="DefinedTerms"/>
      </w:pPr>
      <w:r>
        <w:t>additional ring fencing requirement</w:t>
      </w:r>
      <w:r>
        <w:tab/>
        <w:t>137, 143</w:t>
      </w:r>
    </w:p>
    <w:p>
      <w:pPr>
        <w:pStyle w:val="DefinedTerms"/>
      </w:pPr>
      <w:r>
        <w:t>adjacent area in respect of the State</w:t>
      </w:r>
      <w:r>
        <w:tab/>
        <w:t>5(2)</w:t>
      </w:r>
    </w:p>
    <w:p>
      <w:pPr>
        <w:pStyle w:val="DefinedTerms"/>
      </w:pPr>
      <w:r>
        <w:t>adjacent area of another participating jurisdiction</w:t>
      </w:r>
      <w:r>
        <w:tab/>
        <w:t>9(1)</w:t>
      </w:r>
    </w:p>
    <w:p>
      <w:pPr>
        <w:pStyle w:val="DefinedTerms"/>
      </w:pPr>
      <w:r>
        <w:t>adjacent area of this jurisdiction</w:t>
      </w:r>
      <w:r>
        <w:tab/>
        <w:t>9(1)</w:t>
      </w:r>
    </w:p>
    <w:p>
      <w:pPr>
        <w:pStyle w:val="DefinedTerms"/>
      </w:pPr>
      <w:r>
        <w:t>AEMC</w:t>
      </w:r>
      <w:r>
        <w:tab/>
        <w:t>2</w:t>
      </w:r>
    </w:p>
    <w:p>
      <w:pPr>
        <w:pStyle w:val="DefinedTerms"/>
      </w:pPr>
      <w:r>
        <w:t>AEMC chief executive</w:t>
      </w:r>
      <w:r>
        <w:tab/>
        <w:t>33</w:t>
      </w:r>
    </w:p>
    <w:p>
      <w:pPr>
        <w:pStyle w:val="DefinedTerms"/>
      </w:pPr>
      <w:r>
        <w:t>AEMC Commissioner</w:t>
      </w:r>
      <w:r>
        <w:tab/>
        <w:t>33</w:t>
      </w:r>
    </w:p>
    <w:p>
      <w:pPr>
        <w:pStyle w:val="DefinedTerms"/>
      </w:pPr>
      <w:r>
        <w:t>AEMC initiated Rule</w:t>
      </w:r>
      <w:r>
        <w:tab/>
        <w:t>290</w:t>
      </w:r>
    </w:p>
    <w:p>
      <w:pPr>
        <w:pStyle w:val="DefinedTerms"/>
      </w:pPr>
      <w:r>
        <w:t>AEMC official</w:t>
      </w:r>
      <w:r>
        <w:tab/>
        <w:t>86</w:t>
      </w:r>
    </w:p>
    <w:p>
      <w:pPr>
        <w:pStyle w:val="DefinedTerms"/>
      </w:pPr>
      <w:r>
        <w:t>AEMC Rule review</w:t>
      </w:r>
      <w:r>
        <w:tab/>
        <w:t>290</w:t>
      </w:r>
    </w:p>
    <w:p>
      <w:pPr>
        <w:pStyle w:val="DefinedTerms"/>
      </w:pPr>
      <w:r>
        <w:t>AER</w:t>
      </w:r>
      <w:r>
        <w:tab/>
        <w:t>2</w:t>
      </w:r>
    </w:p>
    <w:p>
      <w:pPr>
        <w:pStyle w:val="DefinedTerms"/>
      </w:pPr>
      <w:r>
        <w:t>AER breach investigation</w:t>
      </w:r>
      <w:r>
        <w:tab/>
        <w:t>45</w:t>
      </w:r>
    </w:p>
    <w:p>
      <w:pPr>
        <w:pStyle w:val="DefinedTerms"/>
      </w:pPr>
      <w:r>
        <w:t>AER economic regulatory decision</w:t>
      </w:r>
      <w:r>
        <w:tab/>
        <w:t>2</w:t>
      </w:r>
    </w:p>
    <w:p>
      <w:pPr>
        <w:pStyle w:val="DefinedTerms"/>
      </w:pPr>
      <w:r>
        <w:t>AER economic regulatory function or power</w:t>
      </w:r>
      <w:r>
        <w:tab/>
        <w:t>2</w:t>
      </w:r>
    </w:p>
    <w:p>
      <w:pPr>
        <w:pStyle w:val="DefinedTerms"/>
      </w:pPr>
      <w:r>
        <w:t>AER information disclosure decision</w:t>
      </w:r>
      <w:r>
        <w:tab/>
        <w:t>244</w:t>
      </w:r>
    </w:p>
    <w:p>
      <w:pPr>
        <w:pStyle w:val="DefinedTerms"/>
      </w:pPr>
      <w:r>
        <w:t>AER member</w:t>
      </w:r>
      <w:r>
        <w:tab/>
        <w:t>33</w:t>
      </w:r>
    </w:p>
    <w:p>
      <w:pPr>
        <w:pStyle w:val="DefinedTerms"/>
      </w:pPr>
      <w:r>
        <w:t>AER ring fencing determination</w:t>
      </w:r>
      <w:r>
        <w:tab/>
        <w:t>2</w:t>
      </w:r>
    </w:p>
    <w:p>
      <w:pPr>
        <w:pStyle w:val="DefinedTerms"/>
      </w:pPr>
      <w:r>
        <w:t>affected or interested person or body</w:t>
      </w:r>
      <w:r>
        <w:tab/>
        <w:t>244, 250</w:t>
      </w:r>
    </w:p>
    <w:p>
      <w:pPr>
        <w:pStyle w:val="DefinedTerms"/>
      </w:pPr>
      <w:r>
        <w:t>affidavit</w:t>
      </w:r>
      <w:r>
        <w:tab/>
        <w:t>10</w:t>
      </w:r>
    </w:p>
    <w:p>
      <w:pPr>
        <w:pStyle w:val="DefinedTerms"/>
      </w:pPr>
      <w:r>
        <w:t>amend</w:t>
      </w:r>
      <w:r>
        <w:tab/>
        <w:t>10</w:t>
      </w:r>
    </w:p>
    <w:p>
      <w:pPr>
        <w:pStyle w:val="DefinedTerms"/>
      </w:pPr>
      <w:r>
        <w:t>applicable access arrangement</w:t>
      </w:r>
      <w:r>
        <w:tab/>
        <w:t>2</w:t>
      </w:r>
    </w:p>
    <w:p>
      <w:pPr>
        <w:pStyle w:val="DefinedTerms"/>
      </w:pPr>
      <w:r>
        <w:t>applicable access arrangement decision</w:t>
      </w:r>
      <w:r>
        <w:tab/>
        <w:t>2</w:t>
      </w:r>
    </w:p>
    <w:p>
      <w:pPr>
        <w:pStyle w:val="DefinedTerms"/>
      </w:pPr>
      <w:r>
        <w:t>applicant</w:t>
      </w:r>
      <w:r>
        <w:tab/>
        <w:t>244</w:t>
      </w:r>
    </w:p>
    <w:p>
      <w:pPr>
        <w:pStyle w:val="DefinedTerms"/>
      </w:pPr>
      <w:r>
        <w:t>appoint</w:t>
      </w:r>
      <w:r>
        <w:tab/>
        <w:t>10</w:t>
      </w:r>
    </w:p>
    <w:p>
      <w:pPr>
        <w:pStyle w:val="DefinedTerms"/>
      </w:pPr>
      <w:r>
        <w:t>approved associate contract</w:t>
      </w:r>
      <w:r>
        <w:tab/>
        <w:t>2</w:t>
      </w:r>
    </w:p>
    <w:p>
      <w:pPr>
        <w:pStyle w:val="DefinedTerms"/>
      </w:pPr>
      <w:r>
        <w:t>associate</w:t>
      </w:r>
      <w:r>
        <w:tab/>
        <w:t>2</w:t>
      </w:r>
    </w:p>
    <w:p>
      <w:pPr>
        <w:pStyle w:val="DefinedTerms"/>
      </w:pPr>
      <w:r>
        <w:t>associate contract</w:t>
      </w:r>
      <w:r>
        <w:tab/>
        <w:t>2</w:t>
      </w:r>
    </w:p>
    <w:p>
      <w:pPr>
        <w:pStyle w:val="DefinedTerms"/>
      </w:pPr>
      <w:r>
        <w:t>associate contract decision</w:t>
      </w:r>
      <w:r>
        <w:tab/>
        <w:t>2</w:t>
      </w:r>
    </w:p>
    <w:p>
      <w:pPr>
        <w:pStyle w:val="DefinedTerms"/>
      </w:pPr>
      <w:r>
        <w:t>associate pipeline service</w:t>
      </w:r>
      <w:r>
        <w:tab/>
        <w:t>2</w:t>
      </w:r>
    </w:p>
    <w:p>
      <w:pPr>
        <w:pStyle w:val="DefinedTerms"/>
      </w:pPr>
      <w:r>
        <w:t>authorised person</w:t>
      </w:r>
      <w:r>
        <w:tab/>
        <w:t>31</w:t>
      </w:r>
    </w:p>
    <w:p>
      <w:pPr>
        <w:pStyle w:val="DefinedTerms"/>
      </w:pPr>
      <w:r>
        <w:t>average annual regulated revenue</w:t>
      </w:r>
      <w:r>
        <w:tab/>
        <w:t>244</w:t>
      </w:r>
    </w:p>
    <w:p>
      <w:pPr>
        <w:pStyle w:val="DefinedTerms"/>
      </w:pPr>
      <w:r>
        <w:t>basic instrument making power</w:t>
      </w:r>
      <w:r>
        <w:tab/>
        <w:t>27</w:t>
      </w:r>
    </w:p>
    <w:p>
      <w:pPr>
        <w:pStyle w:val="DefinedTerms"/>
      </w:pPr>
      <w:r>
        <w:t>binding no</w:t>
      </w:r>
      <w:r>
        <w:noBreakHyphen/>
        <w:t>coverage determination</w:t>
      </w:r>
      <w:r>
        <w:tab/>
        <w:t>1</w:t>
      </w:r>
    </w:p>
    <w:p>
      <w:pPr>
        <w:pStyle w:val="DefinedTerms"/>
      </w:pPr>
      <w:r>
        <w:t>breach</w:t>
      </w:r>
      <w:r>
        <w:tab/>
        <w:t>10</w:t>
      </w:r>
    </w:p>
    <w:p>
      <w:pPr>
        <w:pStyle w:val="DefinedTerms"/>
      </w:pPr>
      <w:r>
        <w:t>breach provision</w:t>
      </w:r>
      <w:r>
        <w:tab/>
        <w:t>287</w:t>
      </w:r>
    </w:p>
    <w:p>
      <w:pPr>
        <w:pStyle w:val="DefinedTerms"/>
      </w:pPr>
      <w:r>
        <w:t>Bulletin Board information</w:t>
      </w:r>
      <w:r>
        <w:tab/>
        <w:t>2</w:t>
      </w:r>
    </w:p>
    <w:p>
      <w:pPr>
        <w:pStyle w:val="DefinedTerms"/>
      </w:pPr>
      <w:r>
        <w:t>Bulletin Board operator</w:t>
      </w:r>
      <w:r>
        <w:tab/>
        <w:t>2</w:t>
      </w:r>
    </w:p>
    <w:p>
      <w:pPr>
        <w:pStyle w:val="DefinedTerms"/>
      </w:pPr>
      <w:r>
        <w:t>business day</w:t>
      </w:r>
      <w:r>
        <w:tab/>
        <w:t>10</w:t>
      </w:r>
    </w:p>
    <w:p>
      <w:pPr>
        <w:pStyle w:val="DefinedTerms"/>
      </w:pPr>
      <w:r>
        <w:t>business unit B</w:t>
      </w:r>
      <w:r>
        <w:tab/>
        <w:t>143</w:t>
      </w:r>
    </w:p>
    <w:p>
      <w:pPr>
        <w:pStyle w:val="DefinedTerms"/>
      </w:pPr>
      <w:r>
        <w:t>business unit A</w:t>
      </w:r>
      <w:r>
        <w:tab/>
        <w:t>143</w:t>
      </w:r>
    </w:p>
    <w:p>
      <w:pPr>
        <w:pStyle w:val="DefinedTerms"/>
      </w:pPr>
      <w:r>
        <w:t>calendar month</w:t>
      </w:r>
      <w:r>
        <w:tab/>
        <w:t>10</w:t>
      </w:r>
    </w:p>
    <w:p>
      <w:pPr>
        <w:pStyle w:val="DefinedTerms"/>
      </w:pPr>
      <w:r>
        <w:t>calendar year</w:t>
      </w:r>
      <w:r>
        <w:tab/>
        <w:t>10</w:t>
      </w:r>
    </w:p>
    <w:p>
      <w:pPr>
        <w:pStyle w:val="DefinedTerms"/>
      </w:pPr>
      <w:r>
        <w:t>charge</w:t>
      </w:r>
      <w:r>
        <w:tab/>
        <w:t>2</w:t>
      </w:r>
    </w:p>
    <w:p>
      <w:pPr>
        <w:pStyle w:val="DefinedTerms"/>
      </w:pPr>
      <w:r>
        <w:t>civil monetary liability</w:t>
      </w:r>
      <w:r>
        <w:tab/>
        <w:t>221, 226</w:t>
      </w:r>
    </w:p>
    <w:p>
      <w:pPr>
        <w:pStyle w:val="DefinedTerms"/>
      </w:pPr>
      <w:r>
        <w:t>civil penalty</w:t>
      </w:r>
      <w:r>
        <w:tab/>
        <w:t>2</w:t>
      </w:r>
    </w:p>
    <w:p>
      <w:pPr>
        <w:pStyle w:val="DefinedTerms"/>
      </w:pPr>
      <w:r>
        <w:t>civil penalty provision</w:t>
      </w:r>
      <w:r>
        <w:tab/>
        <w:t>2</w:t>
      </w:r>
    </w:p>
    <w:p>
      <w:pPr>
        <w:pStyle w:val="DefinedTerms"/>
      </w:pPr>
      <w:r>
        <w:t>classification decision under the Rules</w:t>
      </w:r>
      <w:r>
        <w:tab/>
        <w:t>2</w:t>
      </w:r>
    </w:p>
    <w:p>
      <w:pPr>
        <w:pStyle w:val="DefinedTerms"/>
      </w:pPr>
      <w:r>
        <w:t>coastal waters</w:t>
      </w:r>
      <w:r>
        <w:tab/>
        <w:t>5(2)</w:t>
      </w:r>
    </w:p>
    <w:p>
      <w:pPr>
        <w:pStyle w:val="DefinedTerms"/>
      </w:pPr>
      <w:r>
        <w:t>commencement</w:t>
      </w:r>
      <w:r>
        <w:tab/>
        <w:t>10</w:t>
      </w:r>
    </w:p>
    <w:p>
      <w:pPr>
        <w:pStyle w:val="DefinedTerms"/>
      </w:pPr>
      <w:r>
        <w:t>commencement day</w:t>
      </w:r>
      <w:r>
        <w:tab/>
        <w:t>1</w:t>
      </w:r>
    </w:p>
    <w:p>
      <w:pPr>
        <w:pStyle w:val="DefinedTerms"/>
      </w:pPr>
      <w:r>
        <w:t>commission</w:t>
      </w:r>
      <w:r>
        <w:tab/>
        <w:t>2</w:t>
      </w:r>
    </w:p>
    <w:p>
      <w:pPr>
        <w:pStyle w:val="DefinedTerms"/>
      </w:pPr>
      <w:r>
        <w:t>Commonwealth bodies</w:t>
      </w:r>
      <w:r>
        <w:tab/>
        <w:t>12(2)</w:t>
      </w:r>
    </w:p>
    <w:p>
      <w:pPr>
        <w:pStyle w:val="DefinedTerms"/>
      </w:pPr>
      <w:r>
        <w:t>Commonwealth Minister</w:t>
      </w:r>
      <w:r>
        <w:tab/>
        <w:t>2</w:t>
      </w:r>
    </w:p>
    <w:p>
      <w:pPr>
        <w:pStyle w:val="DefinedTerms"/>
      </w:pPr>
      <w:r>
        <w:t>compliance date</w:t>
      </w:r>
      <w:r>
        <w:tab/>
        <w:t>137</w:t>
      </w:r>
    </w:p>
    <w:p>
      <w:pPr>
        <w:pStyle w:val="DefinedTerms"/>
      </w:pPr>
      <w:r>
        <w:t>complying service provider</w:t>
      </w:r>
      <w:r>
        <w:tab/>
        <w:t>10</w:t>
      </w:r>
    </w:p>
    <w:p>
      <w:pPr>
        <w:pStyle w:val="DefinedTerms"/>
      </w:pPr>
      <w:r>
        <w:t>conduct provision</w:t>
      </w:r>
      <w:r>
        <w:tab/>
        <w:t>2</w:t>
      </w:r>
    </w:p>
    <w:p>
      <w:pPr>
        <w:pStyle w:val="DefinedTerms"/>
      </w:pPr>
      <w:r>
        <w:t>confer</w:t>
      </w:r>
      <w:r>
        <w:tab/>
        <w:t>10</w:t>
      </w:r>
    </w:p>
    <w:p>
      <w:pPr>
        <w:pStyle w:val="DefinedTerms"/>
      </w:pPr>
      <w:r>
        <w:t>consolidated Rule request</w:t>
      </w:r>
      <w:r>
        <w:tab/>
        <w:t>300</w:t>
      </w:r>
    </w:p>
    <w:p>
      <w:pPr>
        <w:pStyle w:val="DefinedTerms"/>
      </w:pPr>
      <w:r>
        <w:t>constituent components</w:t>
      </w:r>
      <w:r>
        <w:tab/>
        <w:t>2</w:t>
      </w:r>
    </w:p>
    <w:p>
      <w:pPr>
        <w:pStyle w:val="DefinedTerms"/>
      </w:pPr>
      <w:r>
        <w:t>contravene</w:t>
      </w:r>
      <w:r>
        <w:tab/>
        <w:t>10</w:t>
      </w:r>
    </w:p>
    <w:p>
      <w:pPr>
        <w:pStyle w:val="DefinedTerms"/>
      </w:pPr>
      <w:r>
        <w:t>contributing service</w:t>
      </w:r>
      <w:r>
        <w:tab/>
        <w:t>43</w:t>
      </w:r>
    </w:p>
    <w:p>
      <w:pPr>
        <w:pStyle w:val="DefinedTerms"/>
      </w:pPr>
      <w:r>
        <w:t>controlling pipeline activity</w:t>
      </w:r>
      <w:r>
        <w:tab/>
        <w:t>10</w:t>
      </w:r>
    </w:p>
    <w:p>
      <w:pPr>
        <w:pStyle w:val="DefinedTerms"/>
      </w:pPr>
      <w:r>
        <w:t>Councillor</w:t>
      </w:r>
      <w:r>
        <w:tab/>
        <w:t>90</w:t>
      </w:r>
    </w:p>
    <w:p>
      <w:pPr>
        <w:pStyle w:val="DefinedTerms"/>
      </w:pPr>
      <w:r>
        <w:t>Court</w:t>
      </w:r>
      <w:r>
        <w:tab/>
        <w:t>9(1)</w:t>
      </w:r>
    </w:p>
    <w:p>
      <w:pPr>
        <w:pStyle w:val="DefinedTerms"/>
      </w:pPr>
      <w:r>
        <w:t>coverage determination</w:t>
      </w:r>
      <w:r>
        <w:tab/>
        <w:t>2, 92</w:t>
      </w:r>
    </w:p>
    <w:p>
      <w:pPr>
        <w:pStyle w:val="DefinedTerms"/>
      </w:pPr>
      <w:r>
        <w:t>coverage recommendation</w:t>
      </w:r>
      <w:r>
        <w:tab/>
        <w:t>2</w:t>
      </w:r>
    </w:p>
    <w:p>
      <w:pPr>
        <w:pStyle w:val="DefinedTerms"/>
      </w:pPr>
      <w:r>
        <w:t>coverage related light regulation decision</w:t>
      </w:r>
      <w:r>
        <w:tab/>
        <w:t>244</w:t>
      </w:r>
    </w:p>
    <w:p>
      <w:pPr>
        <w:pStyle w:val="DefinedTerms"/>
      </w:pPr>
      <w:r>
        <w:t>coverage revocation determination</w:t>
      </w:r>
      <w:r>
        <w:tab/>
        <w:t>2, 102</w:t>
      </w:r>
    </w:p>
    <w:p>
      <w:pPr>
        <w:pStyle w:val="DefinedTerms"/>
      </w:pPr>
      <w:r>
        <w:t>coverage revocation recommendation</w:t>
      </w:r>
      <w:r>
        <w:tab/>
        <w:t>2</w:t>
      </w:r>
    </w:p>
    <w:p>
      <w:pPr>
        <w:pStyle w:val="DefinedTerms"/>
      </w:pPr>
      <w:r>
        <w:t>covered pipeline</w:t>
      </w:r>
      <w:r>
        <w:tab/>
        <w:t>2</w:t>
      </w:r>
    </w:p>
    <w:p>
      <w:pPr>
        <w:pStyle w:val="DefinedTerms"/>
      </w:pPr>
      <w:r>
        <w:t>covered pipeline service provider</w:t>
      </w:r>
      <w:r>
        <w:tab/>
        <w:t>2</w:t>
      </w:r>
    </w:p>
    <w:p>
      <w:pPr>
        <w:pStyle w:val="DefinedTerms"/>
      </w:pPr>
      <w:r>
        <w:t>cross boundary distribution pipeline</w:t>
      </w:r>
      <w:r>
        <w:tab/>
        <w:t>2</w:t>
      </w:r>
    </w:p>
    <w:p>
      <w:pPr>
        <w:pStyle w:val="DefinedTerms"/>
      </w:pPr>
      <w:r>
        <w:t>cross boundary pipeline</w:t>
      </w:r>
      <w:r>
        <w:tab/>
        <w:t>16(4)</w:t>
      </w:r>
    </w:p>
    <w:p>
      <w:pPr>
        <w:pStyle w:val="DefinedTerms"/>
      </w:pPr>
      <w:r>
        <w:t>cross boundary transmission pipeline</w:t>
      </w:r>
      <w:r>
        <w:tab/>
        <w:t>2</w:t>
      </w:r>
    </w:p>
    <w:p>
      <w:pPr>
        <w:pStyle w:val="DefinedTerms"/>
      </w:pPr>
      <w:r>
        <w:t>current access arrangement</w:t>
      </w:r>
      <w:r>
        <w:tab/>
        <w:t>1</w:t>
      </w:r>
    </w:p>
    <w:p>
      <w:pPr>
        <w:pStyle w:val="DefinedTerms"/>
      </w:pPr>
      <w:r>
        <w:t>current access arrangement modification Rules</w:t>
      </w:r>
      <w:r>
        <w:tab/>
        <w:t>30</w:t>
      </w:r>
    </w:p>
    <w:p>
      <w:pPr>
        <w:pStyle w:val="DefinedTerms"/>
      </w:pPr>
      <w:r>
        <w:t>decision maker</w:t>
      </w:r>
      <w:r>
        <w:tab/>
        <w:t>31</w:t>
      </w:r>
    </w:p>
    <w:p>
      <w:pPr>
        <w:pStyle w:val="DefinedTerms"/>
      </w:pPr>
      <w:r>
        <w:t>decision related matter</w:t>
      </w:r>
      <w:r>
        <w:tab/>
        <w:t>68C</w:t>
      </w:r>
    </w:p>
    <w:p>
      <w:pPr>
        <w:pStyle w:val="DefinedTerms"/>
      </w:pPr>
      <w:r>
        <w:t>definition</w:t>
      </w:r>
      <w:r>
        <w:tab/>
        <w:t>10</w:t>
      </w:r>
    </w:p>
    <w:p>
      <w:pPr>
        <w:pStyle w:val="DefinedTerms"/>
      </w:pPr>
      <w:r>
        <w:t>designated Minister</w:t>
      </w:r>
      <w:r>
        <w:tab/>
        <w:t>9(1)</w:t>
      </w:r>
    </w:p>
    <w:p>
      <w:pPr>
        <w:pStyle w:val="DefinedTerms"/>
      </w:pPr>
      <w:r>
        <w:t>designated pipeline</w:t>
      </w:r>
      <w:r>
        <w:tab/>
        <w:t>2</w:t>
      </w:r>
    </w:p>
    <w:p>
      <w:pPr>
        <w:pStyle w:val="DefinedTerms"/>
      </w:pPr>
      <w:r>
        <w:t>designated reviewable regulatory decision</w:t>
      </w:r>
      <w:r>
        <w:tab/>
        <w:t>2</w:t>
      </w:r>
    </w:p>
    <w:p>
      <w:pPr>
        <w:pStyle w:val="DefinedTerms"/>
      </w:pPr>
      <w:r>
        <w:t>developable capacity</w:t>
      </w:r>
      <w:r>
        <w:tab/>
        <w:t>2</w:t>
      </w:r>
    </w:p>
    <w:p>
      <w:pPr>
        <w:pStyle w:val="DefinedTerms"/>
      </w:pPr>
      <w:r>
        <w:t>dispute hearing</w:t>
      </w:r>
      <w:r>
        <w:tab/>
        <w:t>178</w:t>
      </w:r>
    </w:p>
    <w:p>
      <w:pPr>
        <w:pStyle w:val="DefinedTerms"/>
      </w:pPr>
      <w:r>
        <w:t>dispute resolution body</w:t>
      </w:r>
      <w:r>
        <w:tab/>
        <w:t>9(1), 2</w:t>
      </w:r>
    </w:p>
    <w:p>
      <w:pPr>
        <w:pStyle w:val="DefinedTerms"/>
      </w:pPr>
      <w:r>
        <w:t>distribution pipeline</w:t>
      </w:r>
      <w:r>
        <w:tab/>
        <w:t>2</w:t>
      </w:r>
    </w:p>
    <w:p>
      <w:pPr>
        <w:pStyle w:val="DefinedTerms"/>
      </w:pPr>
      <w:r>
        <w:t>document</w:t>
      </w:r>
      <w:r>
        <w:tab/>
        <w:t>10</w:t>
      </w:r>
    </w:p>
    <w:p>
      <w:pPr>
        <w:pStyle w:val="DefinedTerms"/>
      </w:pPr>
      <w:r>
        <w:t>draft Rule determination</w:t>
      </w:r>
      <w:r>
        <w:tab/>
        <w:t>2</w:t>
      </w:r>
    </w:p>
    <w:p>
      <w:pPr>
        <w:pStyle w:val="DefinedTerms"/>
      </w:pPr>
      <w:r>
        <w:t>empowering provision</w:t>
      </w:r>
      <w:r>
        <w:tab/>
        <w:t>27, 27</w:t>
      </w:r>
    </w:p>
    <w:p>
      <w:pPr>
        <w:pStyle w:val="DefinedTerms"/>
      </w:pPr>
      <w:r>
        <w:t>end user</w:t>
      </w:r>
      <w:r>
        <w:tab/>
        <w:t>2, 244</w:t>
      </w:r>
    </w:p>
    <w:p>
      <w:pPr>
        <w:pStyle w:val="DefinedTerms"/>
      </w:pPr>
      <w:r>
        <w:t>ERA</w:t>
      </w:r>
      <w:r>
        <w:tab/>
        <w:t>2</w:t>
      </w:r>
    </w:p>
    <w:p>
      <w:pPr>
        <w:pStyle w:val="DefinedTerms"/>
      </w:pPr>
      <w:r>
        <w:t>ERA pipeline</w:t>
      </w:r>
      <w:r>
        <w:tab/>
        <w:t>9(1)</w:t>
      </w:r>
    </w:p>
    <w:p>
      <w:pPr>
        <w:pStyle w:val="DefinedTerms"/>
      </w:pPr>
      <w:r>
        <w:t>estate</w:t>
      </w:r>
      <w:r>
        <w:tab/>
        <w:t>10</w:t>
      </w:r>
    </w:p>
    <w:p>
      <w:pPr>
        <w:pStyle w:val="DefinedTerms"/>
      </w:pPr>
      <w:r>
        <w:t>excluded infrastructure</w:t>
      </w:r>
      <w:r>
        <w:tab/>
        <w:t>149</w:t>
      </w:r>
    </w:p>
    <w:p>
      <w:pPr>
        <w:pStyle w:val="DefinedTerms"/>
      </w:pPr>
      <w:r>
        <w:t>exempt contract</w:t>
      </w:r>
      <w:r>
        <w:tab/>
        <w:t>19(3)</w:t>
      </w:r>
    </w:p>
    <w:p>
      <w:pPr>
        <w:pStyle w:val="DefinedTerms"/>
      </w:pPr>
      <w:r>
        <w:t>exempt matter</w:t>
      </w:r>
      <w:r>
        <w:tab/>
        <w:t>15(2)</w:t>
      </w:r>
    </w:p>
    <w:p>
      <w:pPr>
        <w:pStyle w:val="DefinedTerms"/>
      </w:pPr>
      <w:r>
        <w:t>expire</w:t>
      </w:r>
      <w:r>
        <w:tab/>
        <w:t>10</w:t>
      </w:r>
    </w:p>
    <w:p>
      <w:pPr>
        <w:pStyle w:val="DefinedTerms"/>
      </w:pPr>
      <w:r>
        <w:t>extension and expansion requirements</w:t>
      </w:r>
      <w:r>
        <w:tab/>
        <w:t>2</w:t>
      </w:r>
    </w:p>
    <w:p>
      <w:pPr>
        <w:pStyle w:val="DefinedTerms"/>
      </w:pPr>
      <w:r>
        <w:t>fail</w:t>
      </w:r>
      <w:r>
        <w:tab/>
        <w:t>10</w:t>
      </w:r>
    </w:p>
    <w:p>
      <w:pPr>
        <w:pStyle w:val="DefinedTerms"/>
      </w:pPr>
      <w:r>
        <w:t>final Rule determination</w:t>
      </w:r>
      <w:r>
        <w:tab/>
        <w:t>2</w:t>
      </w:r>
    </w:p>
    <w:p>
      <w:pPr>
        <w:pStyle w:val="DefinedTerms"/>
      </w:pPr>
      <w:r>
        <w:t>financial year</w:t>
      </w:r>
      <w:r>
        <w:tab/>
        <w:t>10</w:t>
      </w:r>
    </w:p>
    <w:p>
      <w:pPr>
        <w:pStyle w:val="DefinedTerms"/>
      </w:pPr>
      <w:r>
        <w:t>foreign company</w:t>
      </w:r>
      <w:r>
        <w:tab/>
        <w:t>2</w:t>
      </w:r>
    </w:p>
    <w:p>
      <w:pPr>
        <w:pStyle w:val="DefinedTerms"/>
      </w:pPr>
      <w:r>
        <w:t>foreign source</w:t>
      </w:r>
      <w:r>
        <w:tab/>
        <w:t>2</w:t>
      </w:r>
    </w:p>
    <w:p>
      <w:pPr>
        <w:pStyle w:val="DefinedTerms"/>
      </w:pPr>
      <w:r>
        <w:t>form of regulation factors</w:t>
      </w:r>
      <w:r>
        <w:tab/>
        <w:t>2</w:t>
      </w:r>
    </w:p>
    <w:p>
      <w:pPr>
        <w:pStyle w:val="DefinedTerms"/>
      </w:pPr>
      <w:r>
        <w:t>full access arrangement</w:t>
      </w:r>
      <w:r>
        <w:tab/>
        <w:t>2</w:t>
      </w:r>
    </w:p>
    <w:p>
      <w:pPr>
        <w:pStyle w:val="DefinedTerms"/>
      </w:pPr>
      <w:r>
        <w:t>full access arrangement decision</w:t>
      </w:r>
      <w:r>
        <w:tab/>
        <w:t>2</w:t>
      </w:r>
    </w:p>
    <w:p>
      <w:pPr>
        <w:pStyle w:val="DefinedTerms"/>
      </w:pPr>
      <w:r>
        <w:t>function</w:t>
      </w:r>
      <w:r>
        <w:tab/>
        <w:t>10</w:t>
      </w:r>
    </w:p>
    <w:p>
      <w:pPr>
        <w:pStyle w:val="DefinedTerms"/>
      </w:pPr>
      <w:r>
        <w:t>further disclosure notice</w:t>
      </w:r>
      <w:r>
        <w:tab/>
        <w:t>329</w:t>
      </w:r>
    </w:p>
    <w:p>
      <w:pPr>
        <w:pStyle w:val="DefinedTerms"/>
      </w:pPr>
      <w:r>
        <w:t>Gas Code</w:t>
      </w:r>
      <w:r>
        <w:tab/>
        <w:t>2</w:t>
      </w:r>
    </w:p>
    <w:p>
      <w:pPr>
        <w:pStyle w:val="DefinedTerms"/>
      </w:pPr>
      <w:r>
        <w:t>gas market operator</w:t>
      </w:r>
      <w:r>
        <w:tab/>
        <w:t>2</w:t>
      </w:r>
    </w:p>
    <w:p>
      <w:pPr>
        <w:pStyle w:val="DefinedTerms"/>
      </w:pPr>
      <w:r>
        <w:t>gas market regulatory body</w:t>
      </w:r>
      <w:r>
        <w:tab/>
        <w:t>290</w:t>
      </w:r>
    </w:p>
    <w:p>
      <w:pPr>
        <w:pStyle w:val="DefinedTerms"/>
      </w:pPr>
      <w:r>
        <w:t>gas other than natural gas</w:t>
      </w:r>
      <w:r>
        <w:tab/>
        <w:t>6A(3)</w:t>
      </w:r>
    </w:p>
    <w:p>
      <w:pPr>
        <w:pStyle w:val="DefinedTerms"/>
      </w:pPr>
      <w:r>
        <w:t>Gas Pipelines Access Law</w:t>
      </w:r>
      <w:r>
        <w:tab/>
        <w:t>11(4)</w:t>
      </w:r>
    </w:p>
    <w:p>
      <w:pPr>
        <w:pStyle w:val="DefinedTerms"/>
      </w:pPr>
      <w:r>
        <w:t>Gazette</w:t>
      </w:r>
      <w:r>
        <w:tab/>
        <w:t>10</w:t>
      </w:r>
    </w:p>
    <w:p>
      <w:pPr>
        <w:pStyle w:val="DefinedTerms"/>
      </w:pPr>
      <w:r>
        <w:t>general regulatory information order</w:t>
      </w:r>
      <w:r>
        <w:tab/>
        <w:t>2</w:t>
      </w:r>
    </w:p>
    <w:p>
      <w:pPr>
        <w:pStyle w:val="DefinedTerms"/>
      </w:pPr>
      <w:r>
        <w:t>GMCo</w:t>
      </w:r>
      <w:r>
        <w:tab/>
        <w:t>290</w:t>
      </w:r>
    </w:p>
    <w:p>
      <w:pPr>
        <w:pStyle w:val="DefinedTerms"/>
      </w:pPr>
      <w:r>
        <w:t>greenfields pipeline incentive</w:t>
      </w:r>
      <w:r>
        <w:tab/>
        <w:t>2</w:t>
      </w:r>
    </w:p>
    <w:p>
      <w:pPr>
        <w:pStyle w:val="DefinedTerms"/>
      </w:pPr>
      <w:r>
        <w:t>greenfields pipeline project</w:t>
      </w:r>
      <w:r>
        <w:tab/>
        <w:t>149</w:t>
      </w:r>
    </w:p>
    <w:p>
      <w:pPr>
        <w:pStyle w:val="DefinedTerms"/>
      </w:pPr>
      <w:r>
        <w:t>haulage</w:t>
      </w:r>
      <w:r>
        <w:tab/>
        <w:t>2</w:t>
      </w:r>
    </w:p>
    <w:p>
      <w:pPr>
        <w:pStyle w:val="DefinedTerms"/>
      </w:pPr>
      <w:r>
        <w:t>initial classification decision</w:t>
      </w:r>
      <w:r>
        <w:tab/>
        <w:t>2, 98, 155</w:t>
      </w:r>
    </w:p>
    <w:p>
      <w:pPr>
        <w:pStyle w:val="DefinedTerms"/>
      </w:pPr>
      <w:r>
        <w:t>initial disclosure notice</w:t>
      </w:r>
      <w:r>
        <w:tab/>
        <w:t>329, 329</w:t>
      </w:r>
    </w:p>
    <w:p>
      <w:pPr>
        <w:pStyle w:val="DefinedTerms"/>
      </w:pPr>
      <w:r>
        <w:t>initial National Gas Rules</w:t>
      </w:r>
      <w:r>
        <w:tab/>
        <w:t>Sch. 1 cl. 3(1), 2, 294</w:t>
      </w:r>
    </w:p>
    <w:p>
      <w:pPr>
        <w:pStyle w:val="DefinedTerms"/>
      </w:pPr>
      <w:r>
        <w:t>instrument</w:t>
      </w:r>
      <w:r>
        <w:tab/>
        <w:t>10</w:t>
      </w:r>
    </w:p>
    <w:p>
      <w:pPr>
        <w:pStyle w:val="DefinedTerms"/>
      </w:pPr>
      <w:r>
        <w:t>interest</w:t>
      </w:r>
      <w:r>
        <w:tab/>
        <w:t>10</w:t>
      </w:r>
    </w:p>
    <w:p>
      <w:pPr>
        <w:pStyle w:val="DefinedTerms"/>
      </w:pPr>
      <w:r>
        <w:t>international pipeline</w:t>
      </w:r>
      <w:r>
        <w:tab/>
        <w:t>2</w:t>
      </w:r>
    </w:p>
    <w:p>
      <w:pPr>
        <w:pStyle w:val="DefinedTerms"/>
      </w:pPr>
      <w:r>
        <w:t>intervener</w:t>
      </w:r>
      <w:r>
        <w:tab/>
        <w:t>244</w:t>
      </w:r>
    </w:p>
    <w:p>
      <w:pPr>
        <w:pStyle w:val="DefinedTerms"/>
      </w:pPr>
      <w:r>
        <w:t>jurisdictional determination criteria</w:t>
      </w:r>
      <w:r>
        <w:tab/>
        <w:t>2</w:t>
      </w:r>
    </w:p>
    <w:p>
      <w:pPr>
        <w:pStyle w:val="DefinedTerms"/>
      </w:pPr>
      <w:r>
        <w:t>jurisdictional gas legislation</w:t>
      </w:r>
      <w:r>
        <w:tab/>
        <w:t>2</w:t>
      </w:r>
    </w:p>
    <w:p>
      <w:pPr>
        <w:pStyle w:val="DefinedTerms"/>
      </w:pPr>
      <w:r>
        <w:t>Law extrinsic material</w:t>
      </w:r>
      <w:r>
        <w:tab/>
        <w:t>8</w:t>
      </w:r>
    </w:p>
    <w:p>
      <w:pPr>
        <w:pStyle w:val="DefinedTerms"/>
      </w:pPr>
      <w:r>
        <w:t>Legislature of this jurisdiction</w:t>
      </w:r>
      <w:r>
        <w:tab/>
        <w:t>9(1)</w:t>
      </w:r>
    </w:p>
    <w:p>
      <w:pPr>
        <w:pStyle w:val="DefinedTerms"/>
      </w:pPr>
      <w:r>
        <w:t>light regulation determination</w:t>
      </w:r>
      <w:r>
        <w:tab/>
        <w:t>2, 110, 112</w:t>
      </w:r>
    </w:p>
    <w:p>
      <w:pPr>
        <w:pStyle w:val="DefinedTerms"/>
      </w:pPr>
      <w:r>
        <w:t>light regulation services</w:t>
      </w:r>
      <w:r>
        <w:tab/>
        <w:t>2</w:t>
      </w:r>
    </w:p>
    <w:p>
      <w:pPr>
        <w:pStyle w:val="DefinedTerms"/>
      </w:pPr>
      <w:r>
        <w:t>limited access arrangement</w:t>
      </w:r>
      <w:r>
        <w:tab/>
        <w:t>2</w:t>
      </w:r>
    </w:p>
    <w:p>
      <w:pPr>
        <w:pStyle w:val="DefinedTerms"/>
      </w:pPr>
      <w:r>
        <w:t>limited access arrangement decision</w:t>
      </w:r>
      <w:r>
        <w:tab/>
        <w:t>2</w:t>
      </w:r>
    </w:p>
    <w:p>
      <w:pPr>
        <w:pStyle w:val="DefinedTerms"/>
      </w:pPr>
      <w:r>
        <w:t>make</w:t>
      </w:r>
      <w:r>
        <w:tab/>
        <w:t>10</w:t>
      </w:r>
    </w:p>
    <w:p>
      <w:pPr>
        <w:pStyle w:val="DefinedTerms"/>
      </w:pPr>
      <w:r>
        <w:t>market initiated proposed Rule</w:t>
      </w:r>
      <w:r>
        <w:tab/>
        <w:t>290</w:t>
      </w:r>
    </w:p>
    <w:p>
      <w:pPr>
        <w:pStyle w:val="DefinedTerms"/>
      </w:pPr>
      <w:r>
        <w:t>marketing staff</w:t>
      </w:r>
      <w:r>
        <w:tab/>
        <w:t>137</w:t>
      </w:r>
    </w:p>
    <w:p>
      <w:pPr>
        <w:pStyle w:val="DefinedTerms"/>
      </w:pPr>
      <w:r>
        <w:t>materially preferable designated NGO decision</w:t>
      </w:r>
      <w:r>
        <w:tab/>
        <w:t>244, 259</w:t>
      </w:r>
    </w:p>
    <w:p>
      <w:pPr>
        <w:pStyle w:val="DefinedTerms"/>
      </w:pPr>
      <w:r>
        <w:t>matters of a transitional nature</w:t>
      </w:r>
      <w:r>
        <w:tab/>
        <w:t>11(4)</w:t>
      </w:r>
    </w:p>
    <w:p>
      <w:pPr>
        <w:pStyle w:val="DefinedTerms"/>
      </w:pPr>
      <w:r>
        <w:t>MCE</w:t>
      </w:r>
      <w:r>
        <w:tab/>
        <w:t>2</w:t>
      </w:r>
    </w:p>
    <w:p>
      <w:pPr>
        <w:pStyle w:val="DefinedTerms"/>
      </w:pPr>
      <w:r>
        <w:t>MCE directed review</w:t>
      </w:r>
      <w:r>
        <w:tab/>
        <w:t>2</w:t>
      </w:r>
    </w:p>
    <w:p>
      <w:pPr>
        <w:pStyle w:val="DefinedTerms"/>
      </w:pPr>
      <w:r>
        <w:t>MCE statement of policy principles</w:t>
      </w:r>
      <w:r>
        <w:tab/>
        <w:t>2</w:t>
      </w:r>
    </w:p>
    <w:p>
      <w:pPr>
        <w:pStyle w:val="DefinedTerms"/>
      </w:pPr>
      <w:r>
        <w:t>minimum ring fencing requirement</w:t>
      </w:r>
      <w:r>
        <w:tab/>
        <w:t>2</w:t>
      </w:r>
    </w:p>
    <w:p>
      <w:pPr>
        <w:pStyle w:val="DefinedTerms"/>
      </w:pPr>
      <w:r>
        <w:t>Minister of a participating jurisdiction</w:t>
      </w:r>
      <w:r>
        <w:tab/>
        <w:t>2</w:t>
      </w:r>
    </w:p>
    <w:p>
      <w:pPr>
        <w:pStyle w:val="DefinedTerms"/>
      </w:pPr>
      <w:r>
        <w:t>Minister of this participating jurisdiction</w:t>
      </w:r>
      <w:r>
        <w:tab/>
        <w:t>87</w:t>
      </w:r>
    </w:p>
    <w:p>
      <w:pPr>
        <w:pStyle w:val="DefinedTerms"/>
      </w:pPr>
      <w:r>
        <w:t>Ministerial coverage decision</w:t>
      </w:r>
      <w:r>
        <w:tab/>
        <w:t>2</w:t>
      </w:r>
    </w:p>
    <w:p>
      <w:pPr>
        <w:pStyle w:val="DefinedTerms"/>
      </w:pPr>
      <w:r>
        <w:t>Ministerial or NCC scheme decision</w:t>
      </w:r>
      <w:r>
        <w:tab/>
        <w:t>333</w:t>
      </w:r>
    </w:p>
    <w:p>
      <w:pPr>
        <w:pStyle w:val="DefinedTerms"/>
      </w:pPr>
      <w:r>
        <w:t>minor</w:t>
      </w:r>
      <w:r>
        <w:tab/>
        <w:t>10</w:t>
      </w:r>
    </w:p>
    <w:p>
      <w:pPr>
        <w:pStyle w:val="DefinedTerms"/>
      </w:pPr>
      <w:r>
        <w:t>modification</w:t>
      </w:r>
      <w:r>
        <w:tab/>
        <w:t>10</w:t>
      </w:r>
    </w:p>
    <w:p>
      <w:pPr>
        <w:pStyle w:val="DefinedTerms"/>
      </w:pPr>
      <w:r>
        <w:t>month</w:t>
      </w:r>
      <w:r>
        <w:tab/>
        <w:t>10</w:t>
      </w:r>
    </w:p>
    <w:p>
      <w:pPr>
        <w:pStyle w:val="DefinedTerms"/>
      </w:pPr>
      <w:r>
        <w:t>more preferable Rule</w:t>
      </w:r>
      <w:r>
        <w:tab/>
        <w:t>290, 296</w:t>
      </w:r>
    </w:p>
    <w:p>
      <w:pPr>
        <w:pStyle w:val="DefinedTerms"/>
      </w:pPr>
      <w:r>
        <w:t>named month</w:t>
      </w:r>
      <w:r>
        <w:tab/>
        <w:t>10</w:t>
      </w:r>
    </w:p>
    <w:p>
      <w:pPr>
        <w:pStyle w:val="DefinedTerms"/>
      </w:pPr>
      <w:r>
        <w:t>National Gas Access (Western Australia) Law</w:t>
      </w:r>
      <w:r>
        <w:tab/>
        <w:t>3(1), 11(4)</w:t>
      </w:r>
    </w:p>
    <w:p>
      <w:pPr>
        <w:pStyle w:val="DefinedTerms"/>
      </w:pPr>
      <w:r>
        <w:t>National Gas Access (Western Australia) Regulations</w:t>
      </w:r>
      <w:r>
        <w:tab/>
        <w:t>3(1)</w:t>
      </w:r>
    </w:p>
    <w:p>
      <w:pPr>
        <w:pStyle w:val="DefinedTerms"/>
      </w:pPr>
      <w:r>
        <w:t>National Gas Law</w:t>
      </w:r>
      <w:r>
        <w:tab/>
        <w:t>9(1)</w:t>
      </w:r>
    </w:p>
    <w:p>
      <w:pPr>
        <w:pStyle w:val="DefinedTerms"/>
      </w:pPr>
      <w:r>
        <w:t>national gas legislation</w:t>
      </w:r>
      <w:r>
        <w:tab/>
        <w:t>2</w:t>
      </w:r>
    </w:p>
    <w:p>
      <w:pPr>
        <w:pStyle w:val="DefinedTerms"/>
      </w:pPr>
      <w:r>
        <w:t>national gas objective</w:t>
      </w:r>
      <w:r>
        <w:tab/>
        <w:t>2</w:t>
      </w:r>
    </w:p>
    <w:p>
      <w:pPr>
        <w:pStyle w:val="DefinedTerms"/>
      </w:pPr>
      <w:r>
        <w:t>National Gas Rules</w:t>
      </w:r>
      <w:r>
        <w:tab/>
        <w:t>2</w:t>
      </w:r>
    </w:p>
    <w:p>
      <w:pPr>
        <w:pStyle w:val="DefinedTerms"/>
      </w:pPr>
      <w:r>
        <w:t>national provisions</w:t>
      </w:r>
      <w:r>
        <w:tab/>
        <w:t>19(3)</w:t>
      </w:r>
    </w:p>
    <w:p>
      <w:pPr>
        <w:pStyle w:val="DefinedTerms"/>
      </w:pPr>
      <w:r>
        <w:t>natural gas</w:t>
      </w:r>
      <w:r>
        <w:tab/>
        <w:t>2</w:t>
      </w:r>
    </w:p>
    <w:p>
      <w:pPr>
        <w:pStyle w:val="DefinedTerms"/>
      </w:pPr>
      <w:r>
        <w:t>natural gas service</w:t>
      </w:r>
      <w:r>
        <w:tab/>
        <w:t>2</w:t>
      </w:r>
    </w:p>
    <w:p>
      <w:pPr>
        <w:pStyle w:val="DefinedTerms"/>
      </w:pPr>
      <w:r>
        <w:t>Natural Gas Services Bulletin Board</w:t>
      </w:r>
      <w:r>
        <w:tab/>
        <w:t>2</w:t>
      </w:r>
    </w:p>
    <w:p>
      <w:pPr>
        <w:pStyle w:val="DefinedTerms"/>
      </w:pPr>
      <w:r>
        <w:t>NCC</w:t>
      </w:r>
      <w:r>
        <w:tab/>
        <w:t>2</w:t>
      </w:r>
    </w:p>
    <w:p>
      <w:pPr>
        <w:pStyle w:val="DefinedTerms"/>
      </w:pPr>
      <w:r>
        <w:t>NCC member</w:t>
      </w:r>
      <w:r>
        <w:tab/>
        <w:t>33</w:t>
      </w:r>
    </w:p>
    <w:p>
      <w:pPr>
        <w:pStyle w:val="DefinedTerms"/>
      </w:pPr>
      <w:r>
        <w:t>NCC recommendation</w:t>
      </w:r>
      <w:r>
        <w:tab/>
        <w:t>244</w:t>
      </w:r>
    </w:p>
    <w:p>
      <w:pPr>
        <w:pStyle w:val="DefinedTerms"/>
      </w:pPr>
      <w:r>
        <w:t>NCC recommendation or decision</w:t>
      </w:r>
      <w:r>
        <w:tab/>
        <w:t>2</w:t>
      </w:r>
    </w:p>
    <w:p>
      <w:pPr>
        <w:pStyle w:val="DefinedTerms"/>
      </w:pPr>
      <w:r>
        <w:t>new application Act</w:t>
      </w:r>
      <w:r>
        <w:tab/>
        <w:t>1</w:t>
      </w:r>
    </w:p>
    <w:p>
      <w:pPr>
        <w:pStyle w:val="DefinedTerms"/>
      </w:pPr>
      <w:r>
        <w:t>new facility</w:t>
      </w:r>
      <w:r>
        <w:tab/>
        <w:t>2</w:t>
      </w:r>
    </w:p>
    <w:p>
      <w:pPr>
        <w:pStyle w:val="DefinedTerms"/>
      </w:pPr>
      <w:r>
        <w:t>new scheme revisions commencement date</w:t>
      </w:r>
      <w:r>
        <w:tab/>
        <w:t>31</w:t>
      </w:r>
    </w:p>
    <w:p>
      <w:pPr>
        <w:pStyle w:val="DefinedTerms"/>
      </w:pPr>
      <w:r>
        <w:t>no</w:t>
      </w:r>
      <w:r>
        <w:noBreakHyphen/>
        <w:t>coverage recommendation</w:t>
      </w:r>
      <w:r>
        <w:tab/>
        <w:t>2</w:t>
      </w:r>
    </w:p>
    <w:p>
      <w:pPr>
        <w:pStyle w:val="DefinedTerms"/>
      </w:pPr>
      <w:r>
        <w:t>nominated disputes</w:t>
      </w:r>
      <w:r>
        <w:tab/>
        <w:t>208, 209</w:t>
      </w:r>
    </w:p>
    <w:p>
      <w:pPr>
        <w:pStyle w:val="DefinedTerms"/>
      </w:pPr>
      <w:r>
        <w:t>non scheme pipeline user</w:t>
      </w:r>
      <w:r>
        <w:tab/>
        <w:t>2</w:t>
      </w:r>
    </w:p>
    <w:p>
      <w:pPr>
        <w:pStyle w:val="DefinedTerms"/>
      </w:pPr>
      <w:r>
        <w:t>non</w:t>
      </w:r>
      <w:r>
        <w:noBreakHyphen/>
        <w:t>controversial Rule</w:t>
      </w:r>
      <w:r>
        <w:tab/>
        <w:t>290</w:t>
      </w:r>
    </w:p>
    <w:p>
      <w:pPr>
        <w:pStyle w:val="DefinedTerms"/>
      </w:pPr>
      <w:r>
        <w:t>non</w:t>
      </w:r>
      <w:r>
        <w:noBreakHyphen/>
        <w:t>finalised access dispute</w:t>
      </w:r>
      <w:r>
        <w:tab/>
        <w:t>42</w:t>
      </w:r>
    </w:p>
    <w:p>
      <w:pPr>
        <w:pStyle w:val="DefinedTerms"/>
      </w:pPr>
      <w:r>
        <w:t>notified compliance date</w:t>
      </w:r>
      <w:r>
        <w:tab/>
        <w:t>143</w:t>
      </w:r>
    </w:p>
    <w:p>
      <w:pPr>
        <w:pStyle w:val="DefinedTerms"/>
      </w:pPr>
      <w:r>
        <w:t>number</w:t>
      </w:r>
      <w:r>
        <w:tab/>
        <w:t>10</w:t>
      </w:r>
    </w:p>
    <w:p>
      <w:pPr>
        <w:pStyle w:val="DefinedTerms"/>
      </w:pPr>
      <w:r>
        <w:t>oath</w:t>
      </w:r>
      <w:r>
        <w:tab/>
        <w:t>10</w:t>
      </w:r>
    </w:p>
    <w:p>
      <w:pPr>
        <w:pStyle w:val="DefinedTerms"/>
      </w:pPr>
      <w:r>
        <w:t>offence provision</w:t>
      </w:r>
      <w:r>
        <w:tab/>
        <w:t>2</w:t>
      </w:r>
    </w:p>
    <w:p>
      <w:pPr>
        <w:pStyle w:val="DefinedTerms"/>
      </w:pPr>
      <w:r>
        <w:t>office</w:t>
      </w:r>
      <w:r>
        <w:tab/>
        <w:t>10</w:t>
      </w:r>
    </w:p>
    <w:p>
      <w:pPr>
        <w:pStyle w:val="DefinedTerms"/>
      </w:pPr>
      <w:r>
        <w:t>officer</w:t>
      </w:r>
      <w:r>
        <w:tab/>
        <w:t>2</w:t>
      </w:r>
    </w:p>
    <w:p>
      <w:pPr>
        <w:pStyle w:val="DefinedTerms"/>
      </w:pPr>
      <w:r>
        <w:t>old access law</w:t>
      </w:r>
      <w:r>
        <w:tab/>
        <w:t>2</w:t>
      </w:r>
    </w:p>
    <w:p>
      <w:pPr>
        <w:pStyle w:val="DefinedTerms"/>
      </w:pPr>
      <w:r>
        <w:t>old scheme classification and scheme participant determination</w:t>
      </w:r>
      <w:r>
        <w:tab/>
        <w:t>53</w:t>
      </w:r>
    </w:p>
    <w:p>
      <w:pPr>
        <w:pStyle w:val="DefinedTerms"/>
      </w:pPr>
      <w:r>
        <w:t>old scheme classification or determination</w:t>
      </w:r>
      <w:r>
        <w:tab/>
        <w:t>2</w:t>
      </w:r>
    </w:p>
    <w:p>
      <w:pPr>
        <w:pStyle w:val="DefinedTerms"/>
      </w:pPr>
      <w:r>
        <w:t>old scheme coverage application</w:t>
      </w:r>
      <w:r>
        <w:tab/>
        <w:t>1</w:t>
      </w:r>
    </w:p>
    <w:p>
      <w:pPr>
        <w:pStyle w:val="DefinedTerms"/>
      </w:pPr>
      <w:r>
        <w:t>old scheme coverage determination</w:t>
      </w:r>
      <w:r>
        <w:tab/>
        <w:t>1</w:t>
      </w:r>
    </w:p>
    <w:p>
      <w:pPr>
        <w:pStyle w:val="DefinedTerms"/>
      </w:pPr>
      <w:r>
        <w:t>old scheme coverage revocation application</w:t>
      </w:r>
      <w:r>
        <w:tab/>
        <w:t>1</w:t>
      </w:r>
    </w:p>
    <w:p>
      <w:pPr>
        <w:pStyle w:val="DefinedTerms"/>
      </w:pPr>
      <w:r>
        <w:t>old scheme coverage revocation determination</w:t>
      </w:r>
      <w:r>
        <w:tab/>
        <w:t>1</w:t>
      </w:r>
    </w:p>
    <w:p>
      <w:pPr>
        <w:pStyle w:val="DefinedTerms"/>
      </w:pPr>
      <w:r>
        <w:t>old scheme covered pipeline</w:t>
      </w:r>
      <w:r>
        <w:tab/>
        <w:t>1</w:t>
      </w:r>
    </w:p>
    <w:p>
      <w:pPr>
        <w:pStyle w:val="DefinedTerms"/>
      </w:pPr>
      <w:r>
        <w:t>old scheme distribution pipeline</w:t>
      </w:r>
      <w:r>
        <w:tab/>
        <w:t>2</w:t>
      </w:r>
    </w:p>
    <w:p>
      <w:pPr>
        <w:pStyle w:val="DefinedTerms"/>
      </w:pPr>
      <w:r>
        <w:t>old scheme limited access arrangement</w:t>
      </w:r>
      <w:r>
        <w:tab/>
        <w:t>1</w:t>
      </w:r>
    </w:p>
    <w:p>
      <w:pPr>
        <w:pStyle w:val="DefinedTerms"/>
      </w:pPr>
      <w:r>
        <w:t>old scheme price regulation exemption</w:t>
      </w:r>
      <w:r>
        <w:tab/>
        <w:t>1</w:t>
      </w:r>
    </w:p>
    <w:p>
      <w:pPr>
        <w:pStyle w:val="DefinedTerms"/>
      </w:pPr>
      <w:r>
        <w:t>old scheme relevant Minister</w:t>
      </w:r>
      <w:r>
        <w:tab/>
        <w:t>1</w:t>
      </w:r>
    </w:p>
    <w:p>
      <w:pPr>
        <w:pStyle w:val="DefinedTerms"/>
      </w:pPr>
      <w:r>
        <w:t>old scheme ring fencing requirement</w:t>
      </w:r>
      <w:r>
        <w:tab/>
        <w:t>38</w:t>
      </w:r>
    </w:p>
    <w:p>
      <w:pPr>
        <w:pStyle w:val="DefinedTerms"/>
      </w:pPr>
      <w:r>
        <w:t xml:space="preserve">old scheme transmission pipeline </w:t>
      </w:r>
      <w:r>
        <w:tab/>
        <w:t>2</w:t>
      </w:r>
    </w:p>
    <w:p>
      <w:pPr>
        <w:pStyle w:val="DefinedTerms"/>
      </w:pPr>
      <w:r>
        <w:t>omit</w:t>
      </w:r>
      <w:r>
        <w:tab/>
        <w:t>10</w:t>
      </w:r>
    </w:p>
    <w:p>
      <w:pPr>
        <w:pStyle w:val="DefinedTerms"/>
      </w:pPr>
      <w:r>
        <w:t>ordinary meaning</w:t>
      </w:r>
      <w:r>
        <w:tab/>
        <w:t>8</w:t>
      </w:r>
    </w:p>
    <w:p>
      <w:pPr>
        <w:pStyle w:val="DefinedTerms"/>
      </w:pPr>
      <w:r>
        <w:t>original decision maker</w:t>
      </w:r>
      <w:r>
        <w:tab/>
        <w:t>244</w:t>
      </w:r>
    </w:p>
    <w:p>
      <w:pPr>
        <w:pStyle w:val="DefinedTerms"/>
      </w:pPr>
      <w:r>
        <w:t>participating jurisdiction</w:t>
      </w:r>
      <w:r>
        <w:tab/>
        <w:t>2</w:t>
      </w:r>
    </w:p>
    <w:p>
      <w:pPr>
        <w:pStyle w:val="DefinedTerms"/>
      </w:pPr>
      <w:r>
        <w:t>party</w:t>
      </w:r>
      <w:r>
        <w:tab/>
        <w:t>178, 10</w:t>
      </w:r>
    </w:p>
    <w:p>
      <w:pPr>
        <w:pStyle w:val="DefinedTerms"/>
      </w:pPr>
      <w:r>
        <w:t>penalty</w:t>
      </w:r>
      <w:r>
        <w:tab/>
        <w:t>10</w:t>
      </w:r>
    </w:p>
    <w:p>
      <w:pPr>
        <w:pStyle w:val="DefinedTerms"/>
      </w:pPr>
      <w:r>
        <w:t>pending old scheme coverage determination</w:t>
      </w:r>
      <w:r>
        <w:tab/>
        <w:t>1</w:t>
      </w:r>
    </w:p>
    <w:p>
      <w:pPr>
        <w:pStyle w:val="DefinedTerms"/>
      </w:pPr>
      <w:r>
        <w:t>pending old scheme coverage non</w:t>
      </w:r>
      <w:r>
        <w:noBreakHyphen/>
        <w:t>revocation determination</w:t>
      </w:r>
      <w:r>
        <w:tab/>
        <w:t>1</w:t>
      </w:r>
    </w:p>
    <w:p>
      <w:pPr>
        <w:pStyle w:val="DefinedTerms"/>
      </w:pPr>
      <w:r>
        <w:t>pending old scheme coverage revocation determination</w:t>
      </w:r>
      <w:r>
        <w:tab/>
        <w:t>1</w:t>
      </w:r>
    </w:p>
    <w:p>
      <w:pPr>
        <w:pStyle w:val="DefinedTerms"/>
      </w:pPr>
      <w:r>
        <w:t>pending old scheme no</w:t>
      </w:r>
      <w:r>
        <w:noBreakHyphen/>
        <w:t>coverage determination</w:t>
      </w:r>
      <w:r>
        <w:tab/>
        <w:t>1</w:t>
      </w:r>
    </w:p>
    <w:p>
      <w:pPr>
        <w:pStyle w:val="DefinedTerms"/>
      </w:pPr>
      <w:r>
        <w:t>person</w:t>
      </w:r>
      <w:r>
        <w:tab/>
        <w:t>10</w:t>
      </w:r>
    </w:p>
    <w:p>
      <w:pPr>
        <w:pStyle w:val="DefinedTerms"/>
      </w:pPr>
      <w:r>
        <w:t>person aggrieved</w:t>
      </w:r>
      <w:r>
        <w:tab/>
        <w:t>241</w:t>
      </w:r>
    </w:p>
    <w:p>
      <w:pPr>
        <w:pStyle w:val="DefinedTerms"/>
      </w:pPr>
      <w:r>
        <w:t>pipeline</w:t>
      </w:r>
      <w:r>
        <w:tab/>
        <w:t>2</w:t>
      </w:r>
    </w:p>
    <w:p>
      <w:pPr>
        <w:pStyle w:val="DefinedTerms"/>
      </w:pPr>
      <w:r>
        <w:t>pipeline classification criterion</w:t>
      </w:r>
      <w:r>
        <w:tab/>
        <w:t>2</w:t>
      </w:r>
    </w:p>
    <w:p>
      <w:pPr>
        <w:pStyle w:val="DefinedTerms"/>
      </w:pPr>
      <w:r>
        <w:t>pipeline coverage criteria</w:t>
      </w:r>
      <w:r>
        <w:tab/>
        <w:t>2</w:t>
      </w:r>
    </w:p>
    <w:p>
      <w:pPr>
        <w:pStyle w:val="DefinedTerms"/>
      </w:pPr>
      <w:r>
        <w:t>pipeline reliability standard</w:t>
      </w:r>
      <w:r>
        <w:tab/>
        <w:t>2</w:t>
      </w:r>
    </w:p>
    <w:p>
      <w:pPr>
        <w:pStyle w:val="DefinedTerms"/>
      </w:pPr>
      <w:r>
        <w:t>pipeline safety duty</w:t>
      </w:r>
      <w:r>
        <w:tab/>
        <w:t>2</w:t>
      </w:r>
    </w:p>
    <w:p>
      <w:pPr>
        <w:pStyle w:val="DefinedTerms"/>
      </w:pPr>
      <w:r>
        <w:t>pipeline service</w:t>
      </w:r>
      <w:r>
        <w:tab/>
        <w:t>2</w:t>
      </w:r>
    </w:p>
    <w:p>
      <w:pPr>
        <w:pStyle w:val="DefinedTerms"/>
      </w:pPr>
      <w:r>
        <w:t>pipeline service standard</w:t>
      </w:r>
      <w:r>
        <w:tab/>
        <w:t>2</w:t>
      </w:r>
    </w:p>
    <w:p>
      <w:pPr>
        <w:pStyle w:val="DefinedTerms"/>
      </w:pPr>
      <w:r>
        <w:t>power</w:t>
      </w:r>
      <w:r>
        <w:tab/>
        <w:t>10</w:t>
      </w:r>
    </w:p>
    <w:p>
      <w:pPr>
        <w:pStyle w:val="DefinedTerms"/>
      </w:pPr>
      <w:r>
        <w:t>pre</w:t>
      </w:r>
      <w:r>
        <w:noBreakHyphen/>
        <w:t>notification right</w:t>
      </w:r>
      <w:r>
        <w:tab/>
        <w:t>188</w:t>
      </w:r>
    </w:p>
    <w:p>
      <w:pPr>
        <w:pStyle w:val="DefinedTerms"/>
      </w:pPr>
      <w:r>
        <w:t>prescribed</w:t>
      </w:r>
      <w:r>
        <w:tab/>
        <w:t>10</w:t>
      </w:r>
    </w:p>
    <w:p>
      <w:pPr>
        <w:pStyle w:val="DefinedTerms"/>
      </w:pPr>
      <w:r>
        <w:t>price or revenue regulation</w:t>
      </w:r>
      <w:r>
        <w:tab/>
        <w:t>2</w:t>
      </w:r>
    </w:p>
    <w:p>
      <w:pPr>
        <w:pStyle w:val="DefinedTerms"/>
      </w:pPr>
      <w:r>
        <w:t>price regulation exemption</w:t>
      </w:r>
      <w:r>
        <w:tab/>
        <w:t>2</w:t>
      </w:r>
    </w:p>
    <w:p>
      <w:pPr>
        <w:pStyle w:val="DefinedTerms"/>
      </w:pPr>
      <w:r>
        <w:t>price regulation exemption recommendation</w:t>
      </w:r>
      <w:r>
        <w:tab/>
        <w:t>2</w:t>
      </w:r>
    </w:p>
    <w:p>
      <w:pPr>
        <w:pStyle w:val="DefinedTerms"/>
      </w:pPr>
      <w:r>
        <w:t>principal decision maker</w:t>
      </w:r>
      <w:r>
        <w:tab/>
        <w:t>331</w:t>
      </w:r>
    </w:p>
    <w:p>
      <w:pPr>
        <w:pStyle w:val="DefinedTerms"/>
      </w:pPr>
      <w:r>
        <w:t>printed</w:t>
      </w:r>
      <w:r>
        <w:tab/>
        <w:t>10</w:t>
      </w:r>
    </w:p>
    <w:p>
      <w:pPr>
        <w:pStyle w:val="DefinedTerms"/>
      </w:pPr>
      <w:r>
        <w:t>proceeding</w:t>
      </w:r>
      <w:r>
        <w:tab/>
        <w:t>10</w:t>
      </w:r>
    </w:p>
    <w:p>
      <w:pPr>
        <w:pStyle w:val="DefinedTerms"/>
      </w:pPr>
      <w:r>
        <w:t>processable gas</w:t>
      </w:r>
      <w:r>
        <w:tab/>
        <w:t>2</w:t>
      </w:r>
    </w:p>
    <w:p>
      <w:pPr>
        <w:pStyle w:val="DefinedTerms"/>
      </w:pPr>
      <w:r>
        <w:t>producer</w:t>
      </w:r>
      <w:r>
        <w:tab/>
        <w:t>2</w:t>
      </w:r>
    </w:p>
    <w:p>
      <w:pPr>
        <w:pStyle w:val="DefinedTerms"/>
      </w:pPr>
      <w:r>
        <w:t>property</w:t>
      </w:r>
      <w:r>
        <w:tab/>
        <w:t>10</w:t>
      </w:r>
    </w:p>
    <w:p>
      <w:pPr>
        <w:pStyle w:val="DefinedTerms"/>
      </w:pPr>
      <w:r>
        <w:t>proposed Rule</w:t>
      </w:r>
      <w:r>
        <w:tab/>
        <w:t>290</w:t>
      </w:r>
    </w:p>
    <w:p>
      <w:pPr>
        <w:pStyle w:val="DefinedTerms"/>
      </w:pPr>
      <w:r>
        <w:t>prospective user</w:t>
      </w:r>
      <w:r>
        <w:tab/>
        <w:t>2</w:t>
      </w:r>
    </w:p>
    <w:p>
      <w:pPr>
        <w:pStyle w:val="DefinedTerms"/>
      </w:pPr>
      <w:r>
        <w:t>provision</w:t>
      </w:r>
      <w:r>
        <w:tab/>
        <w:t>10</w:t>
      </w:r>
    </w:p>
    <w:p>
      <w:pPr>
        <w:pStyle w:val="DefinedTerms"/>
      </w:pPr>
      <w:r>
        <w:t>publish</w:t>
      </w:r>
      <w:r>
        <w:tab/>
        <w:t>290</w:t>
      </w:r>
    </w:p>
    <w:p>
      <w:pPr>
        <w:pStyle w:val="DefinedTerms"/>
      </w:pPr>
      <w:r>
        <w:t>queuing requirements</w:t>
      </w:r>
      <w:r>
        <w:tab/>
        <w:t>2</w:t>
      </w:r>
    </w:p>
    <w:p>
      <w:pPr>
        <w:pStyle w:val="DefinedTerms"/>
      </w:pPr>
      <w:r>
        <w:t>reclassification decision</w:t>
      </w:r>
      <w:r>
        <w:tab/>
        <w:t>2, 129</w:t>
      </w:r>
    </w:p>
    <w:p>
      <w:pPr>
        <w:pStyle w:val="DefinedTerms"/>
      </w:pPr>
      <w:r>
        <w:t>record</w:t>
      </w:r>
      <w:r>
        <w:tab/>
        <w:t>10</w:t>
      </w:r>
    </w:p>
    <w:p>
      <w:pPr>
        <w:pStyle w:val="DefinedTerms"/>
      </w:pPr>
      <w:r>
        <w:t>reference service</w:t>
      </w:r>
      <w:r>
        <w:tab/>
        <w:t>2</w:t>
      </w:r>
    </w:p>
    <w:p>
      <w:pPr>
        <w:pStyle w:val="DefinedTerms"/>
      </w:pPr>
      <w:r>
        <w:t>reference tariff</w:t>
      </w:r>
      <w:r>
        <w:tab/>
        <w:t>2</w:t>
      </w:r>
    </w:p>
    <w:p>
      <w:pPr>
        <w:pStyle w:val="DefinedTerms"/>
      </w:pPr>
      <w:r>
        <w:t>Reference Tariff</w:t>
      </w:r>
      <w:r>
        <w:tab/>
        <w:t>31</w:t>
      </w:r>
    </w:p>
    <w:p>
      <w:pPr>
        <w:pStyle w:val="DefinedTerms"/>
      </w:pPr>
      <w:r>
        <w:t>regulated revenue</w:t>
      </w:r>
      <w:r>
        <w:tab/>
        <w:t>244</w:t>
      </w:r>
    </w:p>
    <w:p>
      <w:pPr>
        <w:pStyle w:val="DefinedTerms"/>
      </w:pPr>
      <w:r>
        <w:t>Regulations</w:t>
      </w:r>
      <w:r>
        <w:tab/>
        <w:t>2</w:t>
      </w:r>
    </w:p>
    <w:p>
      <w:pPr>
        <w:pStyle w:val="DefinedTerms"/>
      </w:pPr>
      <w:r>
        <w:t>Regulations or Rules of a savings and transitional nature</w:t>
      </w:r>
      <w:r>
        <w:tab/>
        <w:t>2</w:t>
      </w:r>
    </w:p>
    <w:p>
      <w:pPr>
        <w:pStyle w:val="DefinedTerms"/>
      </w:pPr>
      <w:r>
        <w:t>regulator</w:t>
      </w:r>
      <w:r>
        <w:tab/>
        <w:t>9(1), 2</w:t>
      </w:r>
    </w:p>
    <w:p>
      <w:pPr>
        <w:pStyle w:val="DefinedTerms"/>
      </w:pPr>
      <w:r>
        <w:t>regulatory information instrument</w:t>
      </w:r>
      <w:r>
        <w:tab/>
        <w:t>2</w:t>
      </w:r>
    </w:p>
    <w:p>
      <w:pPr>
        <w:pStyle w:val="DefinedTerms"/>
      </w:pPr>
      <w:r>
        <w:t xml:space="preserve">regulatory information notice </w:t>
      </w:r>
      <w:r>
        <w:tab/>
        <w:t>2</w:t>
      </w:r>
    </w:p>
    <w:p>
      <w:pPr>
        <w:pStyle w:val="DefinedTerms"/>
      </w:pPr>
      <w:r>
        <w:t>regulatory obligation or requirement</w:t>
      </w:r>
      <w:r>
        <w:tab/>
        <w:t>2</w:t>
      </w:r>
    </w:p>
    <w:p>
      <w:pPr>
        <w:pStyle w:val="DefinedTerms"/>
      </w:pPr>
      <w:r>
        <w:t xml:space="preserve">regulatory payment </w:t>
      </w:r>
      <w:r>
        <w:tab/>
        <w:t>2</w:t>
      </w:r>
    </w:p>
    <w:p>
      <w:pPr>
        <w:pStyle w:val="DefinedTerms"/>
      </w:pPr>
      <w:r>
        <w:t>regulatory period</w:t>
      </w:r>
      <w:r>
        <w:tab/>
        <w:t>244</w:t>
      </w:r>
    </w:p>
    <w:p>
      <w:pPr>
        <w:pStyle w:val="DefinedTerms"/>
      </w:pPr>
      <w:r>
        <w:t>regulatory scheme decision maker</w:t>
      </w:r>
      <w:r>
        <w:tab/>
        <w:t>332</w:t>
      </w:r>
    </w:p>
    <w:p>
      <w:pPr>
        <w:pStyle w:val="DefinedTerms"/>
      </w:pPr>
      <w:r>
        <w:t>related business</w:t>
      </w:r>
      <w:r>
        <w:tab/>
        <w:t>137</w:t>
      </w:r>
    </w:p>
    <w:p>
      <w:pPr>
        <w:pStyle w:val="DefinedTerms"/>
      </w:pPr>
      <w:r>
        <w:t>related provider</w:t>
      </w:r>
      <w:r>
        <w:tab/>
        <w:t>43</w:t>
      </w:r>
    </w:p>
    <w:p>
      <w:pPr>
        <w:pStyle w:val="DefinedTerms"/>
      </w:pPr>
      <w:r>
        <w:t>relevant appeals body</w:t>
      </w:r>
      <w:r>
        <w:tab/>
        <w:t>1</w:t>
      </w:r>
    </w:p>
    <w:p>
      <w:pPr>
        <w:pStyle w:val="DefinedTerms"/>
      </w:pPr>
      <w:r>
        <w:t>relevant decision maker</w:t>
      </w:r>
      <w:r>
        <w:tab/>
        <w:t>330</w:t>
      </w:r>
    </w:p>
    <w:p>
      <w:pPr>
        <w:pStyle w:val="DefinedTerms"/>
      </w:pPr>
      <w:r>
        <w:t>relevant decision or document</w:t>
      </w:r>
      <w:r>
        <w:tab/>
        <w:t>31</w:t>
      </w:r>
    </w:p>
    <w:p>
      <w:pPr>
        <w:pStyle w:val="DefinedTerms"/>
      </w:pPr>
      <w:r>
        <w:t>relevant exclusivity right</w:t>
      </w:r>
      <w:r>
        <w:tab/>
        <w:t>188, 321</w:t>
      </w:r>
    </w:p>
    <w:p>
      <w:pPr>
        <w:pStyle w:val="DefinedTerms"/>
      </w:pPr>
      <w:r>
        <w:t>relevant Minister</w:t>
      </w:r>
      <w:r>
        <w:tab/>
        <w:t>2</w:t>
      </w:r>
    </w:p>
    <w:p>
      <w:pPr>
        <w:pStyle w:val="DefinedTerms"/>
      </w:pPr>
      <w:r>
        <w:t>relevant national provisions</w:t>
      </w:r>
      <w:r>
        <w:tab/>
        <w:t>19(3)</w:t>
      </w:r>
    </w:p>
    <w:p>
      <w:pPr>
        <w:pStyle w:val="DefinedTerms"/>
      </w:pPr>
      <w:r>
        <w:t>relevant notice</w:t>
      </w:r>
      <w:r>
        <w:tab/>
        <w:t>42, 31, 33</w:t>
      </w:r>
    </w:p>
    <w:p>
      <w:pPr>
        <w:pStyle w:val="DefinedTerms"/>
      </w:pPr>
      <w:r>
        <w:t>relevant pipeline description</w:t>
      </w:r>
      <w:r>
        <w:tab/>
        <w:t>171</w:t>
      </w:r>
    </w:p>
    <w:p>
      <w:pPr>
        <w:pStyle w:val="DefinedTerms"/>
      </w:pPr>
      <w:r>
        <w:t>relevant protected contractual right</w:t>
      </w:r>
      <w:r>
        <w:tab/>
        <w:t>188, 321</w:t>
      </w:r>
    </w:p>
    <w:p>
      <w:pPr>
        <w:pStyle w:val="DefinedTerms"/>
      </w:pPr>
      <w:r>
        <w:t>relevant provision</w:t>
      </w:r>
      <w:r>
        <w:tab/>
        <w:t>31</w:t>
      </w:r>
    </w:p>
    <w:p>
      <w:pPr>
        <w:pStyle w:val="DefinedTerms"/>
      </w:pPr>
      <w:r>
        <w:t>relevant Regulator</w:t>
      </w:r>
      <w:r>
        <w:tab/>
        <w:t>2</w:t>
      </w:r>
    </w:p>
    <w:p>
      <w:pPr>
        <w:pStyle w:val="DefinedTerms"/>
      </w:pPr>
      <w:r>
        <w:t>relevant Regulator investigation</w:t>
      </w:r>
      <w:r>
        <w:tab/>
        <w:t>43</w:t>
      </w:r>
    </w:p>
    <w:p>
      <w:pPr>
        <w:pStyle w:val="DefinedTerms"/>
      </w:pPr>
      <w:r>
        <w:t>relevant transition date</w:t>
      </w:r>
      <w:r>
        <w:tab/>
        <w:t>9, 16, 24</w:t>
      </w:r>
    </w:p>
    <w:p>
      <w:pPr>
        <w:pStyle w:val="DefinedTerms"/>
      </w:pPr>
      <w:r>
        <w:t>relevant transition period</w:t>
      </w:r>
      <w:r>
        <w:tab/>
        <w:t>31, 38</w:t>
      </w:r>
    </w:p>
    <w:p>
      <w:pPr>
        <w:pStyle w:val="DefinedTerms"/>
      </w:pPr>
      <w:r>
        <w:t>REMCo</w:t>
      </w:r>
      <w:r>
        <w:tab/>
        <w:t>290</w:t>
      </w:r>
    </w:p>
    <w:p>
      <w:pPr>
        <w:pStyle w:val="DefinedTerms"/>
      </w:pPr>
      <w:r>
        <w:t>repeal</w:t>
      </w:r>
      <w:r>
        <w:tab/>
        <w:t>10</w:t>
      </w:r>
    </w:p>
    <w:p>
      <w:pPr>
        <w:pStyle w:val="DefinedTerms"/>
      </w:pPr>
      <w:r>
        <w:t>report trigger date</w:t>
      </w:r>
      <w:r>
        <w:tab/>
        <w:t>320</w:t>
      </w:r>
    </w:p>
    <w:p>
      <w:pPr>
        <w:pStyle w:val="DefinedTerms"/>
      </w:pPr>
      <w:r>
        <w:t>restricted period</w:t>
      </w:r>
      <w:r>
        <w:tab/>
        <w:t>329</w:t>
      </w:r>
    </w:p>
    <w:p>
      <w:pPr>
        <w:pStyle w:val="DefinedTerms"/>
      </w:pPr>
      <w:r>
        <w:t>revenue and pricing principles</w:t>
      </w:r>
      <w:r>
        <w:tab/>
        <w:t>2</w:t>
      </w:r>
    </w:p>
    <w:p>
      <w:pPr>
        <w:pStyle w:val="DefinedTerms"/>
      </w:pPr>
      <w:r>
        <w:t>review related matter</w:t>
      </w:r>
      <w:r>
        <w:tab/>
        <w:t>261</w:t>
      </w:r>
    </w:p>
    <w:p>
      <w:pPr>
        <w:pStyle w:val="DefinedTerms"/>
      </w:pPr>
      <w:r>
        <w:t>review under this Part</w:t>
      </w:r>
      <w:r>
        <w:tab/>
        <w:t>244</w:t>
      </w:r>
    </w:p>
    <w:p>
      <w:pPr>
        <w:pStyle w:val="DefinedTerms"/>
      </w:pPr>
      <w:r>
        <w:t>reviewable regulatory decision</w:t>
      </w:r>
      <w:r>
        <w:tab/>
        <w:t>2, 244, 31</w:t>
      </w:r>
    </w:p>
    <w:p>
      <w:pPr>
        <w:pStyle w:val="DefinedTerms"/>
      </w:pPr>
      <w:r>
        <w:t>reviewable regulatory decision process participant</w:t>
      </w:r>
      <w:r>
        <w:tab/>
        <w:t>244</w:t>
      </w:r>
    </w:p>
    <w:p>
      <w:pPr>
        <w:pStyle w:val="DefinedTerms"/>
      </w:pPr>
      <w:r>
        <w:t>ring fencing decision</w:t>
      </w:r>
      <w:r>
        <w:tab/>
        <w:t>2</w:t>
      </w:r>
    </w:p>
    <w:p>
      <w:pPr>
        <w:pStyle w:val="DefinedTerms"/>
      </w:pPr>
      <w:r>
        <w:t>Rule extrinsic material</w:t>
      </w:r>
      <w:r>
        <w:tab/>
        <w:t>8</w:t>
      </w:r>
    </w:p>
    <w:p>
      <w:pPr>
        <w:pStyle w:val="DefinedTerms"/>
      </w:pPr>
      <w:r>
        <w:t>Rules</w:t>
      </w:r>
      <w:r>
        <w:tab/>
        <w:t>2</w:t>
      </w:r>
    </w:p>
    <w:p>
      <w:pPr>
        <w:pStyle w:val="DefinedTerms"/>
      </w:pPr>
      <w:r>
        <w:t>SA Schedule amendment</w:t>
      </w:r>
      <w:r>
        <w:tab/>
        <w:t>7A(1)</w:t>
      </w:r>
    </w:p>
    <w:p>
      <w:pPr>
        <w:pStyle w:val="DefinedTerms"/>
      </w:pPr>
      <w:r>
        <w:t>scheme decision</w:t>
      </w:r>
      <w:r>
        <w:tab/>
        <w:t>330</w:t>
      </w:r>
    </w:p>
    <w:p>
      <w:pPr>
        <w:pStyle w:val="DefinedTerms"/>
      </w:pPr>
      <w:r>
        <w:t>scheme pipeline</w:t>
      </w:r>
      <w:r>
        <w:tab/>
        <w:t>2</w:t>
      </w:r>
    </w:p>
    <w:p>
      <w:pPr>
        <w:pStyle w:val="DefinedTerms"/>
      </w:pPr>
      <w:r>
        <w:t>scheme pipeline service provider</w:t>
      </w:r>
      <w:r>
        <w:tab/>
        <w:t>43</w:t>
      </w:r>
    </w:p>
    <w:p>
      <w:pPr>
        <w:pStyle w:val="DefinedTerms"/>
      </w:pPr>
      <w:r>
        <w:t>scheme procedure</w:t>
      </w:r>
      <w:r>
        <w:tab/>
        <w:t>330</w:t>
      </w:r>
    </w:p>
    <w:p>
      <w:pPr>
        <w:pStyle w:val="DefinedTerms"/>
      </w:pPr>
      <w:r>
        <w:t>service provider</w:t>
      </w:r>
      <w:r>
        <w:tab/>
        <w:t>2, 151, 160</w:t>
      </w:r>
    </w:p>
    <w:p>
      <w:pPr>
        <w:pStyle w:val="DefinedTerms"/>
      </w:pPr>
      <w:r>
        <w:t>service provider group</w:t>
      </w:r>
      <w:r>
        <w:tab/>
        <w:t>10</w:t>
      </w:r>
    </w:p>
    <w:p>
      <w:pPr>
        <w:pStyle w:val="DefinedTerms"/>
      </w:pPr>
      <w:r>
        <w:t>service provider performance report</w:t>
      </w:r>
      <w:r>
        <w:tab/>
        <w:t>2</w:t>
      </w:r>
    </w:p>
    <w:p>
      <w:pPr>
        <w:pStyle w:val="DefinedTerms"/>
      </w:pPr>
      <w:r>
        <w:t>SES employee</w:t>
      </w:r>
      <w:r>
        <w:tab/>
        <w:t>33</w:t>
      </w:r>
    </w:p>
    <w:p>
      <w:pPr>
        <w:pStyle w:val="DefinedTerms"/>
      </w:pPr>
      <w:r>
        <w:t>sign</w:t>
      </w:r>
      <w:r>
        <w:tab/>
        <w:t>10</w:t>
      </w:r>
    </w:p>
    <w:p>
      <w:pPr>
        <w:pStyle w:val="DefinedTerms"/>
      </w:pPr>
      <w:r>
        <w:t>small to medium user or end user</w:t>
      </w:r>
      <w:r>
        <w:tab/>
        <w:t>244</w:t>
      </w:r>
    </w:p>
    <w:p>
      <w:pPr>
        <w:pStyle w:val="DefinedTerms"/>
      </w:pPr>
      <w:r>
        <w:t>small/medium user or consumer intervener</w:t>
      </w:r>
      <w:r>
        <w:tab/>
        <w:t>244</w:t>
      </w:r>
    </w:p>
    <w:p>
      <w:pPr>
        <w:pStyle w:val="DefinedTerms"/>
      </w:pPr>
      <w:r>
        <w:t>South Australian Act</w:t>
      </w:r>
      <w:r>
        <w:tab/>
        <w:t>3(1)</w:t>
      </w:r>
    </w:p>
    <w:p>
      <w:pPr>
        <w:pStyle w:val="DefinedTerms"/>
      </w:pPr>
      <w:r>
        <w:t xml:space="preserve">spare capacity </w:t>
      </w:r>
      <w:r>
        <w:tab/>
        <w:t>2</w:t>
      </w:r>
    </w:p>
    <w:p>
      <w:pPr>
        <w:pStyle w:val="DefinedTerms"/>
      </w:pPr>
      <w:r>
        <w:t xml:space="preserve">specified dispute termination circumstance </w:t>
      </w:r>
      <w:r>
        <w:tab/>
        <w:t>186</w:t>
      </w:r>
    </w:p>
    <w:p>
      <w:pPr>
        <w:pStyle w:val="DefinedTerms"/>
      </w:pPr>
      <w:r>
        <w:t>standard period</w:t>
      </w:r>
      <w:r>
        <w:tab/>
        <w:t>260</w:t>
      </w:r>
    </w:p>
    <w:p>
      <w:pPr>
        <w:pStyle w:val="DefinedTerms"/>
      </w:pPr>
      <w:r>
        <w:t>statutory declaration</w:t>
      </w:r>
      <w:r>
        <w:tab/>
        <w:t>10</w:t>
      </w:r>
    </w:p>
    <w:p>
      <w:pPr>
        <w:pStyle w:val="DefinedTerms"/>
      </w:pPr>
      <w:r>
        <w:t>statutory instrument</w:t>
      </w:r>
      <w:r>
        <w:tab/>
        <w:t>10, 21, 51</w:t>
      </w:r>
    </w:p>
    <w:p>
      <w:pPr>
        <w:pStyle w:val="DefinedTerms"/>
      </w:pPr>
      <w:r>
        <w:t>storage provider</w:t>
      </w:r>
      <w:r>
        <w:tab/>
        <w:t>2</w:t>
      </w:r>
    </w:p>
    <w:p>
      <w:pPr>
        <w:pStyle w:val="DefinedTerms"/>
      </w:pPr>
      <w:r>
        <w:t>subsequent service provider</w:t>
      </w:r>
      <w:r>
        <w:tab/>
        <w:t>215</w:t>
      </w:r>
    </w:p>
    <w:p>
      <w:pPr>
        <w:pStyle w:val="DefinedTerms"/>
      </w:pPr>
      <w:r>
        <w:t>supply</w:t>
      </w:r>
      <w:r>
        <w:tab/>
        <w:t>2</w:t>
      </w:r>
    </w:p>
    <w:p>
      <w:pPr>
        <w:pStyle w:val="DefinedTerms"/>
      </w:pPr>
      <w:r>
        <w:t>swear</w:t>
      </w:r>
      <w:r>
        <w:tab/>
        <w:t>10</w:t>
      </w:r>
    </w:p>
    <w:p>
      <w:pPr>
        <w:pStyle w:val="DefinedTerms"/>
      </w:pPr>
      <w:r>
        <w:t>tariff</w:t>
      </w:r>
      <w:r>
        <w:tab/>
        <w:t>2</w:t>
      </w:r>
    </w:p>
    <w:p>
      <w:pPr>
        <w:pStyle w:val="DefinedTerms"/>
      </w:pPr>
      <w:r>
        <w:t>tender approval decision</w:t>
      </w:r>
      <w:r>
        <w:tab/>
        <w:t>2</w:t>
      </w:r>
    </w:p>
    <w:p>
      <w:pPr>
        <w:pStyle w:val="DefinedTerms"/>
      </w:pPr>
      <w:r>
        <w:t>Territory</w:t>
      </w:r>
      <w:r>
        <w:tab/>
        <w:t>2</w:t>
      </w:r>
    </w:p>
    <w:p>
      <w:pPr>
        <w:pStyle w:val="DefinedTerms"/>
      </w:pPr>
      <w:r>
        <w:t>that other legislation</w:t>
      </w:r>
      <w:r>
        <w:tab/>
        <w:t>16(1)</w:t>
      </w:r>
    </w:p>
    <w:p>
      <w:pPr>
        <w:pStyle w:val="DefinedTerms"/>
      </w:pPr>
      <w:r>
        <w:t>the first terms</w:t>
      </w:r>
      <w:r>
        <w:tab/>
        <w:t>134</w:t>
      </w:r>
    </w:p>
    <w:p>
      <w:pPr>
        <w:pStyle w:val="DefinedTerms"/>
      </w:pPr>
      <w:r>
        <w:t>the second terms</w:t>
      </w:r>
      <w:r>
        <w:tab/>
        <w:t>134</w:t>
      </w:r>
    </w:p>
    <w:p>
      <w:pPr>
        <w:pStyle w:val="DefinedTerms"/>
      </w:pPr>
      <w:r>
        <w:t>this jurisdiction</w:t>
      </w:r>
      <w:r>
        <w:tab/>
        <w:t>9(1)</w:t>
      </w:r>
    </w:p>
    <w:p>
      <w:pPr>
        <w:pStyle w:val="DefinedTerms"/>
      </w:pPr>
      <w:r>
        <w:t>this Law</w:t>
      </w:r>
      <w:r>
        <w:tab/>
        <w:t>9(1)</w:t>
      </w:r>
    </w:p>
    <w:p>
      <w:pPr>
        <w:pStyle w:val="DefinedTerms"/>
      </w:pPr>
      <w:r>
        <w:t>transitional period</w:t>
      </w:r>
      <w:r>
        <w:tab/>
        <w:t>20(2)</w:t>
      </w:r>
    </w:p>
    <w:p>
      <w:pPr>
        <w:pStyle w:val="DefinedTerms"/>
      </w:pPr>
      <w:r>
        <w:t>transitioned access arrangement</w:t>
      </w:r>
      <w:r>
        <w:tab/>
        <w:t>1</w:t>
      </w:r>
    </w:p>
    <w:p>
      <w:pPr>
        <w:pStyle w:val="DefinedTerms"/>
      </w:pPr>
      <w:r>
        <w:t>transmission pipeline</w:t>
      </w:r>
      <w:r>
        <w:tab/>
        <w:t>2</w:t>
      </w:r>
    </w:p>
    <w:p>
      <w:pPr>
        <w:pStyle w:val="DefinedTerms"/>
      </w:pPr>
      <w:r>
        <w:t>Tribunal</w:t>
      </w:r>
      <w:r>
        <w:tab/>
        <w:t>2</w:t>
      </w:r>
    </w:p>
    <w:p>
      <w:pPr>
        <w:pStyle w:val="DefinedTerms"/>
      </w:pPr>
      <w:r>
        <w:t>underlying National Gas Law</w:t>
      </w:r>
      <w:r>
        <w:tab/>
        <w:t>Sch. 1 cl. 1(2)</w:t>
      </w:r>
    </w:p>
    <w:p>
      <w:pPr>
        <w:pStyle w:val="DefinedTerms"/>
      </w:pPr>
      <w:r>
        <w:t>urgent Rule</w:t>
      </w:r>
      <w:r>
        <w:tab/>
        <w:t>290</w:t>
      </w:r>
    </w:p>
    <w:p>
      <w:pPr>
        <w:pStyle w:val="DefinedTerms"/>
      </w:pPr>
      <w:r>
        <w:t>user</w:t>
      </w:r>
      <w:r>
        <w:tab/>
        <w:t>2</w:t>
      </w:r>
    </w:p>
    <w:p>
      <w:pPr>
        <w:pStyle w:val="DefinedTerms"/>
      </w:pPr>
      <w:r>
        <w:t>user or consumer association</w:t>
      </w:r>
      <w:r>
        <w:tab/>
        <w:t>2, 244</w:t>
      </w:r>
    </w:p>
    <w:p>
      <w:pPr>
        <w:pStyle w:val="DefinedTerms"/>
      </w:pPr>
      <w:r>
        <w:t>user or consumer interest group</w:t>
      </w:r>
      <w:r>
        <w:tab/>
        <w:t>2, 244</w:t>
      </w:r>
    </w:p>
    <w:p>
      <w:pPr>
        <w:pStyle w:val="DefinedTerms"/>
      </w:pPr>
      <w:r>
        <w:t xml:space="preserve">user or consumer intervener </w:t>
      </w:r>
      <w:r>
        <w:tab/>
        <w:t>244</w:t>
      </w:r>
    </w:p>
    <w:p>
      <w:pPr>
        <w:pStyle w:val="DefinedTerms"/>
      </w:pPr>
      <w:r>
        <w:t>VENCorp</w:t>
      </w:r>
      <w:r>
        <w:tab/>
        <w:t>2</w:t>
      </w:r>
    </w:p>
    <w:p>
      <w:pPr>
        <w:pStyle w:val="DefinedTerms"/>
      </w:pPr>
      <w:r>
        <w:t>WA arbitrator</w:t>
      </w:r>
      <w:r>
        <w:tab/>
        <w:t>9(1), 2</w:t>
      </w:r>
    </w:p>
    <w:p>
      <w:pPr>
        <w:pStyle w:val="DefinedTerms"/>
      </w:pPr>
      <w:r>
        <w:t>Western Australian National Gas Access Law text</w:t>
      </w:r>
      <w:r>
        <w:tab/>
        <w:t>7(2)</w:t>
      </w:r>
    </w:p>
    <w:p>
      <w:pPr>
        <w:pStyle w:val="DefinedTerms"/>
      </w:pPr>
      <w:r>
        <w:t>word</w:t>
      </w:r>
      <w:r>
        <w:tab/>
        <w:t>10</w:t>
      </w:r>
    </w:p>
    <w:p>
      <w:pPr>
        <w:pStyle w:val="DefinedTerms"/>
      </w:pPr>
      <w:r>
        <w:t>writing</w:t>
      </w:r>
      <w:r>
        <w:tab/>
        <w:t>10</w:t>
      </w:r>
    </w:p>
    <w:p/>
    <w:p>
      <w:pPr>
        <w:sectPr>
          <w:headerReference w:type="even" r:id="rId44"/>
          <w:headerReference w:type="default" r:id="rId45"/>
          <w:pgSz w:w="11907" w:h="16840" w:code="9"/>
          <w:pgMar w:top="2381" w:right="2409" w:bottom="3543" w:left="2409" w:header="720" w:footer="3380" w:gutter="0"/>
          <w:cols w:space="720"/>
          <w:noEndnote/>
          <w:docGrid w:linePitch="326"/>
        </w:sectPr>
      </w:pPr>
    </w:p>
    <w:p/>
    <w:sectPr>
      <w:headerReference w:type="even" r:id="rId46"/>
      <w:headerReference w:type="default" r:id="rId47"/>
      <w:footerReference w:type="even" r:id="rId48"/>
      <w:footerReference w:type="default" r:id="rId49"/>
      <w:headerReference w:type="first" r:id="rId50"/>
      <w:footerReference w:type="first" r:id="rId51"/>
      <w:endnotePr>
        <w:numFmt w:val="decimal"/>
      </w:endnotePr>
      <w:type w:val="continuous"/>
      <w:pgSz w:w="11907" w:h="16840" w:code="9"/>
      <w:pgMar w:top="567" w:right="2410" w:bottom="567"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403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r>
            <w:rPr>
              <w:b/>
            </w:rPr>
            <w:t xml:space="preserve"> </w:t>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68" w:name="Schedule"/>
    <w:bookmarkEnd w:id="16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Some modifications to National Gas Law as in Schedule to South Australian Act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18</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16</w:instrText>
          </w:r>
          <w:r>
            <w:rPr>
              <w:b/>
            </w:rPr>
            <w:fldChar w:fldCharType="end"/>
          </w:r>
          <w:r>
            <w:rPr>
              <w:b/>
            </w:rPr>
            <w:instrText>"</w:instrText>
          </w:r>
          <w:r>
            <w:rPr>
              <w:b/>
            </w:rPr>
            <w:fldChar w:fldCharType="separate"/>
          </w:r>
          <w:r>
            <w:rPr>
              <w:b/>
            </w:rPr>
            <w:t>18</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Some modifications to National Gas Law as in Schedule to South Australian Act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7</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separate"/>
          </w:r>
          <w:r>
            <w:rPr>
              <w:b/>
            </w:rPr>
            <w:t>Part 7</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Various Acts amended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5</w:instrText>
          </w:r>
          <w:r>
            <w:rPr>
              <w:b/>
            </w:rPr>
            <w:fldChar w:fldCharType="end"/>
          </w:r>
          <w:r>
            <w:rPr>
              <w:b/>
            </w:rPr>
            <w:instrText>"</w:instrText>
          </w:r>
          <w:r>
            <w:rPr>
              <w:b/>
            </w:rPr>
            <w:fldChar w:fldCharType="separate"/>
          </w:r>
          <w:r>
            <w:rPr>
              <w:b/>
            </w:rPr>
            <w:t>Division 5</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Other Acts amended</w: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294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71</w:instrText>
          </w:r>
          <w:r>
            <w:rPr>
              <w:b/>
            </w:rPr>
            <w:fldChar w:fldCharType="end"/>
          </w:r>
          <w:r>
            <w:rPr>
              <w:b/>
            </w:rPr>
            <w:instrText>"</w:instrText>
          </w:r>
          <w:r>
            <w:rPr>
              <w:b/>
            </w:rPr>
            <w:fldChar w:fldCharType="separate"/>
          </w:r>
          <w:r>
            <w:rPr>
              <w:b/>
            </w:rPr>
            <w:t>294</w:t>
          </w:r>
          <w:r>
            <w:rPr>
              <w:b/>
            </w:rPr>
            <w:fldChar w:fldCharType="end"/>
          </w:r>
        </w:p>
      </w:tc>
    </w:tr>
  </w:tbl>
  <w:p>
    <w:pPr>
      <w:pStyle w:val="Header"/>
      <w:pBdr>
        <w:top w:val="single" w:sz="4" w:space="1" w:color="auto"/>
      </w:pBdr>
      <w:rPr>
        <w:rFonts w:ascii="Times New Roman" w:hAnsi="Times New Roman"/>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Some modifications to National Gas Law as in Schedule to South Australian Act</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separate"/>
          </w:r>
          <w:r>
            <w:t>Various Acts amended</w: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7</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Other Acts amended</w: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5</w:t>
          </w:r>
          <w:r>
            <w:rPr>
              <w:b/>
            </w:rPr>
            <w:fldChar w:fldCharType="end"/>
          </w: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294</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Some modifications to National Gas Law as in Schedule to South Australian Act</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separate"/>
          </w:r>
          <w:r>
            <w:t>Various Acts amended</w: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7</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Other Acts amended</w: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5</w:t>
          </w:r>
          <w:r>
            <w:rPr>
              <w:b/>
            </w:rPr>
            <w:fldChar w:fldCharType="end"/>
          </w: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294</w:t>
          </w:r>
          <w:r>
            <w:rPr>
              <w:b/>
            </w:rPr>
            <w:fldChar w:fldCharType="end"/>
          </w: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Note</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Western Australian National Gas Access Law text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Chapter 10</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separate"/>
          </w:r>
          <w:r>
            <w:rPr>
              <w:b/>
            </w:rPr>
            <w:t>Chapter 10</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General</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separate"/>
          </w:r>
          <w:r>
            <w:rPr>
              <w:b/>
            </w:rPr>
            <w:instrText>Part 3</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Miscellaneous</w:t>
          </w:r>
          <w:r>
            <w:fldChar w:fldCharType="end"/>
          </w: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Western Australian National Gas Access Law text</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Note</w: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separate"/>
          </w:r>
          <w:r>
            <w:t>General</w: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Chapter 10</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Miscellaneous</w: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Part 3</w:t>
          </w:r>
          <w:r>
            <w:rPr>
              <w:b/>
            </w:rPr>
            <w:fldChar w:fldCharType="end"/>
          </w: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Note</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Western Australian National Gas Access Law text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Chapter 10</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separate"/>
          </w:r>
          <w:r>
            <w:rPr>
              <w:b/>
            </w:rPr>
            <w:t>Chapter 10</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General</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separate"/>
          </w:r>
          <w:r>
            <w:rPr>
              <w:b/>
            </w:rPr>
            <w:instrText>Part 3</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Miscellaneous</w:t>
          </w:r>
          <w:r>
            <w:fldChar w:fldCharType="end"/>
          </w: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Note</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Western Australian National Gas Access Law text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Subject matter for the National Gas Rules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336</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336</w:t>
          </w:r>
          <w:r>
            <w:rPr>
              <w:b/>
            </w:rPr>
            <w:fldChar w:fldCharType="end"/>
          </w:r>
        </w:p>
      </w:tc>
    </w:tr>
  </w:tbl>
  <w:p>
    <w:pPr>
      <w:pStyle w:val="Header"/>
      <w:pBdr>
        <w:top w:val="single" w:sz="4" w:space="1" w:color="auto"/>
      </w:pBdr>
      <w:rPr>
        <w:rFonts w:ascii="Times New Roman" w:hAnsi="Times New Roman"/>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Western Australian National Gas Access Law text</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Note</w: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separate"/>
          </w:r>
          <w:r>
            <w:t>Subject matter for the National Gas Rules</w: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336</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84" w:name="Compilation"/>
    <w:bookmarkEnd w:id="1084"/>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88" w:name="DefinedTerms"/>
    <w:bookmarkEnd w:id="108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89" w:name="Coversheet"/>
    <w:bookmarkEnd w:id="1089"/>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B4D5AA"/>
    <w:lvl w:ilvl="0">
      <w:start w:val="1"/>
      <w:numFmt w:val="decimal"/>
      <w:lvlText w:val="%1."/>
      <w:lvlJc w:val="left"/>
      <w:pPr>
        <w:tabs>
          <w:tab w:val="num" w:pos="1800"/>
        </w:tabs>
        <w:ind w:left="1800" w:hanging="360"/>
      </w:pPr>
    </w:lvl>
  </w:abstractNum>
  <w:abstractNum w:abstractNumId="1">
    <w:nsid w:val="FFFFFF7D"/>
    <w:multiLevelType w:val="singleLevel"/>
    <w:tmpl w:val="84C62F7E"/>
    <w:lvl w:ilvl="0">
      <w:start w:val="1"/>
      <w:numFmt w:val="decimal"/>
      <w:lvlText w:val="%1."/>
      <w:lvlJc w:val="left"/>
      <w:pPr>
        <w:tabs>
          <w:tab w:val="num" w:pos="1440"/>
        </w:tabs>
        <w:ind w:left="1440" w:hanging="360"/>
      </w:pPr>
    </w:lvl>
  </w:abstractNum>
  <w:abstractNum w:abstractNumId="2">
    <w:nsid w:val="FFFFFF7E"/>
    <w:multiLevelType w:val="singleLevel"/>
    <w:tmpl w:val="F2A66D74"/>
    <w:lvl w:ilvl="0">
      <w:start w:val="1"/>
      <w:numFmt w:val="decimal"/>
      <w:lvlText w:val="%1."/>
      <w:lvlJc w:val="left"/>
      <w:pPr>
        <w:tabs>
          <w:tab w:val="num" w:pos="1080"/>
        </w:tabs>
        <w:ind w:left="1080" w:hanging="360"/>
      </w:pPr>
    </w:lvl>
  </w:abstractNum>
  <w:abstractNum w:abstractNumId="3">
    <w:nsid w:val="FFFFFF7F"/>
    <w:multiLevelType w:val="singleLevel"/>
    <w:tmpl w:val="4044C78C"/>
    <w:lvl w:ilvl="0">
      <w:start w:val="1"/>
      <w:numFmt w:val="decimal"/>
      <w:lvlText w:val="%1."/>
      <w:lvlJc w:val="left"/>
      <w:pPr>
        <w:tabs>
          <w:tab w:val="num" w:pos="720"/>
        </w:tabs>
        <w:ind w:left="720" w:hanging="360"/>
      </w:pPr>
    </w:lvl>
  </w:abstractNum>
  <w:abstractNum w:abstractNumId="4">
    <w:nsid w:val="FFFFFF80"/>
    <w:multiLevelType w:val="singleLevel"/>
    <w:tmpl w:val="5AA617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D8AAB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3A05DE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17CC1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59033E4"/>
    <w:lvl w:ilvl="0">
      <w:start w:val="1"/>
      <w:numFmt w:val="decimal"/>
      <w:lvlText w:val="%1."/>
      <w:lvlJc w:val="left"/>
      <w:pPr>
        <w:tabs>
          <w:tab w:val="num" w:pos="360"/>
        </w:tabs>
        <w:ind w:left="360" w:hanging="360"/>
      </w:pPr>
    </w:lvl>
  </w:abstractNum>
  <w:abstractNum w:abstractNumId="9">
    <w:nsid w:val="FFFFFF89"/>
    <w:multiLevelType w:val="singleLevel"/>
    <w:tmpl w:val="52724F6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2688C9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632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21105347"/>
    <w:docVar w:name="WAFER_20140121144501" w:val="RemoveTocBookmarks,RemoveUnusedBookmarks,RemoveLanguageTags,UsedStyles,ResetPageSize,UpdateArrangement"/>
    <w:docVar w:name="WAFER_20140121144501_GUID" w:val="2421e610-76a9-4bcc-811e-970d9f352fa6"/>
    <w:docVar w:name="WAFER_20140121153745" w:val="RemoveTocBookmarks,RunningHeaders"/>
    <w:docVar w:name="WAFER_20140121153745_GUID" w:val="d0e3b08e-af4c-40c7-bec9-582b25f4b0fb"/>
    <w:docVar w:name="WAFER_20150609125120" w:val="ResetPageSize,UpdateArrangement,UpdateNTable"/>
    <w:docVar w:name="WAFER_20150609125120_GUID" w:val="8cef6168-dfa6-496c-b073-d5e6771382fb"/>
    <w:docVar w:name="WAFER_20150609125400" w:val="ResetPageSize,UpdateArrangement,UpdateNTable"/>
    <w:docVar w:name="WAFER_20150609125400_GUID" w:val="bfcf57a7-dc94-4992-b57c-8f1dd7160085"/>
    <w:docVar w:name="WAFER_20151106161541" w:val="UpdateStyles,UsedStyles"/>
    <w:docVar w:name="WAFER_20151106161541_GUID" w:val="6923cbd6-5eca-402a-8d3f-017948d0a224"/>
    <w:docVar w:name="WAFER_20151130172542" w:val="RemoveTrackChanges"/>
    <w:docVar w:name="WAFER_20151130172542_GUID" w:val="947ca104-96d2-41f7-897f-a36bac67aee9"/>
    <w:docVar w:name="WAFER_20171221105347" w:val="RemoveTocBookmarks,RemoveUnusedBookmarks,RemoveLanguageTags,UsedStyles,ResetPageSize"/>
    <w:docVar w:name="WAFER_20171221105347_GUID" w:val="74fe6d1c-7191-495e-b343-e0d61d6409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5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yperlink" Target="http://www.legislation.sa.gov.au/index.aspx?action=legref&amp;type=act&amp;legtitle=National%20Gas%20(South%20Australia)%20Act%202008" TargetMode="Externa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49"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7.xml"/><Relationship Id="rId48" Type="http://schemas.openxmlformats.org/officeDocument/2006/relationships/footer" Target="footer7.xml"/><Relationship Id="rId8" Type="http://schemas.openxmlformats.org/officeDocument/2006/relationships/endnotes" Target="endnotes.xml"/><Relationship Id="rId5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7F6EA-B43A-4DE7-B6FE-54E6F28A7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435</Pages>
  <Words>98238</Words>
  <Characters>489231</Characters>
  <Application>Microsoft Office Word</Application>
  <DocSecurity>0</DocSecurity>
  <Lines>14389</Lines>
  <Paragraphs>7629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579840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Gas Access (WA) Act 2009 - 00-f0-04</dc:title>
  <dc:subject/>
  <dc:creator/>
  <cp:keywords/>
  <dc:description/>
  <cp:lastModifiedBy>svcMRProcess</cp:lastModifiedBy>
  <cp:revision>4</cp:revision>
  <cp:lastPrinted>2019-02-01T03:20:00Z</cp:lastPrinted>
  <dcterms:created xsi:type="dcterms:W3CDTF">2019-02-22T04:08:00Z</dcterms:created>
  <dcterms:modified xsi:type="dcterms:W3CDTF">2019-02-22T04:09:00Z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2009</vt:lpwstr>
  </property>
  <property fmtid="{D5CDD505-2E9C-101B-9397-08002B2CF9AE}" pid="3" name="OwlsUID">
    <vt:i4>146714</vt:i4>
  </property>
  <property fmtid="{D5CDD505-2E9C-101B-9397-08002B2CF9AE}" pid="4" name="DocumentType">
    <vt:lpwstr>Act</vt:lpwstr>
  </property>
  <property fmtid="{D5CDD505-2E9C-101B-9397-08002B2CF9AE}" pid="5" name="CommencementDate">
    <vt:lpwstr>20171223</vt:lpwstr>
  </property>
  <property fmtid="{D5CDD505-2E9C-101B-9397-08002B2CF9AE}" pid="6" name="AsAtDate">
    <vt:lpwstr>23 Dec 2017</vt:lpwstr>
  </property>
  <property fmtid="{D5CDD505-2E9C-101B-9397-08002B2CF9AE}" pid="7" name="Suffix">
    <vt:lpwstr>00-f0-04</vt:lpwstr>
  </property>
</Properties>
</file>