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_Toc146698976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_Toc146698977 \h </w:instrText>
      </w:r>
      <w:r>
        <w:fldChar w:fldCharType="separate"/>
      </w:r>
      <w:r>
        <w:t>1</w:t>
      </w:r>
      <w:r>
        <w:fldChar w:fldCharType="end"/>
      </w:r>
    </w:p>
    <w:p>
      <w:pPr>
        <w:pStyle w:val="TOC2"/>
        <w:tabs>
          <w:tab w:val="right" w:leader="dot" w:pos="7078"/>
        </w:tabs>
        <w:rPr>
          <w:b w:val="0"/>
          <w:sz w:val="24"/>
          <w:szCs w:val="24"/>
        </w:rPr>
      </w:pPr>
      <w:r>
        <w:rPr>
          <w:szCs w:val="30"/>
        </w:rPr>
        <w:t>Part 2 — Special provisions about motor fuel</w:t>
      </w:r>
    </w:p>
    <w:p>
      <w:pPr>
        <w:pStyle w:val="TOC4"/>
        <w:tabs>
          <w:tab w:val="right" w:leader="dot" w:pos="7078"/>
        </w:tabs>
        <w:rPr>
          <w:b w:val="0"/>
          <w:sz w:val="24"/>
          <w:szCs w:val="24"/>
        </w:rPr>
      </w:pPr>
      <w:r>
        <w:rPr>
          <w:szCs w:val="26"/>
        </w:rPr>
        <w:t>Division 1 — Retail sale</w:t>
      </w:r>
    </w:p>
    <w:p>
      <w:pPr>
        <w:pStyle w:val="TOC8"/>
        <w:rPr>
          <w:sz w:val="24"/>
          <w:szCs w:val="24"/>
        </w:rPr>
      </w:pPr>
      <w:r>
        <w:rPr>
          <w:szCs w:val="24"/>
        </w:rPr>
        <w:t>2A.</w:t>
      </w:r>
      <w:r>
        <w:rPr>
          <w:szCs w:val="24"/>
        </w:rPr>
        <w:tab/>
        <w:t>Meaning of terms used in regulations 3 and 3A</w:t>
      </w:r>
      <w:r>
        <w:tab/>
      </w:r>
      <w:r>
        <w:fldChar w:fldCharType="begin"/>
      </w:r>
      <w:r>
        <w:instrText xml:space="preserve"> PAGEREF _Toc146698980 \h </w:instrText>
      </w:r>
      <w:r>
        <w:fldChar w:fldCharType="separate"/>
      </w:r>
      <w:r>
        <w:t>2</w:t>
      </w:r>
      <w:r>
        <w:fldChar w:fldCharType="end"/>
      </w:r>
    </w:p>
    <w:p>
      <w:pPr>
        <w:pStyle w:val="TOC8"/>
        <w:rPr>
          <w:sz w:val="24"/>
          <w:szCs w:val="24"/>
        </w:rPr>
      </w:pPr>
      <w:r>
        <w:rPr>
          <w:szCs w:val="24"/>
        </w:rPr>
        <w:t>3.</w:t>
      </w:r>
      <w:r>
        <w:rPr>
          <w:szCs w:val="24"/>
        </w:rPr>
        <w:tab/>
        <w:t>Standard retail price to be as notified</w:t>
      </w:r>
      <w:r>
        <w:tab/>
      </w:r>
      <w:r>
        <w:fldChar w:fldCharType="begin"/>
      </w:r>
      <w:r>
        <w:instrText xml:space="preserve"> PAGEREF _Toc146698981 \h </w:instrText>
      </w:r>
      <w:r>
        <w:fldChar w:fldCharType="separate"/>
      </w:r>
      <w:r>
        <w:t>2</w:t>
      </w:r>
      <w:r>
        <w:fldChar w:fldCharType="end"/>
      </w:r>
    </w:p>
    <w:p>
      <w:pPr>
        <w:pStyle w:val="TOC8"/>
        <w:rPr>
          <w:sz w:val="24"/>
          <w:szCs w:val="24"/>
        </w:rPr>
      </w:pPr>
      <w:r>
        <w:rPr>
          <w:szCs w:val="24"/>
        </w:rPr>
        <w:t>3A.</w:t>
      </w:r>
      <w:r>
        <w:rPr>
          <w:szCs w:val="24"/>
        </w:rPr>
        <w:tab/>
        <w:t>Requirements for giving notification</w:t>
      </w:r>
      <w:r>
        <w:tab/>
      </w:r>
      <w:r>
        <w:fldChar w:fldCharType="begin"/>
      </w:r>
      <w:r>
        <w:instrText xml:space="preserve"> PAGEREF _Toc146698982 \h </w:instrText>
      </w:r>
      <w:r>
        <w:fldChar w:fldCharType="separate"/>
      </w:r>
      <w:r>
        <w:t>3</w:t>
      </w:r>
      <w:r>
        <w:fldChar w:fldCharType="end"/>
      </w:r>
    </w:p>
    <w:p>
      <w:pPr>
        <w:pStyle w:val="TOC8"/>
        <w:rPr>
          <w:sz w:val="24"/>
          <w:szCs w:val="24"/>
        </w:rPr>
      </w:pPr>
      <w:r>
        <w:rPr>
          <w:szCs w:val="24"/>
        </w:rPr>
        <w:t>4.</w:t>
      </w:r>
      <w:r>
        <w:rPr>
          <w:szCs w:val="24"/>
        </w:rPr>
        <w:tab/>
        <w:t>Price changes in certain places need not be notified</w:t>
      </w:r>
      <w:r>
        <w:tab/>
      </w:r>
      <w:r>
        <w:fldChar w:fldCharType="begin"/>
      </w:r>
      <w:r>
        <w:instrText xml:space="preserve"> PAGEREF _Toc146698983 \h </w:instrText>
      </w:r>
      <w:r>
        <w:fldChar w:fldCharType="separate"/>
      </w:r>
      <w:r>
        <w:t>3</w:t>
      </w:r>
      <w:r>
        <w:fldChar w:fldCharType="end"/>
      </w:r>
    </w:p>
    <w:p>
      <w:pPr>
        <w:pStyle w:val="TOC8"/>
        <w:rPr>
          <w:sz w:val="24"/>
          <w:szCs w:val="24"/>
        </w:rPr>
      </w:pPr>
      <w:r>
        <w:rPr>
          <w:szCs w:val="24"/>
        </w:rPr>
        <w:t>5.</w:t>
      </w:r>
      <w:r>
        <w:rPr>
          <w:szCs w:val="24"/>
        </w:rPr>
        <w:tab/>
        <w:t>Places where regulation 6 applies</w:t>
      </w:r>
      <w:r>
        <w:tab/>
      </w:r>
      <w:r>
        <w:fldChar w:fldCharType="begin"/>
      </w:r>
      <w:r>
        <w:instrText xml:space="preserve"> PAGEREF _Toc146698984 \h </w:instrText>
      </w:r>
      <w:r>
        <w:fldChar w:fldCharType="separate"/>
      </w:r>
      <w:r>
        <w:t>4</w:t>
      </w:r>
      <w:r>
        <w:fldChar w:fldCharType="end"/>
      </w:r>
    </w:p>
    <w:p>
      <w:pPr>
        <w:pStyle w:val="TOC8"/>
        <w:rPr>
          <w:sz w:val="24"/>
          <w:szCs w:val="24"/>
        </w:rPr>
      </w:pPr>
      <w:r>
        <w:rPr>
          <w:szCs w:val="24"/>
        </w:rPr>
        <w:t>6.</w:t>
      </w:r>
      <w:r>
        <w:rPr>
          <w:szCs w:val="24"/>
        </w:rPr>
        <w:tab/>
        <w:t>Retailer to display standard retail prices</w:t>
      </w:r>
      <w:r>
        <w:tab/>
      </w:r>
      <w:r>
        <w:fldChar w:fldCharType="begin"/>
      </w:r>
      <w:r>
        <w:instrText xml:space="preserve"> PAGEREF _Toc146698985 \h </w:instrText>
      </w:r>
      <w:r>
        <w:fldChar w:fldCharType="separate"/>
      </w:r>
      <w:r>
        <w:t>4</w:t>
      </w:r>
      <w:r>
        <w:fldChar w:fldCharType="end"/>
      </w:r>
    </w:p>
    <w:p>
      <w:pPr>
        <w:pStyle w:val="TOC4"/>
        <w:tabs>
          <w:tab w:val="right" w:leader="dot" w:pos="7078"/>
        </w:tabs>
        <w:rPr>
          <w:b w:val="0"/>
          <w:sz w:val="24"/>
          <w:szCs w:val="24"/>
        </w:rPr>
      </w:pPr>
      <w:r>
        <w:rPr>
          <w:szCs w:val="26"/>
        </w:rPr>
        <w:t>Division 2 — Before retail sale</w:t>
      </w:r>
    </w:p>
    <w:p>
      <w:pPr>
        <w:pStyle w:val="TOC8"/>
        <w:rPr>
          <w:sz w:val="24"/>
          <w:szCs w:val="24"/>
        </w:rPr>
      </w:pPr>
      <w:r>
        <w:rPr>
          <w:szCs w:val="24"/>
        </w:rPr>
        <w:t>7.</w:t>
      </w:r>
      <w:r>
        <w:rPr>
          <w:szCs w:val="24"/>
        </w:rPr>
        <w:tab/>
        <w:t>How to notify Commissioner of price changes</w:t>
      </w:r>
      <w:r>
        <w:tab/>
      </w:r>
      <w:r>
        <w:fldChar w:fldCharType="begin"/>
      </w:r>
      <w:r>
        <w:instrText xml:space="preserve"> PAGEREF _Toc146698987 \h </w:instrText>
      </w:r>
      <w:r>
        <w:fldChar w:fldCharType="separate"/>
      </w:r>
      <w:r>
        <w:t>6</w:t>
      </w:r>
      <w:r>
        <w:fldChar w:fldCharType="end"/>
      </w:r>
    </w:p>
    <w:p>
      <w:pPr>
        <w:pStyle w:val="TOC8"/>
        <w:rPr>
          <w:sz w:val="24"/>
          <w:szCs w:val="24"/>
        </w:rPr>
      </w:pPr>
      <w:r>
        <w:rPr>
          <w:szCs w:val="24"/>
        </w:rPr>
        <w:t>8.</w:t>
      </w:r>
      <w:r>
        <w:rPr>
          <w:szCs w:val="24"/>
        </w:rPr>
        <w:tab/>
        <w:t>Previous month’s weighted average price</w:t>
      </w:r>
      <w:r>
        <w:tab/>
      </w:r>
      <w:r>
        <w:fldChar w:fldCharType="begin"/>
      </w:r>
      <w:r>
        <w:instrText xml:space="preserve"> PAGEREF _Toc146698988 \h </w:instrText>
      </w:r>
      <w:r>
        <w:fldChar w:fldCharType="separate"/>
      </w:r>
      <w:r>
        <w:t>6</w:t>
      </w:r>
      <w:r>
        <w:fldChar w:fldCharType="end"/>
      </w:r>
    </w:p>
    <w:p>
      <w:pPr>
        <w:pStyle w:val="TOC8"/>
        <w:rPr>
          <w:sz w:val="24"/>
          <w:szCs w:val="24"/>
        </w:rPr>
      </w:pPr>
      <w:r>
        <w:rPr>
          <w:szCs w:val="24"/>
        </w:rPr>
        <w:t>9.</w:t>
      </w:r>
      <w:r>
        <w:rPr>
          <w:szCs w:val="24"/>
        </w:rPr>
        <w:tab/>
        <w:t>Details of price differences</w:t>
      </w:r>
      <w:r>
        <w:tab/>
      </w:r>
      <w:r>
        <w:fldChar w:fldCharType="begin"/>
      </w:r>
      <w:r>
        <w:instrText xml:space="preserve"> PAGEREF _Toc146698989 \h </w:instrText>
      </w:r>
      <w:r>
        <w:fldChar w:fldCharType="separate"/>
      </w:r>
      <w:r>
        <w:t>7</w:t>
      </w:r>
      <w:r>
        <w:fldChar w:fldCharType="end"/>
      </w:r>
    </w:p>
    <w:p>
      <w:pPr>
        <w:pStyle w:val="TOC8"/>
        <w:rPr>
          <w:sz w:val="24"/>
          <w:szCs w:val="24"/>
        </w:rPr>
      </w:pPr>
      <w:r>
        <w:rPr>
          <w:szCs w:val="24"/>
        </w:rPr>
        <w:t>10.</w:t>
      </w:r>
      <w:r>
        <w:rPr>
          <w:szCs w:val="24"/>
        </w:rPr>
        <w:tab/>
        <w:t>Notifying Commissioner of price differences</w:t>
      </w:r>
      <w:r>
        <w:tab/>
      </w:r>
      <w:r>
        <w:fldChar w:fldCharType="begin"/>
      </w:r>
      <w:r>
        <w:instrText xml:space="preserve"> PAGEREF _Toc146698990 \h </w:instrText>
      </w:r>
      <w:r>
        <w:fldChar w:fldCharType="separate"/>
      </w:r>
      <w:r>
        <w:t>7</w:t>
      </w:r>
      <w:r>
        <w:fldChar w:fldCharType="end"/>
      </w:r>
    </w:p>
    <w:p>
      <w:pPr>
        <w:pStyle w:val="TOC2"/>
        <w:tabs>
          <w:tab w:val="right" w:leader="dot" w:pos="7078"/>
        </w:tabs>
        <w:rPr>
          <w:b w:val="0"/>
          <w:sz w:val="24"/>
          <w:szCs w:val="24"/>
        </w:rPr>
      </w:pPr>
      <w:r>
        <w:rPr>
          <w:szCs w:val="30"/>
        </w:rPr>
        <w:t>Part 3 — Infringement notices and modified penalties</w:t>
      </w:r>
    </w:p>
    <w:p>
      <w:pPr>
        <w:pStyle w:val="TOC8"/>
        <w:rPr>
          <w:sz w:val="24"/>
          <w:szCs w:val="24"/>
        </w:rPr>
      </w:pPr>
      <w:r>
        <w:rPr>
          <w:szCs w:val="24"/>
        </w:rPr>
        <w:t>11.</w:t>
      </w:r>
      <w:r>
        <w:rPr>
          <w:szCs w:val="24"/>
        </w:rPr>
        <w:tab/>
        <w:t>Prescribed offences (s. 31B)</w:t>
      </w:r>
      <w:r>
        <w:tab/>
      </w:r>
      <w:r>
        <w:fldChar w:fldCharType="begin"/>
      </w:r>
      <w:r>
        <w:instrText xml:space="preserve"> PAGEREF _Toc146698992 \h </w:instrText>
      </w:r>
      <w:r>
        <w:fldChar w:fldCharType="separate"/>
      </w:r>
      <w:r>
        <w:t>8</w:t>
      </w:r>
      <w:r>
        <w:fldChar w:fldCharType="end"/>
      </w:r>
    </w:p>
    <w:p>
      <w:pPr>
        <w:pStyle w:val="TOC8"/>
        <w:rPr>
          <w:sz w:val="24"/>
          <w:szCs w:val="24"/>
        </w:rPr>
      </w:pPr>
      <w:r>
        <w:rPr>
          <w:szCs w:val="24"/>
        </w:rPr>
        <w:t>12.</w:t>
      </w:r>
      <w:r>
        <w:rPr>
          <w:szCs w:val="24"/>
        </w:rPr>
        <w:tab/>
        <w:t>Prescribed modified penalties (s. 31C)</w:t>
      </w:r>
      <w:r>
        <w:tab/>
      </w:r>
      <w:r>
        <w:fldChar w:fldCharType="begin"/>
      </w:r>
      <w:r>
        <w:instrText xml:space="preserve"> PAGEREF _Toc146698993 \h </w:instrText>
      </w:r>
      <w:r>
        <w:fldChar w:fldCharType="separate"/>
      </w:r>
      <w:r>
        <w:t>8</w:t>
      </w:r>
      <w:r>
        <w:fldChar w:fldCharType="end"/>
      </w:r>
    </w:p>
    <w:p>
      <w:pPr>
        <w:pStyle w:val="TOC8"/>
        <w:rPr>
          <w:sz w:val="24"/>
          <w:szCs w:val="24"/>
        </w:rPr>
      </w:pPr>
      <w:r>
        <w:rPr>
          <w:szCs w:val="24"/>
        </w:rPr>
        <w:t>13.</w:t>
      </w:r>
      <w:r>
        <w:rPr>
          <w:szCs w:val="24"/>
        </w:rPr>
        <w:tab/>
        <w:t>Prescribed form of infringement notice (s. 31C)</w:t>
      </w:r>
      <w:r>
        <w:tab/>
      </w:r>
      <w:r>
        <w:fldChar w:fldCharType="begin"/>
      </w:r>
      <w:r>
        <w:instrText xml:space="preserve"> PAGEREF _Toc146698994 \h </w:instrText>
      </w:r>
      <w:r>
        <w:fldChar w:fldCharType="separate"/>
      </w:r>
      <w:r>
        <w:t>8</w:t>
      </w:r>
      <w:r>
        <w:fldChar w:fldCharType="end"/>
      </w:r>
    </w:p>
    <w:p>
      <w:pPr>
        <w:pStyle w:val="TOC8"/>
        <w:rPr>
          <w:sz w:val="24"/>
          <w:szCs w:val="24"/>
        </w:rPr>
      </w:pPr>
      <w:r>
        <w:rPr>
          <w:szCs w:val="24"/>
        </w:rPr>
        <w:t>14.</w:t>
      </w:r>
      <w:r>
        <w:rPr>
          <w:szCs w:val="24"/>
        </w:rPr>
        <w:tab/>
        <w:t>Prescribed form of withdrawal of notice (s. 31E)</w:t>
      </w:r>
      <w:r>
        <w:tab/>
      </w:r>
      <w:r>
        <w:fldChar w:fldCharType="begin"/>
      </w:r>
      <w:r>
        <w:instrText xml:space="preserve"> PAGEREF _Toc146698995 \h </w:instrText>
      </w:r>
      <w:r>
        <w:fldChar w:fldCharType="separate"/>
      </w:r>
      <w:r>
        <w:t>8</w:t>
      </w:r>
      <w:r>
        <w:fldChar w:fldCharType="end"/>
      </w:r>
    </w:p>
    <w:p>
      <w:pPr>
        <w:pStyle w:val="TOC2"/>
        <w:tabs>
          <w:tab w:val="right" w:leader="dot" w:pos="7078"/>
        </w:tabs>
        <w:rPr>
          <w:b w:val="0"/>
          <w:sz w:val="24"/>
          <w:szCs w:val="24"/>
        </w:rPr>
      </w:pPr>
      <w:r>
        <w:rPr>
          <w:szCs w:val="28"/>
        </w:rPr>
        <w:t>Schedule 1 — Places where regulations 3(1) and 6 apply</w:t>
      </w:r>
    </w:p>
    <w:p>
      <w:pPr>
        <w:pStyle w:val="TOC2"/>
        <w:tabs>
          <w:tab w:val="right" w:leader="dot" w:pos="7078"/>
        </w:tabs>
        <w:rPr>
          <w:b w:val="0"/>
          <w:sz w:val="24"/>
          <w:szCs w:val="24"/>
        </w:rPr>
      </w:pPr>
      <w:r>
        <w:rPr>
          <w:szCs w:val="28"/>
        </w:rPr>
        <w:t>Schedule 2 — Prescribed offences and modified penalties</w:t>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_Toc146699000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121884948"/>
      <w:bookmarkStart w:id="2" w:name="_Toc121885015"/>
      <w:bookmarkStart w:id="3" w:name="_Toc121887022"/>
      <w:bookmarkStart w:id="4" w:name="_Toc124149180"/>
      <w:bookmarkStart w:id="5" w:name="_Toc146621488"/>
      <w:bookmarkStart w:id="6" w:name="_Toc146698975"/>
      <w:bookmarkStart w:id="7" w:name="_Toc423332722"/>
      <w:bookmarkStart w:id="8" w:name="_Toc425219441"/>
      <w:bookmarkStart w:id="9" w:name="_Toc426249308"/>
      <w:bookmarkStart w:id="10" w:name="_Toc449924704"/>
      <w:bookmarkStart w:id="11" w:name="_Toc449947722"/>
      <w:bookmarkStart w:id="12" w:name="_Toc4541857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Footnoteheading"/>
      </w:pPr>
      <w:r>
        <w:tab/>
        <w:t>[Heading inserted in Gazette 11 Jul 2001 p. 3459.]</w:t>
      </w:r>
    </w:p>
    <w:p>
      <w:pPr>
        <w:pStyle w:val="Heading5"/>
      </w:pPr>
      <w:bookmarkStart w:id="13" w:name="_Toc534441721"/>
      <w:bookmarkStart w:id="14" w:name="_Toc3361897"/>
      <w:bookmarkStart w:id="15" w:name="_Toc121884949"/>
      <w:bookmarkStart w:id="16" w:name="_Toc146698976"/>
      <w:r>
        <w:rPr>
          <w:rStyle w:val="CharSectno"/>
        </w:rPr>
        <w:t>1</w:t>
      </w:r>
      <w:r>
        <w:t>.</w:t>
      </w:r>
      <w:r>
        <w:tab/>
        <w:t>Citation</w:t>
      </w:r>
      <w:bookmarkEnd w:id="7"/>
      <w:bookmarkEnd w:id="8"/>
      <w:bookmarkEnd w:id="9"/>
      <w:bookmarkEnd w:id="10"/>
      <w:bookmarkEnd w:id="11"/>
      <w:bookmarkEnd w:id="12"/>
      <w:bookmarkEnd w:id="13"/>
      <w:bookmarkEnd w:id="14"/>
      <w:bookmarkEnd w:id="15"/>
      <w:bookmarkEnd w:id="16"/>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7" w:name="_Toc423332723"/>
      <w:bookmarkStart w:id="18" w:name="_Toc425219442"/>
      <w:bookmarkStart w:id="19" w:name="_Toc426249309"/>
      <w:bookmarkStart w:id="20" w:name="_Toc449924705"/>
      <w:bookmarkStart w:id="21" w:name="_Toc449947723"/>
      <w:bookmarkStart w:id="22" w:name="_Toc454185714"/>
      <w:bookmarkStart w:id="23" w:name="_Toc534441722"/>
      <w:bookmarkStart w:id="24" w:name="_Toc3361898"/>
      <w:bookmarkStart w:id="25" w:name="_Toc121884950"/>
      <w:bookmarkStart w:id="26" w:name="_Toc146698977"/>
      <w:r>
        <w:rPr>
          <w:rStyle w:val="CharSectno"/>
        </w:rPr>
        <w:t>2</w:t>
      </w:r>
      <w:r>
        <w:rPr>
          <w:spacing w:val="-2"/>
        </w:rPr>
        <w:t>.</w:t>
      </w:r>
      <w:r>
        <w:rPr>
          <w:spacing w:val="-2"/>
        </w:rPr>
        <w:tab/>
        <w:t>Commencement</w:t>
      </w:r>
      <w:bookmarkEnd w:id="17"/>
      <w:bookmarkEnd w:id="18"/>
      <w:bookmarkEnd w:id="19"/>
      <w:bookmarkEnd w:id="20"/>
      <w:bookmarkEnd w:id="21"/>
      <w:bookmarkEnd w:id="22"/>
      <w:bookmarkEnd w:id="23"/>
      <w:bookmarkEnd w:id="24"/>
      <w:bookmarkEnd w:id="25"/>
      <w:bookmarkEnd w:id="26"/>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27" w:name="_Toc121884951"/>
      <w:bookmarkStart w:id="28" w:name="_Toc121885018"/>
      <w:bookmarkStart w:id="29" w:name="_Toc121887025"/>
      <w:bookmarkStart w:id="30" w:name="_Toc124149183"/>
      <w:bookmarkStart w:id="31" w:name="_Toc146621491"/>
      <w:bookmarkStart w:id="32" w:name="_Toc146698978"/>
      <w:bookmarkStart w:id="33" w:name="_Toc423332724"/>
      <w:bookmarkStart w:id="34" w:name="_Toc425219443"/>
      <w:bookmarkStart w:id="35" w:name="_Toc426249310"/>
      <w:bookmarkStart w:id="36" w:name="_Toc449924706"/>
      <w:bookmarkStart w:id="37" w:name="_Toc449947724"/>
      <w:bookmarkStart w:id="38" w:name="_Toc454185715"/>
      <w:r>
        <w:rPr>
          <w:rStyle w:val="CharPartNo"/>
        </w:rPr>
        <w:t>Part 2</w:t>
      </w:r>
      <w:r>
        <w:t> — </w:t>
      </w:r>
      <w:r>
        <w:rPr>
          <w:rStyle w:val="CharPartText"/>
        </w:rPr>
        <w:t>Special provisions about motor fuel</w:t>
      </w:r>
      <w:bookmarkEnd w:id="27"/>
      <w:bookmarkEnd w:id="28"/>
      <w:bookmarkEnd w:id="29"/>
      <w:bookmarkEnd w:id="30"/>
      <w:bookmarkEnd w:id="31"/>
      <w:bookmarkEnd w:id="32"/>
    </w:p>
    <w:p>
      <w:pPr>
        <w:pStyle w:val="Footnoteheading"/>
      </w:pPr>
      <w:r>
        <w:tab/>
        <w:t>[Heading inserted in Gazette 11 Jul 2001 p. 3459.]</w:t>
      </w:r>
    </w:p>
    <w:p>
      <w:pPr>
        <w:pStyle w:val="Heading3"/>
      </w:pPr>
      <w:bookmarkStart w:id="39" w:name="_Toc121884952"/>
      <w:bookmarkStart w:id="40" w:name="_Toc121885019"/>
      <w:bookmarkStart w:id="41" w:name="_Toc121887026"/>
      <w:bookmarkStart w:id="42" w:name="_Toc124149184"/>
      <w:bookmarkStart w:id="43" w:name="_Toc146621492"/>
      <w:bookmarkStart w:id="44" w:name="_Toc146698979"/>
      <w:r>
        <w:rPr>
          <w:rStyle w:val="CharDivNo"/>
        </w:rPr>
        <w:t>Division 1</w:t>
      </w:r>
      <w:r>
        <w:t> — </w:t>
      </w:r>
      <w:r>
        <w:rPr>
          <w:rStyle w:val="CharDivText"/>
        </w:rPr>
        <w:t>Retail sale</w:t>
      </w:r>
      <w:bookmarkEnd w:id="39"/>
      <w:bookmarkEnd w:id="40"/>
      <w:bookmarkEnd w:id="41"/>
      <w:bookmarkEnd w:id="42"/>
      <w:bookmarkEnd w:id="43"/>
      <w:bookmarkEnd w:id="44"/>
    </w:p>
    <w:p>
      <w:pPr>
        <w:pStyle w:val="Footnoteheading"/>
      </w:pPr>
      <w:r>
        <w:tab/>
        <w:t>[Heading inserted in Gazette 11 Jul 2001 p. 3459.]</w:t>
      </w:r>
    </w:p>
    <w:p>
      <w:pPr>
        <w:pStyle w:val="Heading5"/>
      </w:pPr>
      <w:bookmarkStart w:id="45" w:name="_Toc534441723"/>
      <w:bookmarkStart w:id="46" w:name="_Toc3361899"/>
      <w:bookmarkStart w:id="47" w:name="_Toc121884953"/>
      <w:bookmarkStart w:id="48" w:name="_Toc146698980"/>
      <w:bookmarkEnd w:id="33"/>
      <w:bookmarkEnd w:id="34"/>
      <w:bookmarkEnd w:id="35"/>
      <w:bookmarkEnd w:id="36"/>
      <w:bookmarkEnd w:id="37"/>
      <w:bookmarkEnd w:id="38"/>
      <w:r>
        <w:rPr>
          <w:rStyle w:val="CharSectno"/>
        </w:rPr>
        <w:t>2A</w:t>
      </w:r>
      <w:r>
        <w:t>.</w:t>
      </w:r>
      <w:r>
        <w:tab/>
        <w:t>Meaning of terms used in regulations 3 and 3A</w:t>
      </w:r>
      <w:bookmarkEnd w:id="45"/>
      <w:bookmarkEnd w:id="46"/>
      <w:bookmarkEnd w:id="47"/>
      <w:bookmarkEnd w:id="48"/>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49" w:name="_Toc534441724"/>
      <w:bookmarkStart w:id="50" w:name="_Toc3361900"/>
      <w:bookmarkStart w:id="51" w:name="_Toc121884954"/>
      <w:bookmarkStart w:id="52" w:name="_Toc146698981"/>
      <w:r>
        <w:rPr>
          <w:rStyle w:val="CharSectno"/>
        </w:rPr>
        <w:t>3</w:t>
      </w:r>
      <w:r>
        <w:t>.</w:t>
      </w:r>
      <w:r>
        <w:tab/>
        <w:t>Standard retail price to be as notified</w:t>
      </w:r>
      <w:bookmarkEnd w:id="49"/>
      <w:bookmarkEnd w:id="50"/>
      <w:bookmarkEnd w:id="51"/>
      <w:bookmarkEnd w:id="52"/>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53" w:name="_Toc534441725"/>
      <w:bookmarkStart w:id="54" w:name="_Toc3361901"/>
      <w:bookmarkStart w:id="55" w:name="_Toc121884955"/>
      <w:bookmarkStart w:id="56" w:name="_Toc146698982"/>
      <w:r>
        <w:rPr>
          <w:rStyle w:val="CharSectno"/>
        </w:rPr>
        <w:t>3A</w:t>
      </w:r>
      <w:r>
        <w:t>.</w:t>
      </w:r>
      <w:r>
        <w:tab/>
        <w:t>Requirements for giving notification</w:t>
      </w:r>
      <w:bookmarkEnd w:id="53"/>
      <w:bookmarkEnd w:id="54"/>
      <w:bookmarkEnd w:id="55"/>
      <w:bookmarkEnd w:id="56"/>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57" w:name="_Toc534441726"/>
      <w:bookmarkStart w:id="58" w:name="_Toc3361902"/>
      <w:bookmarkStart w:id="59" w:name="_Toc121884956"/>
      <w:bookmarkStart w:id="60" w:name="_Toc146698983"/>
      <w:r>
        <w:rPr>
          <w:rStyle w:val="CharSectno"/>
        </w:rPr>
        <w:t>4</w:t>
      </w:r>
      <w:r>
        <w:t>.</w:t>
      </w:r>
      <w:r>
        <w:tab/>
        <w:t>Price changes in certain places need not be notified</w:t>
      </w:r>
      <w:bookmarkEnd w:id="57"/>
      <w:bookmarkEnd w:id="58"/>
      <w:bookmarkEnd w:id="59"/>
      <w:bookmarkEnd w:id="60"/>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61" w:name="_Toc534441727"/>
      <w:bookmarkStart w:id="62" w:name="_Toc3361903"/>
      <w:bookmarkStart w:id="63" w:name="_Toc121884957"/>
      <w:bookmarkStart w:id="64" w:name="_Toc146698984"/>
      <w:r>
        <w:rPr>
          <w:rStyle w:val="CharSectno"/>
        </w:rPr>
        <w:t>5</w:t>
      </w:r>
      <w:r>
        <w:t>.</w:t>
      </w:r>
      <w:r>
        <w:tab/>
        <w:t>Places where regulation 6 applies</w:t>
      </w:r>
      <w:bookmarkEnd w:id="61"/>
      <w:bookmarkEnd w:id="62"/>
      <w:bookmarkEnd w:id="63"/>
      <w:bookmarkEnd w:id="64"/>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65" w:name="_Toc534441728"/>
      <w:bookmarkStart w:id="66" w:name="_Toc3361904"/>
      <w:bookmarkStart w:id="67" w:name="_Toc121884958"/>
      <w:bookmarkStart w:id="68" w:name="_Toc146698985"/>
      <w:r>
        <w:rPr>
          <w:rStyle w:val="CharSectno"/>
        </w:rPr>
        <w:t>6</w:t>
      </w:r>
      <w:r>
        <w:t>.</w:t>
      </w:r>
      <w:r>
        <w:tab/>
        <w:t>Retailer to display standard retail prices</w:t>
      </w:r>
      <w:bookmarkEnd w:id="65"/>
      <w:bookmarkEnd w:id="66"/>
      <w:bookmarkEnd w:id="67"/>
      <w:bookmarkEnd w:id="68"/>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69" w:name="_Toc121884959"/>
      <w:bookmarkStart w:id="70" w:name="_Toc121885026"/>
      <w:bookmarkStart w:id="71" w:name="_Toc121887033"/>
      <w:bookmarkStart w:id="72" w:name="_Toc124149191"/>
      <w:bookmarkStart w:id="73" w:name="_Toc146621499"/>
      <w:bookmarkStart w:id="74" w:name="_Toc146698986"/>
      <w:r>
        <w:rPr>
          <w:rStyle w:val="CharDivNo"/>
        </w:rPr>
        <w:t>Division 2</w:t>
      </w:r>
      <w:r>
        <w:t> — </w:t>
      </w:r>
      <w:r>
        <w:rPr>
          <w:rStyle w:val="CharDivText"/>
        </w:rPr>
        <w:t>Before retail sale</w:t>
      </w:r>
      <w:bookmarkEnd w:id="69"/>
      <w:bookmarkEnd w:id="70"/>
      <w:bookmarkEnd w:id="71"/>
      <w:bookmarkEnd w:id="72"/>
      <w:bookmarkEnd w:id="73"/>
      <w:bookmarkEnd w:id="74"/>
    </w:p>
    <w:p>
      <w:pPr>
        <w:pStyle w:val="Footnoteheading"/>
      </w:pPr>
      <w:r>
        <w:tab/>
        <w:t>[Heading inserted in Gazette 11 Jul 2001 p. 3461.]</w:t>
      </w:r>
    </w:p>
    <w:p>
      <w:pPr>
        <w:pStyle w:val="Heading5"/>
      </w:pPr>
      <w:bookmarkStart w:id="75" w:name="_Toc534441729"/>
      <w:bookmarkStart w:id="76" w:name="_Toc3361905"/>
      <w:bookmarkStart w:id="77" w:name="_Toc121884960"/>
      <w:bookmarkStart w:id="78" w:name="_Toc146698987"/>
      <w:r>
        <w:rPr>
          <w:rStyle w:val="CharSectno"/>
        </w:rPr>
        <w:t>7</w:t>
      </w:r>
      <w:r>
        <w:t>.</w:t>
      </w:r>
      <w:r>
        <w:tab/>
        <w:t>How to notify Commissioner of price changes</w:t>
      </w:r>
      <w:bookmarkEnd w:id="75"/>
      <w:bookmarkEnd w:id="76"/>
      <w:bookmarkEnd w:id="77"/>
      <w:bookmarkEnd w:id="78"/>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79" w:name="_Toc534441730"/>
      <w:bookmarkStart w:id="80" w:name="_Toc3361906"/>
      <w:bookmarkStart w:id="81" w:name="_Toc121884961"/>
      <w:bookmarkStart w:id="82" w:name="_Toc146698988"/>
      <w:r>
        <w:rPr>
          <w:rStyle w:val="CharSectno"/>
        </w:rPr>
        <w:t>8</w:t>
      </w:r>
      <w:r>
        <w:t>.</w:t>
      </w:r>
      <w:r>
        <w:tab/>
        <w:t>Previous month’s weighted average price</w:t>
      </w:r>
      <w:bookmarkEnd w:id="79"/>
      <w:bookmarkEnd w:id="80"/>
      <w:bookmarkEnd w:id="81"/>
      <w:bookmarkEnd w:id="82"/>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19" o:title=""/>
          </v:shape>
          <o:OLEObject Type="Embed" ProgID="Equation.3" ShapeID="_x0000_i1025" DrawAspect="Content" ObjectID="_1644349184" r:id="rId20"/>
        </w:obje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83" w:name="_Toc534441731"/>
      <w:bookmarkStart w:id="84" w:name="_Toc3361907"/>
      <w:bookmarkStart w:id="85" w:name="_Toc121884962"/>
      <w:bookmarkStart w:id="86" w:name="_Toc146698989"/>
      <w:r>
        <w:rPr>
          <w:rStyle w:val="CharSectno"/>
        </w:rPr>
        <w:t>9</w:t>
      </w:r>
      <w:r>
        <w:t>.</w:t>
      </w:r>
      <w:r>
        <w:tab/>
        <w:t>Details of price differences</w:t>
      </w:r>
      <w:bookmarkEnd w:id="83"/>
      <w:bookmarkEnd w:id="84"/>
      <w:bookmarkEnd w:id="85"/>
      <w:bookmarkEnd w:id="86"/>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87" w:name="_Toc534441732"/>
      <w:bookmarkStart w:id="88" w:name="_Toc3361908"/>
      <w:bookmarkStart w:id="89" w:name="_Toc121884963"/>
      <w:bookmarkStart w:id="90" w:name="_Toc146698990"/>
      <w:r>
        <w:rPr>
          <w:rStyle w:val="CharSectno"/>
        </w:rPr>
        <w:t>10</w:t>
      </w:r>
      <w:r>
        <w:t>.</w:t>
      </w:r>
      <w:r>
        <w:tab/>
        <w:t>Notifying Commissioner of price differences</w:t>
      </w:r>
      <w:bookmarkEnd w:id="87"/>
      <w:bookmarkEnd w:id="88"/>
      <w:bookmarkEnd w:id="89"/>
      <w:bookmarkEnd w:id="90"/>
    </w:p>
    <w:p>
      <w:pPr>
        <w:pStyle w:val="Subsection"/>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u w:val="none"/>
          </w:rPr>
          <w:t>www.fu</w:t>
        </w:r>
        <w:bookmarkStart w:id="91" w:name="_Hlt6729056"/>
        <w:r>
          <w:rPr>
            <w:rStyle w:val="Hyperlink"/>
            <w:color w:val="auto"/>
            <w:u w:val="none"/>
          </w:rPr>
          <w:t>e</w:t>
        </w:r>
        <w:bookmarkEnd w:id="91"/>
        <w:r>
          <w:rPr>
            <w:rStyle w:val="Hyperlink"/>
            <w:color w:val="auto"/>
            <w:u w:val="none"/>
          </w:rPr>
          <w:t>lwatch.wa.gov.au</w:t>
        </w:r>
      </w:hyperlink>
      <w:r>
        <w:t xml:space="preserve">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92" w:name="_Toc121884964"/>
      <w:bookmarkStart w:id="93" w:name="_Toc121885031"/>
      <w:bookmarkStart w:id="94" w:name="_Toc121887038"/>
      <w:bookmarkStart w:id="95" w:name="_Toc124149196"/>
      <w:bookmarkStart w:id="96" w:name="_Toc146621504"/>
      <w:bookmarkStart w:id="97" w:name="_Toc146698991"/>
      <w:r>
        <w:rPr>
          <w:rStyle w:val="CharPartNo"/>
        </w:rPr>
        <w:t>Part 3</w:t>
      </w:r>
      <w:r>
        <w:t xml:space="preserve"> — </w:t>
      </w:r>
      <w:r>
        <w:rPr>
          <w:rStyle w:val="CharPartText"/>
        </w:rPr>
        <w:t>Infringement notices and modified penalties</w:t>
      </w:r>
      <w:bookmarkEnd w:id="92"/>
      <w:bookmarkEnd w:id="93"/>
      <w:bookmarkEnd w:id="94"/>
      <w:bookmarkEnd w:id="95"/>
      <w:bookmarkEnd w:id="96"/>
      <w:bookmarkEnd w:id="97"/>
    </w:p>
    <w:p>
      <w:pPr>
        <w:pStyle w:val="Footnoteheading"/>
      </w:pPr>
      <w:r>
        <w:tab/>
        <w:t>[Heading inserted in Gazette 9 Nov 2001 p. 5925.]</w:t>
      </w:r>
    </w:p>
    <w:p>
      <w:pPr>
        <w:pStyle w:val="Heading5"/>
      </w:pPr>
      <w:bookmarkStart w:id="98" w:name="_Toc534441733"/>
      <w:bookmarkStart w:id="99" w:name="_Toc3361909"/>
      <w:bookmarkStart w:id="100" w:name="_Toc121884965"/>
      <w:bookmarkStart w:id="101" w:name="_Toc146698992"/>
      <w:r>
        <w:rPr>
          <w:rStyle w:val="CharSectno"/>
        </w:rPr>
        <w:t>11</w:t>
      </w:r>
      <w:r>
        <w:t>.</w:t>
      </w:r>
      <w:r>
        <w:tab/>
        <w:t>Prescribed offences (s. 31B)</w:t>
      </w:r>
      <w:bookmarkEnd w:id="98"/>
      <w:bookmarkEnd w:id="99"/>
      <w:bookmarkEnd w:id="100"/>
      <w:bookmarkEnd w:id="101"/>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02" w:name="_Toc534441734"/>
      <w:bookmarkStart w:id="103" w:name="_Toc3361910"/>
      <w:bookmarkStart w:id="104" w:name="_Toc121884966"/>
      <w:bookmarkStart w:id="105" w:name="_Toc146698993"/>
      <w:r>
        <w:rPr>
          <w:rStyle w:val="CharSectno"/>
        </w:rPr>
        <w:t>12</w:t>
      </w:r>
      <w:r>
        <w:t>.</w:t>
      </w:r>
      <w:r>
        <w:tab/>
        <w:t>Prescribed modified penalties (s. 31C)</w:t>
      </w:r>
      <w:bookmarkEnd w:id="102"/>
      <w:bookmarkEnd w:id="103"/>
      <w:bookmarkEnd w:id="104"/>
      <w:bookmarkEnd w:id="105"/>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06" w:name="_Toc534441735"/>
      <w:bookmarkStart w:id="107" w:name="_Toc3361911"/>
      <w:bookmarkStart w:id="108" w:name="_Toc121884967"/>
      <w:bookmarkStart w:id="109" w:name="_Toc146698994"/>
      <w:r>
        <w:rPr>
          <w:rStyle w:val="CharSectno"/>
        </w:rPr>
        <w:t>13</w:t>
      </w:r>
      <w:r>
        <w:t>.</w:t>
      </w:r>
      <w:r>
        <w:tab/>
        <w:t>Prescribed form of infringement notice (s. 31C)</w:t>
      </w:r>
      <w:bookmarkEnd w:id="106"/>
      <w:bookmarkEnd w:id="107"/>
      <w:bookmarkEnd w:id="108"/>
      <w:bookmarkEnd w:id="109"/>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10" w:name="_Toc534441736"/>
      <w:bookmarkStart w:id="111" w:name="_Toc3361912"/>
      <w:bookmarkStart w:id="112" w:name="_Toc121884968"/>
      <w:bookmarkStart w:id="113" w:name="_Toc146698995"/>
      <w:r>
        <w:rPr>
          <w:rStyle w:val="CharSectno"/>
        </w:rPr>
        <w:t>14</w:t>
      </w:r>
      <w:r>
        <w:t>.</w:t>
      </w:r>
      <w:r>
        <w:tab/>
        <w:t>Prescribed form of withdrawal of notice (s. 31E)</w:t>
      </w:r>
      <w:bookmarkEnd w:id="110"/>
      <w:bookmarkEnd w:id="111"/>
      <w:bookmarkEnd w:id="112"/>
      <w:bookmarkEnd w:id="113"/>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14" w:name="_Toc121884969"/>
      <w:bookmarkStart w:id="115" w:name="_Toc121885036"/>
      <w:bookmarkStart w:id="116" w:name="_Toc121887043"/>
      <w:bookmarkStart w:id="117" w:name="_Toc124149201"/>
      <w:bookmarkStart w:id="118" w:name="_Toc146621509"/>
      <w:bookmarkStart w:id="119" w:name="_Toc146698996"/>
      <w:r>
        <w:rPr>
          <w:rStyle w:val="CharSchNo"/>
        </w:rPr>
        <w:t>Schedule 1</w:t>
      </w:r>
      <w:r>
        <w:t> — </w:t>
      </w:r>
      <w:r>
        <w:rPr>
          <w:rStyle w:val="CharSchText"/>
        </w:rPr>
        <w:t>Places where regulations 3(1) and 6 apply</w:t>
      </w:r>
      <w:bookmarkEnd w:id="114"/>
      <w:bookmarkEnd w:id="115"/>
      <w:bookmarkEnd w:id="116"/>
      <w:bookmarkEnd w:id="117"/>
      <w:bookmarkEnd w:id="118"/>
      <w:bookmarkEnd w:id="119"/>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Southern Cross</w:t>
            </w:r>
          </w:p>
        </w:tc>
      </w:tr>
      <w:tr>
        <w:trPr>
          <w:cantSplit/>
          <w:trHeight w:val="276"/>
        </w:trPr>
        <w:tc>
          <w:tcPr>
            <w:tcW w:w="2552" w:type="dxa"/>
          </w:tcPr>
          <w:p>
            <w:pPr>
              <w:pStyle w:val="yTable"/>
            </w:pPr>
            <w:r>
              <w:t>Exmouth</w:t>
            </w:r>
          </w:p>
        </w:tc>
        <w:tc>
          <w:tcPr>
            <w:tcW w:w="2410" w:type="dxa"/>
          </w:tcPr>
          <w:p>
            <w:pPr>
              <w:pStyle w:val="yTable"/>
            </w:pPr>
            <w:r>
              <w:t>South Hedland</w:t>
            </w:r>
          </w:p>
        </w:tc>
      </w:tr>
      <w:tr>
        <w:trPr>
          <w:cantSplit/>
          <w:trHeight w:val="276"/>
        </w:trPr>
        <w:tc>
          <w:tcPr>
            <w:tcW w:w="2552" w:type="dxa"/>
          </w:tcPr>
          <w:p>
            <w:pPr>
              <w:pStyle w:val="yTable"/>
            </w:pPr>
            <w:r>
              <w:t>Fitzroy Crossing</w:t>
            </w:r>
          </w:p>
        </w:tc>
        <w:tc>
          <w:tcPr>
            <w:tcW w:w="2410" w:type="dxa"/>
          </w:tcPr>
          <w:p>
            <w:pPr>
              <w:pStyle w:val="yTable"/>
            </w:pPr>
            <w:r>
              <w:t>Tammin</w:t>
            </w:r>
          </w:p>
        </w:tc>
      </w:tr>
      <w:tr>
        <w:trPr>
          <w:cantSplit/>
          <w:trHeight w:val="276"/>
        </w:trPr>
        <w:tc>
          <w:tcPr>
            <w:tcW w:w="2552" w:type="dxa"/>
          </w:tcPr>
          <w:p>
            <w:pPr>
              <w:pStyle w:val="yTable"/>
            </w:pPr>
            <w:r>
              <w:t>Jurien</w:t>
            </w:r>
          </w:p>
        </w:tc>
        <w:tc>
          <w:tcPr>
            <w:tcW w:w="2410" w:type="dxa"/>
          </w:tcPr>
          <w:p>
            <w:pPr>
              <w:pStyle w:val="yTable"/>
            </w:pPr>
            <w:r>
              <w:t>Williams</w:t>
            </w:r>
          </w:p>
        </w:tc>
      </w:tr>
      <w:tr>
        <w:trPr>
          <w:cantSplit/>
          <w:trHeight w:val="276"/>
        </w:trPr>
        <w:tc>
          <w:tcPr>
            <w:tcW w:w="2552" w:type="dxa"/>
          </w:tcPr>
          <w:p>
            <w:pPr>
              <w:pStyle w:val="yTable"/>
              <w:keepNext/>
            </w:pPr>
            <w:r>
              <w:t>Kalgoorlie</w:t>
            </w:r>
          </w:p>
        </w:tc>
        <w:tc>
          <w:tcPr>
            <w:tcW w:w="2410" w:type="dxa"/>
          </w:tcPr>
          <w:p>
            <w:pPr>
              <w:pStyle w:val="yTable"/>
              <w:keepNext/>
            </w:pPr>
            <w:r>
              <w:t>Wubin</w:t>
            </w:r>
          </w:p>
        </w:tc>
      </w:tr>
      <w:tr>
        <w:trPr>
          <w:cantSplit/>
          <w:trHeight w:val="276"/>
        </w:trPr>
        <w:tc>
          <w:tcPr>
            <w:tcW w:w="2552" w:type="dxa"/>
          </w:tcPr>
          <w:p>
            <w:pPr>
              <w:pStyle w:val="yTable"/>
              <w:keepNext/>
            </w:pPr>
            <w:r>
              <w:t>Kambalda (East)</w:t>
            </w:r>
          </w:p>
        </w:tc>
        <w:tc>
          <w:tcPr>
            <w:tcW w:w="2410" w:type="dxa"/>
          </w:tcPr>
          <w:p>
            <w:pPr>
              <w:pStyle w:val="yTable"/>
              <w:keepNext/>
            </w:pPr>
            <w:r>
              <w:t>York</w:t>
            </w: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w:t>
      </w:r>
    </w:p>
    <w:p>
      <w:pPr>
        <w:pStyle w:val="yScheduleHeading"/>
      </w:pPr>
      <w:bookmarkStart w:id="120" w:name="_Toc146621511"/>
      <w:bookmarkStart w:id="121" w:name="_Toc146698997"/>
      <w:bookmarkStart w:id="122" w:name="_Toc121884971"/>
      <w:bookmarkStart w:id="123" w:name="_Toc121885038"/>
      <w:bookmarkStart w:id="124" w:name="_Toc121887045"/>
      <w:bookmarkStart w:id="125" w:name="_Toc124149203"/>
      <w:r>
        <w:rPr>
          <w:rStyle w:val="CharSchNo"/>
        </w:rPr>
        <w:t>Schedule 2</w:t>
      </w:r>
      <w:r>
        <w:t> — </w:t>
      </w:r>
      <w:r>
        <w:rPr>
          <w:rStyle w:val="CharSchText"/>
        </w:rPr>
        <w:t>Prescribed offences and modified penalties</w:t>
      </w:r>
      <w:bookmarkEnd w:id="120"/>
      <w:bookmarkEnd w:id="121"/>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w:t>
      </w:r>
    </w:p>
    <w:p>
      <w:pPr>
        <w:pStyle w:val="yScheduleHeading"/>
      </w:pPr>
      <w:bookmarkStart w:id="126" w:name="_Toc146621512"/>
      <w:bookmarkStart w:id="127" w:name="_Toc146698998"/>
      <w:r>
        <w:rPr>
          <w:rStyle w:val="CharSchNo"/>
        </w:rPr>
        <w:t>Schedule 3</w:t>
      </w:r>
      <w:r>
        <w:t xml:space="preserve"> — </w:t>
      </w:r>
      <w:r>
        <w:rPr>
          <w:rStyle w:val="CharSchText"/>
        </w:rPr>
        <w:t>Forms</w:t>
      </w:r>
      <w:bookmarkEnd w:id="122"/>
      <w:bookmarkEnd w:id="123"/>
      <w:bookmarkEnd w:id="124"/>
      <w:bookmarkEnd w:id="125"/>
      <w:bookmarkEnd w:id="126"/>
      <w:bookmarkEnd w:id="127"/>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28" w:name="_Toc121884972"/>
      <w:bookmarkStart w:id="129" w:name="_Toc121885039"/>
      <w:bookmarkStart w:id="130" w:name="_Toc121887046"/>
      <w:bookmarkStart w:id="131" w:name="_Toc124149204"/>
      <w:bookmarkStart w:id="132" w:name="_Toc146621513"/>
      <w:bookmarkStart w:id="133" w:name="_Toc146698999"/>
      <w:r>
        <w:t>Notes</w:t>
      </w:r>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134" w:name="_Toc121884973"/>
      <w:bookmarkStart w:id="135" w:name="_Toc146699000"/>
      <w:r>
        <w:t>Compilation table</w:t>
      </w:r>
      <w:bookmarkEnd w:id="134"/>
      <w:bookmarkEnd w:id="13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Pr>
          <w:p>
            <w:pPr>
              <w:pStyle w:val="nTable"/>
              <w:spacing w:before="120"/>
              <w:ind w:right="113"/>
              <w:rPr>
                <w:i/>
                <w:sz w:val="19"/>
              </w:rPr>
            </w:pPr>
            <w:r>
              <w:rPr>
                <w:i/>
                <w:sz w:val="19"/>
              </w:rPr>
              <w:t>Petroleum Products Pricing Amendment Regulations 2005</w:t>
            </w:r>
          </w:p>
        </w:tc>
        <w:tc>
          <w:tcPr>
            <w:tcW w:w="1276" w:type="dxa"/>
          </w:tcPr>
          <w:p>
            <w:pPr>
              <w:pStyle w:val="nTable"/>
              <w:spacing w:before="120"/>
              <w:rPr>
                <w:sz w:val="19"/>
              </w:rPr>
            </w:pPr>
            <w:r>
              <w:rPr>
                <w:sz w:val="19"/>
              </w:rPr>
              <w:t>9 Dec 2005 p. 5875-6</w:t>
            </w:r>
          </w:p>
        </w:tc>
        <w:tc>
          <w:tcPr>
            <w:tcW w:w="2693" w:type="dxa"/>
          </w:tcPr>
          <w:p>
            <w:pPr>
              <w:pStyle w:val="nTable"/>
              <w:spacing w:before="120"/>
              <w:rPr>
                <w:sz w:val="19"/>
              </w:rPr>
            </w:pPr>
            <w:r>
              <w:rPr>
                <w:sz w:val="19"/>
              </w:rPr>
              <w:t>1 Jan 2006 (see r. 2)</w:t>
            </w:r>
          </w:p>
        </w:tc>
      </w:tr>
      <w:tr>
        <w:trPr>
          <w:cantSplit/>
        </w:trPr>
        <w:tc>
          <w:tcPr>
            <w:tcW w:w="3119" w:type="dxa"/>
            <w:tcBorders>
              <w:bottom w:val="single" w:sz="4" w:space="0" w:color="auto"/>
            </w:tcBorders>
          </w:tcPr>
          <w:p>
            <w:pPr>
              <w:pStyle w:val="nTable"/>
              <w:spacing w:before="120"/>
              <w:ind w:right="113"/>
              <w:rPr>
                <w:i/>
                <w:sz w:val="19"/>
              </w:rPr>
            </w:pPr>
            <w:r>
              <w:rPr>
                <w:i/>
                <w:sz w:val="19"/>
              </w:rPr>
              <w:t>Petroleum Products Pricing Amendment Regulations 2006</w:t>
            </w:r>
          </w:p>
        </w:tc>
        <w:tc>
          <w:tcPr>
            <w:tcW w:w="1276" w:type="dxa"/>
            <w:tcBorders>
              <w:bottom w:val="single" w:sz="4" w:space="0" w:color="auto"/>
            </w:tcBorders>
          </w:tcPr>
          <w:p>
            <w:pPr>
              <w:pStyle w:val="nTable"/>
              <w:spacing w:before="120"/>
              <w:rPr>
                <w:sz w:val="19"/>
              </w:rPr>
            </w:pPr>
            <w:r>
              <w:rPr>
                <w:sz w:val="19"/>
              </w:rPr>
              <w:t>22 Sep 2006 p. 41215</w:t>
            </w:r>
            <w:r>
              <w:rPr>
                <w:sz w:val="19"/>
              </w:rPr>
              <w:noBreakHyphen/>
              <w:t>6</w:t>
            </w:r>
          </w:p>
        </w:tc>
        <w:tc>
          <w:tcPr>
            <w:tcW w:w="2693" w:type="dxa"/>
            <w:tcBorders>
              <w:bottom w:val="single" w:sz="4" w:space="0" w:color="auto"/>
            </w:tcBorders>
          </w:tcPr>
          <w:p>
            <w:pPr>
              <w:pStyle w:val="nTable"/>
              <w:spacing w:before="120"/>
              <w:rPr>
                <w:sz w:val="19"/>
              </w:rPr>
            </w:pPr>
            <w:r>
              <w:rPr>
                <w:sz w:val="19"/>
              </w:rPr>
              <w:t xml:space="preserve">22 Sep 2006 </w:t>
            </w:r>
          </w:p>
        </w:tc>
      </w:tr>
    </w:tbl>
    <w:p>
      <w:pPr>
        <w:pStyle w:val="nSubsection"/>
      </w:pPr>
      <w:bookmarkStart w:id="136" w:name="UpToHere"/>
      <w:bookmarkEnd w:id="136"/>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37" w:author="Isobel Bond" w:date="2003-05-12T11:18:00Z" w:original=""/>
        </w:fldChar>
      </w: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38" w:author="Clare Dias" w:date="2005-12-09T09:30:00Z" w:original=""/>
        </w:fldChar>
      </w: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3617</Words>
  <Characters>20258</Characters>
  <Application>Microsoft Office Word</Application>
  <DocSecurity>0</DocSecurity>
  <Lines>633</Lines>
  <Paragraphs>442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23433</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2000 - 01-d0-02</dc:title>
  <dc:subject/>
  <dc:creator/>
  <cp:keywords/>
  <dc:description/>
  <cp:lastModifiedBy>svcMRProcess</cp:lastModifiedBy>
  <cp:revision>4</cp:revision>
  <cp:lastPrinted>2002-04-19T02:39:00Z</cp:lastPrinted>
  <dcterms:created xsi:type="dcterms:W3CDTF">2020-02-27T14:53:00Z</dcterms:created>
  <dcterms:modified xsi:type="dcterms:W3CDTF">2020-02-27T14:53:00Z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2723</vt:i4>
  </property>
  <property fmtid="{D5CDD505-2E9C-101B-9397-08002B2CF9AE}" pid="6" name="AsAtDate">
    <vt:lpwstr>22 Sep 2006</vt:lpwstr>
  </property>
  <property fmtid="{D5CDD505-2E9C-101B-9397-08002B2CF9AE}" pid="7" name="Suffix">
    <vt:lpwstr>01-d0-02</vt:lpwstr>
  </property>
</Properties>
</file>