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_Toc501526227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_Toc501526228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_Toc501526230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_Toc501526231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_Toc501526232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_Toc501526234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_Toc501526235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_Toc501526240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498094225"/>
      <w:bookmarkStart w:id="4" w:name="_Toc50152622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501526227"/>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6" w:name="_Toc501526228"/>
      <w:r>
        <w:rPr>
          <w:rStyle w:val="CharSectno"/>
        </w:rPr>
        <w:t>2</w:t>
      </w:r>
      <w:r>
        <w:rPr>
          <w:snapToGrid w:val="0"/>
        </w:rPr>
        <w:t>.</w:t>
      </w:r>
      <w:r>
        <w:rPr>
          <w:snapToGrid w:val="0"/>
        </w:rPr>
        <w:tab/>
        <w:t>Terms used</w:t>
      </w:r>
      <w:bookmarkEnd w:id="6"/>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7" w:name="_Toc498094228"/>
      <w:bookmarkStart w:id="8" w:name="_Toc501526229"/>
      <w:r>
        <w:rPr>
          <w:rStyle w:val="CharPartNo"/>
        </w:rPr>
        <w:t>Part 2</w:t>
      </w:r>
      <w:r>
        <w:rPr>
          <w:rStyle w:val="CharDivNo"/>
        </w:rPr>
        <w:t xml:space="preserve"> </w:t>
      </w:r>
      <w:r>
        <w:t>—</w:t>
      </w:r>
      <w:r>
        <w:rPr>
          <w:rStyle w:val="CharDivText"/>
        </w:rPr>
        <w:t xml:space="preserve"> </w:t>
      </w:r>
      <w:r>
        <w:rPr>
          <w:rStyle w:val="CharPartText"/>
        </w:rPr>
        <w:t>General</w:t>
      </w:r>
      <w:bookmarkEnd w:id="7"/>
      <w:bookmarkEnd w:id="8"/>
    </w:p>
    <w:p>
      <w:pPr>
        <w:pStyle w:val="Heading5"/>
      </w:pPr>
      <w:bookmarkStart w:id="9" w:name="_Toc501526230"/>
      <w:r>
        <w:rPr>
          <w:rStyle w:val="CharSectno"/>
        </w:rPr>
        <w:t>3</w:t>
      </w:r>
      <w:r>
        <w:t>.</w:t>
      </w:r>
      <w:r>
        <w:tab/>
        <w:t>Unclaimed winnings</w:t>
      </w:r>
      <w:bookmarkEnd w:id="9"/>
    </w:p>
    <w:p>
      <w:pPr>
        <w:pStyle w:val="Subsection"/>
      </w:pPr>
      <w:r>
        <w:tab/>
      </w:r>
      <w:r>
        <w:tab/>
        <w:t>For the purposes of section 15(1)(a) and (b) of the Act, the prescribed amount is 99 cents.</w:t>
      </w:r>
    </w:p>
    <w:p>
      <w:pPr>
        <w:pStyle w:val="Heading5"/>
      </w:pPr>
      <w:bookmarkStart w:id="10" w:name="_Toc501526231"/>
      <w:r>
        <w:rPr>
          <w:rStyle w:val="CharSectno"/>
        </w:rPr>
        <w:t>4</w:t>
      </w:r>
      <w:r>
        <w:t>.</w:t>
      </w:r>
      <w:r>
        <w:tab/>
        <w:t>Fee for review of direction not to enter or remain in casino</w:t>
      </w:r>
      <w:bookmarkEnd w:id="10"/>
    </w:p>
    <w:p>
      <w:pPr>
        <w:pStyle w:val="Subsection"/>
      </w:pPr>
      <w:r>
        <w:tab/>
      </w:r>
      <w:r>
        <w:tab/>
        <w:t>For the purposes of section 26A(3)(b) of the Act, the prescribed fee is $154.</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 28 Oct 2016 p. 4912; 10 Nov 2017 p. 5583.]</w:t>
      </w:r>
    </w:p>
    <w:p>
      <w:pPr>
        <w:pStyle w:val="Heading5"/>
      </w:pPr>
      <w:bookmarkStart w:id="11" w:name="_Toc501526232"/>
      <w:r>
        <w:rPr>
          <w:rStyle w:val="CharSectno"/>
        </w:rPr>
        <w:t>4A</w:t>
      </w:r>
      <w:r>
        <w:t>.</w:t>
      </w:r>
      <w:r>
        <w:tab/>
        <w:t>Exempt class of contract</w:t>
      </w:r>
      <w:bookmarkEnd w:id="11"/>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12" w:name="_Toc498094232"/>
      <w:bookmarkStart w:id="13" w:name="_Toc501526233"/>
      <w:r>
        <w:rPr>
          <w:rStyle w:val="CharPartNo"/>
        </w:rPr>
        <w:t>Part 4</w:t>
      </w:r>
      <w:r>
        <w:rPr>
          <w:rStyle w:val="CharDivNo"/>
        </w:rPr>
        <w:t xml:space="preserve"> </w:t>
      </w:r>
      <w:r>
        <w:t>—</w:t>
      </w:r>
      <w:r>
        <w:rPr>
          <w:rStyle w:val="CharDivText"/>
        </w:rPr>
        <w:t xml:space="preserve"> </w:t>
      </w:r>
      <w:r>
        <w:rPr>
          <w:rStyle w:val="CharPartText"/>
        </w:rPr>
        <w:t>Infringement notices</w:t>
      </w:r>
      <w:bookmarkEnd w:id="12"/>
      <w:bookmarkEnd w:id="13"/>
    </w:p>
    <w:p>
      <w:pPr>
        <w:pStyle w:val="Heading5"/>
      </w:pPr>
      <w:bookmarkStart w:id="14" w:name="_Toc501526234"/>
      <w:r>
        <w:rPr>
          <w:rStyle w:val="CharSectno"/>
        </w:rPr>
        <w:t>18</w:t>
      </w:r>
      <w:r>
        <w:t>.</w:t>
      </w:r>
      <w:r>
        <w:tab/>
        <w:t>Infringement notices</w:t>
      </w:r>
      <w:bookmarkEnd w:id="14"/>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5" w:name="_Toc501526235"/>
      <w:r>
        <w:rPr>
          <w:rStyle w:val="CharSectno"/>
        </w:rPr>
        <w:t>19</w:t>
      </w:r>
      <w:r>
        <w:t>.</w:t>
      </w:r>
      <w:r>
        <w:tab/>
        <w:t>Form of infringement notice and withdrawal notice</w:t>
      </w:r>
      <w:bookmarkEnd w:id="15"/>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498094235"/>
      <w:bookmarkStart w:id="17" w:name="_Toc501526236"/>
      <w:r>
        <w:rPr>
          <w:rStyle w:val="CharSchNo"/>
        </w:rPr>
        <w:t>Schedule 1</w:t>
      </w:r>
      <w:r>
        <w:t xml:space="preserve"> — </w:t>
      </w:r>
      <w:r>
        <w:rPr>
          <w:rStyle w:val="CharSchText"/>
        </w:rPr>
        <w:t>Prescribed forms</w:t>
      </w:r>
      <w:bookmarkEnd w:id="16"/>
      <w:bookmarkEnd w:id="17"/>
    </w:p>
    <w:p>
      <w:pPr>
        <w:pStyle w:val="yShoulderClause"/>
      </w:pPr>
      <w:r>
        <w:t>[r. 19]</w:t>
      </w:r>
    </w:p>
    <w:p>
      <w:pPr>
        <w:pStyle w:val="Heading3"/>
        <w:rPr>
          <w:b w:val="0"/>
        </w:rPr>
      </w:pPr>
      <w:bookmarkStart w:id="18" w:name="_Toc498094236"/>
      <w:bookmarkStart w:id="19" w:name="_Toc501526237"/>
      <w:r>
        <w:rPr>
          <w:rStyle w:val="CharSClsNo"/>
          <w:b w:val="0"/>
        </w:rPr>
        <w:t>Form 1</w:t>
      </w:r>
      <w:bookmarkEnd w:id="18"/>
      <w:bookmarkEnd w:id="19"/>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20" w:name="_Toc498094237"/>
      <w:bookmarkStart w:id="21" w:name="_Toc501526238"/>
      <w:r>
        <w:rPr>
          <w:rStyle w:val="CharSClsNo"/>
          <w:b w:val="0"/>
        </w:rPr>
        <w:t>Form 2</w:t>
      </w:r>
      <w:bookmarkEnd w:id="20"/>
      <w:bookmarkEnd w:id="21"/>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3" w:name="_Toc498094238"/>
      <w:bookmarkStart w:id="24" w:name="_Toc501526239"/>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5" w:name="_Toc501526240"/>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5" w:type="dxa"/>
            <w:gridSpan w:val="2"/>
          </w:tcPr>
          <w:p>
            <w:pPr>
              <w:pStyle w:val="nTable"/>
              <w:spacing w:after="40"/>
              <w:rPr>
                <w:snapToGrid w:val="0"/>
              </w:rPr>
            </w:pPr>
            <w:r>
              <w:t>1 Jan 2017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4</w:t>
            </w:r>
          </w:p>
        </w:tc>
        <w:tc>
          <w:tcPr>
            <w:tcW w:w="1276" w:type="dxa"/>
            <w:gridSpan w:val="2"/>
            <w:tcBorders>
              <w:bottom w:val="single" w:sz="4" w:space="0" w:color="auto"/>
            </w:tcBorders>
          </w:tcPr>
          <w:p>
            <w:pPr>
              <w:pStyle w:val="nTable"/>
              <w:spacing w:after="40"/>
            </w:pPr>
            <w:r>
              <w:t>10 Nov 2017 p. 5579</w:t>
            </w:r>
            <w:r>
              <w:noBreakHyphen/>
              <w:t>94</w:t>
            </w:r>
          </w:p>
        </w:tc>
        <w:tc>
          <w:tcPr>
            <w:tcW w:w="2695" w:type="dxa"/>
            <w:gridSpan w:val="2"/>
            <w:tcBorders>
              <w:bottom w:val="single" w:sz="4" w:space="0" w:color="auto"/>
            </w:tcBorders>
          </w:tcPr>
          <w:p>
            <w:pPr>
              <w:pStyle w:val="nTable"/>
              <w:spacing w:after="40"/>
            </w:pPr>
            <w:r>
              <w:t>1 Jan 2018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7" w:name="_Toc498094241"/>
      <w:bookmarkStart w:id="28" w:name="_Toc501526241"/>
      <w:r>
        <w:rPr>
          <w:sz w:val="28"/>
        </w:rPr>
        <w:t>Defined terms</w:t>
      </w:r>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23"/>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1697</Words>
  <Characters>9268</Characters>
  <Application>Microsoft Office Word</Application>
  <DocSecurity>0</DocSecurity>
  <Lines>402</Lines>
  <Paragraphs>296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1999 - 03-i0-00</dc:title>
  <dc:subject/>
  <dc:creator/>
  <cp:keywords/>
  <dc:description/>
  <cp:lastModifiedBy>svcMRProcess</cp:lastModifiedBy>
  <cp:revision>4</cp:revision>
  <cp:lastPrinted>2014-03-20T02:02:00Z</cp:lastPrinted>
  <dcterms:created xsi:type="dcterms:W3CDTF">2020-02-22T18:21:00Z</dcterms:created>
  <dcterms:modified xsi:type="dcterms:W3CDTF">2020-02-22T18:21:00Z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01 Jan 2018</vt:lpwstr>
  </property>
  <property fmtid="{D5CDD505-2E9C-101B-9397-08002B2CF9AE}" pid="8" name="Suffix">
    <vt:lpwstr>03-i0-00</vt:lpwstr>
  </property>
  <property fmtid="{D5CDD505-2E9C-101B-9397-08002B2CF9AE}" pid="9" name="CommencementDate">
    <vt:lpwstr>20180101</vt:lpwstr>
  </property>
</Properties>
</file>